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289D" w14:textId="60839B5C" w:rsidR="00E06D42" w:rsidRDefault="00E06D42" w:rsidP="00ED0624">
      <w:pPr>
        <w:jc w:val="right"/>
        <w:rPr>
          <w:i/>
          <w:sz w:val="20"/>
          <w:szCs w:val="20"/>
        </w:rPr>
      </w:pPr>
      <w:r w:rsidRPr="00E06D42">
        <w:rPr>
          <w:i/>
          <w:sz w:val="20"/>
          <w:szCs w:val="20"/>
        </w:rPr>
        <w:t>Diagnosis of osteoporosis</w:t>
      </w:r>
      <w:r>
        <w:rPr>
          <w:i/>
          <w:sz w:val="20"/>
          <w:szCs w:val="20"/>
        </w:rPr>
        <w:t xml:space="preserve"> </w:t>
      </w:r>
      <w:r w:rsidR="00E93D31">
        <w:rPr>
          <w:i/>
          <w:sz w:val="20"/>
          <w:szCs w:val="20"/>
        </w:rPr>
        <w:t>v</w:t>
      </w:r>
      <w:r w:rsidR="00E47B87">
        <w:rPr>
          <w:i/>
          <w:sz w:val="20"/>
          <w:szCs w:val="20"/>
        </w:rPr>
        <w:t>7</w:t>
      </w:r>
    </w:p>
    <w:p w14:paraId="3E93D6AB" w14:textId="7DF6234B" w:rsidR="00E06D42" w:rsidRPr="00E06D42" w:rsidRDefault="00BD5907" w:rsidP="00ED0624">
      <w:pPr>
        <w:jc w:val="right"/>
        <w:rPr>
          <w:i/>
          <w:sz w:val="20"/>
          <w:szCs w:val="20"/>
        </w:rPr>
      </w:pPr>
      <w:r>
        <w:rPr>
          <w:i/>
          <w:sz w:val="20"/>
          <w:szCs w:val="20"/>
        </w:rPr>
        <w:t>IOF/ESCEO</w:t>
      </w:r>
      <w:r w:rsidR="00E06D42" w:rsidRPr="00E06D42">
        <w:rPr>
          <w:i/>
          <w:sz w:val="20"/>
          <w:szCs w:val="20"/>
        </w:rPr>
        <w:t xml:space="preserve"> </w:t>
      </w:r>
      <w:r w:rsidR="009A4034">
        <w:rPr>
          <w:i/>
          <w:sz w:val="20"/>
          <w:szCs w:val="20"/>
        </w:rPr>
        <w:t>review</w:t>
      </w:r>
      <w:r w:rsidR="00E06D42" w:rsidRPr="00E06D42">
        <w:rPr>
          <w:i/>
          <w:sz w:val="20"/>
          <w:szCs w:val="20"/>
        </w:rPr>
        <w:t xml:space="preserve"> </w:t>
      </w:r>
      <w:r w:rsidR="00E93D31">
        <w:rPr>
          <w:i/>
          <w:sz w:val="20"/>
          <w:szCs w:val="20"/>
        </w:rPr>
        <w:t>2</w:t>
      </w:r>
      <w:r w:rsidR="00E47B87">
        <w:rPr>
          <w:i/>
          <w:sz w:val="20"/>
          <w:szCs w:val="20"/>
        </w:rPr>
        <w:t>7</w:t>
      </w:r>
      <w:r w:rsidR="00E93D31">
        <w:rPr>
          <w:i/>
          <w:sz w:val="20"/>
          <w:szCs w:val="20"/>
        </w:rPr>
        <w:t>th August</w:t>
      </w:r>
      <w:r w:rsidR="00E06D42" w:rsidRPr="00E06D42">
        <w:rPr>
          <w:i/>
          <w:sz w:val="20"/>
          <w:szCs w:val="20"/>
        </w:rPr>
        <w:t xml:space="preserve"> 20</w:t>
      </w:r>
      <w:r w:rsidR="009B304E">
        <w:rPr>
          <w:i/>
          <w:sz w:val="20"/>
          <w:szCs w:val="20"/>
        </w:rPr>
        <w:t>22</w:t>
      </w:r>
    </w:p>
    <w:p w14:paraId="489F2A79" w14:textId="4E868DC0" w:rsidR="00ED0624" w:rsidRPr="0091721C" w:rsidRDefault="0091721C">
      <w:pPr>
        <w:rPr>
          <w:bCs/>
          <w:sz w:val="32"/>
          <w:szCs w:val="32"/>
        </w:rPr>
      </w:pPr>
      <w:r w:rsidRPr="0091721C">
        <w:rPr>
          <w:bCs/>
          <w:sz w:val="32"/>
          <w:szCs w:val="32"/>
        </w:rPr>
        <w:t>POSITION PAPER</w:t>
      </w:r>
    </w:p>
    <w:p w14:paraId="6E2A8C30" w14:textId="77777777" w:rsidR="00440106" w:rsidRDefault="00440106">
      <w:pPr>
        <w:rPr>
          <w:b/>
          <w:sz w:val="32"/>
          <w:szCs w:val="32"/>
        </w:rPr>
      </w:pPr>
    </w:p>
    <w:p w14:paraId="1D2D4152" w14:textId="5FD7A039" w:rsidR="00A269A5" w:rsidRDefault="006A73D5">
      <w:pPr>
        <w:rPr>
          <w:b/>
          <w:sz w:val="32"/>
          <w:szCs w:val="32"/>
        </w:rPr>
      </w:pPr>
      <w:r>
        <w:rPr>
          <w:b/>
          <w:sz w:val="32"/>
          <w:szCs w:val="32"/>
        </w:rPr>
        <w:t xml:space="preserve">The need to distinguish </w:t>
      </w:r>
      <w:r w:rsidR="00632904">
        <w:rPr>
          <w:b/>
          <w:sz w:val="32"/>
          <w:szCs w:val="32"/>
        </w:rPr>
        <w:t>i</w:t>
      </w:r>
      <w:r w:rsidR="00854F48">
        <w:rPr>
          <w:b/>
          <w:sz w:val="32"/>
          <w:szCs w:val="32"/>
        </w:rPr>
        <w:t xml:space="preserve">ntervention thresholds and </w:t>
      </w:r>
      <w:bookmarkStart w:id="0" w:name="_Hlk104998267"/>
      <w:r w:rsidR="00854F48">
        <w:rPr>
          <w:b/>
          <w:sz w:val="32"/>
          <w:szCs w:val="32"/>
        </w:rPr>
        <w:t>d</w:t>
      </w:r>
      <w:r w:rsidR="00E06D42" w:rsidRPr="00E06D42">
        <w:rPr>
          <w:b/>
          <w:sz w:val="32"/>
          <w:szCs w:val="32"/>
        </w:rPr>
        <w:t>iagnos</w:t>
      </w:r>
      <w:r w:rsidR="00632904">
        <w:rPr>
          <w:b/>
          <w:sz w:val="32"/>
          <w:szCs w:val="32"/>
        </w:rPr>
        <w:t>tic</w:t>
      </w:r>
      <w:r w:rsidR="00E06D42" w:rsidRPr="00E06D42">
        <w:rPr>
          <w:b/>
          <w:sz w:val="32"/>
          <w:szCs w:val="32"/>
        </w:rPr>
        <w:t xml:space="preserve"> </w:t>
      </w:r>
      <w:r w:rsidR="00632904">
        <w:rPr>
          <w:b/>
          <w:sz w:val="32"/>
          <w:szCs w:val="32"/>
        </w:rPr>
        <w:t>thresholds</w:t>
      </w:r>
      <w:bookmarkEnd w:id="0"/>
      <w:r w:rsidR="00E06D42" w:rsidRPr="00E06D42">
        <w:rPr>
          <w:b/>
          <w:sz w:val="32"/>
          <w:szCs w:val="32"/>
        </w:rPr>
        <w:t xml:space="preserve"> </w:t>
      </w:r>
      <w:r w:rsidR="007F127B">
        <w:rPr>
          <w:b/>
          <w:sz w:val="32"/>
          <w:szCs w:val="32"/>
        </w:rPr>
        <w:t xml:space="preserve">in the management of </w:t>
      </w:r>
      <w:r w:rsidR="00E06D42" w:rsidRPr="00E06D42">
        <w:rPr>
          <w:b/>
          <w:sz w:val="32"/>
          <w:szCs w:val="32"/>
        </w:rPr>
        <w:t>osteoporosis</w:t>
      </w:r>
    </w:p>
    <w:p w14:paraId="30A1C058" w14:textId="77777777" w:rsidR="005D67B1" w:rsidRDefault="005D67B1">
      <w:pPr>
        <w:rPr>
          <w:b/>
          <w:sz w:val="32"/>
          <w:szCs w:val="32"/>
        </w:rPr>
      </w:pPr>
    </w:p>
    <w:p w14:paraId="61232C80" w14:textId="273BCC5F" w:rsidR="005D67B1" w:rsidRDefault="005D67B1">
      <w:pPr>
        <w:rPr>
          <w:sz w:val="28"/>
          <w:szCs w:val="28"/>
          <w:vertAlign w:val="superscript"/>
        </w:rPr>
      </w:pPr>
      <w:r w:rsidRPr="005D67B1">
        <w:rPr>
          <w:sz w:val="28"/>
          <w:szCs w:val="28"/>
        </w:rPr>
        <w:t xml:space="preserve">John A Kanis, Eugene V McCloskey, Nicholas C Harvey, </w:t>
      </w:r>
      <w:r w:rsidR="00664F3A">
        <w:rPr>
          <w:sz w:val="28"/>
          <w:szCs w:val="28"/>
        </w:rPr>
        <w:t>C</w:t>
      </w:r>
      <w:r w:rsidR="00075362">
        <w:rPr>
          <w:sz w:val="28"/>
          <w:szCs w:val="28"/>
        </w:rPr>
        <w:t>yrus</w:t>
      </w:r>
      <w:r w:rsidR="00664F3A">
        <w:rPr>
          <w:sz w:val="28"/>
          <w:szCs w:val="28"/>
        </w:rPr>
        <w:t xml:space="preserve"> Cooper, </w:t>
      </w:r>
      <w:r w:rsidR="00B316C8">
        <w:rPr>
          <w:sz w:val="28"/>
          <w:szCs w:val="28"/>
        </w:rPr>
        <w:t>Rene Rizzoli</w:t>
      </w:r>
      <w:r w:rsidR="00B316C8" w:rsidRPr="009A3A66">
        <w:rPr>
          <w:sz w:val="28"/>
          <w:szCs w:val="28"/>
        </w:rPr>
        <w:t>,</w:t>
      </w:r>
      <w:r w:rsidR="00B015A1" w:rsidRPr="009A3A66">
        <w:rPr>
          <w:sz w:val="28"/>
          <w:szCs w:val="28"/>
        </w:rPr>
        <w:t xml:space="preserve"> Bess Dawson-Hughes</w:t>
      </w:r>
      <w:r w:rsidR="00ED2315" w:rsidRPr="009A3A66">
        <w:rPr>
          <w:sz w:val="28"/>
          <w:szCs w:val="28"/>
        </w:rPr>
        <w:t>,</w:t>
      </w:r>
      <w:r w:rsidR="00ED2315">
        <w:rPr>
          <w:sz w:val="28"/>
          <w:szCs w:val="28"/>
        </w:rPr>
        <w:t xml:space="preserve"> </w:t>
      </w:r>
      <w:r w:rsidR="00143236" w:rsidRPr="00143236">
        <w:rPr>
          <w:sz w:val="28"/>
          <w:szCs w:val="28"/>
        </w:rPr>
        <w:t>Stefania Maggi</w:t>
      </w:r>
      <w:r w:rsidR="002E2BC7">
        <w:rPr>
          <w:sz w:val="28"/>
          <w:szCs w:val="28"/>
        </w:rPr>
        <w:t>,</w:t>
      </w:r>
      <w:r w:rsidR="00143236" w:rsidRPr="00143236">
        <w:rPr>
          <w:sz w:val="28"/>
          <w:szCs w:val="28"/>
        </w:rPr>
        <w:t xml:space="preserve"> </w:t>
      </w:r>
      <w:r w:rsidR="00ED2315" w:rsidRPr="00ED2315">
        <w:rPr>
          <w:sz w:val="28"/>
          <w:szCs w:val="28"/>
        </w:rPr>
        <w:t>Jean-Yves Reginster</w:t>
      </w:r>
    </w:p>
    <w:p w14:paraId="6B05C52D" w14:textId="1F4DB7C8" w:rsidR="005D67B1" w:rsidRDefault="005D67B1"/>
    <w:p w14:paraId="4DD80266" w14:textId="77777777" w:rsidR="00F76DEA" w:rsidRDefault="00F76DEA"/>
    <w:tbl>
      <w:tblPr>
        <w:tblStyle w:val="TableGrid"/>
        <w:tblW w:w="0" w:type="auto"/>
        <w:tblLook w:val="04A0" w:firstRow="1" w:lastRow="0" w:firstColumn="1" w:lastColumn="0" w:noHBand="0" w:noVBand="1"/>
      </w:tblPr>
      <w:tblGrid>
        <w:gridCol w:w="1838"/>
        <w:gridCol w:w="4172"/>
        <w:gridCol w:w="3006"/>
      </w:tblGrid>
      <w:tr w:rsidR="00D75577" w:rsidRPr="00D75577" w14:paraId="56B9D6D9" w14:textId="77777777" w:rsidTr="00C8048A">
        <w:tc>
          <w:tcPr>
            <w:tcW w:w="1838" w:type="dxa"/>
          </w:tcPr>
          <w:p w14:paraId="4721F3D2" w14:textId="4F120CD7" w:rsidR="00D75577" w:rsidRPr="00F76DEA" w:rsidRDefault="00F76DEA">
            <w:pPr>
              <w:rPr>
                <w:b/>
              </w:rPr>
            </w:pPr>
            <w:r w:rsidRPr="00F76DEA">
              <w:rPr>
                <w:b/>
              </w:rPr>
              <w:t>Author</w:t>
            </w:r>
          </w:p>
        </w:tc>
        <w:tc>
          <w:tcPr>
            <w:tcW w:w="4172" w:type="dxa"/>
          </w:tcPr>
          <w:p w14:paraId="7C93A6D6" w14:textId="58490621" w:rsidR="00D75577" w:rsidRPr="00F76DEA" w:rsidRDefault="00F76DEA">
            <w:pPr>
              <w:rPr>
                <w:b/>
              </w:rPr>
            </w:pPr>
            <w:proofErr w:type="spellStart"/>
            <w:r w:rsidRPr="00F76DEA">
              <w:rPr>
                <w:b/>
              </w:rPr>
              <w:t>Affilliation</w:t>
            </w:r>
            <w:proofErr w:type="spellEnd"/>
          </w:p>
        </w:tc>
        <w:tc>
          <w:tcPr>
            <w:tcW w:w="3006" w:type="dxa"/>
          </w:tcPr>
          <w:p w14:paraId="477460FE" w14:textId="3AE93333" w:rsidR="00D75577" w:rsidRPr="00F76DEA" w:rsidRDefault="00F76DEA">
            <w:pPr>
              <w:rPr>
                <w:b/>
              </w:rPr>
            </w:pPr>
            <w:r w:rsidRPr="00F76DEA">
              <w:rPr>
                <w:b/>
              </w:rPr>
              <w:t>Contact</w:t>
            </w:r>
          </w:p>
        </w:tc>
      </w:tr>
      <w:tr w:rsidR="00AD21D3" w:rsidRPr="00D75577" w14:paraId="1F43001B" w14:textId="77777777" w:rsidTr="00C8048A">
        <w:trPr>
          <w:trHeight w:val="402"/>
        </w:trPr>
        <w:tc>
          <w:tcPr>
            <w:tcW w:w="1838" w:type="dxa"/>
            <w:vMerge w:val="restart"/>
          </w:tcPr>
          <w:p w14:paraId="32743639" w14:textId="0A714DFD" w:rsidR="00AD21D3" w:rsidRPr="00D75577" w:rsidRDefault="00AD21D3">
            <w:pPr>
              <w:rPr>
                <w:bCs/>
              </w:rPr>
            </w:pPr>
            <w:r w:rsidRPr="00D75577">
              <w:rPr>
                <w:bCs/>
              </w:rPr>
              <w:t>Kanis</w:t>
            </w:r>
            <w:r>
              <w:rPr>
                <w:bCs/>
              </w:rPr>
              <w:t xml:space="preserve"> JA</w:t>
            </w:r>
          </w:p>
        </w:tc>
        <w:tc>
          <w:tcPr>
            <w:tcW w:w="4172" w:type="dxa"/>
          </w:tcPr>
          <w:p w14:paraId="2F50F80F" w14:textId="6BF6CFB8" w:rsidR="00AD21D3" w:rsidRPr="00D75577" w:rsidRDefault="00AD21D3">
            <w:pPr>
              <w:rPr>
                <w:bCs/>
              </w:rPr>
            </w:pPr>
            <w:r w:rsidRPr="00B3287F">
              <w:rPr>
                <w:bCs/>
              </w:rPr>
              <w:t>Centre for Metabolic Bone Diseases, University of Sheffield Medical School, United Kingdom</w:t>
            </w:r>
          </w:p>
        </w:tc>
        <w:tc>
          <w:tcPr>
            <w:tcW w:w="3006" w:type="dxa"/>
            <w:vMerge w:val="restart"/>
          </w:tcPr>
          <w:p w14:paraId="504918A3" w14:textId="6BB80D20" w:rsidR="00AD21D3" w:rsidRPr="00D75577" w:rsidRDefault="00FF7F02">
            <w:pPr>
              <w:rPr>
                <w:bCs/>
              </w:rPr>
            </w:pPr>
            <w:hyperlink r:id="rId7" w:history="1">
              <w:r w:rsidR="00AD21D3" w:rsidRPr="00E65B87">
                <w:rPr>
                  <w:rStyle w:val="Hyperlink"/>
                </w:rPr>
                <w:t>w.j.pontefract@sheff.ac.uk</w:t>
              </w:r>
            </w:hyperlink>
          </w:p>
        </w:tc>
      </w:tr>
      <w:tr w:rsidR="00AD21D3" w:rsidRPr="00D75577" w14:paraId="522894B8" w14:textId="77777777" w:rsidTr="00C8048A">
        <w:trPr>
          <w:trHeight w:val="401"/>
        </w:trPr>
        <w:tc>
          <w:tcPr>
            <w:tcW w:w="1838" w:type="dxa"/>
            <w:vMerge/>
          </w:tcPr>
          <w:p w14:paraId="7BAE5A8F" w14:textId="77777777" w:rsidR="00AD21D3" w:rsidRPr="00D75577" w:rsidRDefault="00AD21D3">
            <w:pPr>
              <w:rPr>
                <w:bCs/>
              </w:rPr>
            </w:pPr>
          </w:p>
        </w:tc>
        <w:tc>
          <w:tcPr>
            <w:tcW w:w="4172" w:type="dxa"/>
          </w:tcPr>
          <w:p w14:paraId="6AD5191B" w14:textId="16967587" w:rsidR="00AD21D3" w:rsidRPr="00B3287F" w:rsidRDefault="006505A8" w:rsidP="000E22C6">
            <w:pPr>
              <w:rPr>
                <w:bCs/>
              </w:rPr>
            </w:pPr>
            <w:r w:rsidRPr="006505A8">
              <w:rPr>
                <w:bCs/>
              </w:rPr>
              <w:t>Mary McKillop Institute for Health Research, Australian Catholic</w:t>
            </w:r>
            <w:r w:rsidR="000E22C6">
              <w:rPr>
                <w:bCs/>
              </w:rPr>
              <w:t xml:space="preserve"> </w:t>
            </w:r>
            <w:r w:rsidRPr="006505A8">
              <w:rPr>
                <w:bCs/>
              </w:rPr>
              <w:t>University, Melbourne, Australia</w:t>
            </w:r>
          </w:p>
        </w:tc>
        <w:tc>
          <w:tcPr>
            <w:tcW w:w="3006" w:type="dxa"/>
            <w:vMerge/>
          </w:tcPr>
          <w:p w14:paraId="0C311613" w14:textId="77777777" w:rsidR="00AD21D3" w:rsidRDefault="00AD21D3"/>
        </w:tc>
      </w:tr>
      <w:tr w:rsidR="00A027BE" w:rsidRPr="00D75577" w14:paraId="3030F272" w14:textId="77777777" w:rsidTr="00C8048A">
        <w:trPr>
          <w:trHeight w:val="135"/>
        </w:trPr>
        <w:tc>
          <w:tcPr>
            <w:tcW w:w="1838" w:type="dxa"/>
            <w:vMerge w:val="restart"/>
          </w:tcPr>
          <w:p w14:paraId="6867CBF2" w14:textId="01503445" w:rsidR="00A027BE" w:rsidRPr="00D75577" w:rsidRDefault="00A027BE">
            <w:pPr>
              <w:rPr>
                <w:bCs/>
              </w:rPr>
            </w:pPr>
            <w:r w:rsidRPr="00D75577">
              <w:rPr>
                <w:bCs/>
              </w:rPr>
              <w:t>McCloskey</w:t>
            </w:r>
            <w:r>
              <w:rPr>
                <w:bCs/>
              </w:rPr>
              <w:t xml:space="preserve"> EV</w:t>
            </w:r>
          </w:p>
        </w:tc>
        <w:tc>
          <w:tcPr>
            <w:tcW w:w="4172" w:type="dxa"/>
          </w:tcPr>
          <w:p w14:paraId="7107EF55" w14:textId="30E06752" w:rsidR="00A027BE" w:rsidRPr="00D75577" w:rsidRDefault="00606F8B">
            <w:pPr>
              <w:rPr>
                <w:bCs/>
              </w:rPr>
            </w:pPr>
            <w:r w:rsidRPr="00B3287F">
              <w:rPr>
                <w:bCs/>
              </w:rPr>
              <w:t>Centre for Metabolic Bone Diseases, University of Sheffield Medical School, United Kingdom</w:t>
            </w:r>
          </w:p>
        </w:tc>
        <w:tc>
          <w:tcPr>
            <w:tcW w:w="3006" w:type="dxa"/>
            <w:vMerge w:val="restart"/>
          </w:tcPr>
          <w:p w14:paraId="759CD23F" w14:textId="7DC5F6CD" w:rsidR="00A027BE" w:rsidRDefault="00FF7F02">
            <w:pPr>
              <w:rPr>
                <w:bCs/>
              </w:rPr>
            </w:pPr>
            <w:hyperlink r:id="rId8" w:history="1">
              <w:r w:rsidR="001A2E14" w:rsidRPr="008A6C91">
                <w:rPr>
                  <w:rStyle w:val="Hyperlink"/>
                  <w:bCs/>
                </w:rPr>
                <w:t>e.v.mccloskey@sheffield.ac.uk</w:t>
              </w:r>
            </w:hyperlink>
          </w:p>
          <w:p w14:paraId="587589B6" w14:textId="5FA26F83" w:rsidR="001A2E14" w:rsidRPr="00D75577" w:rsidRDefault="001A2E14">
            <w:pPr>
              <w:rPr>
                <w:bCs/>
              </w:rPr>
            </w:pPr>
          </w:p>
        </w:tc>
      </w:tr>
      <w:tr w:rsidR="00A027BE" w:rsidRPr="00D75577" w14:paraId="18DECEB4" w14:textId="77777777" w:rsidTr="00C8048A">
        <w:trPr>
          <w:trHeight w:val="135"/>
        </w:trPr>
        <w:tc>
          <w:tcPr>
            <w:tcW w:w="1838" w:type="dxa"/>
            <w:vMerge/>
          </w:tcPr>
          <w:p w14:paraId="4423B4B9" w14:textId="77777777" w:rsidR="00A027BE" w:rsidRPr="00D75577" w:rsidRDefault="00A027BE">
            <w:pPr>
              <w:rPr>
                <w:bCs/>
              </w:rPr>
            </w:pPr>
          </w:p>
        </w:tc>
        <w:tc>
          <w:tcPr>
            <w:tcW w:w="4172" w:type="dxa"/>
          </w:tcPr>
          <w:p w14:paraId="24FBB710" w14:textId="77777777" w:rsidR="00606F8B" w:rsidRPr="00606F8B" w:rsidRDefault="00606F8B" w:rsidP="00606F8B">
            <w:pPr>
              <w:rPr>
                <w:bCs/>
              </w:rPr>
            </w:pPr>
            <w:r w:rsidRPr="00606F8B">
              <w:rPr>
                <w:bCs/>
              </w:rPr>
              <w:t>Centre for Integrated research in Musculoskeletal Ageing (CIMA),</w:t>
            </w:r>
          </w:p>
          <w:p w14:paraId="67AAB28F" w14:textId="460D32D0" w:rsidR="00606F8B" w:rsidRPr="00606F8B" w:rsidRDefault="00606F8B" w:rsidP="00606F8B">
            <w:pPr>
              <w:rPr>
                <w:bCs/>
              </w:rPr>
            </w:pPr>
            <w:r w:rsidRPr="00606F8B">
              <w:rPr>
                <w:bCs/>
              </w:rPr>
              <w:t xml:space="preserve">Mellanby Centre for </w:t>
            </w:r>
            <w:r w:rsidR="00975728">
              <w:rPr>
                <w:bCs/>
              </w:rPr>
              <w:t>Musculoskeletal</w:t>
            </w:r>
            <w:r w:rsidR="00975728" w:rsidRPr="00606F8B">
              <w:rPr>
                <w:bCs/>
              </w:rPr>
              <w:t xml:space="preserve"> </w:t>
            </w:r>
            <w:r w:rsidRPr="00606F8B">
              <w:rPr>
                <w:bCs/>
              </w:rPr>
              <w:t>Research, University of Sheffield,</w:t>
            </w:r>
          </w:p>
          <w:p w14:paraId="28D8F09B" w14:textId="1A90F84F" w:rsidR="00A027BE" w:rsidRPr="00D75577" w:rsidRDefault="00606F8B" w:rsidP="00606F8B">
            <w:pPr>
              <w:rPr>
                <w:bCs/>
              </w:rPr>
            </w:pPr>
            <w:r w:rsidRPr="00606F8B">
              <w:rPr>
                <w:bCs/>
              </w:rPr>
              <w:t>Sheffield, UK</w:t>
            </w:r>
          </w:p>
        </w:tc>
        <w:tc>
          <w:tcPr>
            <w:tcW w:w="3006" w:type="dxa"/>
            <w:vMerge/>
          </w:tcPr>
          <w:p w14:paraId="25932428" w14:textId="77777777" w:rsidR="00A027BE" w:rsidRPr="00D75577" w:rsidRDefault="00A027BE">
            <w:pPr>
              <w:rPr>
                <w:bCs/>
              </w:rPr>
            </w:pPr>
          </w:p>
        </w:tc>
      </w:tr>
      <w:tr w:rsidR="00873074" w:rsidRPr="00D75577" w14:paraId="5E953C23" w14:textId="77777777" w:rsidTr="00C8048A">
        <w:trPr>
          <w:trHeight w:val="135"/>
        </w:trPr>
        <w:tc>
          <w:tcPr>
            <w:tcW w:w="1838" w:type="dxa"/>
            <w:vMerge w:val="restart"/>
          </w:tcPr>
          <w:p w14:paraId="60D1C565" w14:textId="7F59DC29" w:rsidR="00873074" w:rsidRPr="00D75577" w:rsidRDefault="00873074" w:rsidP="00873074">
            <w:pPr>
              <w:rPr>
                <w:bCs/>
              </w:rPr>
            </w:pPr>
            <w:r>
              <w:rPr>
                <w:bCs/>
              </w:rPr>
              <w:t>Harvey NC</w:t>
            </w:r>
          </w:p>
        </w:tc>
        <w:tc>
          <w:tcPr>
            <w:tcW w:w="4172" w:type="dxa"/>
          </w:tcPr>
          <w:p w14:paraId="2AD90691" w14:textId="5CA5A981" w:rsidR="00873074" w:rsidRPr="00203BB0" w:rsidRDefault="00873074" w:rsidP="00873074">
            <w:pPr>
              <w:rPr>
                <w:bCs/>
              </w:rPr>
            </w:pPr>
            <w:r w:rsidRPr="00203BB0">
              <w:rPr>
                <w:bCs/>
              </w:rPr>
              <w:t xml:space="preserve">MRC Lifecourse Epidemiology </w:t>
            </w:r>
            <w:r w:rsidR="00975728">
              <w:rPr>
                <w:bCs/>
              </w:rPr>
              <w:t>Centre</w:t>
            </w:r>
            <w:r w:rsidRPr="00203BB0">
              <w:rPr>
                <w:bCs/>
              </w:rPr>
              <w:t>, University of Southampton,</w:t>
            </w:r>
          </w:p>
          <w:p w14:paraId="6A8EA68E" w14:textId="62DDAA76" w:rsidR="00873074" w:rsidRPr="00D75577" w:rsidRDefault="00873074" w:rsidP="00873074">
            <w:pPr>
              <w:rPr>
                <w:bCs/>
              </w:rPr>
            </w:pPr>
            <w:r w:rsidRPr="00203BB0">
              <w:rPr>
                <w:bCs/>
              </w:rPr>
              <w:t>Southampton SO16 6YD, UK</w:t>
            </w:r>
          </w:p>
        </w:tc>
        <w:tc>
          <w:tcPr>
            <w:tcW w:w="3006" w:type="dxa"/>
            <w:vMerge w:val="restart"/>
          </w:tcPr>
          <w:p w14:paraId="786CF029" w14:textId="14F04E49" w:rsidR="00873074" w:rsidRDefault="00FF7F02" w:rsidP="00873074">
            <w:pPr>
              <w:rPr>
                <w:bCs/>
              </w:rPr>
            </w:pPr>
            <w:hyperlink r:id="rId9" w:history="1">
              <w:r w:rsidR="00894684" w:rsidRPr="008A6C91">
                <w:rPr>
                  <w:rStyle w:val="Hyperlink"/>
                  <w:bCs/>
                </w:rPr>
                <w:t>nch@mrc.soton.ac.uk</w:t>
              </w:r>
            </w:hyperlink>
          </w:p>
          <w:p w14:paraId="7D9880E1" w14:textId="72EFE68F" w:rsidR="00894684" w:rsidRPr="00D75577" w:rsidRDefault="00894684" w:rsidP="00873074">
            <w:pPr>
              <w:rPr>
                <w:bCs/>
              </w:rPr>
            </w:pPr>
          </w:p>
        </w:tc>
      </w:tr>
      <w:tr w:rsidR="00873074" w:rsidRPr="00D75577" w14:paraId="1F313160" w14:textId="77777777" w:rsidTr="00C8048A">
        <w:trPr>
          <w:trHeight w:val="135"/>
        </w:trPr>
        <w:tc>
          <w:tcPr>
            <w:tcW w:w="1838" w:type="dxa"/>
            <w:vMerge/>
          </w:tcPr>
          <w:p w14:paraId="291BEF48" w14:textId="77777777" w:rsidR="00873074" w:rsidRDefault="00873074" w:rsidP="00873074">
            <w:pPr>
              <w:rPr>
                <w:bCs/>
              </w:rPr>
            </w:pPr>
          </w:p>
        </w:tc>
        <w:tc>
          <w:tcPr>
            <w:tcW w:w="4172" w:type="dxa"/>
          </w:tcPr>
          <w:p w14:paraId="1CBEF39D" w14:textId="7533C02E" w:rsidR="00873074" w:rsidRPr="006D7C51" w:rsidRDefault="00873074" w:rsidP="00873074">
            <w:pPr>
              <w:rPr>
                <w:bCs/>
              </w:rPr>
            </w:pPr>
            <w:r w:rsidRPr="006D7C51">
              <w:rPr>
                <w:bCs/>
              </w:rPr>
              <w:t>NIHR Southampton Biomedical Research Centre, University of</w:t>
            </w:r>
            <w:r w:rsidR="000E22C6">
              <w:rPr>
                <w:bCs/>
              </w:rPr>
              <w:t xml:space="preserve"> </w:t>
            </w:r>
            <w:proofErr w:type="gramStart"/>
            <w:r w:rsidRPr="006D7C51">
              <w:rPr>
                <w:bCs/>
              </w:rPr>
              <w:t>Southampton</w:t>
            </w:r>
            <w:proofErr w:type="gramEnd"/>
            <w:r w:rsidRPr="006D7C51">
              <w:rPr>
                <w:bCs/>
              </w:rPr>
              <w:t xml:space="preserve"> and University Hospital Southampton NHS</w:t>
            </w:r>
          </w:p>
          <w:p w14:paraId="2FB75D72" w14:textId="64949717" w:rsidR="00873074" w:rsidRPr="00D75577" w:rsidRDefault="00873074" w:rsidP="00873074">
            <w:pPr>
              <w:rPr>
                <w:bCs/>
              </w:rPr>
            </w:pPr>
            <w:r w:rsidRPr="006D7C51">
              <w:rPr>
                <w:bCs/>
              </w:rPr>
              <w:t xml:space="preserve">Foundation Trust, </w:t>
            </w:r>
            <w:proofErr w:type="spellStart"/>
            <w:r w:rsidRPr="006D7C51">
              <w:rPr>
                <w:bCs/>
              </w:rPr>
              <w:t>Tremona</w:t>
            </w:r>
            <w:proofErr w:type="spellEnd"/>
            <w:r w:rsidRPr="006D7C51">
              <w:rPr>
                <w:bCs/>
              </w:rPr>
              <w:t xml:space="preserve"> Road, Southampton, UK</w:t>
            </w:r>
          </w:p>
        </w:tc>
        <w:tc>
          <w:tcPr>
            <w:tcW w:w="3006" w:type="dxa"/>
            <w:vMerge/>
          </w:tcPr>
          <w:p w14:paraId="2888B269" w14:textId="77777777" w:rsidR="00873074" w:rsidRPr="00D75577" w:rsidRDefault="00873074" w:rsidP="00873074">
            <w:pPr>
              <w:rPr>
                <w:bCs/>
              </w:rPr>
            </w:pPr>
          </w:p>
        </w:tc>
      </w:tr>
      <w:tr w:rsidR="004E2890" w:rsidRPr="00D75577" w14:paraId="66C45E51" w14:textId="77777777" w:rsidTr="00C8048A">
        <w:trPr>
          <w:trHeight w:val="90"/>
        </w:trPr>
        <w:tc>
          <w:tcPr>
            <w:tcW w:w="1838" w:type="dxa"/>
            <w:vMerge w:val="restart"/>
          </w:tcPr>
          <w:p w14:paraId="1E30E30F" w14:textId="1099080A" w:rsidR="004E2890" w:rsidRPr="00D75577" w:rsidRDefault="004E2890">
            <w:pPr>
              <w:rPr>
                <w:bCs/>
              </w:rPr>
            </w:pPr>
            <w:r>
              <w:rPr>
                <w:bCs/>
              </w:rPr>
              <w:t>Cooper C</w:t>
            </w:r>
          </w:p>
        </w:tc>
        <w:tc>
          <w:tcPr>
            <w:tcW w:w="4172" w:type="dxa"/>
          </w:tcPr>
          <w:p w14:paraId="57E0AD5B" w14:textId="4B9CFF6A" w:rsidR="00203BB0" w:rsidRPr="00203BB0" w:rsidRDefault="00203BB0" w:rsidP="00203BB0">
            <w:pPr>
              <w:rPr>
                <w:bCs/>
              </w:rPr>
            </w:pPr>
            <w:r w:rsidRPr="00203BB0">
              <w:rPr>
                <w:bCs/>
              </w:rPr>
              <w:t xml:space="preserve">MRC Lifecourse Epidemiology </w:t>
            </w:r>
            <w:r w:rsidR="00975728">
              <w:rPr>
                <w:bCs/>
              </w:rPr>
              <w:t>Centre</w:t>
            </w:r>
            <w:r w:rsidRPr="00203BB0">
              <w:rPr>
                <w:bCs/>
              </w:rPr>
              <w:t>, University of Southampton,</w:t>
            </w:r>
          </w:p>
          <w:p w14:paraId="54836FD8" w14:textId="5D60A86F" w:rsidR="004E2890" w:rsidRPr="00D75577" w:rsidRDefault="00203BB0" w:rsidP="00203BB0">
            <w:pPr>
              <w:rPr>
                <w:bCs/>
              </w:rPr>
            </w:pPr>
            <w:r w:rsidRPr="00203BB0">
              <w:rPr>
                <w:bCs/>
              </w:rPr>
              <w:t>Southampton, UK</w:t>
            </w:r>
          </w:p>
        </w:tc>
        <w:tc>
          <w:tcPr>
            <w:tcW w:w="3006" w:type="dxa"/>
            <w:vMerge w:val="restart"/>
          </w:tcPr>
          <w:p w14:paraId="7AC63436" w14:textId="7B7E2E34" w:rsidR="004E2890" w:rsidRDefault="00FF7F02">
            <w:pPr>
              <w:rPr>
                <w:bCs/>
              </w:rPr>
            </w:pPr>
            <w:hyperlink r:id="rId10" w:history="1">
              <w:r w:rsidR="00AB0E8C" w:rsidRPr="008A6C91">
                <w:rPr>
                  <w:rStyle w:val="Hyperlink"/>
                  <w:bCs/>
                </w:rPr>
                <w:t>cc@mrc.soton.ac.uk</w:t>
              </w:r>
            </w:hyperlink>
          </w:p>
          <w:p w14:paraId="5166908D" w14:textId="7404E4B0" w:rsidR="00AB0E8C" w:rsidRPr="00D75577" w:rsidRDefault="00AB0E8C">
            <w:pPr>
              <w:rPr>
                <w:bCs/>
              </w:rPr>
            </w:pPr>
          </w:p>
        </w:tc>
      </w:tr>
      <w:tr w:rsidR="004E2890" w:rsidRPr="00D75577" w14:paraId="785A3F64" w14:textId="77777777" w:rsidTr="00C8048A">
        <w:trPr>
          <w:trHeight w:val="90"/>
        </w:trPr>
        <w:tc>
          <w:tcPr>
            <w:tcW w:w="1838" w:type="dxa"/>
            <w:vMerge/>
          </w:tcPr>
          <w:p w14:paraId="3B5AB754" w14:textId="77777777" w:rsidR="004E2890" w:rsidRDefault="004E2890">
            <w:pPr>
              <w:rPr>
                <w:bCs/>
              </w:rPr>
            </w:pPr>
          </w:p>
        </w:tc>
        <w:tc>
          <w:tcPr>
            <w:tcW w:w="4172" w:type="dxa"/>
          </w:tcPr>
          <w:p w14:paraId="608FC6FD" w14:textId="5BA8FC58" w:rsidR="006D7C51" w:rsidRPr="006D7C51" w:rsidRDefault="006D7C51" w:rsidP="006D7C51">
            <w:pPr>
              <w:rPr>
                <w:bCs/>
              </w:rPr>
            </w:pPr>
            <w:r w:rsidRPr="006D7C51">
              <w:rPr>
                <w:bCs/>
              </w:rPr>
              <w:t>NIHR Southampton Biomedical Research Centre, University of</w:t>
            </w:r>
            <w:r w:rsidR="00F145BD">
              <w:rPr>
                <w:bCs/>
              </w:rPr>
              <w:t xml:space="preserve"> </w:t>
            </w:r>
            <w:proofErr w:type="gramStart"/>
            <w:r w:rsidRPr="006D7C51">
              <w:rPr>
                <w:bCs/>
              </w:rPr>
              <w:t>Southampton</w:t>
            </w:r>
            <w:proofErr w:type="gramEnd"/>
            <w:r w:rsidRPr="006D7C51">
              <w:rPr>
                <w:bCs/>
              </w:rPr>
              <w:t xml:space="preserve"> and University Hospital Southampton NHS</w:t>
            </w:r>
          </w:p>
          <w:p w14:paraId="2237DB8C" w14:textId="06D1B0DB" w:rsidR="004E2890" w:rsidRDefault="006D7C51" w:rsidP="006D7C51">
            <w:pPr>
              <w:rPr>
                <w:bCs/>
              </w:rPr>
            </w:pPr>
            <w:r w:rsidRPr="006D7C51">
              <w:rPr>
                <w:bCs/>
              </w:rPr>
              <w:t xml:space="preserve">Foundation Trust, </w:t>
            </w:r>
            <w:proofErr w:type="spellStart"/>
            <w:r w:rsidRPr="006D7C51">
              <w:rPr>
                <w:bCs/>
              </w:rPr>
              <w:t>Tremona</w:t>
            </w:r>
            <w:proofErr w:type="spellEnd"/>
            <w:r w:rsidRPr="006D7C51">
              <w:rPr>
                <w:bCs/>
              </w:rPr>
              <w:t xml:space="preserve"> Road, Southampton, UK</w:t>
            </w:r>
          </w:p>
        </w:tc>
        <w:tc>
          <w:tcPr>
            <w:tcW w:w="3006" w:type="dxa"/>
            <w:vMerge/>
          </w:tcPr>
          <w:p w14:paraId="53EE4F04" w14:textId="77777777" w:rsidR="004E2890" w:rsidRPr="00D75577" w:rsidRDefault="004E2890">
            <w:pPr>
              <w:rPr>
                <w:bCs/>
              </w:rPr>
            </w:pPr>
          </w:p>
        </w:tc>
      </w:tr>
      <w:tr w:rsidR="004E2890" w:rsidRPr="00D75577" w14:paraId="38F5FD6F" w14:textId="77777777" w:rsidTr="00C8048A">
        <w:trPr>
          <w:trHeight w:val="90"/>
        </w:trPr>
        <w:tc>
          <w:tcPr>
            <w:tcW w:w="1838" w:type="dxa"/>
            <w:vMerge/>
          </w:tcPr>
          <w:p w14:paraId="393ED198" w14:textId="77777777" w:rsidR="004E2890" w:rsidRDefault="004E2890">
            <w:pPr>
              <w:rPr>
                <w:bCs/>
              </w:rPr>
            </w:pPr>
          </w:p>
        </w:tc>
        <w:tc>
          <w:tcPr>
            <w:tcW w:w="4172" w:type="dxa"/>
          </w:tcPr>
          <w:p w14:paraId="39FB8E35" w14:textId="4B9D5869" w:rsidR="004E2890" w:rsidRDefault="008F1FC3" w:rsidP="002122AA">
            <w:pPr>
              <w:rPr>
                <w:bCs/>
              </w:rPr>
            </w:pPr>
            <w:r w:rsidRPr="008F1FC3">
              <w:rPr>
                <w:bCs/>
              </w:rPr>
              <w:t>NIHR Oxford Biomedical Research Centre, University of Oxford,</w:t>
            </w:r>
            <w:r w:rsidR="002122AA">
              <w:rPr>
                <w:bCs/>
              </w:rPr>
              <w:t xml:space="preserve"> </w:t>
            </w:r>
            <w:r w:rsidRPr="008F1FC3">
              <w:rPr>
                <w:bCs/>
              </w:rPr>
              <w:t>Oxford, UK</w:t>
            </w:r>
          </w:p>
        </w:tc>
        <w:tc>
          <w:tcPr>
            <w:tcW w:w="3006" w:type="dxa"/>
            <w:vMerge/>
          </w:tcPr>
          <w:p w14:paraId="028B66DE" w14:textId="77777777" w:rsidR="004E2890" w:rsidRPr="00D75577" w:rsidRDefault="004E2890">
            <w:pPr>
              <w:rPr>
                <w:bCs/>
              </w:rPr>
            </w:pPr>
          </w:p>
        </w:tc>
      </w:tr>
      <w:tr w:rsidR="00D75577" w:rsidRPr="00D75577" w14:paraId="12413CAC" w14:textId="77777777" w:rsidTr="00C8048A">
        <w:tc>
          <w:tcPr>
            <w:tcW w:w="1838" w:type="dxa"/>
          </w:tcPr>
          <w:p w14:paraId="16633540" w14:textId="466EA1B0" w:rsidR="00D75577" w:rsidRPr="00D75577" w:rsidRDefault="001E4180">
            <w:pPr>
              <w:rPr>
                <w:bCs/>
              </w:rPr>
            </w:pPr>
            <w:r>
              <w:rPr>
                <w:bCs/>
              </w:rPr>
              <w:t>Rizzoli R</w:t>
            </w:r>
          </w:p>
        </w:tc>
        <w:tc>
          <w:tcPr>
            <w:tcW w:w="4172" w:type="dxa"/>
          </w:tcPr>
          <w:p w14:paraId="76FE9A55" w14:textId="58DB8FB2" w:rsidR="00D75577" w:rsidRPr="00D75577" w:rsidRDefault="002F13B5" w:rsidP="002F13B5">
            <w:pPr>
              <w:rPr>
                <w:bCs/>
              </w:rPr>
            </w:pPr>
            <w:r w:rsidRPr="002F13B5">
              <w:rPr>
                <w:bCs/>
              </w:rPr>
              <w:t>Service of Bone Diseases, Geneva University Hospitals</w:t>
            </w:r>
            <w:r>
              <w:rPr>
                <w:bCs/>
              </w:rPr>
              <w:t xml:space="preserve"> </w:t>
            </w:r>
            <w:r w:rsidRPr="002F13B5">
              <w:rPr>
                <w:bCs/>
              </w:rPr>
              <w:t>and Faculty of Medicine, 1211 Geneva 14, Switzerland</w:t>
            </w:r>
          </w:p>
        </w:tc>
        <w:tc>
          <w:tcPr>
            <w:tcW w:w="3006" w:type="dxa"/>
          </w:tcPr>
          <w:p w14:paraId="53D9B3E2" w14:textId="61CB7101" w:rsidR="00D75577" w:rsidRDefault="00FF7F02">
            <w:pPr>
              <w:rPr>
                <w:bCs/>
              </w:rPr>
            </w:pPr>
            <w:hyperlink r:id="rId11" w:history="1">
              <w:r w:rsidR="00AB0E8C" w:rsidRPr="008A6C91">
                <w:rPr>
                  <w:rStyle w:val="Hyperlink"/>
                  <w:bCs/>
                </w:rPr>
                <w:t>rene.rizzoli@unige.ch</w:t>
              </w:r>
            </w:hyperlink>
          </w:p>
          <w:p w14:paraId="2073B707" w14:textId="2822A326" w:rsidR="00AB0E8C" w:rsidRPr="00D75577" w:rsidRDefault="00AB0E8C">
            <w:pPr>
              <w:rPr>
                <w:bCs/>
              </w:rPr>
            </w:pPr>
          </w:p>
        </w:tc>
      </w:tr>
      <w:tr w:rsidR="001F119D" w:rsidRPr="00D75577" w14:paraId="7B697679" w14:textId="77777777" w:rsidTr="00C8048A">
        <w:tc>
          <w:tcPr>
            <w:tcW w:w="1838" w:type="dxa"/>
          </w:tcPr>
          <w:p w14:paraId="21ACB321" w14:textId="77631D91" w:rsidR="001F119D" w:rsidRDefault="001F119D" w:rsidP="001F119D">
            <w:pPr>
              <w:rPr>
                <w:bCs/>
              </w:rPr>
            </w:pPr>
            <w:r>
              <w:rPr>
                <w:bCs/>
              </w:rPr>
              <w:t>Dawson-Hughes B</w:t>
            </w:r>
          </w:p>
        </w:tc>
        <w:tc>
          <w:tcPr>
            <w:tcW w:w="4172" w:type="dxa"/>
          </w:tcPr>
          <w:p w14:paraId="7960C197" w14:textId="30724D05" w:rsidR="001F119D" w:rsidRPr="002F13B5" w:rsidRDefault="001F119D" w:rsidP="001F119D">
            <w:pPr>
              <w:rPr>
                <w:bCs/>
              </w:rPr>
            </w:pPr>
            <w:r w:rsidRPr="004957E4">
              <w:rPr>
                <w:bCs/>
              </w:rPr>
              <w:t>Jean Mayer USDA Human Nutrition Research Center on Aging, Tufts University, Boston, MA, USA</w:t>
            </w:r>
          </w:p>
        </w:tc>
        <w:tc>
          <w:tcPr>
            <w:tcW w:w="3006" w:type="dxa"/>
          </w:tcPr>
          <w:p w14:paraId="2C0190B5" w14:textId="77777777" w:rsidR="001F119D" w:rsidRDefault="00FF7F02" w:rsidP="001F119D">
            <w:pPr>
              <w:rPr>
                <w:bCs/>
              </w:rPr>
            </w:pPr>
            <w:hyperlink r:id="rId12" w:history="1">
              <w:r w:rsidR="001F119D" w:rsidRPr="008A6C91">
                <w:rPr>
                  <w:rStyle w:val="Hyperlink"/>
                  <w:bCs/>
                </w:rPr>
                <w:t>bess.dawson-hughes@tufts.edu</w:t>
              </w:r>
            </w:hyperlink>
          </w:p>
          <w:p w14:paraId="0FEFBE70" w14:textId="77777777" w:rsidR="001F119D" w:rsidRDefault="001F119D" w:rsidP="001F119D">
            <w:pPr>
              <w:rPr>
                <w:bCs/>
              </w:rPr>
            </w:pPr>
          </w:p>
        </w:tc>
      </w:tr>
      <w:tr w:rsidR="00143236" w:rsidRPr="00D75577" w14:paraId="793E9B17" w14:textId="77777777" w:rsidTr="00C8048A">
        <w:tc>
          <w:tcPr>
            <w:tcW w:w="1838" w:type="dxa"/>
          </w:tcPr>
          <w:p w14:paraId="3D38994D" w14:textId="2B0F5B62" w:rsidR="00143236" w:rsidRPr="00143236" w:rsidRDefault="00143236" w:rsidP="001F119D">
            <w:pPr>
              <w:rPr>
                <w:bCs/>
                <w:highlight w:val="yellow"/>
              </w:rPr>
            </w:pPr>
            <w:r w:rsidRPr="00A47307">
              <w:rPr>
                <w:rFonts w:ascii="Calibri" w:eastAsia="Calibri" w:hAnsi="Calibri" w:cs="Times New Roman"/>
              </w:rPr>
              <w:t>Stefania Maggi</w:t>
            </w:r>
          </w:p>
        </w:tc>
        <w:tc>
          <w:tcPr>
            <w:tcW w:w="4172" w:type="dxa"/>
          </w:tcPr>
          <w:p w14:paraId="3F5DF990" w14:textId="33BA2942" w:rsidR="00143236" w:rsidRPr="004957E4" w:rsidRDefault="00206947" w:rsidP="001F119D">
            <w:pPr>
              <w:rPr>
                <w:bCs/>
              </w:rPr>
            </w:pPr>
            <w:r w:rsidRPr="00206947">
              <w:rPr>
                <w:bCs/>
              </w:rPr>
              <w:t>Institute of Neuroscience, Aging Branch, CNR, Padua, Italy.</w:t>
            </w:r>
          </w:p>
        </w:tc>
        <w:tc>
          <w:tcPr>
            <w:tcW w:w="3006" w:type="dxa"/>
          </w:tcPr>
          <w:p w14:paraId="72931974" w14:textId="45BD6912" w:rsidR="00143236" w:rsidRDefault="00FF7F02" w:rsidP="001F119D">
            <w:hyperlink r:id="rId13" w:history="1">
              <w:r w:rsidR="008A176D" w:rsidRPr="00992D77">
                <w:rPr>
                  <w:rStyle w:val="Hyperlink"/>
                </w:rPr>
                <w:t>stefania.maggi@in.cnr.it</w:t>
              </w:r>
            </w:hyperlink>
          </w:p>
          <w:p w14:paraId="133BD3F2" w14:textId="3F85296D" w:rsidR="008A176D" w:rsidRDefault="008A176D" w:rsidP="001F119D"/>
        </w:tc>
      </w:tr>
      <w:tr w:rsidR="00E57A0D" w:rsidRPr="00D75577" w14:paraId="06E1777C" w14:textId="77777777" w:rsidTr="00E57A0D">
        <w:trPr>
          <w:trHeight w:val="928"/>
        </w:trPr>
        <w:tc>
          <w:tcPr>
            <w:tcW w:w="1838" w:type="dxa"/>
            <w:vMerge w:val="restart"/>
          </w:tcPr>
          <w:p w14:paraId="6DF6DFCC" w14:textId="5906D2A3" w:rsidR="00E57A0D" w:rsidRDefault="00E57A0D">
            <w:pPr>
              <w:rPr>
                <w:bCs/>
              </w:rPr>
            </w:pPr>
            <w:r>
              <w:rPr>
                <w:bCs/>
              </w:rPr>
              <w:t>Reginster J-Y</w:t>
            </w:r>
          </w:p>
        </w:tc>
        <w:tc>
          <w:tcPr>
            <w:tcW w:w="4172" w:type="dxa"/>
          </w:tcPr>
          <w:p w14:paraId="32F47AA3" w14:textId="161D8C7C" w:rsidR="00E57A0D" w:rsidRPr="00D75577" w:rsidRDefault="00B36308" w:rsidP="002122AA">
            <w:pPr>
              <w:rPr>
                <w:bCs/>
              </w:rPr>
            </w:pPr>
            <w:r w:rsidRPr="00B36308">
              <w:rPr>
                <w:rFonts w:ascii="Calibri" w:eastAsia="Calibri" w:hAnsi="Calibri" w:cs="Times New Roman"/>
                <w:color w:val="000000"/>
              </w:rPr>
              <w:t>WHO Collaborating Center for Epidemiology of Musculoskeletal Health and Aging</w:t>
            </w:r>
            <w:r w:rsidR="00E57A0D" w:rsidRPr="002122AA">
              <w:rPr>
                <w:bCs/>
              </w:rPr>
              <w:t>, Liège, Belgium</w:t>
            </w:r>
          </w:p>
        </w:tc>
        <w:tc>
          <w:tcPr>
            <w:tcW w:w="3006" w:type="dxa"/>
            <w:vMerge w:val="restart"/>
          </w:tcPr>
          <w:p w14:paraId="7C88CEB7" w14:textId="4566DA3D" w:rsidR="00E57A0D" w:rsidRDefault="00FF7F02">
            <w:pPr>
              <w:rPr>
                <w:bCs/>
              </w:rPr>
            </w:pPr>
            <w:hyperlink r:id="rId14" w:history="1">
              <w:r w:rsidR="00E57A0D" w:rsidRPr="008A6C91">
                <w:rPr>
                  <w:rStyle w:val="Hyperlink"/>
                  <w:bCs/>
                </w:rPr>
                <w:t>jyr.ch@bluewin.ch</w:t>
              </w:r>
            </w:hyperlink>
          </w:p>
          <w:p w14:paraId="68119DD9" w14:textId="2C3B5DC3" w:rsidR="00E57A0D" w:rsidRPr="00D75577" w:rsidRDefault="00E57A0D">
            <w:pPr>
              <w:rPr>
                <w:bCs/>
              </w:rPr>
            </w:pPr>
          </w:p>
        </w:tc>
      </w:tr>
      <w:tr w:rsidR="002C2DEE" w:rsidRPr="00D75577" w14:paraId="07EC4B41" w14:textId="77777777" w:rsidTr="00C8048A">
        <w:trPr>
          <w:trHeight w:val="90"/>
        </w:trPr>
        <w:tc>
          <w:tcPr>
            <w:tcW w:w="1838" w:type="dxa"/>
            <w:vMerge/>
          </w:tcPr>
          <w:p w14:paraId="76807DE1" w14:textId="77777777" w:rsidR="002C2DEE" w:rsidRDefault="002C2DEE">
            <w:pPr>
              <w:rPr>
                <w:bCs/>
              </w:rPr>
            </w:pPr>
          </w:p>
        </w:tc>
        <w:tc>
          <w:tcPr>
            <w:tcW w:w="4172" w:type="dxa"/>
          </w:tcPr>
          <w:p w14:paraId="3A6A1195" w14:textId="59913CEC" w:rsidR="002C2DEE" w:rsidRPr="00D75577" w:rsidRDefault="00344FD4" w:rsidP="00DB732C">
            <w:pPr>
              <w:rPr>
                <w:bCs/>
              </w:rPr>
            </w:pPr>
            <w:r w:rsidRPr="00344FD4">
              <w:rPr>
                <w:bCs/>
              </w:rPr>
              <w:t>Division of Public Health, Epidemiology and Health</w:t>
            </w:r>
            <w:r w:rsidR="00DB732C">
              <w:rPr>
                <w:bCs/>
              </w:rPr>
              <w:t xml:space="preserve"> </w:t>
            </w:r>
            <w:r w:rsidRPr="00344FD4">
              <w:rPr>
                <w:bCs/>
              </w:rPr>
              <w:t xml:space="preserve">Economics, University of Liège, CHU </w:t>
            </w:r>
            <w:proofErr w:type="spellStart"/>
            <w:r w:rsidRPr="00344FD4">
              <w:rPr>
                <w:bCs/>
              </w:rPr>
              <w:t>Sart</w:t>
            </w:r>
            <w:proofErr w:type="spellEnd"/>
            <w:r w:rsidRPr="00344FD4">
              <w:rPr>
                <w:bCs/>
              </w:rPr>
              <w:t xml:space="preserve"> Tilman B23,</w:t>
            </w:r>
            <w:r w:rsidR="00DB732C">
              <w:rPr>
                <w:bCs/>
              </w:rPr>
              <w:t xml:space="preserve"> </w:t>
            </w:r>
            <w:r w:rsidRPr="00344FD4">
              <w:rPr>
                <w:bCs/>
              </w:rPr>
              <w:t>4000 Liège, Belgium</w:t>
            </w:r>
          </w:p>
        </w:tc>
        <w:tc>
          <w:tcPr>
            <w:tcW w:w="3006" w:type="dxa"/>
            <w:vMerge/>
          </w:tcPr>
          <w:p w14:paraId="123149E3" w14:textId="77777777" w:rsidR="002C2DEE" w:rsidRPr="00D75577" w:rsidRDefault="002C2DEE">
            <w:pPr>
              <w:rPr>
                <w:bCs/>
              </w:rPr>
            </w:pPr>
          </w:p>
        </w:tc>
      </w:tr>
    </w:tbl>
    <w:p w14:paraId="51146BFD" w14:textId="77777777" w:rsidR="0071076C" w:rsidRDefault="0071076C"/>
    <w:p w14:paraId="26EB8DEF" w14:textId="77777777" w:rsidR="0071076C" w:rsidRPr="00CD03D1" w:rsidRDefault="0071076C"/>
    <w:p w14:paraId="661A4A3E" w14:textId="01DCEA4A" w:rsidR="00925049" w:rsidRDefault="00925049" w:rsidP="00925049">
      <w:r>
        <w:t xml:space="preserve">Running Title: </w:t>
      </w:r>
      <w:r w:rsidRPr="00925049">
        <w:t xml:space="preserve">Intervention thresholds and </w:t>
      </w:r>
      <w:r w:rsidR="005922FE" w:rsidRPr="005922FE">
        <w:t>diagnostic thresholds</w:t>
      </w:r>
    </w:p>
    <w:p w14:paraId="199F21A4" w14:textId="77777777" w:rsidR="00925049" w:rsidRDefault="00925049" w:rsidP="00925049"/>
    <w:p w14:paraId="08DA4063" w14:textId="649E6C80" w:rsidR="00925049" w:rsidRPr="006662DF" w:rsidRDefault="00925049" w:rsidP="00925049">
      <w:r w:rsidRPr="006662DF">
        <w:t>Word count: text</w:t>
      </w:r>
      <w:r w:rsidR="00161BDD" w:rsidRPr="006662DF">
        <w:t xml:space="preserve"> </w:t>
      </w:r>
      <w:r w:rsidR="006662DF" w:rsidRPr="006662DF">
        <w:t>311</w:t>
      </w:r>
      <w:r w:rsidR="00851EC1" w:rsidRPr="006662DF">
        <w:t>3</w:t>
      </w:r>
      <w:r w:rsidRPr="006662DF">
        <w:t xml:space="preserve"> (</w:t>
      </w:r>
      <w:r w:rsidR="000F6B8A" w:rsidRPr="006662DF">
        <w:t>ex</w:t>
      </w:r>
      <w:r w:rsidRPr="006662DF">
        <w:t>cluding abstract, figures, and references)</w:t>
      </w:r>
    </w:p>
    <w:p w14:paraId="37E4C518" w14:textId="1CCD04B5" w:rsidR="00925049" w:rsidRPr="00FD67DB" w:rsidRDefault="00925049" w:rsidP="00925049">
      <w:r w:rsidRPr="00FD67DB">
        <w:t xml:space="preserve">Abstract word count: </w:t>
      </w:r>
      <w:r w:rsidR="00231978" w:rsidRPr="00FD67DB">
        <w:t>6</w:t>
      </w:r>
      <w:r w:rsidR="00FD67DB" w:rsidRPr="00FD67DB">
        <w:t>2</w:t>
      </w:r>
    </w:p>
    <w:p w14:paraId="5E6A0D39" w14:textId="4537CB3E" w:rsidR="00925049" w:rsidRPr="006F3E1D" w:rsidRDefault="00925049" w:rsidP="00925049">
      <w:r w:rsidRPr="006F3E1D">
        <w:t xml:space="preserve">Figure count: </w:t>
      </w:r>
      <w:r w:rsidR="00715793" w:rsidRPr="006F3E1D">
        <w:t>1</w:t>
      </w:r>
      <w:r w:rsidRPr="006F3E1D">
        <w:tab/>
      </w:r>
      <w:r w:rsidRPr="006F3E1D">
        <w:tab/>
      </w:r>
      <w:r w:rsidRPr="006F3E1D">
        <w:tab/>
        <w:t xml:space="preserve">Table count: </w:t>
      </w:r>
      <w:r w:rsidR="00715793" w:rsidRPr="006F3E1D">
        <w:t>0</w:t>
      </w:r>
    </w:p>
    <w:p w14:paraId="258A25F1" w14:textId="23883C94" w:rsidR="00925049" w:rsidRDefault="000F6B8A" w:rsidP="00925049">
      <w:r w:rsidRPr="00B05BD4">
        <w:t>Reference</w:t>
      </w:r>
      <w:r w:rsidR="00925049" w:rsidRPr="00B05BD4">
        <w:t xml:space="preserve"> count: </w:t>
      </w:r>
      <w:r w:rsidR="009765CA" w:rsidRPr="00B05BD4">
        <w:t>9</w:t>
      </w:r>
      <w:r w:rsidR="00B05BD4" w:rsidRPr="00B05BD4">
        <w:t>4</w:t>
      </w:r>
      <w:r w:rsidR="00925049">
        <w:tab/>
      </w:r>
    </w:p>
    <w:p w14:paraId="710E222B" w14:textId="77777777" w:rsidR="00CD03D1" w:rsidRDefault="00CD03D1"/>
    <w:p w14:paraId="1DBA48C3" w14:textId="0E72BFE6" w:rsidR="00CD03D1" w:rsidRDefault="00CD03D1" w:rsidP="00CD03D1">
      <w:pPr>
        <w:autoSpaceDE w:val="0"/>
        <w:autoSpaceDN w:val="0"/>
        <w:adjustRightInd w:val="0"/>
        <w:spacing w:line="360" w:lineRule="auto"/>
        <w:rPr>
          <w:color w:val="131313"/>
        </w:rPr>
      </w:pPr>
      <w:r w:rsidRPr="00CD03D1">
        <w:t>Address correspondence to: John A Kanis</w:t>
      </w:r>
      <w:r>
        <w:t xml:space="preserve">, </w:t>
      </w:r>
      <w:r w:rsidRPr="00B65F79">
        <w:rPr>
          <w:color w:val="131313"/>
        </w:rPr>
        <w:t>Centre for Metabolic Bone Diseases, University of Sheffield Medical School, Beech Hill Road,</w:t>
      </w:r>
      <w:r>
        <w:rPr>
          <w:color w:val="131313"/>
        </w:rPr>
        <w:t xml:space="preserve"> </w:t>
      </w:r>
      <w:r w:rsidRPr="00B65F79">
        <w:rPr>
          <w:color w:val="131313"/>
        </w:rPr>
        <w:t>Sheffield S10 2RX, UK</w:t>
      </w:r>
      <w:r w:rsidR="0071076C">
        <w:rPr>
          <w:color w:val="131313"/>
        </w:rPr>
        <w:t>.</w:t>
      </w:r>
    </w:p>
    <w:p w14:paraId="5AAE16DC" w14:textId="746D6C41" w:rsidR="0071076C" w:rsidRPr="00BD2410" w:rsidRDefault="0071076C" w:rsidP="00CD03D1">
      <w:pPr>
        <w:autoSpaceDE w:val="0"/>
        <w:autoSpaceDN w:val="0"/>
        <w:adjustRightInd w:val="0"/>
        <w:spacing w:line="360" w:lineRule="auto"/>
        <w:rPr>
          <w:color w:val="131313"/>
          <w:lang w:val="fr-FR"/>
        </w:rPr>
      </w:pPr>
      <w:proofErr w:type="gramStart"/>
      <w:r w:rsidRPr="0071076C">
        <w:rPr>
          <w:color w:val="131313"/>
          <w:lang w:val="fr-FR"/>
        </w:rPr>
        <w:t>E-Mail:</w:t>
      </w:r>
      <w:proofErr w:type="gramEnd"/>
      <w:r w:rsidRPr="0071076C">
        <w:rPr>
          <w:color w:val="131313"/>
          <w:lang w:val="fr-FR"/>
        </w:rPr>
        <w:t xml:space="preserve"> </w:t>
      </w:r>
      <w:r w:rsidR="00BA5B24" w:rsidRPr="006655C7">
        <w:rPr>
          <w:lang w:val="fr-FR"/>
        </w:rPr>
        <w:t>w.j.pontefract@sheff.ac.uk</w:t>
      </w:r>
      <w:r w:rsidR="00BA5B24" w:rsidRPr="006655C7" w:rsidDel="00BA5B24">
        <w:rPr>
          <w:lang w:val="fr-FR"/>
        </w:rPr>
        <w:t xml:space="preserve"> </w:t>
      </w:r>
      <w:r w:rsidRPr="00BD2410">
        <w:rPr>
          <w:color w:val="131313"/>
          <w:lang w:val="fr-FR"/>
        </w:rPr>
        <w:t>Tel : +44  114 285 1109</w:t>
      </w:r>
    </w:p>
    <w:p w14:paraId="2D45FD1A" w14:textId="77777777" w:rsidR="0071076C" w:rsidRPr="00BD2410" w:rsidRDefault="0071076C">
      <w:pPr>
        <w:rPr>
          <w:color w:val="131313"/>
          <w:lang w:val="fr-FR"/>
        </w:rPr>
      </w:pPr>
      <w:r w:rsidRPr="00BD2410">
        <w:rPr>
          <w:color w:val="131313"/>
          <w:lang w:val="fr-FR"/>
        </w:rPr>
        <w:br w:type="page"/>
      </w:r>
    </w:p>
    <w:p w14:paraId="379C9675" w14:textId="710B9F5D" w:rsidR="005D67B1" w:rsidRPr="00BD2410" w:rsidRDefault="005D67B1" w:rsidP="0071076C">
      <w:pPr>
        <w:autoSpaceDE w:val="0"/>
        <w:autoSpaceDN w:val="0"/>
        <w:adjustRightInd w:val="0"/>
        <w:spacing w:line="360" w:lineRule="auto"/>
        <w:rPr>
          <w:sz w:val="28"/>
          <w:szCs w:val="28"/>
          <w:lang w:val="fr-FR"/>
        </w:rPr>
      </w:pPr>
    </w:p>
    <w:p w14:paraId="6C2FA6B3" w14:textId="1242A46C" w:rsidR="00ED0624" w:rsidRPr="00BD2410" w:rsidRDefault="003B6E59">
      <w:pPr>
        <w:rPr>
          <w:b/>
          <w:lang w:val="fr-FR"/>
        </w:rPr>
      </w:pPr>
      <w:r w:rsidRPr="00BD2410">
        <w:rPr>
          <w:b/>
          <w:lang w:val="fr-FR"/>
        </w:rPr>
        <w:t>Abstract</w:t>
      </w:r>
    </w:p>
    <w:p w14:paraId="7B1B1EE7" w14:textId="6DB5BE6A" w:rsidR="00B257BB" w:rsidRDefault="00575619">
      <w:pPr>
        <w:rPr>
          <w:highlight w:val="yellow"/>
        </w:rPr>
      </w:pPr>
      <w:r>
        <w:t>This</w:t>
      </w:r>
      <w:r w:rsidR="00B257BB" w:rsidRPr="00B257BB">
        <w:t xml:space="preserve"> position paper of the </w:t>
      </w:r>
      <w:r>
        <w:t xml:space="preserve">International </w:t>
      </w:r>
      <w:r w:rsidR="009B7D18">
        <w:t xml:space="preserve">Osteoporosis Foundation </w:t>
      </w:r>
      <w:r w:rsidR="004E7F76">
        <w:t xml:space="preserve">(IOF) </w:t>
      </w:r>
      <w:r w:rsidR="009B7D18">
        <w:t xml:space="preserve">and </w:t>
      </w:r>
      <w:r w:rsidR="00040C7B">
        <w:t xml:space="preserve">the </w:t>
      </w:r>
      <w:r w:rsidR="00040C7B" w:rsidRPr="00B257BB">
        <w:t>European</w:t>
      </w:r>
      <w:r w:rsidR="004E7F76" w:rsidRPr="00E90937">
        <w:t xml:space="preserve"> Society </w:t>
      </w:r>
      <w:r w:rsidR="004E7F76">
        <w:t>f</w:t>
      </w:r>
      <w:r w:rsidR="004E7F76" w:rsidRPr="00E90937">
        <w:t xml:space="preserve">or Clinical </w:t>
      </w:r>
      <w:r w:rsidR="004E7F76">
        <w:t>a</w:t>
      </w:r>
      <w:r w:rsidR="004E7F76" w:rsidRPr="00E90937">
        <w:t xml:space="preserve">nd Economic Aspects </w:t>
      </w:r>
      <w:r w:rsidR="004E7F76">
        <w:t>o</w:t>
      </w:r>
      <w:r w:rsidR="004E7F76" w:rsidRPr="00E90937">
        <w:t xml:space="preserve">f Osteoporosis, Osteoarthritis </w:t>
      </w:r>
      <w:r w:rsidR="004E7F76">
        <w:t>a</w:t>
      </w:r>
      <w:r w:rsidR="004E7F76" w:rsidRPr="00E90937">
        <w:t>nd Musculoskeletal Diseases</w:t>
      </w:r>
      <w:r w:rsidR="00E90937" w:rsidRPr="00E90937">
        <w:t xml:space="preserve"> </w:t>
      </w:r>
      <w:r w:rsidR="004E7F76">
        <w:t>(ESCEO)</w:t>
      </w:r>
      <w:r w:rsidR="00975728">
        <w:t xml:space="preserve"> addresses</w:t>
      </w:r>
      <w:r w:rsidR="004E7F76">
        <w:t xml:space="preserve"> </w:t>
      </w:r>
      <w:r w:rsidR="00F24700">
        <w:t>the</w:t>
      </w:r>
      <w:r w:rsidR="00B257BB" w:rsidRPr="00B257BB">
        <w:t xml:space="preserve"> </w:t>
      </w:r>
      <w:r w:rsidR="00975728">
        <w:t xml:space="preserve">rationale for </w:t>
      </w:r>
      <w:r w:rsidR="00B80D30">
        <w:t xml:space="preserve">separate </w:t>
      </w:r>
      <w:r w:rsidR="00B257BB" w:rsidRPr="00B257BB">
        <w:t xml:space="preserve">diagnostic </w:t>
      </w:r>
      <w:r w:rsidR="00975728">
        <w:t xml:space="preserve">and intervention </w:t>
      </w:r>
      <w:r w:rsidR="00F24700">
        <w:t>thresholds</w:t>
      </w:r>
      <w:r w:rsidR="00975728">
        <w:t xml:space="preserve"> in osteoporosis</w:t>
      </w:r>
      <w:r w:rsidR="00B257BB">
        <w:t xml:space="preserve">.  </w:t>
      </w:r>
      <w:bookmarkStart w:id="1" w:name="_Hlk105106757"/>
      <w:r w:rsidR="00B257BB" w:rsidRPr="00B257BB">
        <w:t xml:space="preserve">We </w:t>
      </w:r>
      <w:r w:rsidR="003B6E59">
        <w:t>conclude</w:t>
      </w:r>
      <w:r w:rsidR="00B257BB">
        <w:t xml:space="preserve"> that </w:t>
      </w:r>
      <w:r w:rsidR="0023457D">
        <w:t xml:space="preserve">the </w:t>
      </w:r>
      <w:r w:rsidR="00B80D30">
        <w:t>c</w:t>
      </w:r>
      <w:r w:rsidR="005F51D8">
        <w:t>urrent</w:t>
      </w:r>
      <w:r w:rsidR="00B80D30">
        <w:t xml:space="preserve"> </w:t>
      </w:r>
      <w:r w:rsidR="0023457D">
        <w:t xml:space="preserve">BMD-based </w:t>
      </w:r>
      <w:r w:rsidR="00B80D30">
        <w:t>diagnostic criteria</w:t>
      </w:r>
      <w:r w:rsidR="000F2CAE">
        <w:t xml:space="preserve"> </w:t>
      </w:r>
      <w:r w:rsidR="005F51D8">
        <w:t xml:space="preserve">for osteoporosis </w:t>
      </w:r>
      <w:r w:rsidR="005F724C">
        <w:t>be</w:t>
      </w:r>
      <w:r w:rsidR="00B257BB">
        <w:t xml:space="preserve"> retained </w:t>
      </w:r>
      <w:r w:rsidR="0023457D">
        <w:t>whil</w:t>
      </w:r>
      <w:r w:rsidR="003B6E59">
        <w:t>st</w:t>
      </w:r>
      <w:r w:rsidR="0023457D">
        <w:t xml:space="preserve"> clarity </w:t>
      </w:r>
      <w:r w:rsidR="00B80D30">
        <w:t>is</w:t>
      </w:r>
      <w:r w:rsidR="0023457D">
        <w:t xml:space="preserve"> brought to bear on the distinction </w:t>
      </w:r>
      <w:r w:rsidR="00B257BB">
        <w:t>between diagnostic and intervention thresholds.</w:t>
      </w:r>
      <w:bookmarkEnd w:id="1"/>
      <w:r w:rsidR="00B257BB">
        <w:t xml:space="preserve">  </w:t>
      </w:r>
    </w:p>
    <w:p w14:paraId="5A7D8A1D" w14:textId="29D21DE7" w:rsidR="00ED0624" w:rsidRDefault="003B6E59">
      <w:r w:rsidRPr="00B257BB">
        <w:rPr>
          <w:b/>
        </w:rPr>
        <w:t>Key Words</w:t>
      </w:r>
      <w:r w:rsidR="00ED0624" w:rsidRPr="00B257BB">
        <w:rPr>
          <w:b/>
        </w:rPr>
        <w:t>:</w:t>
      </w:r>
      <w:r w:rsidR="00ED0624" w:rsidRPr="00B257BB">
        <w:t xml:space="preserve"> </w:t>
      </w:r>
      <w:r w:rsidR="00B257BB" w:rsidRPr="00B257BB">
        <w:t>Osteoporosis</w:t>
      </w:r>
      <w:bookmarkStart w:id="2" w:name="_Hlk105073360"/>
      <w:r w:rsidR="00426721">
        <w:t xml:space="preserve"> </w:t>
      </w:r>
      <w:r w:rsidR="00426721">
        <w:rPr>
          <w:rFonts w:cstheme="minorHAnsi"/>
        </w:rPr>
        <w:t xml:space="preserve">∙ </w:t>
      </w:r>
      <w:bookmarkEnd w:id="2"/>
      <w:r w:rsidR="00ED0624" w:rsidRPr="00B257BB">
        <w:t>Definition</w:t>
      </w:r>
      <w:r w:rsidR="00426721">
        <w:t xml:space="preserve"> </w:t>
      </w:r>
      <w:r w:rsidR="00426721">
        <w:rPr>
          <w:rFonts w:cstheme="minorHAnsi"/>
        </w:rPr>
        <w:t xml:space="preserve">∙ </w:t>
      </w:r>
      <w:r w:rsidR="00ED0624" w:rsidRPr="00B257BB">
        <w:t>Intervention thresholds</w:t>
      </w:r>
      <w:r w:rsidR="00426721">
        <w:t xml:space="preserve"> </w:t>
      </w:r>
      <w:r w:rsidR="00426721">
        <w:rPr>
          <w:rFonts w:cstheme="minorHAnsi"/>
        </w:rPr>
        <w:t xml:space="preserve">∙ </w:t>
      </w:r>
      <w:r w:rsidR="00ED0624" w:rsidRPr="00B257BB">
        <w:t>FRAX</w:t>
      </w:r>
      <w:r w:rsidR="00426721">
        <w:t xml:space="preserve"> </w:t>
      </w:r>
      <w:r w:rsidR="00426721">
        <w:rPr>
          <w:rFonts w:cstheme="minorHAnsi"/>
        </w:rPr>
        <w:t xml:space="preserve">∙ </w:t>
      </w:r>
      <w:r w:rsidR="00B257BB" w:rsidRPr="00B257BB">
        <w:t>Fracture risk</w:t>
      </w:r>
      <w:r w:rsidR="00426721">
        <w:t xml:space="preserve"> </w:t>
      </w:r>
      <w:r w:rsidR="00426721">
        <w:rPr>
          <w:rFonts w:cstheme="minorHAnsi"/>
        </w:rPr>
        <w:t xml:space="preserve">∙ </w:t>
      </w:r>
      <w:r w:rsidR="00B257BB" w:rsidRPr="00B257BB">
        <w:t>Diagnosis</w:t>
      </w:r>
    </w:p>
    <w:p w14:paraId="790EC398" w14:textId="77777777" w:rsidR="0071076C" w:rsidRDefault="0071076C"/>
    <w:p w14:paraId="36EC5EB5" w14:textId="77777777" w:rsidR="0071076C" w:rsidRDefault="0071076C">
      <w:r>
        <w:br w:type="page"/>
      </w:r>
    </w:p>
    <w:p w14:paraId="76BBACE7" w14:textId="10211B5B" w:rsidR="005D67B1" w:rsidRPr="005D67B1" w:rsidRDefault="005D67B1" w:rsidP="00854F48">
      <w:pPr>
        <w:ind w:right="543"/>
        <w:rPr>
          <w:rFonts w:ascii="Calibri" w:hAnsi="Calibri"/>
          <w:b/>
        </w:rPr>
      </w:pPr>
      <w:r w:rsidRPr="005D67B1">
        <w:rPr>
          <w:rFonts w:ascii="Calibri" w:hAnsi="Calibri"/>
          <w:b/>
        </w:rPr>
        <w:lastRenderedPageBreak/>
        <w:t>Introduction</w:t>
      </w:r>
    </w:p>
    <w:p w14:paraId="308FF54C" w14:textId="1EDF7A64" w:rsidR="00502C0C" w:rsidRDefault="00771568" w:rsidP="001917D7">
      <w:pPr>
        <w:rPr>
          <w:rFonts w:ascii="Calibri" w:hAnsi="Calibri"/>
        </w:rPr>
      </w:pPr>
      <w:r>
        <w:rPr>
          <w:rFonts w:ascii="Calibri" w:hAnsi="Calibri"/>
        </w:rPr>
        <w:t>The treatment gap in the management of patients at increased risk of fracture is well-characterised and persistent</w:t>
      </w:r>
      <w:r w:rsidR="006D6546">
        <w:rPr>
          <w:rFonts w:ascii="Calibri" w:hAnsi="Calibri"/>
        </w:rPr>
        <w:t xml:space="preserve"> [</w:t>
      </w:r>
      <w:r w:rsidR="00755802">
        <w:rPr>
          <w:rFonts w:ascii="Calibri" w:hAnsi="Calibri"/>
        </w:rPr>
        <w:t>1</w:t>
      </w:r>
      <w:r w:rsidR="00CA0E84">
        <w:rPr>
          <w:rFonts w:ascii="Calibri" w:hAnsi="Calibri"/>
        </w:rPr>
        <w:t>]</w:t>
      </w:r>
      <w:r>
        <w:rPr>
          <w:rFonts w:ascii="Calibri" w:hAnsi="Calibri"/>
        </w:rPr>
        <w:t>.  The reasons for this are many, but a</w:t>
      </w:r>
      <w:bookmarkStart w:id="3" w:name="_Hlk112338748"/>
      <w:r>
        <w:rPr>
          <w:rFonts w:ascii="Calibri" w:hAnsi="Calibri"/>
        </w:rPr>
        <w:t xml:space="preserve"> major factor is the lack of awareness o</w:t>
      </w:r>
      <w:r w:rsidRPr="001917D7">
        <w:rPr>
          <w:rFonts w:cstheme="minorHAnsi"/>
        </w:rPr>
        <w:t xml:space="preserve">f the increased fracture risk </w:t>
      </w:r>
      <w:r w:rsidR="00645065" w:rsidRPr="001917D7">
        <w:rPr>
          <w:rFonts w:cstheme="minorHAnsi"/>
        </w:rPr>
        <w:t xml:space="preserve">by </w:t>
      </w:r>
      <w:r w:rsidRPr="001917D7">
        <w:rPr>
          <w:rFonts w:cstheme="minorHAnsi"/>
        </w:rPr>
        <w:t>physicians and other healthcare professionals, as well as the patients themselves.</w:t>
      </w:r>
      <w:bookmarkEnd w:id="3"/>
      <w:r w:rsidR="003B1F1B" w:rsidRPr="003B1F1B">
        <w:t xml:space="preserve"> </w:t>
      </w:r>
      <w:r w:rsidR="003B1F1B" w:rsidRPr="003B1F1B">
        <w:rPr>
          <w:rFonts w:cstheme="minorHAnsi"/>
        </w:rPr>
        <w:t xml:space="preserve">For example, while the finding of a non-osteoporotic BMD (T-score &gt;-2.5) may hinder consideration of treatment in someone at high risk for other reasons, the vast majority of undertreatment results from a lack of risk assessment (including BMD) and consideration of treatment in those at high risk in both primary and secondary care settings [2,3].  </w:t>
      </w:r>
      <w:r w:rsidRPr="001917D7">
        <w:rPr>
          <w:rFonts w:cstheme="minorHAnsi"/>
        </w:rPr>
        <w:t xml:space="preserve"> </w:t>
      </w:r>
      <w:r w:rsidR="00502C0C" w:rsidRPr="00935B1F">
        <w:rPr>
          <w:rFonts w:cstheme="minorHAnsi"/>
        </w:rPr>
        <w:t>Some</w:t>
      </w:r>
      <w:r w:rsidR="00502C0C" w:rsidRPr="00E11897">
        <w:rPr>
          <w:rFonts w:cstheme="minorHAnsi"/>
        </w:rPr>
        <w:t xml:space="preserve"> have suggested that the </w:t>
      </w:r>
      <w:r w:rsidR="00B12118" w:rsidRPr="00E11897">
        <w:rPr>
          <w:rFonts w:cstheme="minorHAnsi"/>
        </w:rPr>
        <w:t xml:space="preserve">latter </w:t>
      </w:r>
      <w:r w:rsidR="00502C0C" w:rsidRPr="00E11897">
        <w:rPr>
          <w:rFonts w:cstheme="minorHAnsi"/>
        </w:rPr>
        <w:t xml:space="preserve">fault lies with the definition of osteoporosis </w:t>
      </w:r>
      <w:r w:rsidR="00716D49" w:rsidRPr="00E11897">
        <w:rPr>
          <w:rFonts w:cstheme="minorHAnsi"/>
        </w:rPr>
        <w:t xml:space="preserve">and have called for a rethink </w:t>
      </w:r>
      <w:r w:rsidR="00A0662E" w:rsidRPr="00E11897">
        <w:rPr>
          <w:rFonts w:cstheme="minorHAnsi"/>
        </w:rPr>
        <w:t>[</w:t>
      </w:r>
      <w:r w:rsidR="00DC0265">
        <w:rPr>
          <w:rFonts w:cstheme="minorHAnsi"/>
        </w:rPr>
        <w:t>4</w:t>
      </w:r>
      <w:r w:rsidR="007B2572">
        <w:rPr>
          <w:rFonts w:cstheme="minorHAnsi"/>
        </w:rPr>
        <w:t>.5</w:t>
      </w:r>
      <w:r w:rsidR="00A0662E" w:rsidRPr="00E11897">
        <w:rPr>
          <w:rFonts w:cstheme="minorHAnsi"/>
        </w:rPr>
        <w:t>]</w:t>
      </w:r>
      <w:r w:rsidR="00502C0C" w:rsidRPr="00E11897">
        <w:rPr>
          <w:rFonts w:cstheme="minorHAnsi"/>
        </w:rPr>
        <w:t>.</w:t>
      </w:r>
      <w:r w:rsidR="00716D49" w:rsidRPr="00E11897">
        <w:rPr>
          <w:rFonts w:cstheme="minorHAnsi"/>
        </w:rPr>
        <w:t xml:space="preserve"> </w:t>
      </w:r>
      <w:r w:rsidR="00E54A78">
        <w:rPr>
          <w:rFonts w:cstheme="minorHAnsi"/>
        </w:rPr>
        <w:t xml:space="preserve"> </w:t>
      </w:r>
      <w:r w:rsidR="00716D49" w:rsidRPr="00E11897">
        <w:rPr>
          <w:rFonts w:cstheme="minorHAnsi"/>
          <w:color w:val="000000"/>
        </w:rPr>
        <w:t>This paper reports the result of a meeting of a working group</w:t>
      </w:r>
      <w:r w:rsidR="00716D49" w:rsidRPr="00104A40">
        <w:rPr>
          <w:rFonts w:cstheme="minorHAnsi"/>
        </w:rPr>
        <w:t xml:space="preserve"> of </w:t>
      </w:r>
      <w:r w:rsidR="00716D49" w:rsidRPr="00E11897">
        <w:rPr>
          <w:rFonts w:cstheme="minorHAnsi"/>
          <w:color w:val="000000"/>
        </w:rPr>
        <w:t>the</w:t>
      </w:r>
      <w:r w:rsidR="00716D49" w:rsidRPr="0097561A">
        <w:rPr>
          <w:rFonts w:ascii="Calibri" w:hAnsi="Calibri" w:cs="AdvGulliv-R"/>
          <w:color w:val="000000"/>
        </w:rPr>
        <w:t xml:space="preserve"> European Society for Clinical and Economic Aspects of Osteoporosis, Osteoarthritis and Musculoskeletal Diseases (ESCEO), which, on behalf of ESCEO and the International</w:t>
      </w:r>
      <w:r w:rsidR="00716D49" w:rsidRPr="00A00478">
        <w:rPr>
          <w:rFonts w:cs="OneGulliverA"/>
        </w:rPr>
        <w:t xml:space="preserve"> Osteoporosis Foundation (IOF), r</w:t>
      </w:r>
      <w:r w:rsidR="00716D49" w:rsidRPr="0097561A">
        <w:rPr>
          <w:rFonts w:ascii="Calibri" w:hAnsi="Calibri" w:cs="AdvGulliv-R"/>
          <w:color w:val="000000"/>
        </w:rPr>
        <w:t>eviewed the</w:t>
      </w:r>
      <w:r w:rsidR="00716D49" w:rsidRPr="0097561A">
        <w:t xml:space="preserve"> </w:t>
      </w:r>
      <w:r w:rsidR="00716D49" w:rsidRPr="0097561A">
        <w:rPr>
          <w:rFonts w:ascii="Calibri" w:hAnsi="Calibri" w:cs="AdvGulliv-R"/>
          <w:color w:val="000000"/>
        </w:rPr>
        <w:t>case for redefining osteoporosis.</w:t>
      </w:r>
      <w:r w:rsidR="00502C0C">
        <w:rPr>
          <w:rFonts w:ascii="Calibri" w:hAnsi="Calibri"/>
        </w:rPr>
        <w:t xml:space="preserve"> </w:t>
      </w:r>
    </w:p>
    <w:p w14:paraId="5A0DE9DE" w14:textId="77777777" w:rsidR="00502C0C" w:rsidRDefault="00502C0C" w:rsidP="00854F48">
      <w:pPr>
        <w:ind w:right="543"/>
        <w:rPr>
          <w:rFonts w:ascii="Calibri" w:hAnsi="Calibri"/>
        </w:rPr>
      </w:pPr>
    </w:p>
    <w:p w14:paraId="0182D67D" w14:textId="77777777" w:rsidR="00716D49" w:rsidRPr="002A59F8" w:rsidRDefault="00716D49" w:rsidP="00854F48">
      <w:pPr>
        <w:ind w:right="543"/>
        <w:rPr>
          <w:rFonts w:ascii="Calibri" w:hAnsi="Calibri"/>
          <w:b/>
          <w:bCs/>
        </w:rPr>
      </w:pPr>
      <w:r w:rsidRPr="002A59F8">
        <w:rPr>
          <w:rFonts w:ascii="Calibri" w:hAnsi="Calibri"/>
          <w:b/>
          <w:bCs/>
        </w:rPr>
        <w:t>Defining osteoporosis</w:t>
      </w:r>
    </w:p>
    <w:p w14:paraId="31454817" w14:textId="1CDFECA9" w:rsidR="00A7503B" w:rsidRPr="00A116D5" w:rsidRDefault="00EC29B6" w:rsidP="00854F48">
      <w:pPr>
        <w:ind w:right="543"/>
        <w:rPr>
          <w:rFonts w:ascii="Calibri" w:hAnsi="Calibri"/>
        </w:rPr>
      </w:pPr>
      <w:r w:rsidRPr="00A116D5">
        <w:rPr>
          <w:rFonts w:ascii="Calibri" w:hAnsi="Calibri"/>
        </w:rPr>
        <w:t>The</w:t>
      </w:r>
      <w:r w:rsidR="00671D39" w:rsidRPr="00A116D5">
        <w:rPr>
          <w:rFonts w:ascii="Calibri" w:hAnsi="Calibri"/>
        </w:rPr>
        <w:t xml:space="preserve"> conceptual description o</w:t>
      </w:r>
      <w:r w:rsidR="0009345A" w:rsidRPr="00A116D5">
        <w:rPr>
          <w:rFonts w:ascii="Calibri" w:hAnsi="Calibri"/>
        </w:rPr>
        <w:t xml:space="preserve">f osteoporosis dates </w:t>
      </w:r>
      <w:r w:rsidR="00597A1C" w:rsidRPr="00A116D5">
        <w:rPr>
          <w:rFonts w:ascii="Calibri" w:hAnsi="Calibri"/>
        </w:rPr>
        <w:t xml:space="preserve">back nearly 30 years </w:t>
      </w:r>
      <w:r w:rsidR="00032D7D" w:rsidRPr="00A116D5">
        <w:rPr>
          <w:rFonts w:ascii="Calibri" w:hAnsi="Calibri"/>
        </w:rPr>
        <w:t>arising from</w:t>
      </w:r>
      <w:r w:rsidR="00F554CC" w:rsidRPr="00A116D5">
        <w:rPr>
          <w:rFonts w:ascii="Calibri" w:hAnsi="Calibri"/>
        </w:rPr>
        <w:t xml:space="preserve"> an international consensus conference held in Hong Kong in March 1993, sponsored by the National Institute of Arthritis and Musculoskeletal and Skin Diseases, the European Foundation for Osteoporosis and Bone Disease (now the International Osteoporosis </w:t>
      </w:r>
      <w:r w:rsidR="00923020" w:rsidRPr="00A116D5">
        <w:rPr>
          <w:rFonts w:ascii="Calibri" w:hAnsi="Calibri"/>
        </w:rPr>
        <w:t>Foundation) and</w:t>
      </w:r>
      <w:r w:rsidR="00F554CC" w:rsidRPr="00A116D5">
        <w:rPr>
          <w:rFonts w:ascii="Calibri" w:hAnsi="Calibri"/>
        </w:rPr>
        <w:t xml:space="preserve"> the American National Osteoporosis Foundation</w:t>
      </w:r>
      <w:r w:rsidR="004860B1" w:rsidRPr="00A116D5">
        <w:rPr>
          <w:rFonts w:ascii="Calibri" w:hAnsi="Calibri"/>
        </w:rPr>
        <w:t xml:space="preserve"> (now the Bone Health and Osteoporosis Foundation)</w:t>
      </w:r>
      <w:r w:rsidR="00B81072" w:rsidRPr="00A116D5">
        <w:rPr>
          <w:rFonts w:ascii="Calibri" w:hAnsi="Calibri"/>
        </w:rPr>
        <w:t xml:space="preserve"> </w:t>
      </w:r>
      <w:r w:rsidR="00C3140C" w:rsidRPr="00A116D5">
        <w:rPr>
          <w:rFonts w:ascii="Calibri" w:hAnsi="Calibri"/>
        </w:rPr>
        <w:t>[</w:t>
      </w:r>
      <w:r w:rsidR="007B2572">
        <w:rPr>
          <w:rFonts w:ascii="Calibri" w:hAnsi="Calibri"/>
        </w:rPr>
        <w:t>6</w:t>
      </w:r>
      <w:r w:rsidR="00723D74" w:rsidRPr="00A116D5">
        <w:rPr>
          <w:rFonts w:ascii="Calibri" w:hAnsi="Calibri"/>
        </w:rPr>
        <w:t>]</w:t>
      </w:r>
      <w:r w:rsidR="00334669" w:rsidRPr="00A116D5">
        <w:rPr>
          <w:rFonts w:ascii="Calibri" w:hAnsi="Calibri"/>
        </w:rPr>
        <w:t xml:space="preserve">.  </w:t>
      </w:r>
      <w:r w:rsidR="00B8636A" w:rsidRPr="00A116D5">
        <w:rPr>
          <w:rFonts w:ascii="Calibri" w:hAnsi="Calibri"/>
        </w:rPr>
        <w:t>Osteoporosis was described as</w:t>
      </w:r>
      <w:r w:rsidR="005B705C" w:rsidRPr="00A116D5">
        <w:rPr>
          <w:rFonts w:ascii="Calibri" w:hAnsi="Calibri"/>
        </w:rPr>
        <w:t>: ‘</w:t>
      </w:r>
      <w:r w:rsidR="00B8636A" w:rsidRPr="00A116D5">
        <w:rPr>
          <w:rFonts w:ascii="Calibri" w:hAnsi="Calibri"/>
        </w:rPr>
        <w:t>A systemic skeletal disease characterised by low bone mass and micro-architectural deterioration of bone tissue with a consequent increase in bone fragility and susceptibility to fracture’</w:t>
      </w:r>
      <w:r w:rsidR="001D4A40" w:rsidRPr="00A116D5">
        <w:rPr>
          <w:rFonts w:ascii="Calibri" w:hAnsi="Calibri"/>
        </w:rPr>
        <w:t xml:space="preserve">, </w:t>
      </w:r>
      <w:r w:rsidR="00933476" w:rsidRPr="00A116D5">
        <w:rPr>
          <w:rFonts w:ascii="Calibri" w:hAnsi="Calibri"/>
        </w:rPr>
        <w:t xml:space="preserve">a conceptual </w:t>
      </w:r>
      <w:r w:rsidR="001D4A40" w:rsidRPr="00A116D5">
        <w:rPr>
          <w:rFonts w:ascii="Calibri" w:hAnsi="Calibri"/>
        </w:rPr>
        <w:t>definition supported</w:t>
      </w:r>
      <w:r w:rsidR="000D4966" w:rsidRPr="00A116D5">
        <w:rPr>
          <w:rFonts w:ascii="Calibri" w:hAnsi="Calibri"/>
        </w:rPr>
        <w:t xml:space="preserve"> several years later by the </w:t>
      </w:r>
      <w:r w:rsidR="00D83899" w:rsidRPr="00A116D5">
        <w:rPr>
          <w:rFonts w:ascii="Calibri" w:hAnsi="Calibri"/>
        </w:rPr>
        <w:t>NIH Consensus Development Panel on Osteoporosis</w:t>
      </w:r>
      <w:r w:rsidR="000D4966" w:rsidRPr="00A116D5">
        <w:rPr>
          <w:rFonts w:ascii="Calibri" w:hAnsi="Calibri"/>
        </w:rPr>
        <w:t xml:space="preserve"> [</w:t>
      </w:r>
      <w:r w:rsidR="007B2572">
        <w:rPr>
          <w:rFonts w:ascii="Calibri" w:hAnsi="Calibri"/>
        </w:rPr>
        <w:t>7</w:t>
      </w:r>
      <w:r w:rsidR="00CE3068" w:rsidRPr="00A116D5">
        <w:rPr>
          <w:rFonts w:ascii="Calibri" w:hAnsi="Calibri"/>
        </w:rPr>
        <w:t>]</w:t>
      </w:r>
      <w:r w:rsidR="00D135E7" w:rsidRPr="00A116D5">
        <w:rPr>
          <w:rFonts w:ascii="Calibri" w:hAnsi="Calibri"/>
        </w:rPr>
        <w:t>.</w:t>
      </w:r>
      <w:r w:rsidR="00CE3068" w:rsidRPr="00A116D5">
        <w:rPr>
          <w:rFonts w:ascii="Calibri" w:hAnsi="Calibri"/>
        </w:rPr>
        <w:t xml:space="preserve"> </w:t>
      </w:r>
    </w:p>
    <w:p w14:paraId="356F3B89" w14:textId="5C64C107" w:rsidR="00926D58" w:rsidRPr="0097561A" w:rsidRDefault="005B705C" w:rsidP="00F63A69">
      <w:pPr>
        <w:ind w:right="543"/>
        <w:rPr>
          <w:rFonts w:ascii="Calibri" w:hAnsi="Calibri" w:cs="AdvGulliv-R"/>
          <w:color w:val="000000"/>
        </w:rPr>
      </w:pPr>
      <w:r w:rsidRPr="00A116D5">
        <w:rPr>
          <w:rFonts w:ascii="Calibri" w:hAnsi="Calibri"/>
        </w:rPr>
        <w:t>The World Health Organization diagnostic criteri</w:t>
      </w:r>
      <w:r w:rsidR="00A11374" w:rsidRPr="00A116D5">
        <w:rPr>
          <w:rFonts w:ascii="Calibri" w:hAnsi="Calibri"/>
        </w:rPr>
        <w:t>a</w:t>
      </w:r>
      <w:r w:rsidRPr="00A116D5">
        <w:rPr>
          <w:rFonts w:ascii="Calibri" w:hAnsi="Calibri"/>
        </w:rPr>
        <w:t xml:space="preserve"> for osteoporosis </w:t>
      </w:r>
      <w:r w:rsidR="00A11374" w:rsidRPr="00A116D5">
        <w:rPr>
          <w:rFonts w:ascii="Calibri" w:hAnsi="Calibri"/>
        </w:rPr>
        <w:t xml:space="preserve">were </w:t>
      </w:r>
      <w:r w:rsidR="002222B0" w:rsidRPr="00A116D5">
        <w:rPr>
          <w:rFonts w:ascii="Calibri" w:hAnsi="Calibri"/>
        </w:rPr>
        <w:t>developed shortly thereafter</w:t>
      </w:r>
      <w:r w:rsidR="009541EB" w:rsidRPr="00A116D5">
        <w:rPr>
          <w:rFonts w:ascii="Calibri" w:hAnsi="Calibri"/>
        </w:rPr>
        <w:t xml:space="preserve">, </w:t>
      </w:r>
      <w:r w:rsidRPr="00A116D5">
        <w:rPr>
          <w:rFonts w:ascii="Calibri" w:hAnsi="Calibri"/>
        </w:rPr>
        <w:t xml:space="preserve">based on the measurement of </w:t>
      </w:r>
      <w:r w:rsidR="00CD4513" w:rsidRPr="00A116D5">
        <w:rPr>
          <w:rFonts w:ascii="Calibri" w:hAnsi="Calibri"/>
        </w:rPr>
        <w:t>bone mineral density (</w:t>
      </w:r>
      <w:r w:rsidRPr="00A116D5">
        <w:rPr>
          <w:rFonts w:ascii="Calibri" w:hAnsi="Calibri"/>
        </w:rPr>
        <w:t>BMD</w:t>
      </w:r>
      <w:r w:rsidR="00CD4513" w:rsidRPr="00A116D5">
        <w:rPr>
          <w:rFonts w:ascii="Calibri" w:hAnsi="Calibri"/>
        </w:rPr>
        <w:t>)</w:t>
      </w:r>
      <w:r w:rsidRPr="00A116D5">
        <w:rPr>
          <w:rFonts w:ascii="Calibri" w:hAnsi="Calibri"/>
        </w:rPr>
        <w:t xml:space="preserve">. </w:t>
      </w:r>
      <w:r w:rsidR="0012438D" w:rsidRPr="00A116D5">
        <w:rPr>
          <w:rFonts w:ascii="Calibri" w:hAnsi="Calibri"/>
        </w:rPr>
        <w:t xml:space="preserve"> </w:t>
      </w:r>
      <w:r w:rsidR="006332F6" w:rsidRPr="00A116D5">
        <w:rPr>
          <w:rFonts w:ascii="Calibri" w:hAnsi="Calibri"/>
        </w:rPr>
        <w:t xml:space="preserve">At that time, BMD was the only aspect </w:t>
      </w:r>
      <w:r w:rsidR="006D1F1E" w:rsidRPr="00A116D5">
        <w:rPr>
          <w:rFonts w:ascii="Calibri" w:hAnsi="Calibri"/>
        </w:rPr>
        <w:t xml:space="preserve">of skeletal fragility </w:t>
      </w:r>
      <w:r w:rsidR="006332F6" w:rsidRPr="00A116D5">
        <w:rPr>
          <w:rFonts w:ascii="Calibri" w:hAnsi="Calibri"/>
        </w:rPr>
        <w:t xml:space="preserve">that could be readily </w:t>
      </w:r>
      <w:r w:rsidR="004A0841" w:rsidRPr="00A116D5">
        <w:rPr>
          <w:rFonts w:ascii="Calibri" w:hAnsi="Calibri"/>
        </w:rPr>
        <w:t xml:space="preserve">assessed </w:t>
      </w:r>
      <w:r w:rsidR="006332F6" w:rsidRPr="00A116D5">
        <w:rPr>
          <w:rFonts w:ascii="Calibri" w:hAnsi="Calibri"/>
        </w:rPr>
        <w:t xml:space="preserve">in clinical practice, and </w:t>
      </w:r>
      <w:r w:rsidR="004860B1" w:rsidRPr="00A116D5">
        <w:rPr>
          <w:rFonts w:ascii="Calibri" w:hAnsi="Calibri"/>
        </w:rPr>
        <w:t xml:space="preserve">thus </w:t>
      </w:r>
      <w:r w:rsidR="006332F6" w:rsidRPr="00A116D5">
        <w:rPr>
          <w:rFonts w:ascii="Calibri" w:hAnsi="Calibri"/>
        </w:rPr>
        <w:t xml:space="preserve">formed the cornerstone for the operational </w:t>
      </w:r>
      <w:r w:rsidR="004A0841" w:rsidRPr="00A116D5">
        <w:rPr>
          <w:rFonts w:ascii="Calibri" w:hAnsi="Calibri"/>
        </w:rPr>
        <w:t xml:space="preserve">definition </w:t>
      </w:r>
      <w:r w:rsidR="006332F6" w:rsidRPr="00A116D5">
        <w:rPr>
          <w:rFonts w:ascii="Calibri" w:hAnsi="Calibri"/>
        </w:rPr>
        <w:t>of osteoporosis.</w:t>
      </w:r>
      <w:r w:rsidRPr="00A116D5">
        <w:rPr>
          <w:rFonts w:ascii="Calibri" w:hAnsi="Calibri"/>
        </w:rPr>
        <w:t xml:space="preserve"> </w:t>
      </w:r>
      <w:r w:rsidR="00A275D7">
        <w:rPr>
          <w:rFonts w:ascii="Calibri" w:hAnsi="Calibri"/>
        </w:rPr>
        <w:t xml:space="preserve"> </w:t>
      </w:r>
      <w:r w:rsidR="00442D4C" w:rsidRPr="00A116D5">
        <w:rPr>
          <w:rFonts w:ascii="Calibri" w:hAnsi="Calibri"/>
        </w:rPr>
        <w:t>Osteoporosis was defined</w:t>
      </w:r>
      <w:r w:rsidRPr="00A116D5">
        <w:rPr>
          <w:rFonts w:ascii="Calibri" w:hAnsi="Calibri"/>
        </w:rPr>
        <w:t xml:space="preserve"> as a BMD that was 2.5 standard deviations </w:t>
      </w:r>
      <w:r w:rsidR="004A0841" w:rsidRPr="00A116D5">
        <w:rPr>
          <w:rFonts w:ascii="Calibri" w:hAnsi="Calibri"/>
        </w:rPr>
        <w:t xml:space="preserve">or more </w:t>
      </w:r>
      <w:r w:rsidRPr="00A116D5">
        <w:rPr>
          <w:rFonts w:ascii="Calibri" w:hAnsi="Calibri"/>
        </w:rPr>
        <w:t xml:space="preserve">below the mean value of young healthy women </w:t>
      </w:r>
      <w:r w:rsidR="00370E1F" w:rsidRPr="00A116D5">
        <w:rPr>
          <w:rFonts w:ascii="Calibri" w:hAnsi="Calibri"/>
        </w:rPr>
        <w:t>i.e.,</w:t>
      </w:r>
      <w:r w:rsidRPr="00A116D5">
        <w:rPr>
          <w:rFonts w:ascii="Calibri" w:hAnsi="Calibri"/>
        </w:rPr>
        <w:t xml:space="preserve"> a T-score </w:t>
      </w:r>
      <w:r w:rsidR="00A11374" w:rsidRPr="00A116D5">
        <w:rPr>
          <w:rFonts w:ascii="Calibri" w:hAnsi="Calibri" w:cs="Calibri"/>
        </w:rPr>
        <w:t>≤</w:t>
      </w:r>
      <w:r w:rsidRPr="00A116D5">
        <w:rPr>
          <w:rFonts w:ascii="Calibri" w:hAnsi="Calibri"/>
        </w:rPr>
        <w:t>-2.5 SD</w:t>
      </w:r>
      <w:r w:rsidR="00442D4C" w:rsidRPr="00A116D5">
        <w:rPr>
          <w:rFonts w:ascii="Calibri" w:hAnsi="Calibri"/>
        </w:rPr>
        <w:t xml:space="preserve"> </w:t>
      </w:r>
      <w:r w:rsidR="00370E1F" w:rsidRPr="00A116D5">
        <w:rPr>
          <w:rFonts w:ascii="Calibri" w:hAnsi="Calibri"/>
        </w:rPr>
        <w:t>[</w:t>
      </w:r>
      <w:r w:rsidR="00207102">
        <w:rPr>
          <w:rFonts w:ascii="Calibri" w:hAnsi="Calibri"/>
        </w:rPr>
        <w:t>8,9</w:t>
      </w:r>
      <w:r w:rsidR="00C97205" w:rsidRPr="00A116D5">
        <w:rPr>
          <w:rFonts w:ascii="Calibri" w:hAnsi="Calibri"/>
        </w:rPr>
        <w:t>]</w:t>
      </w:r>
      <w:r w:rsidRPr="00A116D5">
        <w:rPr>
          <w:rFonts w:ascii="Calibri" w:hAnsi="Calibri"/>
        </w:rPr>
        <w:t xml:space="preserve">. </w:t>
      </w:r>
      <w:r w:rsidR="00631406" w:rsidRPr="00A116D5">
        <w:rPr>
          <w:rFonts w:ascii="Calibri" w:hAnsi="Calibri"/>
        </w:rPr>
        <w:t xml:space="preserve"> </w:t>
      </w:r>
      <w:r w:rsidR="00150ED8" w:rsidRPr="00A116D5">
        <w:rPr>
          <w:rFonts w:ascii="Calibri" w:hAnsi="Calibri"/>
        </w:rPr>
        <w:t xml:space="preserve">An important asset of the definition was that it </w:t>
      </w:r>
      <w:r w:rsidR="00905E6F" w:rsidRPr="00A116D5">
        <w:rPr>
          <w:rFonts w:ascii="Calibri" w:hAnsi="Calibri"/>
        </w:rPr>
        <w:t xml:space="preserve">provided a </w:t>
      </w:r>
      <w:r w:rsidR="00C8233F" w:rsidRPr="00A116D5">
        <w:rPr>
          <w:rFonts w:ascii="Calibri" w:hAnsi="Calibri"/>
        </w:rPr>
        <w:t>standardised description</w:t>
      </w:r>
      <w:r w:rsidR="00905E6F" w:rsidRPr="00A116D5">
        <w:rPr>
          <w:rFonts w:ascii="Calibri" w:hAnsi="Calibri"/>
        </w:rPr>
        <w:t xml:space="preserve"> that allowed the comparison of</w:t>
      </w:r>
      <w:r w:rsidR="00150ED8" w:rsidRPr="00A116D5">
        <w:rPr>
          <w:rFonts w:ascii="Calibri" w:hAnsi="Calibri"/>
        </w:rPr>
        <w:t xml:space="preserve"> osteoporosis prevalence across countries and regions</w:t>
      </w:r>
      <w:r w:rsidR="00B648D1" w:rsidRPr="00A116D5">
        <w:rPr>
          <w:rFonts w:ascii="Calibri" w:hAnsi="Calibri"/>
        </w:rPr>
        <w:t>,</w:t>
      </w:r>
      <w:r w:rsidR="00150ED8" w:rsidRPr="00A116D5">
        <w:rPr>
          <w:rFonts w:ascii="Calibri" w:hAnsi="Calibri"/>
        </w:rPr>
        <w:t xml:space="preserve"> and </w:t>
      </w:r>
      <w:r w:rsidR="00C8233F" w:rsidRPr="00A116D5">
        <w:rPr>
          <w:rFonts w:ascii="Calibri" w:hAnsi="Calibri"/>
        </w:rPr>
        <w:t xml:space="preserve">secular trends. </w:t>
      </w:r>
      <w:r w:rsidR="00C14BA8" w:rsidRPr="00A116D5">
        <w:rPr>
          <w:rFonts w:ascii="Calibri" w:hAnsi="Calibri"/>
        </w:rPr>
        <w:t xml:space="preserve"> </w:t>
      </w:r>
      <w:r w:rsidR="00C8233F" w:rsidRPr="00A116D5">
        <w:rPr>
          <w:rFonts w:ascii="Calibri" w:hAnsi="Calibri"/>
        </w:rPr>
        <w:t xml:space="preserve">The </w:t>
      </w:r>
      <w:r w:rsidR="00C14BA8" w:rsidRPr="00A116D5">
        <w:rPr>
          <w:rFonts w:ascii="Calibri" w:hAnsi="Calibri"/>
        </w:rPr>
        <w:t>term ‘esta</w:t>
      </w:r>
      <w:r w:rsidR="00DA5DDE" w:rsidRPr="00A116D5">
        <w:rPr>
          <w:rFonts w:ascii="Calibri" w:hAnsi="Calibri"/>
        </w:rPr>
        <w:t>b</w:t>
      </w:r>
      <w:r w:rsidR="00C14BA8" w:rsidRPr="00A116D5">
        <w:rPr>
          <w:rFonts w:ascii="Calibri" w:hAnsi="Calibri"/>
        </w:rPr>
        <w:t>lished osteoporosis’ was coined to denote the same BMD criteria</w:t>
      </w:r>
      <w:r w:rsidR="002A2A23" w:rsidRPr="00A116D5">
        <w:rPr>
          <w:rFonts w:ascii="Calibri" w:hAnsi="Calibri"/>
        </w:rPr>
        <w:t xml:space="preserve"> </w:t>
      </w:r>
      <w:r w:rsidR="00C14BA8" w:rsidRPr="00A116D5">
        <w:rPr>
          <w:rFonts w:ascii="Calibri" w:hAnsi="Calibri"/>
        </w:rPr>
        <w:t>but in the presence of a prior fragility fracture</w:t>
      </w:r>
      <w:r w:rsidR="002A2A23" w:rsidRPr="00A116D5">
        <w:rPr>
          <w:rFonts w:ascii="Calibri" w:hAnsi="Calibri"/>
        </w:rPr>
        <w:t xml:space="preserve">. </w:t>
      </w:r>
      <w:r w:rsidR="00C9229D" w:rsidRPr="00A116D5">
        <w:rPr>
          <w:rFonts w:ascii="Calibri" w:hAnsi="Calibri"/>
        </w:rPr>
        <w:t xml:space="preserve"> </w:t>
      </w:r>
      <w:r w:rsidRPr="00A116D5">
        <w:rPr>
          <w:rFonts w:ascii="Calibri" w:hAnsi="Calibri"/>
        </w:rPr>
        <w:t>The criteri</w:t>
      </w:r>
      <w:r w:rsidR="00A11374" w:rsidRPr="00A116D5">
        <w:rPr>
          <w:rFonts w:ascii="Calibri" w:hAnsi="Calibri"/>
        </w:rPr>
        <w:t>a</w:t>
      </w:r>
      <w:r w:rsidRPr="00A116D5">
        <w:rPr>
          <w:rFonts w:ascii="Calibri" w:hAnsi="Calibri"/>
        </w:rPr>
        <w:t xml:space="preserve"> w</w:t>
      </w:r>
      <w:r w:rsidR="00A11374" w:rsidRPr="00A116D5">
        <w:rPr>
          <w:rFonts w:ascii="Calibri" w:hAnsi="Calibri"/>
        </w:rPr>
        <w:t>ere</w:t>
      </w:r>
      <w:r w:rsidRPr="00A116D5">
        <w:rPr>
          <w:rFonts w:ascii="Calibri" w:hAnsi="Calibri"/>
        </w:rPr>
        <w:t xml:space="preserve"> subsequently updated </w:t>
      </w:r>
      <w:r w:rsidR="00A11374" w:rsidRPr="00A116D5">
        <w:rPr>
          <w:rFonts w:ascii="Calibri" w:hAnsi="Calibri"/>
        </w:rPr>
        <w:t xml:space="preserve">and refined </w:t>
      </w:r>
      <w:r w:rsidRPr="00A116D5">
        <w:rPr>
          <w:rFonts w:ascii="Calibri" w:hAnsi="Calibri"/>
        </w:rPr>
        <w:t xml:space="preserve">to remove the ambiguity of using multiple sites for BMD measurement, different reference values for calculating T-scores and to provide </w:t>
      </w:r>
      <w:r w:rsidR="006F7495" w:rsidRPr="00A116D5">
        <w:rPr>
          <w:rFonts w:ascii="Calibri" w:hAnsi="Calibri"/>
        </w:rPr>
        <w:t xml:space="preserve">a </w:t>
      </w:r>
      <w:r w:rsidRPr="00A116D5">
        <w:rPr>
          <w:rFonts w:ascii="Calibri" w:hAnsi="Calibri"/>
        </w:rPr>
        <w:t>definition for men aged 50 years or more</w:t>
      </w:r>
      <w:r w:rsidR="00370E1F" w:rsidRPr="00A116D5">
        <w:rPr>
          <w:rFonts w:ascii="Calibri" w:hAnsi="Calibri"/>
        </w:rPr>
        <w:t xml:space="preserve"> [</w:t>
      </w:r>
      <w:r w:rsidR="00207102">
        <w:rPr>
          <w:rFonts w:ascii="Calibri" w:hAnsi="Calibri"/>
        </w:rPr>
        <w:t>10</w:t>
      </w:r>
      <w:r w:rsidR="007A0EA3" w:rsidRPr="00A116D5">
        <w:rPr>
          <w:rFonts w:ascii="Calibri" w:hAnsi="Calibri"/>
        </w:rPr>
        <w:t>]</w:t>
      </w:r>
      <w:r w:rsidR="000806C4" w:rsidRPr="00A116D5">
        <w:rPr>
          <w:rFonts w:ascii="Calibri" w:hAnsi="Calibri"/>
        </w:rPr>
        <w:t>.</w:t>
      </w:r>
      <w:r w:rsidRPr="00A116D5">
        <w:rPr>
          <w:rFonts w:ascii="Calibri" w:hAnsi="Calibri"/>
        </w:rPr>
        <w:t xml:space="preserve">  The reference range </w:t>
      </w:r>
      <w:r w:rsidR="00C14BA8" w:rsidRPr="00A116D5">
        <w:rPr>
          <w:rFonts w:ascii="Calibri" w:hAnsi="Calibri"/>
        </w:rPr>
        <w:t xml:space="preserve">for calculating the T-score in both men and women </w:t>
      </w:r>
      <w:r w:rsidRPr="00A116D5">
        <w:rPr>
          <w:rFonts w:ascii="Calibri" w:hAnsi="Calibri"/>
        </w:rPr>
        <w:t>is the Third National Health</w:t>
      </w:r>
      <w:r w:rsidRPr="005B705C">
        <w:rPr>
          <w:rFonts w:ascii="Calibri" w:hAnsi="Calibri"/>
        </w:rPr>
        <w:t xml:space="preserve"> and Nutrition Examination Survey (NHANES III) database for femoral neck measurements </w:t>
      </w:r>
      <w:r w:rsidRPr="00A116D5">
        <w:rPr>
          <w:rFonts w:ascii="Calibri" w:hAnsi="Calibri"/>
        </w:rPr>
        <w:t xml:space="preserve">in White women aged 20–29 years </w:t>
      </w:r>
      <w:r w:rsidR="00BE3884">
        <w:rPr>
          <w:rFonts w:ascii="Calibri" w:hAnsi="Calibri"/>
        </w:rPr>
        <w:t>[11]</w:t>
      </w:r>
      <w:r w:rsidR="00E50065" w:rsidRPr="00A116D5">
        <w:rPr>
          <w:rFonts w:ascii="Calibri" w:hAnsi="Calibri"/>
        </w:rPr>
        <w:t xml:space="preserve"> </w:t>
      </w:r>
      <w:r w:rsidRPr="00A116D5">
        <w:rPr>
          <w:rFonts w:ascii="Calibri" w:hAnsi="Calibri"/>
        </w:rPr>
        <w:t xml:space="preserve">as recommended by the International Osteoporosis Foundation, the National Osteoporosis </w:t>
      </w:r>
      <w:proofErr w:type="gramStart"/>
      <w:r w:rsidRPr="00A116D5">
        <w:rPr>
          <w:rFonts w:ascii="Calibri" w:hAnsi="Calibri"/>
        </w:rPr>
        <w:t>Foundation</w:t>
      </w:r>
      <w:proofErr w:type="gramEnd"/>
      <w:r w:rsidRPr="00A116D5">
        <w:rPr>
          <w:rFonts w:ascii="Calibri" w:hAnsi="Calibri"/>
        </w:rPr>
        <w:t xml:space="preserve"> and the International Society of Clinical </w:t>
      </w:r>
      <w:r w:rsidRPr="00BE3884">
        <w:rPr>
          <w:rFonts w:ascii="Calibri" w:hAnsi="Calibri"/>
        </w:rPr>
        <w:t>Densitometry</w:t>
      </w:r>
      <w:r w:rsidR="001B76C4" w:rsidRPr="00BE3884">
        <w:rPr>
          <w:rFonts w:ascii="Calibri" w:hAnsi="Calibri"/>
        </w:rPr>
        <w:t xml:space="preserve"> [</w:t>
      </w:r>
      <w:r w:rsidR="00BE3884" w:rsidRPr="00BE3884">
        <w:rPr>
          <w:rFonts w:ascii="Calibri" w:hAnsi="Calibri"/>
        </w:rPr>
        <w:t>12, 13, 14</w:t>
      </w:r>
      <w:r w:rsidR="00AD3879" w:rsidRPr="00BE3884">
        <w:rPr>
          <w:rFonts w:ascii="Calibri" w:hAnsi="Calibri"/>
        </w:rPr>
        <w:t>]</w:t>
      </w:r>
      <w:r w:rsidRPr="00BE3884">
        <w:rPr>
          <w:rFonts w:ascii="Calibri" w:hAnsi="Calibri"/>
        </w:rPr>
        <w:t xml:space="preserve">. </w:t>
      </w:r>
      <w:r w:rsidR="00243C0A" w:rsidRPr="00BE3884">
        <w:rPr>
          <w:rFonts w:ascii="Calibri" w:hAnsi="Calibri"/>
        </w:rPr>
        <w:t>The referents</w:t>
      </w:r>
      <w:r w:rsidR="00243C0A" w:rsidRPr="00A116D5">
        <w:rPr>
          <w:rFonts w:ascii="Calibri" w:hAnsi="Calibri"/>
        </w:rPr>
        <w:t xml:space="preserve"> in women apply equally to men aged 50 years or more since the gradient of risk and the age-adjusted risk of hip </w:t>
      </w:r>
      <w:r w:rsidR="00243C0A" w:rsidRPr="00393165">
        <w:rPr>
          <w:rFonts w:ascii="Calibri" w:hAnsi="Calibri"/>
        </w:rPr>
        <w:t>fracture for any given BMD at the femoral neck is similar in both sexes</w:t>
      </w:r>
      <w:r w:rsidR="00FA7404" w:rsidRPr="00393165">
        <w:rPr>
          <w:rFonts w:ascii="Calibri" w:hAnsi="Calibri"/>
        </w:rPr>
        <w:t xml:space="preserve"> [</w:t>
      </w:r>
      <w:r w:rsidR="00393165" w:rsidRPr="00393165">
        <w:rPr>
          <w:rFonts w:ascii="Calibri" w:hAnsi="Calibri"/>
        </w:rPr>
        <w:t>15</w:t>
      </w:r>
      <w:r w:rsidR="0084123A" w:rsidRPr="00393165">
        <w:rPr>
          <w:rFonts w:ascii="Calibri" w:hAnsi="Calibri"/>
        </w:rPr>
        <w:t xml:space="preserve">, </w:t>
      </w:r>
      <w:r w:rsidR="00147930" w:rsidRPr="00393165">
        <w:rPr>
          <w:rFonts w:ascii="Calibri" w:hAnsi="Calibri"/>
        </w:rPr>
        <w:t>1</w:t>
      </w:r>
      <w:r w:rsidR="00393165" w:rsidRPr="00393165">
        <w:rPr>
          <w:rFonts w:ascii="Calibri" w:hAnsi="Calibri"/>
        </w:rPr>
        <w:t>6</w:t>
      </w:r>
      <w:r w:rsidR="00147930" w:rsidRPr="00393165">
        <w:rPr>
          <w:rFonts w:ascii="Calibri" w:hAnsi="Calibri"/>
        </w:rPr>
        <w:t>, 1</w:t>
      </w:r>
      <w:r w:rsidR="00393165" w:rsidRPr="00393165">
        <w:rPr>
          <w:rFonts w:ascii="Calibri" w:hAnsi="Calibri"/>
        </w:rPr>
        <w:t>7</w:t>
      </w:r>
      <w:r w:rsidR="00147930" w:rsidRPr="00393165">
        <w:rPr>
          <w:rFonts w:ascii="Calibri" w:hAnsi="Calibri"/>
        </w:rPr>
        <w:t>]</w:t>
      </w:r>
      <w:r w:rsidR="00B63187" w:rsidRPr="00393165">
        <w:rPr>
          <w:rFonts w:ascii="Calibri" w:hAnsi="Calibri"/>
        </w:rPr>
        <w:t>.</w:t>
      </w:r>
      <w:r w:rsidR="00C87A5E" w:rsidRPr="00393165">
        <w:rPr>
          <w:rFonts w:ascii="Calibri" w:hAnsi="Calibri" w:cs="AdvGulliv-R"/>
          <w:color w:val="000000"/>
        </w:rPr>
        <w:t xml:space="preserve"> The question a</w:t>
      </w:r>
      <w:r w:rsidR="00C87A5E" w:rsidRPr="00A116D5">
        <w:rPr>
          <w:rFonts w:ascii="Calibri" w:hAnsi="Calibri" w:cs="AdvGulliv-R"/>
          <w:color w:val="000000"/>
        </w:rPr>
        <w:t>rises whether the operational definition of osteoporosis should automatically also define the intervention threshold for management of patients in clinical practice</w:t>
      </w:r>
      <w:r w:rsidR="002A2A23" w:rsidRPr="00A116D5">
        <w:rPr>
          <w:rFonts w:ascii="Calibri" w:hAnsi="Calibri" w:cs="AdvGulliv-R"/>
          <w:color w:val="000000"/>
        </w:rPr>
        <w:t>.</w:t>
      </w:r>
    </w:p>
    <w:p w14:paraId="4E3ECABB" w14:textId="77777777" w:rsidR="00940A22" w:rsidRDefault="00940A22" w:rsidP="00854F48">
      <w:pPr>
        <w:ind w:right="543"/>
        <w:rPr>
          <w:rFonts w:ascii="Calibri" w:hAnsi="Calibri" w:cs="AdvGulliv-R"/>
          <w:b/>
          <w:bCs/>
          <w:iCs/>
          <w:color w:val="000000"/>
        </w:rPr>
      </w:pPr>
      <w:bookmarkStart w:id="4" w:name="_Hlk105065669"/>
    </w:p>
    <w:p w14:paraId="0BF64A4F" w14:textId="77777777" w:rsidR="00940A22" w:rsidRDefault="00940A22" w:rsidP="00854F48">
      <w:pPr>
        <w:ind w:right="543"/>
        <w:rPr>
          <w:rFonts w:ascii="Calibri" w:hAnsi="Calibri" w:cs="AdvGulliv-R"/>
          <w:b/>
          <w:bCs/>
          <w:iCs/>
          <w:color w:val="000000"/>
        </w:rPr>
      </w:pPr>
    </w:p>
    <w:p w14:paraId="46989746" w14:textId="59F44B36" w:rsidR="00724592" w:rsidRDefault="005E7572" w:rsidP="00854F48">
      <w:pPr>
        <w:ind w:right="543"/>
        <w:rPr>
          <w:rFonts w:ascii="Calibri" w:hAnsi="Calibri" w:cs="AdvGulliv-R"/>
          <w:b/>
          <w:bCs/>
          <w:iCs/>
          <w:color w:val="000000"/>
        </w:rPr>
      </w:pPr>
      <w:r>
        <w:rPr>
          <w:rFonts w:ascii="Calibri" w:hAnsi="Calibri" w:cs="AdvGulliv-R"/>
          <w:b/>
          <w:bCs/>
          <w:iCs/>
          <w:color w:val="000000"/>
        </w:rPr>
        <w:t>Diagnostic criteria</w:t>
      </w:r>
    </w:p>
    <w:p w14:paraId="5534BBA1" w14:textId="1637FE92" w:rsidR="0017253B" w:rsidRPr="002A2A23" w:rsidRDefault="0017253B" w:rsidP="00854F48">
      <w:pPr>
        <w:ind w:right="543"/>
        <w:rPr>
          <w:rFonts w:ascii="Calibri" w:hAnsi="Calibri" w:cs="AdvGulliv-R"/>
          <w:iCs/>
          <w:color w:val="000000"/>
          <w:u w:val="single"/>
        </w:rPr>
      </w:pPr>
      <w:r w:rsidRPr="002A2A23">
        <w:rPr>
          <w:rFonts w:ascii="Calibri" w:hAnsi="Calibri" w:cs="AdvGulliv-R"/>
          <w:iCs/>
          <w:color w:val="000000"/>
          <w:u w:val="single"/>
        </w:rPr>
        <w:t xml:space="preserve">The </w:t>
      </w:r>
      <w:r w:rsidR="00724592" w:rsidRPr="002A2A23">
        <w:rPr>
          <w:rFonts w:ascii="Calibri" w:hAnsi="Calibri" w:cs="AdvGulliv-R"/>
          <w:iCs/>
          <w:color w:val="000000"/>
          <w:u w:val="single"/>
        </w:rPr>
        <w:t xml:space="preserve">established role of </w:t>
      </w:r>
      <w:r w:rsidRPr="002A2A23">
        <w:rPr>
          <w:rFonts w:ascii="Calibri" w:hAnsi="Calibri" w:cs="AdvGulliv-R"/>
          <w:iCs/>
          <w:color w:val="000000"/>
          <w:u w:val="single"/>
        </w:rPr>
        <w:t>BMD</w:t>
      </w:r>
    </w:p>
    <w:bookmarkEnd w:id="4"/>
    <w:p w14:paraId="447E7DF8" w14:textId="1BB9394D" w:rsidR="00C736CA" w:rsidRPr="006B4132" w:rsidRDefault="00892306" w:rsidP="00C736CA">
      <w:pPr>
        <w:ind w:right="543"/>
        <w:rPr>
          <w:rFonts w:ascii="Calibri" w:hAnsi="Calibri" w:cs="AdvGulliv-R"/>
          <w:iCs/>
          <w:color w:val="000000"/>
        </w:rPr>
      </w:pPr>
      <w:r w:rsidRPr="00892306">
        <w:rPr>
          <w:rFonts w:ascii="Calibri" w:hAnsi="Calibri" w:cs="AdvGulliv-R"/>
          <w:iCs/>
          <w:color w:val="000000"/>
        </w:rPr>
        <w:t xml:space="preserve">The </w:t>
      </w:r>
      <w:r w:rsidR="007A24B5">
        <w:rPr>
          <w:rFonts w:ascii="Calibri" w:hAnsi="Calibri" w:cs="AdvGulliv-R"/>
          <w:iCs/>
          <w:color w:val="000000"/>
        </w:rPr>
        <w:t>1994</w:t>
      </w:r>
      <w:r w:rsidR="00A942E1">
        <w:rPr>
          <w:rFonts w:ascii="Calibri" w:hAnsi="Calibri" w:cs="AdvGulliv-R"/>
          <w:iCs/>
          <w:color w:val="000000"/>
        </w:rPr>
        <w:t xml:space="preserve"> </w:t>
      </w:r>
      <w:r w:rsidRPr="006B4132">
        <w:rPr>
          <w:rFonts w:ascii="Calibri" w:hAnsi="Calibri" w:cs="AdvGulliv-R"/>
          <w:iCs/>
          <w:color w:val="000000"/>
        </w:rPr>
        <w:t>definition</w:t>
      </w:r>
      <w:r w:rsidR="00755633" w:rsidRPr="006B4132">
        <w:rPr>
          <w:rFonts w:ascii="Calibri" w:hAnsi="Calibri" w:cs="AdvGulliv-R"/>
          <w:iCs/>
          <w:color w:val="000000"/>
        </w:rPr>
        <w:t xml:space="preserve"> of </w:t>
      </w:r>
      <w:r w:rsidR="00E17A73" w:rsidRPr="006B4132">
        <w:rPr>
          <w:rFonts w:ascii="Calibri" w:hAnsi="Calibri" w:cs="AdvGulliv-R"/>
          <w:iCs/>
          <w:color w:val="000000"/>
        </w:rPr>
        <w:t>osteoporosis</w:t>
      </w:r>
      <w:r w:rsidRPr="006B4132">
        <w:rPr>
          <w:rFonts w:ascii="Calibri" w:hAnsi="Calibri" w:cs="AdvGulliv-R"/>
          <w:iCs/>
          <w:color w:val="000000"/>
        </w:rPr>
        <w:t xml:space="preserve"> </w:t>
      </w:r>
      <w:r w:rsidR="00935445" w:rsidRPr="006B4132">
        <w:rPr>
          <w:rFonts w:ascii="Calibri" w:hAnsi="Calibri" w:cs="AdvGulliv-R"/>
          <w:iCs/>
          <w:color w:val="000000"/>
        </w:rPr>
        <w:t>rapidly</w:t>
      </w:r>
      <w:r w:rsidRPr="006B4132">
        <w:rPr>
          <w:rFonts w:ascii="Calibri" w:hAnsi="Calibri" w:cs="AdvGulliv-R"/>
          <w:iCs/>
          <w:color w:val="000000"/>
        </w:rPr>
        <w:t xml:space="preserve"> won general </w:t>
      </w:r>
      <w:r w:rsidR="00B74905" w:rsidRPr="006B4132">
        <w:rPr>
          <w:rFonts w:ascii="Calibri" w:hAnsi="Calibri" w:cs="AdvGulliv-R"/>
          <w:iCs/>
          <w:color w:val="000000"/>
        </w:rPr>
        <w:t>acceptance</w:t>
      </w:r>
      <w:r w:rsidRPr="006B4132">
        <w:rPr>
          <w:rFonts w:ascii="Calibri" w:hAnsi="Calibri" w:cs="AdvGulliv-R"/>
          <w:iCs/>
          <w:color w:val="000000"/>
        </w:rPr>
        <w:t>, shown by its almost immediate</w:t>
      </w:r>
      <w:r w:rsidR="00B74905" w:rsidRPr="006B4132">
        <w:rPr>
          <w:rFonts w:ascii="Calibri" w:hAnsi="Calibri" w:cs="AdvGulliv-R"/>
          <w:iCs/>
          <w:color w:val="000000"/>
        </w:rPr>
        <w:t xml:space="preserve"> </w:t>
      </w:r>
      <w:r w:rsidRPr="006B4132">
        <w:rPr>
          <w:rFonts w:ascii="Calibri" w:hAnsi="Calibri" w:cs="AdvGulliv-R"/>
          <w:iCs/>
          <w:color w:val="000000"/>
        </w:rPr>
        <w:t>use in clinical practice and research, and through its inclusion in</w:t>
      </w:r>
      <w:r w:rsidR="008F5F53" w:rsidRPr="006B4132">
        <w:rPr>
          <w:rFonts w:ascii="Calibri" w:hAnsi="Calibri" w:cs="AdvGulliv-R"/>
          <w:iCs/>
          <w:color w:val="000000"/>
        </w:rPr>
        <w:t xml:space="preserve"> </w:t>
      </w:r>
      <w:r w:rsidRPr="006B4132">
        <w:rPr>
          <w:rFonts w:ascii="Calibri" w:hAnsi="Calibri" w:cs="AdvGulliv-R"/>
          <w:iCs/>
          <w:color w:val="000000"/>
        </w:rPr>
        <w:t xml:space="preserve">medical reference books by </w:t>
      </w:r>
      <w:r w:rsidRPr="00234C43">
        <w:rPr>
          <w:rFonts w:ascii="Calibri" w:hAnsi="Calibri" w:cs="AdvGulliv-R"/>
          <w:iCs/>
          <w:color w:val="000000"/>
        </w:rPr>
        <w:t xml:space="preserve">1995 </w:t>
      </w:r>
      <w:r w:rsidR="00742077" w:rsidRPr="00234C43">
        <w:rPr>
          <w:rFonts w:ascii="Calibri" w:hAnsi="Calibri" w:cs="AdvGulliv-R"/>
          <w:iCs/>
          <w:color w:val="000000"/>
        </w:rPr>
        <w:t>[</w:t>
      </w:r>
      <w:r w:rsidR="006C2EB2" w:rsidRPr="00234C43">
        <w:rPr>
          <w:rFonts w:ascii="Calibri" w:hAnsi="Calibri" w:cs="AdvGulliv-R"/>
          <w:iCs/>
          <w:color w:val="000000"/>
        </w:rPr>
        <w:t>1</w:t>
      </w:r>
      <w:r w:rsidR="0000143F" w:rsidRPr="00234C43">
        <w:rPr>
          <w:rFonts w:ascii="Calibri" w:hAnsi="Calibri" w:cs="AdvGulliv-R"/>
          <w:iCs/>
          <w:color w:val="000000"/>
        </w:rPr>
        <w:t>8</w:t>
      </w:r>
      <w:r w:rsidR="006C2EB2" w:rsidRPr="00234C43">
        <w:rPr>
          <w:rFonts w:ascii="Calibri" w:hAnsi="Calibri" w:cs="AdvGulliv-R"/>
          <w:iCs/>
          <w:color w:val="000000"/>
        </w:rPr>
        <w:t>]</w:t>
      </w:r>
      <w:r w:rsidR="00742077" w:rsidRPr="00234C43">
        <w:rPr>
          <w:rFonts w:ascii="Calibri" w:hAnsi="Calibri" w:cs="AdvGulliv-R"/>
          <w:iCs/>
          <w:color w:val="000000"/>
        </w:rPr>
        <w:t xml:space="preserve">.  </w:t>
      </w:r>
      <w:r w:rsidRPr="00234C43">
        <w:rPr>
          <w:rFonts w:ascii="Calibri" w:hAnsi="Calibri" w:cs="AdvGulliv-R"/>
          <w:iCs/>
          <w:color w:val="000000"/>
        </w:rPr>
        <w:t>A</w:t>
      </w:r>
      <w:r w:rsidRPr="006B4132">
        <w:rPr>
          <w:rFonts w:ascii="Calibri" w:hAnsi="Calibri" w:cs="AdvGulliv-R"/>
          <w:iCs/>
          <w:color w:val="000000"/>
        </w:rPr>
        <w:t xml:space="preserve"> 2003 WHO report restate</w:t>
      </w:r>
      <w:r w:rsidR="00742077" w:rsidRPr="006B4132">
        <w:rPr>
          <w:rFonts w:ascii="Calibri" w:hAnsi="Calibri" w:cs="AdvGulliv-R"/>
          <w:iCs/>
          <w:color w:val="000000"/>
        </w:rPr>
        <w:t>d</w:t>
      </w:r>
      <w:r w:rsidRPr="006B4132">
        <w:rPr>
          <w:rFonts w:ascii="Calibri" w:hAnsi="Calibri" w:cs="AdvGulliv-R"/>
          <w:iCs/>
          <w:color w:val="000000"/>
        </w:rPr>
        <w:t xml:space="preserve"> the 1994 standards, a powerful</w:t>
      </w:r>
      <w:r w:rsidR="00E54891" w:rsidRPr="006B4132">
        <w:rPr>
          <w:rFonts w:ascii="Calibri" w:hAnsi="Calibri" w:cs="AdvGulliv-R"/>
          <w:iCs/>
          <w:color w:val="000000"/>
        </w:rPr>
        <w:t xml:space="preserve"> </w:t>
      </w:r>
      <w:r w:rsidRPr="006B4132">
        <w:rPr>
          <w:rFonts w:ascii="Calibri" w:hAnsi="Calibri" w:cs="AdvGulliv-R"/>
          <w:iCs/>
          <w:color w:val="000000"/>
        </w:rPr>
        <w:t xml:space="preserve">indication of their usefulness and acceptance: </w:t>
      </w:r>
      <w:r w:rsidR="0087103B" w:rsidRPr="006B4132">
        <w:rPr>
          <w:rFonts w:ascii="Calibri" w:hAnsi="Calibri" w:cs="AdvGulliv-R"/>
          <w:iCs/>
          <w:color w:val="000000"/>
        </w:rPr>
        <w:t>‘the</w:t>
      </w:r>
      <w:r w:rsidRPr="006B4132">
        <w:rPr>
          <w:rFonts w:ascii="Calibri" w:hAnsi="Calibri" w:cs="AdvGulliv-R"/>
          <w:iCs/>
          <w:color w:val="000000"/>
        </w:rPr>
        <w:t xml:space="preserve"> cornerstone</w:t>
      </w:r>
      <w:r w:rsidR="00E54891" w:rsidRPr="006B4132">
        <w:rPr>
          <w:rFonts w:ascii="Calibri" w:hAnsi="Calibri" w:cs="AdvGulliv-R"/>
          <w:iCs/>
          <w:color w:val="000000"/>
        </w:rPr>
        <w:t xml:space="preserve"> </w:t>
      </w:r>
      <w:r w:rsidRPr="006B4132">
        <w:rPr>
          <w:rFonts w:ascii="Calibri" w:hAnsi="Calibri" w:cs="AdvGulliv-R"/>
          <w:iCs/>
          <w:color w:val="000000"/>
        </w:rPr>
        <w:t>of diagnosis is the measurement of bone mineral density.</w:t>
      </w:r>
      <w:r w:rsidR="00095505" w:rsidRPr="006B4132">
        <w:rPr>
          <w:rFonts w:ascii="Calibri" w:hAnsi="Calibri" w:cs="AdvGulliv-R"/>
          <w:iCs/>
          <w:color w:val="000000"/>
        </w:rPr>
        <w:t xml:space="preserve">  </w:t>
      </w:r>
      <w:r w:rsidRPr="006B4132">
        <w:rPr>
          <w:rFonts w:ascii="Calibri" w:hAnsi="Calibri" w:cs="AdvGulliv-R"/>
          <w:iCs/>
          <w:color w:val="000000"/>
        </w:rPr>
        <w:t>Diagnostic thresholds offered by the WHO have been widely</w:t>
      </w:r>
      <w:r w:rsidR="00095505" w:rsidRPr="006B4132">
        <w:rPr>
          <w:rFonts w:ascii="Calibri" w:hAnsi="Calibri" w:cs="AdvGulliv-R"/>
          <w:iCs/>
          <w:color w:val="000000"/>
        </w:rPr>
        <w:t xml:space="preserve"> </w:t>
      </w:r>
      <w:r w:rsidRPr="006B4132">
        <w:rPr>
          <w:rFonts w:ascii="Calibri" w:hAnsi="Calibri" w:cs="AdvGulliv-R"/>
          <w:iCs/>
          <w:color w:val="000000"/>
        </w:rPr>
        <w:t>accepted’ [</w:t>
      </w:r>
      <w:r w:rsidR="00311465" w:rsidRPr="006B4132">
        <w:rPr>
          <w:rFonts w:ascii="Calibri" w:hAnsi="Calibri" w:cs="AdvGulliv-R"/>
          <w:iCs/>
          <w:color w:val="000000"/>
        </w:rPr>
        <w:t>1</w:t>
      </w:r>
      <w:r w:rsidR="00234C43">
        <w:rPr>
          <w:rFonts w:ascii="Calibri" w:hAnsi="Calibri" w:cs="AdvGulliv-R"/>
          <w:iCs/>
          <w:color w:val="000000"/>
        </w:rPr>
        <w:t>9</w:t>
      </w:r>
      <w:r w:rsidR="00311465" w:rsidRPr="006B4132">
        <w:rPr>
          <w:rFonts w:ascii="Calibri" w:hAnsi="Calibri" w:cs="AdvGulliv-R"/>
          <w:iCs/>
          <w:color w:val="000000"/>
        </w:rPr>
        <w:t>]</w:t>
      </w:r>
      <w:r w:rsidRPr="006B4132">
        <w:rPr>
          <w:rFonts w:ascii="Calibri" w:hAnsi="Calibri" w:cs="AdvGulliv-R"/>
          <w:iCs/>
          <w:color w:val="000000"/>
        </w:rPr>
        <w:t xml:space="preserve">. </w:t>
      </w:r>
      <w:r w:rsidR="00310C17" w:rsidRPr="006B4132">
        <w:rPr>
          <w:rFonts w:ascii="Calibri" w:hAnsi="Calibri" w:cs="AdvGulliv-R"/>
          <w:iCs/>
          <w:color w:val="000000"/>
        </w:rPr>
        <w:t xml:space="preserve"> </w:t>
      </w:r>
      <w:r w:rsidR="00C87A5E" w:rsidRPr="006B4132">
        <w:rPr>
          <w:rFonts w:ascii="Calibri" w:hAnsi="Calibri" w:cs="AdvGulliv-R"/>
          <w:color w:val="000000"/>
        </w:rPr>
        <w:t xml:space="preserve">The WHO diagnostic criteria for osteoporosis were soon adopted as inclusion criteria for drug trials and subsequently seen as intervention thresholds.  </w:t>
      </w:r>
      <w:r w:rsidR="00631ECA" w:rsidRPr="006B4132">
        <w:rPr>
          <w:rFonts w:ascii="Calibri" w:hAnsi="Calibri" w:cs="AdvGulliv-R"/>
          <w:iCs/>
          <w:color w:val="000000"/>
        </w:rPr>
        <w:t xml:space="preserve">The use of </w:t>
      </w:r>
      <w:r w:rsidR="008508D2" w:rsidRPr="006B4132">
        <w:rPr>
          <w:rFonts w:ascii="Calibri" w:hAnsi="Calibri" w:cs="AdvGulliv-R"/>
          <w:iCs/>
          <w:color w:val="000000"/>
        </w:rPr>
        <w:t xml:space="preserve">BMD-based diagnostic criteria </w:t>
      </w:r>
      <w:r w:rsidR="00C736CA" w:rsidRPr="006B4132">
        <w:rPr>
          <w:rFonts w:ascii="Calibri" w:hAnsi="Calibri" w:cs="AdvGulliv-R"/>
          <w:iCs/>
          <w:color w:val="000000"/>
        </w:rPr>
        <w:t>has been the basis for the registration of drugs by regulatory agencies</w:t>
      </w:r>
      <w:r w:rsidR="00FD0F4B" w:rsidRPr="006B4132">
        <w:rPr>
          <w:rFonts w:ascii="Calibri" w:hAnsi="Calibri" w:cs="AdvGulliv-R"/>
          <w:iCs/>
          <w:color w:val="000000"/>
        </w:rPr>
        <w:t xml:space="preserve"> includin</w:t>
      </w:r>
      <w:r w:rsidR="00B3255C" w:rsidRPr="006B4132">
        <w:rPr>
          <w:rFonts w:ascii="Calibri" w:hAnsi="Calibri" w:cs="AdvGulliv-R"/>
          <w:iCs/>
          <w:color w:val="000000"/>
        </w:rPr>
        <w:t xml:space="preserve">g the Food and Drug </w:t>
      </w:r>
      <w:r w:rsidR="00BA6B11" w:rsidRPr="006B4132">
        <w:rPr>
          <w:rFonts w:ascii="Calibri" w:hAnsi="Calibri" w:cs="AdvGulliv-R"/>
          <w:iCs/>
          <w:color w:val="000000"/>
        </w:rPr>
        <w:t>Administration</w:t>
      </w:r>
      <w:r w:rsidR="00206D91" w:rsidRPr="006B4132">
        <w:rPr>
          <w:rFonts w:ascii="Calibri" w:hAnsi="Calibri" w:cs="AdvGulliv-R"/>
          <w:iCs/>
          <w:color w:val="000000"/>
        </w:rPr>
        <w:t xml:space="preserve"> in the United States</w:t>
      </w:r>
      <w:r w:rsidR="004B79BD" w:rsidRPr="006B4132">
        <w:rPr>
          <w:rFonts w:ascii="Calibri" w:hAnsi="Calibri" w:cs="AdvGulliv-R"/>
          <w:iCs/>
          <w:color w:val="000000"/>
        </w:rPr>
        <w:t xml:space="preserve">, the European </w:t>
      </w:r>
      <w:r w:rsidR="00BA6B11" w:rsidRPr="006B4132">
        <w:rPr>
          <w:rFonts w:ascii="Calibri" w:hAnsi="Calibri" w:cs="AdvGulliv-R"/>
          <w:iCs/>
          <w:color w:val="000000"/>
        </w:rPr>
        <w:t>Medicines</w:t>
      </w:r>
      <w:r w:rsidR="004B79BD" w:rsidRPr="006B4132">
        <w:rPr>
          <w:rFonts w:ascii="Calibri" w:hAnsi="Calibri" w:cs="AdvGulliv-R"/>
          <w:iCs/>
          <w:color w:val="000000"/>
        </w:rPr>
        <w:t xml:space="preserve"> Agency</w:t>
      </w:r>
      <w:r w:rsidR="00206D91" w:rsidRPr="006B4132">
        <w:rPr>
          <w:rFonts w:ascii="Calibri" w:hAnsi="Calibri" w:cs="AdvGulliv-R"/>
          <w:iCs/>
          <w:color w:val="000000"/>
        </w:rPr>
        <w:t xml:space="preserve"> and Pharmaceuticals and Medical Devices Agency of </w:t>
      </w:r>
      <w:r w:rsidR="00206D91" w:rsidRPr="00A23F5A">
        <w:rPr>
          <w:rFonts w:ascii="Calibri" w:hAnsi="Calibri" w:cs="AdvGulliv-R"/>
          <w:iCs/>
          <w:color w:val="000000"/>
        </w:rPr>
        <w:t>Japan</w:t>
      </w:r>
      <w:r w:rsidR="000F1AE5" w:rsidRPr="00A23F5A">
        <w:rPr>
          <w:rFonts w:ascii="Calibri" w:hAnsi="Calibri" w:cs="AdvGulliv-R"/>
          <w:iCs/>
          <w:color w:val="000000"/>
        </w:rPr>
        <w:t xml:space="preserve"> </w:t>
      </w:r>
      <w:r w:rsidR="0065726B" w:rsidRPr="00A23F5A">
        <w:rPr>
          <w:rFonts w:ascii="Calibri" w:hAnsi="Calibri" w:cs="AdvGulliv-R"/>
          <w:iCs/>
          <w:color w:val="000000"/>
        </w:rPr>
        <w:t>[</w:t>
      </w:r>
      <w:r w:rsidR="00234C43" w:rsidRPr="00A23F5A">
        <w:rPr>
          <w:rFonts w:ascii="Calibri" w:hAnsi="Calibri" w:cs="AdvGulliv-R"/>
          <w:iCs/>
          <w:color w:val="000000"/>
        </w:rPr>
        <w:t>20</w:t>
      </w:r>
      <w:r w:rsidR="00562660" w:rsidRPr="00A23F5A">
        <w:rPr>
          <w:rFonts w:ascii="Calibri" w:hAnsi="Calibri" w:cs="AdvGulliv-R"/>
          <w:iCs/>
          <w:color w:val="000000"/>
        </w:rPr>
        <w:t xml:space="preserve">, </w:t>
      </w:r>
      <w:r w:rsidR="00234C43" w:rsidRPr="00A23F5A">
        <w:rPr>
          <w:rFonts w:ascii="Calibri" w:hAnsi="Calibri" w:cs="AdvGulliv-R"/>
          <w:iCs/>
          <w:color w:val="000000"/>
        </w:rPr>
        <w:t>21</w:t>
      </w:r>
      <w:r w:rsidR="0037584D" w:rsidRPr="00A23F5A">
        <w:rPr>
          <w:rFonts w:ascii="Calibri" w:hAnsi="Calibri" w:cs="AdvGulliv-R"/>
          <w:iCs/>
          <w:color w:val="000000"/>
        </w:rPr>
        <w:t xml:space="preserve">, </w:t>
      </w:r>
      <w:r w:rsidR="00234C43" w:rsidRPr="00A23F5A">
        <w:rPr>
          <w:rFonts w:ascii="Calibri" w:hAnsi="Calibri" w:cs="AdvGulliv-R"/>
          <w:iCs/>
          <w:color w:val="000000"/>
        </w:rPr>
        <w:t>22</w:t>
      </w:r>
      <w:r w:rsidR="002B13F1" w:rsidRPr="00A23F5A">
        <w:rPr>
          <w:rFonts w:ascii="Calibri" w:hAnsi="Calibri" w:cs="AdvGulliv-R"/>
          <w:iCs/>
          <w:color w:val="000000"/>
        </w:rPr>
        <w:t xml:space="preserve">, </w:t>
      </w:r>
      <w:r w:rsidR="00A23F5A" w:rsidRPr="00A23F5A">
        <w:rPr>
          <w:rFonts w:ascii="Calibri" w:hAnsi="Calibri" w:cs="AdvGulliv-R"/>
          <w:iCs/>
          <w:color w:val="000000"/>
        </w:rPr>
        <w:t>23</w:t>
      </w:r>
      <w:r w:rsidR="0089269B" w:rsidRPr="00A23F5A">
        <w:rPr>
          <w:rFonts w:ascii="Calibri" w:hAnsi="Calibri" w:cs="AdvGulliv-R"/>
          <w:iCs/>
          <w:color w:val="000000"/>
        </w:rPr>
        <w:t>]</w:t>
      </w:r>
      <w:r w:rsidR="001A1CA5" w:rsidRPr="006B4132">
        <w:rPr>
          <w:rFonts w:ascii="Calibri" w:hAnsi="Calibri" w:cs="AdvGulliv-R"/>
          <w:iCs/>
          <w:color w:val="000000"/>
        </w:rPr>
        <w:t xml:space="preserve"> </w:t>
      </w:r>
      <w:r w:rsidR="00BC467D" w:rsidRPr="006B4132">
        <w:rPr>
          <w:rFonts w:ascii="Calibri" w:hAnsi="Calibri" w:cs="AdvGulliv-R"/>
          <w:iCs/>
          <w:color w:val="000000"/>
        </w:rPr>
        <w:t>and guide</w:t>
      </w:r>
      <w:r w:rsidR="00CB2A94" w:rsidRPr="006B4132">
        <w:rPr>
          <w:rFonts w:ascii="Calibri" w:hAnsi="Calibri" w:cs="AdvGulliv-R"/>
          <w:iCs/>
          <w:color w:val="000000"/>
        </w:rPr>
        <w:t>lines developed by the WHO [</w:t>
      </w:r>
      <w:r w:rsidR="00A23F5A">
        <w:rPr>
          <w:rFonts w:ascii="Calibri" w:hAnsi="Calibri" w:cs="AdvGulliv-R"/>
          <w:iCs/>
          <w:color w:val="000000"/>
        </w:rPr>
        <w:t>24</w:t>
      </w:r>
      <w:r w:rsidR="00087F44" w:rsidRPr="006B4132">
        <w:rPr>
          <w:rFonts w:ascii="Calibri" w:hAnsi="Calibri" w:cs="AdvGulliv-R"/>
          <w:iCs/>
          <w:color w:val="000000"/>
        </w:rPr>
        <w:t>]</w:t>
      </w:r>
      <w:r w:rsidR="00331275" w:rsidRPr="006B4132">
        <w:rPr>
          <w:rFonts w:ascii="Calibri" w:hAnsi="Calibri" w:cs="AdvGulliv-R"/>
          <w:iCs/>
          <w:color w:val="000000"/>
        </w:rPr>
        <w:t xml:space="preserve">.  </w:t>
      </w:r>
      <w:r w:rsidR="0098356A" w:rsidRPr="006B4132">
        <w:rPr>
          <w:rFonts w:ascii="Calibri" w:hAnsi="Calibri" w:cs="AdvGulliv-R"/>
          <w:iCs/>
          <w:color w:val="000000"/>
        </w:rPr>
        <w:t xml:space="preserve"> </w:t>
      </w:r>
    </w:p>
    <w:p w14:paraId="72BA165A" w14:textId="4DD0143D" w:rsidR="00271AFF" w:rsidRPr="006B4132" w:rsidRDefault="00CE4619" w:rsidP="00C736CA">
      <w:pPr>
        <w:ind w:right="543"/>
        <w:rPr>
          <w:rFonts w:ascii="Calibri" w:hAnsi="Calibri" w:cs="AdvGulliv-R"/>
          <w:iCs/>
          <w:color w:val="000000"/>
        </w:rPr>
      </w:pPr>
      <w:r w:rsidRPr="006B4132">
        <w:rPr>
          <w:rFonts w:ascii="Calibri" w:hAnsi="Calibri" w:cs="AdvGulliv-R"/>
          <w:iCs/>
          <w:color w:val="000000"/>
        </w:rPr>
        <w:t>O</w:t>
      </w:r>
      <w:r w:rsidR="001136A7" w:rsidRPr="006B4132">
        <w:rPr>
          <w:rFonts w:ascii="Calibri" w:hAnsi="Calibri" w:cs="AdvGulliv-R"/>
          <w:iCs/>
          <w:color w:val="000000"/>
        </w:rPr>
        <w:t>steoporosis is a classic example of a continuously distributed risk factor (BMD) with a graded increase in risk of a remote outcome (</w:t>
      </w:r>
      <w:r w:rsidR="0087537A" w:rsidRPr="006B4132">
        <w:rPr>
          <w:rFonts w:ascii="Calibri" w:hAnsi="Calibri" w:cs="AdvGulliv-R"/>
          <w:iCs/>
          <w:color w:val="000000"/>
        </w:rPr>
        <w:t>fracture</w:t>
      </w:r>
      <w:r w:rsidR="001136A7" w:rsidRPr="006B4132">
        <w:rPr>
          <w:rFonts w:ascii="Calibri" w:hAnsi="Calibri" w:cs="AdvGulliv-R"/>
          <w:iCs/>
          <w:color w:val="000000"/>
        </w:rPr>
        <w:t>)</w:t>
      </w:r>
      <w:r w:rsidR="00D14DF1" w:rsidRPr="006B4132">
        <w:rPr>
          <w:rFonts w:ascii="Calibri" w:hAnsi="Calibri" w:cs="AdvGulliv-R"/>
          <w:iCs/>
          <w:color w:val="000000"/>
        </w:rPr>
        <w:t>.</w:t>
      </w:r>
      <w:r w:rsidR="00D14DF1" w:rsidRPr="006B4132">
        <w:rPr>
          <w:rFonts w:ascii="Calibri" w:hAnsi="Calibri" w:cs="AdvGulliv-R"/>
          <w:iCs/>
          <w:color w:val="000000"/>
        </w:rPr>
        <w:tab/>
      </w:r>
      <w:r w:rsidR="00D35204" w:rsidRPr="006B4132">
        <w:rPr>
          <w:rFonts w:ascii="Calibri" w:hAnsi="Calibri" w:cs="AdvGulliv-R"/>
          <w:iCs/>
          <w:color w:val="000000"/>
        </w:rPr>
        <w:t xml:space="preserve">The </w:t>
      </w:r>
      <w:r w:rsidR="00E31B8F" w:rsidRPr="006B4132">
        <w:rPr>
          <w:rFonts w:ascii="Calibri" w:hAnsi="Calibri" w:cs="AdvGulliv-R"/>
          <w:iCs/>
          <w:color w:val="000000"/>
        </w:rPr>
        <w:t xml:space="preserve">construct is </w:t>
      </w:r>
      <w:proofErr w:type="gramStart"/>
      <w:r w:rsidR="00E31B8F" w:rsidRPr="006B4132">
        <w:rPr>
          <w:rFonts w:ascii="Calibri" w:hAnsi="Calibri" w:cs="AdvGulliv-R"/>
          <w:iCs/>
          <w:color w:val="000000"/>
        </w:rPr>
        <w:t>similar to</w:t>
      </w:r>
      <w:proofErr w:type="gramEnd"/>
      <w:r w:rsidR="00E31B8F" w:rsidRPr="006B4132">
        <w:rPr>
          <w:rFonts w:ascii="Calibri" w:hAnsi="Calibri" w:cs="AdvGulliv-R"/>
          <w:iCs/>
          <w:color w:val="000000"/>
        </w:rPr>
        <w:t xml:space="preserve"> ma</w:t>
      </w:r>
      <w:r w:rsidR="007C0202" w:rsidRPr="006B4132">
        <w:rPr>
          <w:rFonts w:ascii="Calibri" w:hAnsi="Calibri" w:cs="AdvGulliv-R"/>
          <w:iCs/>
          <w:color w:val="000000"/>
        </w:rPr>
        <w:t xml:space="preserve">ny non-communicable diseases </w:t>
      </w:r>
      <w:r w:rsidR="00D706C3" w:rsidRPr="006B4132">
        <w:rPr>
          <w:rFonts w:ascii="Calibri" w:hAnsi="Calibri" w:cs="AdvGulliv-R"/>
          <w:iCs/>
          <w:color w:val="000000"/>
        </w:rPr>
        <w:t>such as hypertension</w:t>
      </w:r>
      <w:r w:rsidR="00923DF3" w:rsidRPr="006B4132">
        <w:rPr>
          <w:rFonts w:ascii="Calibri" w:hAnsi="Calibri" w:cs="AdvGulliv-R"/>
          <w:iCs/>
          <w:color w:val="000000"/>
        </w:rPr>
        <w:t>,</w:t>
      </w:r>
      <w:r w:rsidR="00D706C3" w:rsidRPr="006B4132">
        <w:rPr>
          <w:rFonts w:ascii="Calibri" w:hAnsi="Calibri" w:cs="AdvGulliv-R"/>
          <w:iCs/>
          <w:color w:val="000000"/>
        </w:rPr>
        <w:t xml:space="preserve"> diabetes mellitus</w:t>
      </w:r>
      <w:r w:rsidR="00923DF3" w:rsidRPr="006B4132">
        <w:rPr>
          <w:rFonts w:ascii="Calibri" w:hAnsi="Calibri" w:cs="AdvGulliv-R"/>
          <w:iCs/>
          <w:color w:val="000000"/>
        </w:rPr>
        <w:t>,</w:t>
      </w:r>
      <w:r w:rsidR="00D706C3" w:rsidRPr="006B4132">
        <w:rPr>
          <w:rFonts w:ascii="Calibri" w:hAnsi="Calibri" w:cs="AdvGulliv-R"/>
          <w:iCs/>
          <w:color w:val="000000"/>
        </w:rPr>
        <w:t xml:space="preserve"> </w:t>
      </w:r>
      <w:r w:rsidR="00923DF3" w:rsidRPr="006B4132">
        <w:rPr>
          <w:rFonts w:ascii="Calibri" w:hAnsi="Calibri" w:cs="AdvGulliv-R"/>
          <w:iCs/>
          <w:color w:val="000000"/>
        </w:rPr>
        <w:t xml:space="preserve">and </w:t>
      </w:r>
      <w:r w:rsidR="00D706C3" w:rsidRPr="006B4132">
        <w:rPr>
          <w:rFonts w:ascii="Calibri" w:hAnsi="Calibri" w:cs="AdvGulliv-R"/>
          <w:iCs/>
          <w:color w:val="000000"/>
        </w:rPr>
        <w:t>hypercholesterolaemia</w:t>
      </w:r>
      <w:r w:rsidR="00056787" w:rsidRPr="006B4132">
        <w:rPr>
          <w:rFonts w:ascii="Calibri" w:hAnsi="Calibri" w:cs="AdvGulliv-R"/>
          <w:iCs/>
          <w:color w:val="000000"/>
        </w:rPr>
        <w:t>.  These disorders have</w:t>
      </w:r>
      <w:r w:rsidR="00D706C3" w:rsidRPr="006B4132">
        <w:rPr>
          <w:rFonts w:ascii="Calibri" w:hAnsi="Calibri" w:cs="AdvGulliv-R"/>
          <w:iCs/>
          <w:color w:val="000000"/>
        </w:rPr>
        <w:t xml:space="preserve"> </w:t>
      </w:r>
      <w:r w:rsidR="00D14DF1" w:rsidRPr="006B4132">
        <w:rPr>
          <w:rFonts w:ascii="Calibri" w:hAnsi="Calibri" w:cs="AdvGulliv-R"/>
          <w:iCs/>
          <w:color w:val="000000"/>
        </w:rPr>
        <w:t>been well served by definitions which select points on the distribution of the risk factor which are associated with unacceptable risks of the outcome (</w:t>
      </w:r>
      <w:r w:rsidR="00603C7B" w:rsidRPr="006B4132">
        <w:rPr>
          <w:rFonts w:ascii="Calibri" w:hAnsi="Calibri" w:cs="AdvGulliv-R"/>
          <w:iCs/>
          <w:color w:val="000000"/>
        </w:rPr>
        <w:t>s</w:t>
      </w:r>
      <w:r w:rsidR="000B781E" w:rsidRPr="006B4132">
        <w:rPr>
          <w:rFonts w:ascii="Calibri" w:hAnsi="Calibri" w:cs="AdvGulliv-R"/>
          <w:iCs/>
          <w:color w:val="000000"/>
        </w:rPr>
        <w:t>troke</w:t>
      </w:r>
      <w:r w:rsidR="00923DF3" w:rsidRPr="006B4132">
        <w:rPr>
          <w:rFonts w:ascii="Calibri" w:hAnsi="Calibri" w:cs="AdvGulliv-R"/>
          <w:iCs/>
          <w:color w:val="000000"/>
        </w:rPr>
        <w:t xml:space="preserve">, </w:t>
      </w:r>
      <w:r w:rsidR="00603C7B" w:rsidRPr="006B4132">
        <w:rPr>
          <w:rFonts w:ascii="Calibri" w:hAnsi="Calibri" w:cs="AdvGulliv-R"/>
          <w:iCs/>
          <w:color w:val="000000"/>
        </w:rPr>
        <w:t>neuropathy</w:t>
      </w:r>
      <w:r w:rsidR="00923DF3" w:rsidRPr="006B4132">
        <w:rPr>
          <w:rFonts w:ascii="Calibri" w:hAnsi="Calibri" w:cs="AdvGulliv-R"/>
          <w:iCs/>
          <w:color w:val="000000"/>
        </w:rPr>
        <w:t>,</w:t>
      </w:r>
      <w:r w:rsidR="00D14DF1" w:rsidRPr="006B4132">
        <w:rPr>
          <w:rFonts w:ascii="Calibri" w:hAnsi="Calibri" w:cs="AdvGulliv-R"/>
          <w:iCs/>
          <w:color w:val="000000"/>
        </w:rPr>
        <w:t xml:space="preserve"> </w:t>
      </w:r>
      <w:r w:rsidR="00CD73C6" w:rsidRPr="006B4132">
        <w:rPr>
          <w:rFonts w:ascii="Calibri" w:hAnsi="Calibri" w:cs="AdvGulliv-R"/>
          <w:iCs/>
          <w:color w:val="000000"/>
        </w:rPr>
        <w:t xml:space="preserve">and </w:t>
      </w:r>
      <w:r w:rsidR="00603C7B" w:rsidRPr="006B4132">
        <w:rPr>
          <w:rFonts w:ascii="Calibri" w:hAnsi="Calibri" w:cs="AdvGulliv-R"/>
          <w:iCs/>
          <w:color w:val="000000"/>
        </w:rPr>
        <w:t>myocardial infarction</w:t>
      </w:r>
      <w:r w:rsidR="002A2A23" w:rsidRPr="006B4132">
        <w:rPr>
          <w:rFonts w:ascii="Calibri" w:hAnsi="Calibri" w:cs="AdvGulliv-R"/>
          <w:iCs/>
          <w:color w:val="000000"/>
        </w:rPr>
        <w:t>,</w:t>
      </w:r>
      <w:r w:rsidR="00926D58" w:rsidRPr="006B4132">
        <w:rPr>
          <w:rFonts w:ascii="Calibri" w:hAnsi="Calibri" w:cs="AdvGulliv-R"/>
          <w:iCs/>
          <w:color w:val="000000"/>
        </w:rPr>
        <w:t xml:space="preserve"> respectively</w:t>
      </w:r>
      <w:r w:rsidR="00D14DF1" w:rsidRPr="006B4132">
        <w:rPr>
          <w:rFonts w:ascii="Calibri" w:hAnsi="Calibri" w:cs="AdvGulliv-R"/>
          <w:iCs/>
          <w:color w:val="000000"/>
        </w:rPr>
        <w:t>)</w:t>
      </w:r>
      <w:r w:rsidR="00CD73C6" w:rsidRPr="006B4132">
        <w:rPr>
          <w:rFonts w:ascii="Calibri" w:hAnsi="Calibri" w:cs="AdvGulliv-R"/>
          <w:iCs/>
          <w:color w:val="000000"/>
        </w:rPr>
        <w:t xml:space="preserve">.  Any cut off value is </w:t>
      </w:r>
      <w:r w:rsidR="007848CB" w:rsidRPr="006B4132">
        <w:rPr>
          <w:rFonts w:ascii="Calibri" w:hAnsi="Calibri" w:cs="AdvGulliv-R"/>
          <w:iCs/>
          <w:color w:val="000000"/>
        </w:rPr>
        <w:t xml:space="preserve">somewhat arbitrary, but </w:t>
      </w:r>
      <w:r w:rsidR="00271AFF" w:rsidRPr="006B4132">
        <w:rPr>
          <w:rFonts w:ascii="Calibri" w:hAnsi="Calibri" w:cs="AdvGulliv-R"/>
          <w:iCs/>
          <w:color w:val="000000"/>
        </w:rPr>
        <w:t>the prevalence of osteoporosis in the general population using the WHO definition is completely in accord with clinical expectations of the burden of the disorder</w:t>
      </w:r>
      <w:r w:rsidR="00C87A5E" w:rsidRPr="006B4132">
        <w:rPr>
          <w:rFonts w:ascii="Calibri" w:hAnsi="Calibri" w:cs="AdvGulliv-R"/>
          <w:iCs/>
          <w:color w:val="000000"/>
        </w:rPr>
        <w:t xml:space="preserve"> </w:t>
      </w:r>
      <w:r w:rsidR="002A2A23" w:rsidRPr="006B4132">
        <w:rPr>
          <w:rFonts w:ascii="Calibri" w:hAnsi="Calibri" w:cs="AdvGulliv-R"/>
          <w:iCs/>
          <w:color w:val="000000"/>
        </w:rPr>
        <w:t>[</w:t>
      </w:r>
      <w:r w:rsidR="00A23F5A">
        <w:rPr>
          <w:rFonts w:ascii="Calibri" w:hAnsi="Calibri" w:cs="AdvGulliv-R"/>
          <w:iCs/>
          <w:color w:val="000000"/>
        </w:rPr>
        <w:t>9</w:t>
      </w:r>
      <w:r w:rsidR="00A24DC7" w:rsidRPr="006B4132">
        <w:rPr>
          <w:rFonts w:ascii="Calibri" w:hAnsi="Calibri" w:cs="AdvGulliv-R"/>
          <w:iCs/>
          <w:color w:val="000000"/>
        </w:rPr>
        <w:t>]</w:t>
      </w:r>
      <w:r w:rsidR="00C87A5E" w:rsidRPr="006B4132">
        <w:rPr>
          <w:rFonts w:ascii="Calibri" w:hAnsi="Calibri" w:cs="AdvGulliv-R"/>
          <w:iCs/>
          <w:color w:val="000000"/>
        </w:rPr>
        <w:t xml:space="preserve">.  </w:t>
      </w:r>
      <w:r w:rsidR="00A0662E" w:rsidRPr="006B4132">
        <w:rPr>
          <w:rFonts w:ascii="Calibri" w:hAnsi="Calibri" w:cs="AdvGulliv-R"/>
          <w:iCs/>
          <w:color w:val="000000"/>
        </w:rPr>
        <w:t>Indeed,</w:t>
      </w:r>
      <w:r w:rsidR="00C87A5E" w:rsidRPr="006B4132">
        <w:rPr>
          <w:rFonts w:ascii="Calibri" w:hAnsi="Calibri" w:cs="AdvGulliv-R"/>
          <w:iCs/>
          <w:color w:val="000000"/>
        </w:rPr>
        <w:t xml:space="preserve"> this was the rationale for the choice of the T-score </w:t>
      </w:r>
      <w:r w:rsidR="0081586E" w:rsidRPr="006B4132">
        <w:rPr>
          <w:rFonts w:ascii="Calibri" w:hAnsi="Calibri" w:cs="AdvGulliv-R"/>
          <w:iCs/>
          <w:color w:val="000000"/>
        </w:rPr>
        <w:t>threshold,</w:t>
      </w:r>
      <w:r w:rsidR="00A0662E" w:rsidRPr="006B4132">
        <w:rPr>
          <w:rFonts w:ascii="Calibri" w:hAnsi="Calibri" w:cs="AdvGulliv-R"/>
          <w:iCs/>
          <w:color w:val="000000"/>
        </w:rPr>
        <w:t xml:space="preserve"> and</w:t>
      </w:r>
      <w:r w:rsidR="00271AFF" w:rsidRPr="006B4132">
        <w:rPr>
          <w:rFonts w:ascii="Calibri" w:hAnsi="Calibri" w:cs="AdvGulliv-R"/>
          <w:iCs/>
          <w:color w:val="000000"/>
        </w:rPr>
        <w:t xml:space="preserve"> </w:t>
      </w:r>
      <w:r w:rsidR="00DA5DDE" w:rsidRPr="006B4132">
        <w:rPr>
          <w:rFonts w:ascii="Calibri" w:hAnsi="Calibri" w:cs="AdvGulliv-R"/>
          <w:iCs/>
          <w:color w:val="000000"/>
        </w:rPr>
        <w:t xml:space="preserve">it </w:t>
      </w:r>
      <w:r w:rsidR="00C87A5E" w:rsidRPr="006B4132">
        <w:rPr>
          <w:rFonts w:ascii="Calibri" w:hAnsi="Calibri" w:cs="AdvGulliv-R"/>
          <w:iCs/>
          <w:color w:val="000000"/>
        </w:rPr>
        <w:t xml:space="preserve">is </w:t>
      </w:r>
      <w:r w:rsidR="00271AFF" w:rsidRPr="006B4132">
        <w:rPr>
          <w:rFonts w:ascii="Calibri" w:hAnsi="Calibri" w:cs="AdvGulliv-R"/>
          <w:iCs/>
          <w:color w:val="000000"/>
        </w:rPr>
        <w:t xml:space="preserve">an appropriate one with which to assign the burden of disease </w:t>
      </w:r>
      <w:r w:rsidR="00A0662E" w:rsidRPr="006B4132">
        <w:rPr>
          <w:rFonts w:ascii="Calibri" w:hAnsi="Calibri" w:cs="AdvGulliv-R"/>
          <w:iCs/>
          <w:color w:val="000000"/>
        </w:rPr>
        <w:t xml:space="preserve">both nationally and </w:t>
      </w:r>
      <w:r w:rsidR="00271AFF" w:rsidRPr="006B4132">
        <w:rPr>
          <w:rFonts w:ascii="Calibri" w:hAnsi="Calibri" w:cs="AdvGulliv-R"/>
          <w:iCs/>
          <w:color w:val="000000"/>
        </w:rPr>
        <w:t>globally</w:t>
      </w:r>
      <w:r w:rsidR="007848CB" w:rsidRPr="006B4132">
        <w:rPr>
          <w:rFonts w:ascii="Calibri" w:hAnsi="Calibri" w:cs="AdvGulliv-R"/>
          <w:iCs/>
          <w:color w:val="000000"/>
        </w:rPr>
        <w:t xml:space="preserve"> </w:t>
      </w:r>
      <w:r w:rsidR="00B72C48" w:rsidRPr="00C04692">
        <w:rPr>
          <w:rFonts w:ascii="Calibri" w:hAnsi="Calibri" w:cs="AdvGulliv-R"/>
          <w:iCs/>
          <w:color w:val="000000"/>
        </w:rPr>
        <w:t>[</w:t>
      </w:r>
      <w:r w:rsidR="00C04692" w:rsidRPr="00C04692">
        <w:rPr>
          <w:rFonts w:ascii="Calibri" w:hAnsi="Calibri" w:cs="AdvGulliv-R"/>
          <w:iCs/>
          <w:color w:val="000000"/>
        </w:rPr>
        <w:t>8</w:t>
      </w:r>
      <w:r w:rsidR="00A45897" w:rsidRPr="00C04692">
        <w:rPr>
          <w:rFonts w:ascii="Calibri" w:hAnsi="Calibri" w:cs="AdvGulliv-R"/>
          <w:iCs/>
          <w:color w:val="000000"/>
        </w:rPr>
        <w:t>,</w:t>
      </w:r>
      <w:r w:rsidR="00C04692" w:rsidRPr="00C04692">
        <w:rPr>
          <w:rFonts w:ascii="Calibri" w:hAnsi="Calibri" w:cs="AdvGulliv-R"/>
          <w:iCs/>
          <w:color w:val="000000"/>
        </w:rPr>
        <w:t xml:space="preserve"> </w:t>
      </w:r>
      <w:r w:rsidR="00E26F45" w:rsidRPr="00C04692">
        <w:rPr>
          <w:rFonts w:ascii="Calibri" w:hAnsi="Calibri" w:cs="AdvGulliv-R"/>
          <w:iCs/>
          <w:color w:val="000000"/>
        </w:rPr>
        <w:t>2</w:t>
      </w:r>
      <w:r w:rsidR="00C04692" w:rsidRPr="00C04692">
        <w:rPr>
          <w:rFonts w:ascii="Calibri" w:hAnsi="Calibri" w:cs="AdvGulliv-R"/>
          <w:iCs/>
          <w:color w:val="000000"/>
        </w:rPr>
        <w:t>5</w:t>
      </w:r>
      <w:r w:rsidR="00E26F45" w:rsidRPr="00C04692">
        <w:rPr>
          <w:rFonts w:ascii="Calibri" w:hAnsi="Calibri" w:cs="AdvGulliv-R"/>
          <w:iCs/>
          <w:color w:val="000000"/>
        </w:rPr>
        <w:t xml:space="preserve">, </w:t>
      </w:r>
      <w:r w:rsidR="00837486" w:rsidRPr="00C04692">
        <w:rPr>
          <w:rFonts w:ascii="Calibri" w:hAnsi="Calibri" w:cs="AdvGulliv-R"/>
          <w:iCs/>
          <w:color w:val="000000"/>
        </w:rPr>
        <w:t>2</w:t>
      </w:r>
      <w:r w:rsidR="00C04692" w:rsidRPr="00C04692">
        <w:rPr>
          <w:rFonts w:ascii="Calibri" w:hAnsi="Calibri" w:cs="AdvGulliv-R"/>
          <w:iCs/>
          <w:color w:val="000000"/>
        </w:rPr>
        <w:t>6</w:t>
      </w:r>
      <w:r w:rsidR="00837486" w:rsidRPr="00C04692">
        <w:rPr>
          <w:rFonts w:ascii="Calibri" w:hAnsi="Calibri" w:cs="AdvGulliv-R"/>
          <w:iCs/>
          <w:color w:val="000000"/>
        </w:rPr>
        <w:t xml:space="preserve">, </w:t>
      </w:r>
      <w:r w:rsidR="003044F6" w:rsidRPr="00C04692">
        <w:rPr>
          <w:rFonts w:ascii="Calibri" w:hAnsi="Calibri" w:cs="AdvGulliv-R"/>
          <w:iCs/>
          <w:color w:val="000000"/>
        </w:rPr>
        <w:t>2</w:t>
      </w:r>
      <w:r w:rsidR="00C04692" w:rsidRPr="00C04692">
        <w:rPr>
          <w:rFonts w:ascii="Calibri" w:hAnsi="Calibri" w:cs="AdvGulliv-R"/>
          <w:iCs/>
          <w:color w:val="000000"/>
        </w:rPr>
        <w:t>7</w:t>
      </w:r>
      <w:r w:rsidR="00DD5A1B" w:rsidRPr="00C04692">
        <w:rPr>
          <w:rFonts w:ascii="Calibri" w:hAnsi="Calibri" w:cs="AdvGulliv-R"/>
          <w:iCs/>
          <w:color w:val="000000"/>
        </w:rPr>
        <w:t>].</w:t>
      </w:r>
      <w:r w:rsidR="00271AFF" w:rsidRPr="00C04692">
        <w:rPr>
          <w:rFonts w:ascii="Calibri" w:hAnsi="Calibri" w:cs="AdvGulliv-R"/>
          <w:iCs/>
          <w:color w:val="000000"/>
        </w:rPr>
        <w:t xml:space="preserve"> </w:t>
      </w:r>
      <w:r w:rsidR="006F222F" w:rsidRPr="00C04692">
        <w:rPr>
          <w:rFonts w:ascii="Calibri" w:hAnsi="Calibri" w:cs="AdvGulliv-R"/>
          <w:iCs/>
          <w:color w:val="000000"/>
        </w:rPr>
        <w:t xml:space="preserve"> </w:t>
      </w:r>
      <w:r w:rsidR="00271AFF" w:rsidRPr="00C04692">
        <w:rPr>
          <w:rFonts w:ascii="Calibri" w:hAnsi="Calibri" w:cs="AdvGulliv-R"/>
          <w:iCs/>
          <w:color w:val="000000"/>
        </w:rPr>
        <w:t>This</w:t>
      </w:r>
      <w:r w:rsidR="00271AFF" w:rsidRPr="006B4132">
        <w:rPr>
          <w:rFonts w:ascii="Calibri" w:hAnsi="Calibri" w:cs="AdvGulliv-R"/>
          <w:iCs/>
          <w:color w:val="000000"/>
        </w:rPr>
        <w:t xml:space="preserve"> is </w:t>
      </w:r>
      <w:r w:rsidR="007D7817" w:rsidRPr="006B4132">
        <w:rPr>
          <w:rFonts w:ascii="Calibri" w:hAnsi="Calibri" w:cs="AdvGulliv-R"/>
          <w:iCs/>
          <w:color w:val="000000"/>
        </w:rPr>
        <w:t xml:space="preserve">currently </w:t>
      </w:r>
      <w:r w:rsidR="00271AFF" w:rsidRPr="006B4132">
        <w:rPr>
          <w:rFonts w:ascii="Calibri" w:hAnsi="Calibri" w:cs="AdvGulliv-R"/>
          <w:iCs/>
          <w:color w:val="000000"/>
        </w:rPr>
        <w:t xml:space="preserve">a unique position for any musculoskeletal </w:t>
      </w:r>
      <w:r w:rsidR="00B72C48" w:rsidRPr="006B4132">
        <w:rPr>
          <w:rFonts w:ascii="Calibri" w:hAnsi="Calibri" w:cs="AdvGulliv-R"/>
          <w:iCs/>
          <w:color w:val="000000"/>
        </w:rPr>
        <w:t>no</w:t>
      </w:r>
      <w:r w:rsidR="006F222F" w:rsidRPr="006B4132">
        <w:rPr>
          <w:rFonts w:ascii="Calibri" w:hAnsi="Calibri" w:cs="AdvGulliv-R"/>
          <w:iCs/>
          <w:color w:val="000000"/>
        </w:rPr>
        <w:t>n-communicable disease.</w:t>
      </w:r>
    </w:p>
    <w:p w14:paraId="5CCE8950" w14:textId="1D506293" w:rsidR="005E7572" w:rsidRPr="006B4132" w:rsidRDefault="005E7572" w:rsidP="005E7572">
      <w:pPr>
        <w:ind w:right="543"/>
        <w:rPr>
          <w:rFonts w:ascii="Calibri" w:hAnsi="Calibri" w:cs="AdvGulliv-R"/>
          <w:iCs/>
          <w:color w:val="000000"/>
          <w:u w:val="single"/>
        </w:rPr>
      </w:pPr>
      <w:r w:rsidRPr="006B4132">
        <w:rPr>
          <w:rFonts w:ascii="Calibri" w:hAnsi="Calibri" w:cs="AdvGulliv-R"/>
          <w:iCs/>
          <w:color w:val="000000"/>
          <w:u w:val="single"/>
        </w:rPr>
        <w:t>The use of prior fracture as a diagnostic threshold</w:t>
      </w:r>
    </w:p>
    <w:p w14:paraId="7A76B440" w14:textId="02F8D0B7" w:rsidR="005E7572" w:rsidRPr="006B4132" w:rsidRDefault="005E7572" w:rsidP="005E7572">
      <w:pPr>
        <w:ind w:right="543"/>
        <w:rPr>
          <w:rFonts w:ascii="Calibri" w:hAnsi="Calibri" w:cs="AdvGulliv-R"/>
          <w:color w:val="000000"/>
        </w:rPr>
      </w:pPr>
      <w:r w:rsidRPr="006B4132">
        <w:rPr>
          <w:rFonts w:ascii="Calibri" w:hAnsi="Calibri" w:cs="AdvGulliv-R"/>
          <w:color w:val="000000"/>
        </w:rPr>
        <w:t xml:space="preserve">In 2014, the National Bone Health Alliance Working Group proposed that the diagnosis of osteoporosis should be widened to include post-menopausal women and men </w:t>
      </w:r>
      <w:proofErr w:type="gramStart"/>
      <w:r w:rsidRPr="006B4132">
        <w:rPr>
          <w:rFonts w:ascii="Calibri" w:hAnsi="Calibri" w:cs="AdvGulliv-R"/>
          <w:color w:val="000000"/>
        </w:rPr>
        <w:t>age</w:t>
      </w:r>
      <w:proofErr w:type="gramEnd"/>
      <w:r w:rsidRPr="006B4132">
        <w:rPr>
          <w:rFonts w:ascii="Calibri" w:hAnsi="Calibri" w:cs="AdvGulliv-R"/>
          <w:color w:val="000000"/>
        </w:rPr>
        <w:t xml:space="preserve"> 50 </w:t>
      </w:r>
      <w:r w:rsidR="00A0662E" w:rsidRPr="006B4132">
        <w:rPr>
          <w:rFonts w:ascii="Calibri" w:hAnsi="Calibri" w:cs="AdvGulliv-R"/>
          <w:color w:val="000000"/>
        </w:rPr>
        <w:t xml:space="preserve">years </w:t>
      </w:r>
      <w:r w:rsidRPr="006B4132">
        <w:rPr>
          <w:rFonts w:ascii="Calibri" w:hAnsi="Calibri" w:cs="AdvGulliv-R"/>
          <w:color w:val="000000"/>
        </w:rPr>
        <w:t>and over with hip fractures, with other low trauma fractures in the presence of osteopenia, and, those with high fracture risk calculated using FRAX</w:t>
      </w:r>
      <w:r w:rsidR="006B5B9F">
        <w:rPr>
          <w:rFonts w:ascii="Calibri" w:hAnsi="Calibri" w:cs="Calibri"/>
          <w:color w:val="000000"/>
        </w:rPr>
        <w:t>®</w:t>
      </w:r>
      <w:r w:rsidRPr="006B4132">
        <w:rPr>
          <w:rFonts w:ascii="Calibri" w:hAnsi="Calibri" w:cs="AdvGulliv-R"/>
          <w:color w:val="000000"/>
        </w:rPr>
        <w:t>, in addition to those meeting the WHO definition [</w:t>
      </w:r>
      <w:r w:rsidR="00265BAC">
        <w:rPr>
          <w:rFonts w:ascii="Calibri" w:hAnsi="Calibri" w:cs="AdvGulliv-R"/>
          <w:color w:val="000000"/>
        </w:rPr>
        <w:t>4</w:t>
      </w:r>
      <w:r w:rsidR="00A34EED" w:rsidRPr="006B4132">
        <w:rPr>
          <w:rFonts w:ascii="Calibri" w:hAnsi="Calibri" w:cs="AdvGulliv-R"/>
          <w:color w:val="000000"/>
        </w:rPr>
        <w:t>]</w:t>
      </w:r>
      <w:r w:rsidRPr="006B4132">
        <w:rPr>
          <w:rFonts w:ascii="Calibri" w:hAnsi="Calibri" w:cs="AdvGulliv-R"/>
          <w:color w:val="000000"/>
        </w:rPr>
        <w:t>.  The notion of a prior fragility fracture as a diagnostic criterion was also proposed in 2020 [</w:t>
      </w:r>
      <w:r w:rsidR="00265BAC">
        <w:rPr>
          <w:rFonts w:ascii="Calibri" w:hAnsi="Calibri" w:cs="AdvGulliv-R"/>
          <w:color w:val="000000"/>
        </w:rPr>
        <w:t>5</w:t>
      </w:r>
      <w:r w:rsidR="00E12845" w:rsidRPr="006B4132">
        <w:rPr>
          <w:rFonts w:ascii="Calibri" w:hAnsi="Calibri" w:cs="AdvGulliv-R"/>
          <w:color w:val="000000"/>
        </w:rPr>
        <w:t>]</w:t>
      </w:r>
      <w:r w:rsidRPr="006B4132">
        <w:rPr>
          <w:rFonts w:ascii="Calibri" w:hAnsi="Calibri" w:cs="AdvGulliv-R"/>
          <w:color w:val="000000"/>
        </w:rPr>
        <w:t>.</w:t>
      </w:r>
    </w:p>
    <w:p w14:paraId="36EDF48F" w14:textId="3385D119" w:rsidR="005E7572" w:rsidRDefault="009E5DB5" w:rsidP="005E7572">
      <w:pPr>
        <w:ind w:right="543"/>
        <w:rPr>
          <w:rFonts w:ascii="Calibri" w:hAnsi="Calibri" w:cs="AdvGulliv-R"/>
          <w:color w:val="000000"/>
        </w:rPr>
      </w:pPr>
      <w:r w:rsidRPr="006B4132">
        <w:rPr>
          <w:rFonts w:ascii="Calibri" w:hAnsi="Calibri" w:cs="AdvGulliv-R"/>
          <w:color w:val="000000"/>
        </w:rPr>
        <w:t xml:space="preserve">The aims of the </w:t>
      </w:r>
      <w:r w:rsidR="006655C7" w:rsidRPr="006B4132">
        <w:rPr>
          <w:rFonts w:ascii="Calibri" w:hAnsi="Calibri" w:cs="AdvGulliv-R"/>
          <w:color w:val="000000"/>
        </w:rPr>
        <w:t>proposals, to</w:t>
      </w:r>
      <w:r w:rsidRPr="006B4132">
        <w:rPr>
          <w:rFonts w:ascii="Calibri" w:hAnsi="Calibri" w:cs="AdvGulliv-R"/>
          <w:color w:val="000000"/>
        </w:rPr>
        <w:t xml:space="preserve"> target treatments to those at high risk of fracture and prevent more fractures, are laudable</w:t>
      </w:r>
      <w:r w:rsidR="00DA44A8" w:rsidRPr="006B4132">
        <w:rPr>
          <w:rFonts w:ascii="Calibri" w:hAnsi="Calibri" w:cs="AdvGulliv-R"/>
          <w:color w:val="000000"/>
        </w:rPr>
        <w:t xml:space="preserve">. </w:t>
      </w:r>
      <w:r w:rsidRPr="006B4132" w:rsidDel="009E5DB5">
        <w:rPr>
          <w:rFonts w:ascii="Calibri" w:hAnsi="Calibri" w:cs="AdvGulliv-R"/>
          <w:color w:val="000000"/>
        </w:rPr>
        <w:t xml:space="preserve"> </w:t>
      </w:r>
      <w:r w:rsidR="00724592" w:rsidRPr="006B4132">
        <w:rPr>
          <w:rFonts w:ascii="Calibri" w:hAnsi="Calibri" w:cs="AdvGulliv-R"/>
          <w:color w:val="000000"/>
        </w:rPr>
        <w:t xml:space="preserve">The identification of patients with fracture for investigation, assessment and treatment is a well-established goal of clinical management in </w:t>
      </w:r>
      <w:proofErr w:type="gramStart"/>
      <w:r w:rsidR="00724592" w:rsidRPr="006B4132">
        <w:rPr>
          <w:rFonts w:ascii="Calibri" w:hAnsi="Calibri" w:cs="AdvGulliv-R"/>
          <w:color w:val="000000"/>
        </w:rPr>
        <w:t>the vast majority of</w:t>
      </w:r>
      <w:proofErr w:type="gramEnd"/>
      <w:r w:rsidR="00724592" w:rsidRPr="006B4132">
        <w:rPr>
          <w:rFonts w:ascii="Calibri" w:hAnsi="Calibri" w:cs="AdvGulliv-R"/>
          <w:color w:val="000000"/>
        </w:rPr>
        <w:t xml:space="preserve"> clinical guidelines worldwide</w:t>
      </w:r>
      <w:r w:rsidR="00B33018" w:rsidRPr="006B4132">
        <w:rPr>
          <w:rFonts w:ascii="Calibri" w:hAnsi="Calibri" w:cs="AdvGulliv-R"/>
          <w:color w:val="000000"/>
        </w:rPr>
        <w:t xml:space="preserve"> [</w:t>
      </w:r>
      <w:r w:rsidR="00265BAC">
        <w:rPr>
          <w:rFonts w:ascii="Calibri" w:hAnsi="Calibri" w:cs="AdvGulliv-R"/>
          <w:color w:val="000000"/>
        </w:rPr>
        <w:t>28</w:t>
      </w:r>
      <w:r w:rsidR="000D7BF7" w:rsidRPr="006B4132">
        <w:rPr>
          <w:rFonts w:ascii="Calibri" w:hAnsi="Calibri" w:cs="AdvGulliv-R"/>
          <w:color w:val="000000"/>
        </w:rPr>
        <w:t>]</w:t>
      </w:r>
      <w:r w:rsidR="00724592" w:rsidRPr="006B4132">
        <w:rPr>
          <w:rFonts w:ascii="Calibri" w:hAnsi="Calibri" w:cs="AdvGulliv-R"/>
          <w:color w:val="000000"/>
        </w:rPr>
        <w:t xml:space="preserve">.  The strategy is identical to that adopted for patients suffering myocardial infarctions or strokes.  </w:t>
      </w:r>
      <w:r w:rsidR="005E7572" w:rsidRPr="006B4132">
        <w:rPr>
          <w:rFonts w:ascii="Calibri" w:hAnsi="Calibri" w:cs="AdvGulliv-R"/>
          <w:color w:val="000000"/>
        </w:rPr>
        <w:t xml:space="preserve">But the inclusion of multifactorial outcomes in diagnostic criteria for diseases is anachronistic; for example, it would be like suggesting that stroke, regardless of type or mechanism, should be included in the diagnosis of hypertension.  </w:t>
      </w:r>
      <w:r w:rsidR="004F24A9" w:rsidRPr="006B4132">
        <w:rPr>
          <w:rFonts w:ascii="Calibri" w:hAnsi="Calibri" w:cs="AdvGulliv-R"/>
          <w:color w:val="000000"/>
        </w:rPr>
        <w:t>Nonetheless, the proposal has arisen because of the failure of many clinicians and healthcare systems</w:t>
      </w:r>
      <w:r w:rsidR="00D0743D" w:rsidRPr="006B4132">
        <w:rPr>
          <w:rFonts w:ascii="Calibri" w:hAnsi="Calibri" w:cs="AdvGulliv-R"/>
          <w:color w:val="000000"/>
        </w:rPr>
        <w:t xml:space="preserve"> to identify and manage future fracture risk in patients who have already sustained fractures in whom undetected osteoporosis has also remained un-</w:t>
      </w:r>
      <w:r w:rsidR="00D0743D" w:rsidRPr="006B4132">
        <w:rPr>
          <w:rFonts w:ascii="Calibri" w:hAnsi="Calibri" w:cs="AdvGulliv-R"/>
          <w:color w:val="000000"/>
        </w:rPr>
        <w:lastRenderedPageBreak/>
        <w:t xml:space="preserve">investigated and </w:t>
      </w:r>
      <w:r w:rsidR="00D0743D" w:rsidRPr="009318B4">
        <w:rPr>
          <w:rFonts w:ascii="Calibri" w:hAnsi="Calibri" w:cs="AdvGulliv-R"/>
          <w:color w:val="000000"/>
        </w:rPr>
        <w:t>untreated</w:t>
      </w:r>
      <w:r w:rsidR="00436585" w:rsidRPr="009318B4">
        <w:rPr>
          <w:rFonts w:ascii="Calibri" w:hAnsi="Calibri" w:cs="AdvGulliv-R"/>
          <w:color w:val="000000"/>
        </w:rPr>
        <w:t xml:space="preserve"> </w:t>
      </w:r>
      <w:r w:rsidR="004842DC" w:rsidRPr="009318B4">
        <w:rPr>
          <w:rFonts w:ascii="Calibri" w:hAnsi="Calibri" w:cs="AdvGulliv-R"/>
          <w:color w:val="000000"/>
        </w:rPr>
        <w:t>[</w:t>
      </w:r>
      <w:r w:rsidR="00ED0D36" w:rsidRPr="009318B4">
        <w:rPr>
          <w:rFonts w:ascii="Calibri" w:hAnsi="Calibri" w:cs="AdvGulliv-R"/>
          <w:color w:val="000000"/>
        </w:rPr>
        <w:t>2</w:t>
      </w:r>
      <w:r w:rsidR="00265BAC" w:rsidRPr="009318B4">
        <w:rPr>
          <w:rFonts w:ascii="Calibri" w:hAnsi="Calibri" w:cs="AdvGulliv-R"/>
          <w:color w:val="000000"/>
        </w:rPr>
        <w:t>9</w:t>
      </w:r>
      <w:r w:rsidR="00ED0D36" w:rsidRPr="009318B4">
        <w:rPr>
          <w:rFonts w:ascii="Calibri" w:hAnsi="Calibri" w:cs="AdvGulliv-R"/>
          <w:color w:val="000000"/>
        </w:rPr>
        <w:t xml:space="preserve">, </w:t>
      </w:r>
      <w:r w:rsidR="009318B4" w:rsidRPr="009318B4">
        <w:rPr>
          <w:rFonts w:ascii="Calibri" w:hAnsi="Calibri" w:cs="AdvGulliv-R"/>
          <w:color w:val="000000"/>
        </w:rPr>
        <w:t>30</w:t>
      </w:r>
      <w:r w:rsidR="0006521A" w:rsidRPr="009318B4">
        <w:rPr>
          <w:rFonts w:ascii="Calibri" w:hAnsi="Calibri" w:cs="AdvGulliv-R"/>
          <w:color w:val="000000"/>
        </w:rPr>
        <w:t xml:space="preserve">, </w:t>
      </w:r>
      <w:r w:rsidR="009318B4" w:rsidRPr="009318B4">
        <w:rPr>
          <w:rFonts w:ascii="Calibri" w:hAnsi="Calibri" w:cs="AdvGulliv-R"/>
          <w:color w:val="000000"/>
        </w:rPr>
        <w:t>31</w:t>
      </w:r>
      <w:r w:rsidR="004842DC" w:rsidRPr="009318B4">
        <w:rPr>
          <w:rFonts w:ascii="Calibri" w:hAnsi="Calibri" w:cs="AdvGulliv-R"/>
          <w:color w:val="000000"/>
        </w:rPr>
        <w:t>]</w:t>
      </w:r>
      <w:r w:rsidR="00D0743D" w:rsidRPr="009318B4">
        <w:rPr>
          <w:rFonts w:ascii="Calibri" w:hAnsi="Calibri" w:cs="AdvGulliv-R"/>
          <w:color w:val="000000"/>
        </w:rPr>
        <w:t>.</w:t>
      </w:r>
      <w:r w:rsidR="00D0743D" w:rsidRPr="006B4132">
        <w:rPr>
          <w:rFonts w:ascii="Calibri" w:hAnsi="Calibri" w:cs="AdvGulliv-R"/>
          <w:color w:val="000000"/>
        </w:rPr>
        <w:t xml:space="preserve">  This failure can be addressed, and is being addressed, without the need to alter the definition </w:t>
      </w:r>
      <w:r w:rsidR="00D0743D" w:rsidRPr="00621DA8">
        <w:rPr>
          <w:rFonts w:ascii="Calibri" w:hAnsi="Calibri" w:cs="AdvGulliv-R"/>
          <w:color w:val="000000"/>
        </w:rPr>
        <w:t>of osteoporosis</w:t>
      </w:r>
      <w:r w:rsidR="002306B1" w:rsidRPr="00621DA8">
        <w:rPr>
          <w:rFonts w:ascii="Calibri" w:hAnsi="Calibri" w:cs="AdvGulliv-R"/>
          <w:color w:val="000000"/>
        </w:rPr>
        <w:t xml:space="preserve"> [</w:t>
      </w:r>
      <w:r w:rsidR="009318B4" w:rsidRPr="00621DA8">
        <w:rPr>
          <w:rFonts w:ascii="Calibri" w:hAnsi="Calibri" w:cs="AdvGulliv-R"/>
          <w:color w:val="000000"/>
        </w:rPr>
        <w:t>32</w:t>
      </w:r>
      <w:r w:rsidR="006058DA" w:rsidRPr="00621DA8">
        <w:rPr>
          <w:rFonts w:ascii="Calibri" w:hAnsi="Calibri" w:cs="AdvGulliv-R"/>
          <w:color w:val="000000"/>
        </w:rPr>
        <w:t xml:space="preserve">, </w:t>
      </w:r>
      <w:r w:rsidR="009318B4" w:rsidRPr="00621DA8">
        <w:rPr>
          <w:rFonts w:ascii="Calibri" w:hAnsi="Calibri" w:cs="AdvGulliv-R"/>
          <w:color w:val="000000"/>
        </w:rPr>
        <w:t>33</w:t>
      </w:r>
      <w:r w:rsidR="00985ABD" w:rsidRPr="00621DA8">
        <w:rPr>
          <w:rFonts w:ascii="Calibri" w:hAnsi="Calibri" w:cs="AdvGulliv-R"/>
          <w:color w:val="000000"/>
        </w:rPr>
        <w:t xml:space="preserve">, </w:t>
      </w:r>
      <w:r w:rsidR="008F75EE" w:rsidRPr="00621DA8">
        <w:rPr>
          <w:rFonts w:ascii="Calibri" w:hAnsi="Calibri" w:cs="AdvGulliv-R"/>
          <w:color w:val="000000"/>
        </w:rPr>
        <w:t>3</w:t>
      </w:r>
      <w:r w:rsidR="00F31AF5" w:rsidRPr="00621DA8">
        <w:rPr>
          <w:rFonts w:ascii="Calibri" w:hAnsi="Calibri" w:cs="AdvGulliv-R"/>
          <w:color w:val="000000"/>
        </w:rPr>
        <w:t>4</w:t>
      </w:r>
      <w:r w:rsidR="002306B1" w:rsidRPr="00621DA8">
        <w:rPr>
          <w:rFonts w:ascii="Calibri" w:hAnsi="Calibri" w:cs="AdvGulliv-R"/>
          <w:color w:val="000000"/>
        </w:rPr>
        <w:t xml:space="preserve">, </w:t>
      </w:r>
      <w:r w:rsidR="000A3034" w:rsidRPr="00621DA8">
        <w:rPr>
          <w:rFonts w:ascii="Calibri" w:hAnsi="Calibri" w:cs="AdvGulliv-R"/>
          <w:color w:val="000000"/>
        </w:rPr>
        <w:t>3</w:t>
      </w:r>
      <w:r w:rsidR="00F31AF5" w:rsidRPr="00621DA8">
        <w:rPr>
          <w:rFonts w:ascii="Calibri" w:hAnsi="Calibri" w:cs="AdvGulliv-R"/>
          <w:color w:val="000000"/>
        </w:rPr>
        <w:t>5</w:t>
      </w:r>
      <w:r w:rsidR="000A3034" w:rsidRPr="00621DA8">
        <w:rPr>
          <w:rFonts w:ascii="Calibri" w:hAnsi="Calibri" w:cs="AdvGulliv-R"/>
          <w:color w:val="000000"/>
        </w:rPr>
        <w:t xml:space="preserve">, </w:t>
      </w:r>
      <w:r w:rsidR="00E93B75" w:rsidRPr="00621DA8">
        <w:rPr>
          <w:rFonts w:ascii="Calibri" w:hAnsi="Calibri" w:cs="AdvGulliv-R"/>
          <w:color w:val="000000"/>
        </w:rPr>
        <w:t>3</w:t>
      </w:r>
      <w:r w:rsidR="00F31AF5" w:rsidRPr="00621DA8">
        <w:rPr>
          <w:rFonts w:ascii="Calibri" w:hAnsi="Calibri" w:cs="AdvGulliv-R"/>
          <w:color w:val="000000"/>
        </w:rPr>
        <w:t>6</w:t>
      </w:r>
      <w:r w:rsidR="00E93B75" w:rsidRPr="00621DA8">
        <w:rPr>
          <w:rFonts w:ascii="Calibri" w:hAnsi="Calibri" w:cs="AdvGulliv-R"/>
          <w:color w:val="000000"/>
        </w:rPr>
        <w:t>, 3</w:t>
      </w:r>
      <w:r w:rsidR="00F31AF5" w:rsidRPr="00621DA8">
        <w:rPr>
          <w:rFonts w:ascii="Calibri" w:hAnsi="Calibri" w:cs="AdvGulliv-R"/>
          <w:color w:val="000000"/>
        </w:rPr>
        <w:t>7</w:t>
      </w:r>
      <w:r w:rsidR="009E4EB1" w:rsidRPr="00621DA8">
        <w:rPr>
          <w:rFonts w:ascii="Calibri" w:hAnsi="Calibri" w:cs="AdvGulliv-R"/>
          <w:color w:val="000000"/>
        </w:rPr>
        <w:t xml:space="preserve">, </w:t>
      </w:r>
      <w:r w:rsidR="00E15DC6" w:rsidRPr="00621DA8">
        <w:rPr>
          <w:rFonts w:ascii="Calibri" w:hAnsi="Calibri" w:cs="AdvGulliv-R"/>
          <w:color w:val="000000"/>
        </w:rPr>
        <w:t>3</w:t>
      </w:r>
      <w:r w:rsidR="00F31AF5" w:rsidRPr="00621DA8">
        <w:rPr>
          <w:rFonts w:ascii="Calibri" w:hAnsi="Calibri" w:cs="AdvGulliv-R"/>
          <w:color w:val="000000"/>
        </w:rPr>
        <w:t>8</w:t>
      </w:r>
      <w:r w:rsidR="00E15DC6" w:rsidRPr="00621DA8">
        <w:rPr>
          <w:rFonts w:ascii="Calibri" w:hAnsi="Calibri" w:cs="AdvGulliv-R"/>
          <w:color w:val="000000"/>
        </w:rPr>
        <w:t xml:space="preserve">, </w:t>
      </w:r>
      <w:r w:rsidR="002A1956" w:rsidRPr="00621DA8">
        <w:rPr>
          <w:rFonts w:ascii="Calibri" w:hAnsi="Calibri" w:cs="AdvGulliv-R"/>
          <w:color w:val="000000"/>
        </w:rPr>
        <w:t>3</w:t>
      </w:r>
      <w:r w:rsidR="00686068" w:rsidRPr="00621DA8">
        <w:rPr>
          <w:rFonts w:ascii="Calibri" w:hAnsi="Calibri" w:cs="AdvGulliv-R"/>
          <w:color w:val="000000"/>
        </w:rPr>
        <w:t>9</w:t>
      </w:r>
      <w:r w:rsidR="002A1956" w:rsidRPr="00621DA8">
        <w:rPr>
          <w:rFonts w:ascii="Calibri" w:hAnsi="Calibri" w:cs="AdvGulliv-R"/>
          <w:color w:val="000000"/>
        </w:rPr>
        <w:t>]</w:t>
      </w:r>
      <w:r w:rsidR="006B4132" w:rsidRPr="00621DA8">
        <w:rPr>
          <w:rFonts w:ascii="Calibri" w:hAnsi="Calibri" w:cs="AdvGulliv-R"/>
          <w:color w:val="000000"/>
        </w:rPr>
        <w:t>.</w:t>
      </w:r>
      <w:r w:rsidR="002A1956">
        <w:rPr>
          <w:rFonts w:ascii="Calibri" w:hAnsi="Calibri" w:cs="AdvGulliv-R"/>
          <w:color w:val="000000"/>
        </w:rPr>
        <w:t xml:space="preserve"> </w:t>
      </w:r>
      <w:r w:rsidR="002306B1" w:rsidRPr="002306B1">
        <w:rPr>
          <w:rFonts w:ascii="Calibri" w:hAnsi="Calibri" w:cs="AdvGulliv-R"/>
          <w:color w:val="000000"/>
        </w:rPr>
        <w:t xml:space="preserve"> </w:t>
      </w:r>
    </w:p>
    <w:p w14:paraId="162A6A2A" w14:textId="15A908BB" w:rsidR="00575534" w:rsidRDefault="00575534" w:rsidP="004A1AF8">
      <w:pPr>
        <w:ind w:right="543"/>
        <w:rPr>
          <w:rFonts w:ascii="Calibri" w:hAnsi="Calibri" w:cs="AdvGulliv-R"/>
          <w:b/>
          <w:bCs/>
          <w:iCs/>
          <w:color w:val="000000"/>
        </w:rPr>
      </w:pPr>
    </w:p>
    <w:p w14:paraId="10C09C78" w14:textId="3E434B28" w:rsidR="005B6280" w:rsidRDefault="005B6280" w:rsidP="004A1AF8">
      <w:pPr>
        <w:ind w:right="543"/>
        <w:rPr>
          <w:rFonts w:ascii="Calibri" w:hAnsi="Calibri" w:cs="AdvGulliv-R"/>
          <w:b/>
          <w:bCs/>
          <w:iCs/>
          <w:color w:val="000000"/>
        </w:rPr>
      </w:pPr>
      <w:r>
        <w:rPr>
          <w:rFonts w:ascii="Calibri" w:hAnsi="Calibri" w:cs="AdvGulliv-R"/>
          <w:b/>
          <w:bCs/>
          <w:iCs/>
          <w:color w:val="000000"/>
        </w:rPr>
        <w:t>Intervention thresholds</w:t>
      </w:r>
    </w:p>
    <w:p w14:paraId="6C8C2B1A" w14:textId="573A16CC" w:rsidR="00C51BF9" w:rsidRPr="00697729" w:rsidRDefault="00C51BF9" w:rsidP="004A1AF8">
      <w:pPr>
        <w:ind w:right="543"/>
        <w:rPr>
          <w:rFonts w:ascii="Calibri" w:hAnsi="Calibri" w:cs="AdvGulliv-R"/>
          <w:iCs/>
          <w:color w:val="000000"/>
          <w:u w:val="single"/>
        </w:rPr>
      </w:pPr>
      <w:r w:rsidRPr="00697729">
        <w:rPr>
          <w:rFonts w:ascii="Calibri" w:hAnsi="Calibri" w:cs="AdvGulliv-R"/>
          <w:iCs/>
          <w:color w:val="000000"/>
          <w:u w:val="single"/>
        </w:rPr>
        <w:t xml:space="preserve">The </w:t>
      </w:r>
      <w:r w:rsidR="005B6280" w:rsidRPr="00697729">
        <w:rPr>
          <w:rFonts w:ascii="Calibri" w:hAnsi="Calibri" w:cs="AdvGulliv-R"/>
          <w:iCs/>
          <w:color w:val="000000"/>
          <w:u w:val="single"/>
        </w:rPr>
        <w:t xml:space="preserve">limited role for </w:t>
      </w:r>
      <w:r w:rsidRPr="00697729">
        <w:rPr>
          <w:rFonts w:ascii="Calibri" w:hAnsi="Calibri" w:cs="AdvGulliv-R"/>
          <w:iCs/>
          <w:color w:val="000000"/>
          <w:u w:val="single"/>
        </w:rPr>
        <w:t>BMD</w:t>
      </w:r>
      <w:r w:rsidR="00327F2F">
        <w:rPr>
          <w:rFonts w:ascii="Calibri" w:hAnsi="Calibri" w:cs="AdvGulliv-R"/>
          <w:iCs/>
          <w:color w:val="000000"/>
          <w:u w:val="single"/>
        </w:rPr>
        <w:t xml:space="preserve"> </w:t>
      </w:r>
      <w:r w:rsidR="00871B50">
        <w:rPr>
          <w:rFonts w:ascii="Calibri" w:hAnsi="Calibri" w:cs="AdvGulliv-R"/>
          <w:iCs/>
          <w:color w:val="000000"/>
          <w:u w:val="single"/>
        </w:rPr>
        <w:t xml:space="preserve">as an </w:t>
      </w:r>
      <w:r w:rsidR="00327F2F">
        <w:rPr>
          <w:rFonts w:ascii="Calibri" w:hAnsi="Calibri" w:cs="AdvGulliv-R"/>
          <w:iCs/>
          <w:color w:val="000000"/>
          <w:u w:val="single"/>
        </w:rPr>
        <w:t>intervention</w:t>
      </w:r>
      <w:r w:rsidR="00F17E02" w:rsidRPr="00697729">
        <w:rPr>
          <w:rFonts w:ascii="Calibri" w:hAnsi="Calibri" w:cs="AdvGulliv-R"/>
          <w:iCs/>
          <w:color w:val="000000"/>
          <w:u w:val="single"/>
        </w:rPr>
        <w:t xml:space="preserve"> threshold</w:t>
      </w:r>
    </w:p>
    <w:p w14:paraId="5EC9E678" w14:textId="109911B0" w:rsidR="002B36E0" w:rsidRDefault="00FD04B8" w:rsidP="004A1AF8">
      <w:pPr>
        <w:ind w:right="543"/>
        <w:rPr>
          <w:rFonts w:ascii="Calibri" w:hAnsi="Calibri" w:cs="AdvGulliv-R"/>
          <w:iCs/>
          <w:color w:val="000000"/>
        </w:rPr>
      </w:pPr>
      <w:r w:rsidRPr="00D642B9">
        <w:rPr>
          <w:noProof/>
          <w:lang w:val="en-US"/>
        </w:rPr>
        <w:drawing>
          <wp:anchor distT="0" distB="0" distL="114300" distR="114300" simplePos="0" relativeHeight="251660288" behindDoc="0" locked="0" layoutInCell="1" allowOverlap="1" wp14:anchorId="1883D69A" wp14:editId="4F0F7E8C">
            <wp:simplePos x="0" y="0"/>
            <wp:positionH relativeFrom="margin">
              <wp:posOffset>396557</wp:posOffset>
            </wp:positionH>
            <wp:positionV relativeFrom="paragraph">
              <wp:posOffset>3218498</wp:posOffset>
            </wp:positionV>
            <wp:extent cx="4152900" cy="3223895"/>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l="13778" t="5445" r="13556" b="19327"/>
                    <a:stretch/>
                  </pic:blipFill>
                  <pic:spPr bwMode="auto">
                    <a:xfrm>
                      <a:off x="0" y="0"/>
                      <a:ext cx="4152900" cy="322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1551" w:rsidRPr="00D642B9">
        <w:rPr>
          <w:rFonts w:ascii="Calibri" w:hAnsi="Calibri" w:cs="AdvGulliv-R"/>
          <w:iCs/>
          <w:color w:val="000000"/>
        </w:rPr>
        <w:t>While t</w:t>
      </w:r>
      <w:r w:rsidR="00430886" w:rsidRPr="00D642B9">
        <w:rPr>
          <w:rFonts w:ascii="Calibri" w:hAnsi="Calibri" w:cs="AdvGulliv-R"/>
          <w:iCs/>
          <w:color w:val="000000"/>
        </w:rPr>
        <w:t xml:space="preserve">he use of the BMD threshold for </w:t>
      </w:r>
      <w:r w:rsidR="00697729" w:rsidRPr="00D642B9">
        <w:rPr>
          <w:rFonts w:ascii="Calibri" w:hAnsi="Calibri" w:cs="AdvGulliv-R"/>
          <w:iCs/>
          <w:color w:val="000000"/>
        </w:rPr>
        <w:t xml:space="preserve">the diagnosis of </w:t>
      </w:r>
      <w:r w:rsidR="00430886" w:rsidRPr="00D642B9">
        <w:rPr>
          <w:rFonts w:ascii="Calibri" w:hAnsi="Calibri" w:cs="AdvGulliv-R"/>
          <w:iCs/>
          <w:color w:val="000000"/>
        </w:rPr>
        <w:t xml:space="preserve">osteoporosis </w:t>
      </w:r>
      <w:r w:rsidR="00F0799D" w:rsidRPr="00D642B9">
        <w:rPr>
          <w:rFonts w:ascii="Calibri" w:hAnsi="Calibri" w:cs="AdvGulliv-R"/>
          <w:iCs/>
          <w:color w:val="000000"/>
        </w:rPr>
        <w:t xml:space="preserve">has advanced </w:t>
      </w:r>
      <w:r w:rsidR="00822176" w:rsidRPr="00D642B9">
        <w:rPr>
          <w:rFonts w:ascii="Calibri" w:hAnsi="Calibri" w:cs="AdvGulliv-R"/>
          <w:iCs/>
          <w:color w:val="000000"/>
        </w:rPr>
        <w:t>the development of effective agents in the management of osteoporosis</w:t>
      </w:r>
      <w:r w:rsidR="00801551" w:rsidRPr="00D642B9">
        <w:rPr>
          <w:rFonts w:ascii="Calibri" w:hAnsi="Calibri" w:cs="AdvGulliv-R"/>
          <w:iCs/>
          <w:color w:val="000000"/>
        </w:rPr>
        <w:t xml:space="preserve">, it </w:t>
      </w:r>
      <w:r w:rsidR="00FF1AC4" w:rsidRPr="00D642B9">
        <w:rPr>
          <w:rFonts w:ascii="Calibri" w:hAnsi="Calibri" w:cs="AdvGulliv-R"/>
          <w:iCs/>
          <w:color w:val="000000"/>
        </w:rPr>
        <w:t>is</w:t>
      </w:r>
      <w:r w:rsidR="00406762" w:rsidRPr="00D642B9">
        <w:rPr>
          <w:rFonts w:ascii="Calibri" w:hAnsi="Calibri" w:cs="AdvGulliv-R"/>
          <w:iCs/>
          <w:color w:val="000000"/>
        </w:rPr>
        <w:t xml:space="preserve"> </w:t>
      </w:r>
      <w:r w:rsidR="00801551" w:rsidRPr="00D642B9">
        <w:rPr>
          <w:rFonts w:ascii="Calibri" w:hAnsi="Calibri" w:cs="AdvGulliv-R"/>
          <w:iCs/>
          <w:color w:val="000000"/>
        </w:rPr>
        <w:t xml:space="preserve">increasingly recognised as </w:t>
      </w:r>
      <w:r w:rsidR="00FF1AC4" w:rsidRPr="00D642B9">
        <w:rPr>
          <w:rFonts w:ascii="Calibri" w:hAnsi="Calibri" w:cs="AdvGulliv-R"/>
          <w:iCs/>
          <w:color w:val="000000"/>
        </w:rPr>
        <w:t xml:space="preserve">being </w:t>
      </w:r>
      <w:r w:rsidR="00406762" w:rsidRPr="00D642B9">
        <w:rPr>
          <w:rFonts w:ascii="Calibri" w:hAnsi="Calibri" w:cs="AdvGulliv-R"/>
          <w:iCs/>
          <w:color w:val="000000"/>
        </w:rPr>
        <w:t>less successful as an intervention threshold</w:t>
      </w:r>
      <w:r w:rsidR="00486130" w:rsidRPr="00D642B9">
        <w:rPr>
          <w:rFonts w:ascii="Calibri" w:hAnsi="Calibri" w:cs="AdvGulliv-R"/>
          <w:iCs/>
          <w:color w:val="000000"/>
        </w:rPr>
        <w:t xml:space="preserve">. </w:t>
      </w:r>
      <w:r w:rsidR="00822176" w:rsidRPr="00D642B9">
        <w:rPr>
          <w:rFonts w:ascii="Calibri" w:hAnsi="Calibri" w:cs="AdvGulliv-R"/>
          <w:iCs/>
          <w:color w:val="000000"/>
        </w:rPr>
        <w:t xml:space="preserve"> </w:t>
      </w:r>
      <w:r w:rsidR="00486130" w:rsidRPr="00D642B9">
        <w:rPr>
          <w:rFonts w:ascii="Calibri" w:hAnsi="Calibri" w:cs="AdvGulliv-R"/>
          <w:iCs/>
          <w:color w:val="000000"/>
        </w:rPr>
        <w:t>Firstly,</w:t>
      </w:r>
      <w:r w:rsidR="0069317B" w:rsidRPr="00D642B9">
        <w:rPr>
          <w:rFonts w:ascii="Calibri" w:hAnsi="Calibri" w:cs="AdvGulliv-R"/>
          <w:iCs/>
          <w:color w:val="000000"/>
        </w:rPr>
        <w:t xml:space="preserve"> </w:t>
      </w:r>
      <w:r w:rsidR="004A1AF8" w:rsidRPr="00D642B9">
        <w:rPr>
          <w:rFonts w:ascii="Calibri" w:hAnsi="Calibri" w:cs="AdvGulliv-R"/>
          <w:iCs/>
          <w:color w:val="000000"/>
        </w:rPr>
        <w:t xml:space="preserve">BMD alone </w:t>
      </w:r>
      <w:r w:rsidR="00631F31" w:rsidRPr="00D642B9">
        <w:rPr>
          <w:rFonts w:ascii="Calibri" w:hAnsi="Calibri" w:cs="AdvGulliv-R"/>
          <w:iCs/>
          <w:color w:val="000000"/>
        </w:rPr>
        <w:t xml:space="preserve">is </w:t>
      </w:r>
      <w:r w:rsidR="004A1AF8" w:rsidRPr="00D642B9">
        <w:rPr>
          <w:rFonts w:ascii="Calibri" w:hAnsi="Calibri" w:cs="AdvGulliv-R"/>
          <w:iCs/>
          <w:color w:val="000000"/>
        </w:rPr>
        <w:t xml:space="preserve">a poor screening tool in that </w:t>
      </w:r>
      <w:r w:rsidR="00F92305" w:rsidRPr="00D642B9">
        <w:rPr>
          <w:rFonts w:ascii="Calibri" w:hAnsi="Calibri" w:cs="AdvGulliv-R"/>
          <w:iCs/>
          <w:color w:val="000000"/>
        </w:rPr>
        <w:t>most</w:t>
      </w:r>
      <w:r w:rsidR="00EF1DD7" w:rsidRPr="00D642B9">
        <w:rPr>
          <w:rFonts w:ascii="Calibri" w:hAnsi="Calibri" w:cs="AdvGulliv-R"/>
          <w:iCs/>
          <w:color w:val="000000"/>
        </w:rPr>
        <w:t xml:space="preserve"> </w:t>
      </w:r>
      <w:r w:rsidR="004A1AF8" w:rsidRPr="00D642B9">
        <w:rPr>
          <w:rFonts w:ascii="Calibri" w:hAnsi="Calibri" w:cs="AdvGulliv-R"/>
          <w:iCs/>
          <w:color w:val="000000"/>
        </w:rPr>
        <w:t xml:space="preserve">fractures in the community </w:t>
      </w:r>
      <w:r w:rsidR="00697729" w:rsidRPr="00D642B9">
        <w:rPr>
          <w:rFonts w:ascii="Calibri" w:hAnsi="Calibri" w:cs="AdvGulliv-R"/>
          <w:iCs/>
          <w:color w:val="000000"/>
        </w:rPr>
        <w:t>occur</w:t>
      </w:r>
      <w:r w:rsidR="004A1AF8" w:rsidRPr="00D642B9">
        <w:rPr>
          <w:rFonts w:ascii="Calibri" w:hAnsi="Calibri" w:cs="AdvGulliv-R"/>
          <w:iCs/>
          <w:color w:val="000000"/>
        </w:rPr>
        <w:t xml:space="preserve"> </w:t>
      </w:r>
      <w:r w:rsidR="009E5DB5" w:rsidRPr="00D642B9">
        <w:rPr>
          <w:rFonts w:ascii="Calibri" w:hAnsi="Calibri" w:cs="AdvGulliv-R"/>
          <w:iCs/>
          <w:color w:val="000000"/>
        </w:rPr>
        <w:t xml:space="preserve">among </w:t>
      </w:r>
      <w:r w:rsidR="004A1AF8" w:rsidRPr="00D642B9">
        <w:rPr>
          <w:rFonts w:ascii="Calibri" w:hAnsi="Calibri" w:cs="AdvGulliv-R"/>
          <w:iCs/>
          <w:color w:val="000000"/>
        </w:rPr>
        <w:t>individuals without</w:t>
      </w:r>
      <w:r w:rsidR="00EF1DD7" w:rsidRPr="00D642B9">
        <w:rPr>
          <w:rFonts w:ascii="Calibri" w:hAnsi="Calibri" w:cs="AdvGulliv-R"/>
          <w:iCs/>
          <w:color w:val="000000"/>
        </w:rPr>
        <w:t xml:space="preserve"> </w:t>
      </w:r>
      <w:r w:rsidR="004A1AF8" w:rsidRPr="00D642B9">
        <w:rPr>
          <w:rFonts w:ascii="Calibri" w:hAnsi="Calibri" w:cs="AdvGulliv-R"/>
          <w:iCs/>
          <w:color w:val="000000"/>
        </w:rPr>
        <w:t xml:space="preserve">BMD-defined osteoporosis </w:t>
      </w:r>
      <w:r w:rsidR="004A1AF8" w:rsidRPr="00697EB6">
        <w:rPr>
          <w:rFonts w:ascii="Calibri" w:hAnsi="Calibri" w:cs="AdvGulliv-R"/>
          <w:iCs/>
          <w:color w:val="000000"/>
        </w:rPr>
        <w:t>[</w:t>
      </w:r>
      <w:r w:rsidR="001B1154" w:rsidRPr="00697EB6">
        <w:rPr>
          <w:rFonts w:ascii="Calibri" w:hAnsi="Calibri" w:cs="AdvGulliv-R"/>
          <w:iCs/>
          <w:color w:val="000000"/>
        </w:rPr>
        <w:t>8</w:t>
      </w:r>
      <w:r w:rsidR="0080032C" w:rsidRPr="00697EB6">
        <w:rPr>
          <w:rFonts w:ascii="Calibri" w:hAnsi="Calibri" w:cs="AdvGulliv-R"/>
          <w:iCs/>
          <w:color w:val="000000"/>
        </w:rPr>
        <w:t xml:space="preserve">, </w:t>
      </w:r>
      <w:r w:rsidR="001B1154" w:rsidRPr="00697EB6">
        <w:rPr>
          <w:rFonts w:ascii="Calibri" w:hAnsi="Calibri" w:cs="AdvGulliv-R"/>
          <w:iCs/>
          <w:color w:val="000000"/>
        </w:rPr>
        <w:t>40</w:t>
      </w:r>
      <w:r w:rsidR="00114CE4" w:rsidRPr="00697EB6">
        <w:rPr>
          <w:rFonts w:ascii="Calibri" w:hAnsi="Calibri" w:cs="AdvGulliv-R"/>
          <w:iCs/>
          <w:color w:val="000000"/>
        </w:rPr>
        <w:t xml:space="preserve">, </w:t>
      </w:r>
      <w:r w:rsidR="001B1154" w:rsidRPr="00697EB6">
        <w:rPr>
          <w:rFonts w:ascii="Calibri" w:hAnsi="Calibri" w:cs="AdvGulliv-R"/>
          <w:iCs/>
          <w:color w:val="000000"/>
        </w:rPr>
        <w:t>41</w:t>
      </w:r>
      <w:r w:rsidR="000142E8" w:rsidRPr="00697EB6">
        <w:rPr>
          <w:rFonts w:ascii="Calibri" w:hAnsi="Calibri" w:cs="AdvGulliv-R"/>
          <w:iCs/>
          <w:color w:val="000000"/>
        </w:rPr>
        <w:t xml:space="preserve">, </w:t>
      </w:r>
      <w:r w:rsidR="001B1154" w:rsidRPr="00697EB6">
        <w:rPr>
          <w:rFonts w:ascii="Calibri" w:hAnsi="Calibri" w:cs="AdvGulliv-R"/>
          <w:iCs/>
          <w:color w:val="000000"/>
        </w:rPr>
        <w:t>42</w:t>
      </w:r>
      <w:r w:rsidR="000142E8" w:rsidRPr="00697EB6">
        <w:rPr>
          <w:rFonts w:ascii="Calibri" w:hAnsi="Calibri" w:cs="AdvGulliv-R"/>
          <w:iCs/>
          <w:color w:val="000000"/>
        </w:rPr>
        <w:t>]</w:t>
      </w:r>
      <w:r w:rsidR="003460B6" w:rsidRPr="00697EB6">
        <w:rPr>
          <w:rFonts w:ascii="Calibri" w:hAnsi="Calibri" w:cs="AdvGulliv-R"/>
          <w:iCs/>
          <w:color w:val="000000"/>
        </w:rPr>
        <w:t>.</w:t>
      </w:r>
      <w:r w:rsidR="004A1AF8" w:rsidRPr="00D642B9">
        <w:rPr>
          <w:rFonts w:ascii="Calibri" w:hAnsi="Calibri" w:cs="AdvGulliv-R"/>
          <w:iCs/>
          <w:color w:val="000000"/>
        </w:rPr>
        <w:t xml:space="preserve"> </w:t>
      </w:r>
      <w:r w:rsidR="00F92305" w:rsidRPr="00D642B9">
        <w:rPr>
          <w:rFonts w:ascii="Calibri" w:hAnsi="Calibri" w:cs="AdvGulliv-R"/>
          <w:iCs/>
          <w:color w:val="000000"/>
        </w:rPr>
        <w:t xml:space="preserve"> </w:t>
      </w:r>
      <w:r w:rsidR="00A132E7" w:rsidRPr="00D642B9">
        <w:rPr>
          <w:rFonts w:ascii="Calibri" w:hAnsi="Calibri" w:cs="AdvGulliv-R"/>
          <w:iCs/>
          <w:color w:val="000000"/>
        </w:rPr>
        <w:t xml:space="preserve">In the case of hip fractures approximately 50% of cases will have osteoporosis so </w:t>
      </w:r>
      <w:r w:rsidR="00A132E7" w:rsidRPr="00697EB6">
        <w:rPr>
          <w:rFonts w:ascii="Calibri" w:hAnsi="Calibri" w:cs="AdvGulliv-R"/>
          <w:iCs/>
          <w:color w:val="000000"/>
        </w:rPr>
        <w:t>defined</w:t>
      </w:r>
      <w:r w:rsidR="004D446E" w:rsidRPr="00697EB6">
        <w:rPr>
          <w:rFonts w:ascii="Calibri" w:hAnsi="Calibri" w:cs="AdvGulliv-R"/>
          <w:iCs/>
          <w:color w:val="000000"/>
        </w:rPr>
        <w:t xml:space="preserve"> [</w:t>
      </w:r>
      <w:r w:rsidR="002F0BB4" w:rsidRPr="00697EB6">
        <w:rPr>
          <w:rFonts w:ascii="Calibri" w:hAnsi="Calibri" w:cs="AdvGulliv-R"/>
          <w:iCs/>
          <w:color w:val="000000"/>
        </w:rPr>
        <w:t>4</w:t>
      </w:r>
      <w:r w:rsidR="00697EB6" w:rsidRPr="00697EB6">
        <w:rPr>
          <w:rFonts w:ascii="Calibri" w:hAnsi="Calibri" w:cs="AdvGulliv-R"/>
          <w:iCs/>
          <w:color w:val="000000"/>
        </w:rPr>
        <w:t>3</w:t>
      </w:r>
      <w:r w:rsidR="002F0BB4" w:rsidRPr="00697EB6">
        <w:rPr>
          <w:rFonts w:ascii="Calibri" w:hAnsi="Calibri" w:cs="AdvGulliv-R"/>
          <w:iCs/>
          <w:color w:val="000000"/>
        </w:rPr>
        <w:t>,</w:t>
      </w:r>
      <w:r w:rsidR="00653320" w:rsidRPr="00697EB6">
        <w:rPr>
          <w:rFonts w:ascii="Calibri" w:hAnsi="Calibri" w:cs="AdvGulliv-R"/>
          <w:iCs/>
          <w:color w:val="000000"/>
        </w:rPr>
        <w:t xml:space="preserve"> 4</w:t>
      </w:r>
      <w:r w:rsidR="00697EB6" w:rsidRPr="00697EB6">
        <w:rPr>
          <w:rFonts w:ascii="Calibri" w:hAnsi="Calibri" w:cs="AdvGulliv-R"/>
          <w:iCs/>
          <w:color w:val="000000"/>
        </w:rPr>
        <w:t>4</w:t>
      </w:r>
      <w:r w:rsidR="00653320" w:rsidRPr="00697EB6">
        <w:rPr>
          <w:rFonts w:ascii="Calibri" w:hAnsi="Calibri" w:cs="AdvGulliv-R"/>
          <w:iCs/>
          <w:color w:val="000000"/>
        </w:rPr>
        <w:t>]</w:t>
      </w:r>
      <w:r w:rsidR="004D446E" w:rsidRPr="00697EB6">
        <w:rPr>
          <w:rFonts w:ascii="Calibri" w:hAnsi="Calibri" w:cs="AdvGulliv-R"/>
          <w:iCs/>
          <w:color w:val="000000"/>
        </w:rPr>
        <w:t>.</w:t>
      </w:r>
      <w:r w:rsidR="004D446E" w:rsidRPr="00D642B9">
        <w:rPr>
          <w:rFonts w:ascii="Calibri" w:hAnsi="Calibri" w:cs="AdvGulliv-R"/>
          <w:iCs/>
          <w:color w:val="000000"/>
        </w:rPr>
        <w:t xml:space="preserve"> </w:t>
      </w:r>
      <w:r w:rsidR="00A132E7" w:rsidRPr="00D642B9">
        <w:rPr>
          <w:rFonts w:ascii="Calibri" w:hAnsi="Calibri" w:cs="AdvGulliv-R"/>
          <w:iCs/>
          <w:color w:val="000000"/>
        </w:rPr>
        <w:t xml:space="preserve">  </w:t>
      </w:r>
      <w:r w:rsidR="006A2CB2" w:rsidRPr="00D642B9">
        <w:rPr>
          <w:rFonts w:ascii="Calibri" w:hAnsi="Calibri" w:cs="AdvGulliv-R"/>
          <w:iCs/>
          <w:color w:val="000000"/>
        </w:rPr>
        <w:t>Secondly,</w:t>
      </w:r>
      <w:r w:rsidR="004A1AF8" w:rsidRPr="00D642B9">
        <w:rPr>
          <w:rFonts w:ascii="Calibri" w:hAnsi="Calibri" w:cs="AdvGulliv-R"/>
          <w:iCs/>
          <w:color w:val="000000"/>
        </w:rPr>
        <w:t xml:space="preserve"> femoral</w:t>
      </w:r>
      <w:r w:rsidR="00084C7D" w:rsidRPr="00D642B9">
        <w:rPr>
          <w:rFonts w:ascii="Calibri" w:hAnsi="Calibri" w:cs="AdvGulliv-R"/>
          <w:iCs/>
          <w:color w:val="000000"/>
        </w:rPr>
        <w:t xml:space="preserve"> </w:t>
      </w:r>
      <w:r w:rsidR="004A1AF8" w:rsidRPr="00D642B9">
        <w:rPr>
          <w:rFonts w:ascii="Calibri" w:hAnsi="Calibri" w:cs="AdvGulliv-R"/>
          <w:iCs/>
          <w:color w:val="000000"/>
        </w:rPr>
        <w:t>neck BMD ha</w:t>
      </w:r>
      <w:r w:rsidR="006A2CB2" w:rsidRPr="00D642B9">
        <w:rPr>
          <w:rFonts w:ascii="Calibri" w:hAnsi="Calibri" w:cs="AdvGulliv-R"/>
          <w:iCs/>
          <w:color w:val="000000"/>
        </w:rPr>
        <w:t>s</w:t>
      </w:r>
      <w:r w:rsidR="004A1AF8" w:rsidRPr="00D642B9">
        <w:rPr>
          <w:rFonts w:ascii="Calibri" w:hAnsi="Calibri" w:cs="AdvGulliv-R"/>
          <w:iCs/>
          <w:color w:val="000000"/>
        </w:rPr>
        <w:t xml:space="preserve"> a different prognostic significance at different</w:t>
      </w:r>
      <w:r w:rsidR="00084C7D" w:rsidRPr="00D642B9">
        <w:rPr>
          <w:rFonts w:ascii="Calibri" w:hAnsi="Calibri" w:cs="AdvGulliv-R"/>
          <w:iCs/>
          <w:color w:val="000000"/>
        </w:rPr>
        <w:t xml:space="preserve"> </w:t>
      </w:r>
      <w:r w:rsidR="004A1AF8" w:rsidRPr="00742E0C">
        <w:rPr>
          <w:rFonts w:ascii="Calibri" w:hAnsi="Calibri" w:cs="AdvGulliv-R"/>
          <w:iCs/>
          <w:color w:val="000000"/>
        </w:rPr>
        <w:t>ages [</w:t>
      </w:r>
      <w:r w:rsidR="00CB3B64" w:rsidRPr="00742E0C">
        <w:rPr>
          <w:rFonts w:ascii="Calibri" w:hAnsi="Calibri" w:cs="AdvGulliv-R"/>
          <w:iCs/>
          <w:color w:val="000000"/>
        </w:rPr>
        <w:t>4</w:t>
      </w:r>
      <w:r w:rsidR="00742E0C" w:rsidRPr="00742E0C">
        <w:rPr>
          <w:rFonts w:ascii="Calibri" w:hAnsi="Calibri" w:cs="AdvGulliv-R"/>
          <w:iCs/>
          <w:color w:val="000000"/>
        </w:rPr>
        <w:t>5</w:t>
      </w:r>
      <w:r w:rsidR="000F1848" w:rsidRPr="00742E0C">
        <w:rPr>
          <w:rFonts w:ascii="Calibri" w:hAnsi="Calibri" w:cs="AdvGulliv-R"/>
          <w:iCs/>
          <w:color w:val="000000"/>
        </w:rPr>
        <w:t>]</w:t>
      </w:r>
      <w:r w:rsidR="00E8166C" w:rsidRPr="00742E0C">
        <w:t xml:space="preserve"> </w:t>
      </w:r>
      <w:r w:rsidR="00E8166C" w:rsidRPr="00742E0C">
        <w:rPr>
          <w:rFonts w:ascii="Calibri" w:hAnsi="Calibri" w:cs="AdvGulliv-R"/>
          <w:iCs/>
          <w:color w:val="000000"/>
        </w:rPr>
        <w:t>as</w:t>
      </w:r>
      <w:r w:rsidR="00E8166C" w:rsidRPr="00E8166C">
        <w:rPr>
          <w:rFonts w:ascii="Calibri" w:hAnsi="Calibri" w:cs="AdvGulliv-R"/>
          <w:iCs/>
          <w:color w:val="000000"/>
        </w:rPr>
        <w:t xml:space="preserve"> shown previously for forearm BMD [4</w:t>
      </w:r>
      <w:r w:rsidR="00742E0C">
        <w:rPr>
          <w:rFonts w:ascii="Calibri" w:hAnsi="Calibri" w:cs="AdvGulliv-R"/>
          <w:iCs/>
          <w:color w:val="000000"/>
        </w:rPr>
        <w:t>6</w:t>
      </w:r>
      <w:r w:rsidR="00E8166C" w:rsidRPr="00E8166C">
        <w:rPr>
          <w:rFonts w:ascii="Calibri" w:hAnsi="Calibri" w:cs="AdvGulliv-R"/>
          <w:iCs/>
          <w:color w:val="000000"/>
        </w:rPr>
        <w:t xml:space="preserve">].  </w:t>
      </w:r>
      <w:r w:rsidR="00BC50B1" w:rsidRPr="00D642B9">
        <w:rPr>
          <w:rFonts w:ascii="Calibri" w:hAnsi="Calibri" w:cs="AdvGulliv-R"/>
          <w:iCs/>
          <w:color w:val="000000"/>
        </w:rPr>
        <w:t xml:space="preserve">Indeed, with advancing age a T-score of </w:t>
      </w:r>
      <w:r w:rsidR="004D1C2A" w:rsidRPr="00D642B9">
        <w:rPr>
          <w:rFonts w:ascii="Calibri" w:hAnsi="Calibri" w:cs="AdvGulliv-R"/>
          <w:iCs/>
          <w:color w:val="000000"/>
        </w:rPr>
        <w:t>-2.5 car</w:t>
      </w:r>
      <w:r w:rsidR="0043282B" w:rsidRPr="00D642B9">
        <w:rPr>
          <w:rFonts w:ascii="Calibri" w:hAnsi="Calibri" w:cs="AdvGulliv-R"/>
          <w:iCs/>
          <w:color w:val="000000"/>
        </w:rPr>
        <w:t>r</w:t>
      </w:r>
      <w:r w:rsidR="004D1C2A" w:rsidRPr="00D642B9">
        <w:rPr>
          <w:rFonts w:ascii="Calibri" w:hAnsi="Calibri" w:cs="AdvGulliv-R"/>
          <w:iCs/>
          <w:color w:val="000000"/>
        </w:rPr>
        <w:t>ies a fracture ri</w:t>
      </w:r>
      <w:r w:rsidR="00B01365" w:rsidRPr="00D642B9">
        <w:rPr>
          <w:rFonts w:ascii="Calibri" w:hAnsi="Calibri" w:cs="AdvGulliv-R"/>
          <w:iCs/>
          <w:color w:val="000000"/>
        </w:rPr>
        <w:t xml:space="preserve">sk lower than that of </w:t>
      </w:r>
      <w:r w:rsidR="00042DB5" w:rsidRPr="00D642B9">
        <w:rPr>
          <w:rFonts w:ascii="Calibri" w:hAnsi="Calibri" w:cs="AdvGulliv-R"/>
          <w:iCs/>
          <w:color w:val="000000"/>
        </w:rPr>
        <w:t>many</w:t>
      </w:r>
      <w:r w:rsidR="00E074CE" w:rsidRPr="00D642B9">
        <w:rPr>
          <w:rFonts w:ascii="Calibri" w:hAnsi="Calibri" w:cs="AdvGulliv-R"/>
          <w:iCs/>
          <w:color w:val="000000"/>
        </w:rPr>
        <w:t xml:space="preserve"> </w:t>
      </w:r>
      <w:r w:rsidR="00B01365" w:rsidRPr="00D642B9">
        <w:rPr>
          <w:rFonts w:ascii="Calibri" w:hAnsi="Calibri" w:cs="AdvGulliv-R"/>
          <w:iCs/>
          <w:color w:val="000000"/>
        </w:rPr>
        <w:t>individuals of the same age and no clini</w:t>
      </w:r>
      <w:r w:rsidR="003C1A71" w:rsidRPr="00D642B9">
        <w:rPr>
          <w:rFonts w:ascii="Calibri" w:hAnsi="Calibri" w:cs="AdvGulliv-R"/>
          <w:iCs/>
          <w:color w:val="000000"/>
        </w:rPr>
        <w:t xml:space="preserve">cal risk factors (Figure 1).  </w:t>
      </w:r>
      <w:r w:rsidR="00824D28" w:rsidRPr="0066516B">
        <w:rPr>
          <w:rFonts w:ascii="Calibri" w:hAnsi="Calibri" w:cs="AdvGulliv-R"/>
          <w:iCs/>
          <w:color w:val="000000"/>
        </w:rPr>
        <w:t>The explanation is that in the oldest old there is a decrease in the probability of fracture because of the competing effect of death risk plus the decrease in T</w:t>
      </w:r>
      <w:r w:rsidR="005669A4" w:rsidRPr="0066516B">
        <w:rPr>
          <w:rFonts w:ascii="Calibri" w:hAnsi="Calibri" w:cs="AdvGulliv-R"/>
          <w:iCs/>
          <w:color w:val="000000"/>
        </w:rPr>
        <w:t>-</w:t>
      </w:r>
      <w:r w:rsidR="00824D28" w:rsidRPr="0066516B">
        <w:rPr>
          <w:rFonts w:ascii="Calibri" w:hAnsi="Calibri" w:cs="AdvGulliv-R"/>
          <w:iCs/>
          <w:color w:val="000000"/>
        </w:rPr>
        <w:t>score with advancing age</w:t>
      </w:r>
      <w:r w:rsidR="001B0E1C" w:rsidRPr="0066516B">
        <w:rPr>
          <w:iCs/>
        </w:rPr>
        <w:t xml:space="preserve"> so that</w:t>
      </w:r>
      <w:r w:rsidR="000E0EA3" w:rsidRPr="0066516B">
        <w:rPr>
          <w:iCs/>
        </w:rPr>
        <w:t xml:space="preserve"> a </w:t>
      </w:r>
      <w:r w:rsidR="005669A4" w:rsidRPr="0066516B">
        <w:rPr>
          <w:iCs/>
        </w:rPr>
        <w:t>T-score</w:t>
      </w:r>
      <w:r w:rsidR="001B0E1C" w:rsidRPr="0066516B">
        <w:rPr>
          <w:iCs/>
        </w:rPr>
        <w:t xml:space="preserve"> -2.5 is above average for the older population</w:t>
      </w:r>
      <w:r w:rsidR="00824D28" w:rsidRPr="0066516B">
        <w:rPr>
          <w:rFonts w:ascii="Calibri" w:hAnsi="Calibri" w:cs="AdvGulliv-R"/>
          <w:iCs/>
          <w:color w:val="000000"/>
        </w:rPr>
        <w:t>.</w:t>
      </w:r>
      <w:r w:rsidR="009D5982">
        <w:rPr>
          <w:rFonts w:ascii="Calibri" w:hAnsi="Calibri" w:cs="AdvGulliv-R"/>
          <w:iCs/>
          <w:color w:val="000000"/>
        </w:rPr>
        <w:t xml:space="preserve"> </w:t>
      </w:r>
      <w:r w:rsidR="0055603A">
        <w:rPr>
          <w:rFonts w:ascii="Calibri" w:hAnsi="Calibri" w:cs="AdvGulliv-R"/>
          <w:iCs/>
          <w:color w:val="000000"/>
        </w:rPr>
        <w:t xml:space="preserve"> </w:t>
      </w:r>
      <w:r w:rsidR="003E4B04" w:rsidRPr="00D642B9">
        <w:rPr>
          <w:rFonts w:ascii="Calibri" w:hAnsi="Calibri" w:cs="AdvGulliv-R"/>
          <w:iCs/>
          <w:color w:val="000000"/>
        </w:rPr>
        <w:t xml:space="preserve">Third, it is well established that fracture rates vary widely from country to country – much more so than can be explained by variations in </w:t>
      </w:r>
      <w:r w:rsidR="003E4B04" w:rsidRPr="004D4208">
        <w:rPr>
          <w:rFonts w:ascii="Calibri" w:hAnsi="Calibri" w:cs="AdvGulliv-R"/>
          <w:iCs/>
          <w:color w:val="000000"/>
        </w:rPr>
        <w:t>BMD [</w:t>
      </w:r>
      <w:r w:rsidR="00517A26" w:rsidRPr="004D4208">
        <w:rPr>
          <w:rFonts w:ascii="Calibri" w:hAnsi="Calibri" w:cs="AdvGulliv-R"/>
          <w:iCs/>
          <w:color w:val="000000"/>
        </w:rPr>
        <w:t>4</w:t>
      </w:r>
      <w:r w:rsidR="004D4208" w:rsidRPr="004D4208">
        <w:rPr>
          <w:rFonts w:ascii="Calibri" w:hAnsi="Calibri" w:cs="AdvGulliv-R"/>
          <w:iCs/>
          <w:color w:val="000000"/>
        </w:rPr>
        <w:t>4</w:t>
      </w:r>
      <w:r w:rsidR="00517A26" w:rsidRPr="004D4208">
        <w:rPr>
          <w:rFonts w:ascii="Calibri" w:hAnsi="Calibri" w:cs="AdvGulliv-R"/>
          <w:iCs/>
          <w:color w:val="000000"/>
        </w:rPr>
        <w:t xml:space="preserve">, </w:t>
      </w:r>
      <w:r w:rsidR="00A26A40" w:rsidRPr="004D4208">
        <w:rPr>
          <w:rFonts w:ascii="Calibri" w:hAnsi="Calibri" w:cs="AdvGulliv-R"/>
          <w:iCs/>
          <w:color w:val="000000"/>
        </w:rPr>
        <w:t>4</w:t>
      </w:r>
      <w:r w:rsidR="004D4208" w:rsidRPr="004D4208">
        <w:rPr>
          <w:rFonts w:ascii="Calibri" w:hAnsi="Calibri" w:cs="AdvGulliv-R"/>
          <w:iCs/>
          <w:color w:val="000000"/>
        </w:rPr>
        <w:t>7</w:t>
      </w:r>
      <w:r w:rsidR="00A26A40" w:rsidRPr="004D4208">
        <w:rPr>
          <w:rFonts w:ascii="Calibri" w:hAnsi="Calibri" w:cs="AdvGulliv-R"/>
          <w:iCs/>
          <w:color w:val="000000"/>
        </w:rPr>
        <w:t>]</w:t>
      </w:r>
      <w:r w:rsidR="00A26A40" w:rsidRPr="00D642B9">
        <w:rPr>
          <w:rFonts w:ascii="Calibri" w:hAnsi="Calibri" w:cs="AdvGulliv-R"/>
          <w:iCs/>
          <w:color w:val="000000"/>
        </w:rPr>
        <w:t xml:space="preserve"> </w:t>
      </w:r>
      <w:r w:rsidR="001C5176" w:rsidRPr="00D642B9">
        <w:rPr>
          <w:rFonts w:ascii="Calibri" w:hAnsi="Calibri" w:cs="AdvGulliv-R"/>
          <w:iCs/>
          <w:color w:val="000000"/>
        </w:rPr>
        <w:t>so that</w:t>
      </w:r>
      <w:r w:rsidR="003E4B04" w:rsidRPr="00D642B9">
        <w:rPr>
          <w:rFonts w:ascii="Calibri" w:hAnsi="Calibri" w:cs="AdvGulliv-R"/>
          <w:iCs/>
          <w:color w:val="000000"/>
        </w:rPr>
        <w:t xml:space="preserve"> for any given fracture risk</w:t>
      </w:r>
      <w:r w:rsidR="001C5176" w:rsidRPr="00D642B9">
        <w:rPr>
          <w:rFonts w:ascii="Calibri" w:hAnsi="Calibri" w:cs="AdvGulliv-R"/>
          <w:iCs/>
          <w:color w:val="000000"/>
        </w:rPr>
        <w:t>,</w:t>
      </w:r>
      <w:r w:rsidR="003E4B04" w:rsidRPr="00D642B9">
        <w:rPr>
          <w:rFonts w:ascii="Calibri" w:hAnsi="Calibri" w:cs="AdvGulliv-R"/>
          <w:iCs/>
          <w:color w:val="000000"/>
        </w:rPr>
        <w:t xml:space="preserve"> the T-score will vary from country to country.</w:t>
      </w:r>
      <w:r w:rsidR="0098049A" w:rsidRPr="00D642B9">
        <w:rPr>
          <w:rFonts w:ascii="Calibri" w:hAnsi="Calibri" w:cs="AdvGulliv-R"/>
          <w:iCs/>
          <w:color w:val="000000"/>
        </w:rPr>
        <w:t xml:space="preserve"> </w:t>
      </w:r>
      <w:r w:rsidR="006A2CB2" w:rsidRPr="00D642B9">
        <w:rPr>
          <w:rFonts w:ascii="Calibri" w:hAnsi="Calibri" w:cs="AdvGulliv-R"/>
          <w:iCs/>
          <w:color w:val="000000"/>
        </w:rPr>
        <w:t xml:space="preserve"> </w:t>
      </w:r>
      <w:r w:rsidR="004A1AF8" w:rsidRPr="00D642B9">
        <w:rPr>
          <w:rFonts w:ascii="Calibri" w:hAnsi="Calibri" w:cs="AdvGulliv-R"/>
          <w:iCs/>
          <w:color w:val="000000"/>
        </w:rPr>
        <w:t xml:space="preserve">The implication </w:t>
      </w:r>
      <w:r w:rsidR="001C5176" w:rsidRPr="00D642B9">
        <w:rPr>
          <w:rFonts w:ascii="Calibri" w:hAnsi="Calibri" w:cs="AdvGulliv-R"/>
          <w:iCs/>
          <w:color w:val="000000"/>
        </w:rPr>
        <w:t>is</w:t>
      </w:r>
      <w:r w:rsidR="004A1AF8" w:rsidRPr="00D642B9">
        <w:rPr>
          <w:rFonts w:ascii="Calibri" w:hAnsi="Calibri" w:cs="AdvGulliv-R"/>
          <w:iCs/>
          <w:color w:val="000000"/>
        </w:rPr>
        <w:t xml:space="preserve"> that diagnostic thresholds</w:t>
      </w:r>
      <w:r w:rsidR="00B746AA" w:rsidRPr="00D642B9">
        <w:rPr>
          <w:rFonts w:ascii="Calibri" w:hAnsi="Calibri" w:cs="AdvGulliv-R"/>
          <w:iCs/>
          <w:color w:val="000000"/>
        </w:rPr>
        <w:t xml:space="preserve"> </w:t>
      </w:r>
      <w:r w:rsidR="00645065">
        <w:rPr>
          <w:rFonts w:ascii="Calibri" w:hAnsi="Calibri" w:cs="AdvGulliv-R"/>
          <w:iCs/>
          <w:color w:val="000000"/>
        </w:rPr>
        <w:t>(T-</w:t>
      </w:r>
      <w:r w:rsidR="005D1B15">
        <w:rPr>
          <w:rFonts w:ascii="Calibri" w:hAnsi="Calibri" w:cs="AdvGulliv-R"/>
          <w:iCs/>
          <w:color w:val="000000"/>
        </w:rPr>
        <w:t xml:space="preserve">score </w:t>
      </w:r>
      <w:r w:rsidR="005D1B15" w:rsidRPr="00A116D5">
        <w:rPr>
          <w:rFonts w:ascii="Calibri" w:hAnsi="Calibri"/>
        </w:rPr>
        <w:t>≤</w:t>
      </w:r>
      <w:r w:rsidR="00645065" w:rsidRPr="00A116D5">
        <w:rPr>
          <w:rFonts w:ascii="Calibri" w:hAnsi="Calibri"/>
        </w:rPr>
        <w:t>-</w:t>
      </w:r>
      <w:r w:rsidR="00645065">
        <w:rPr>
          <w:rFonts w:ascii="Calibri" w:hAnsi="Calibri" w:cs="AdvGulliv-R"/>
          <w:iCs/>
          <w:color w:val="000000"/>
        </w:rPr>
        <w:t xml:space="preserve">2.5) </w:t>
      </w:r>
      <w:r w:rsidR="004A1AF8" w:rsidRPr="00D642B9">
        <w:rPr>
          <w:rFonts w:ascii="Calibri" w:hAnsi="Calibri" w:cs="AdvGulliv-R"/>
          <w:iCs/>
          <w:color w:val="000000"/>
        </w:rPr>
        <w:t>are not equivalent to intervention thresholds</w:t>
      </w:r>
      <w:r w:rsidR="00645065">
        <w:rPr>
          <w:rFonts w:ascii="Calibri" w:hAnsi="Calibri" w:cs="AdvGulliv-R"/>
          <w:iCs/>
          <w:color w:val="000000"/>
        </w:rPr>
        <w:t xml:space="preserve"> (</w:t>
      </w:r>
      <w:r w:rsidR="005D1B15">
        <w:rPr>
          <w:rFonts w:ascii="Calibri" w:hAnsi="Calibri" w:cs="AdvGulliv-R"/>
          <w:iCs/>
          <w:color w:val="000000"/>
        </w:rPr>
        <w:t>i.e.,</w:t>
      </w:r>
      <w:r w:rsidR="00645065">
        <w:rPr>
          <w:rFonts w:ascii="Calibri" w:hAnsi="Calibri" w:cs="AdvGulliv-R"/>
          <w:iCs/>
          <w:color w:val="000000"/>
        </w:rPr>
        <w:t xml:space="preserve"> </w:t>
      </w:r>
      <w:r w:rsidR="00941090">
        <w:rPr>
          <w:rFonts w:ascii="Calibri" w:hAnsi="Calibri" w:cs="AdvGulliv-R"/>
          <w:iCs/>
          <w:color w:val="000000"/>
        </w:rPr>
        <w:t xml:space="preserve">a level of </w:t>
      </w:r>
      <w:r w:rsidR="00645065">
        <w:rPr>
          <w:rFonts w:ascii="Calibri" w:hAnsi="Calibri" w:cs="AdvGulliv-R"/>
          <w:iCs/>
          <w:color w:val="000000"/>
        </w:rPr>
        <w:t>FRAX probability)</w:t>
      </w:r>
      <w:r w:rsidR="004A1AF8" w:rsidRPr="00D642B9">
        <w:rPr>
          <w:rFonts w:ascii="Calibri" w:hAnsi="Calibri" w:cs="AdvGulliv-R"/>
          <w:iCs/>
          <w:color w:val="000000"/>
        </w:rPr>
        <w:t xml:space="preserve"> since the range</w:t>
      </w:r>
      <w:r w:rsidR="00CF3DDD" w:rsidRPr="00D642B9">
        <w:rPr>
          <w:rFonts w:ascii="Calibri" w:hAnsi="Calibri" w:cs="AdvGulliv-R"/>
          <w:iCs/>
          <w:color w:val="000000"/>
        </w:rPr>
        <w:t xml:space="preserve"> </w:t>
      </w:r>
      <w:r w:rsidR="004A1AF8" w:rsidRPr="00D642B9">
        <w:rPr>
          <w:rFonts w:ascii="Calibri" w:hAnsi="Calibri" w:cs="AdvGulliv-R"/>
          <w:iCs/>
          <w:color w:val="000000"/>
        </w:rPr>
        <w:t>of risk varie</w:t>
      </w:r>
      <w:r w:rsidR="0098049A" w:rsidRPr="00D642B9">
        <w:rPr>
          <w:rFonts w:ascii="Calibri" w:hAnsi="Calibri" w:cs="AdvGulliv-R"/>
          <w:iCs/>
          <w:color w:val="000000"/>
        </w:rPr>
        <w:t>s</w:t>
      </w:r>
      <w:r w:rsidR="004A1AF8" w:rsidRPr="00D642B9">
        <w:rPr>
          <w:rFonts w:ascii="Calibri" w:hAnsi="Calibri" w:cs="AdvGulliv-R"/>
          <w:iCs/>
          <w:color w:val="000000"/>
        </w:rPr>
        <w:t xml:space="preserve"> so markedly for any given </w:t>
      </w:r>
      <w:r w:rsidR="004A1AF8" w:rsidRPr="004D4208">
        <w:rPr>
          <w:rFonts w:ascii="Calibri" w:hAnsi="Calibri" w:cs="AdvGulliv-R"/>
          <w:iCs/>
          <w:color w:val="000000"/>
        </w:rPr>
        <w:t>BMD [</w:t>
      </w:r>
      <w:r w:rsidR="008B2477" w:rsidRPr="004D4208">
        <w:rPr>
          <w:rFonts w:ascii="Calibri" w:hAnsi="Calibri" w:cs="AdvGulliv-R"/>
          <w:iCs/>
          <w:color w:val="000000"/>
        </w:rPr>
        <w:t>4</w:t>
      </w:r>
      <w:r w:rsidR="004D4208" w:rsidRPr="004D4208">
        <w:rPr>
          <w:rFonts w:ascii="Calibri" w:hAnsi="Calibri" w:cs="AdvGulliv-R"/>
          <w:iCs/>
          <w:color w:val="000000"/>
        </w:rPr>
        <w:t>5</w:t>
      </w:r>
      <w:r w:rsidR="008B2477" w:rsidRPr="004D4208">
        <w:rPr>
          <w:rFonts w:ascii="Calibri" w:hAnsi="Calibri" w:cs="AdvGulliv-R"/>
          <w:iCs/>
          <w:color w:val="000000"/>
        </w:rPr>
        <w:t>]</w:t>
      </w:r>
      <w:r w:rsidR="004A1AF8" w:rsidRPr="004D4208">
        <w:rPr>
          <w:rFonts w:ascii="Calibri" w:hAnsi="Calibri" w:cs="AdvGulliv-R"/>
          <w:iCs/>
          <w:color w:val="000000"/>
        </w:rPr>
        <w:t>.</w:t>
      </w:r>
      <w:r w:rsidR="004A1AF8" w:rsidRPr="004A1AF8">
        <w:rPr>
          <w:rFonts w:ascii="Calibri" w:hAnsi="Calibri" w:cs="AdvGulliv-R"/>
          <w:iCs/>
          <w:color w:val="000000"/>
        </w:rPr>
        <w:t xml:space="preserve"> </w:t>
      </w:r>
      <w:r w:rsidR="00742FFC">
        <w:rPr>
          <w:rFonts w:ascii="Calibri" w:hAnsi="Calibri" w:cs="AdvGulliv-R"/>
          <w:iCs/>
          <w:color w:val="000000"/>
        </w:rPr>
        <w:t xml:space="preserve"> </w:t>
      </w:r>
    </w:p>
    <w:p w14:paraId="212CB3AB" w14:textId="3981C58A" w:rsidR="00AF59B9" w:rsidDel="008E280E" w:rsidRDefault="00AF59B9" w:rsidP="00854F48">
      <w:pPr>
        <w:ind w:right="543"/>
        <w:rPr>
          <w:rFonts w:ascii="Calibri" w:hAnsi="Calibri"/>
          <w:sz w:val="20"/>
          <w:szCs w:val="20"/>
          <w:lang w:val="en-US"/>
        </w:rPr>
      </w:pPr>
      <w:r w:rsidRPr="00AF59B9" w:rsidDel="008E280E">
        <w:rPr>
          <w:rFonts w:ascii="Calibri" w:hAnsi="Calibri"/>
          <w:b/>
          <w:sz w:val="20"/>
          <w:szCs w:val="20"/>
          <w:lang w:val="en-US"/>
        </w:rPr>
        <w:t xml:space="preserve">Fig. </w:t>
      </w:r>
      <w:proofErr w:type="gramStart"/>
      <w:r w:rsidRPr="00AF59B9" w:rsidDel="008E280E">
        <w:rPr>
          <w:rFonts w:ascii="Calibri" w:hAnsi="Calibri"/>
          <w:b/>
          <w:sz w:val="20"/>
          <w:szCs w:val="20"/>
          <w:lang w:val="en-US"/>
        </w:rPr>
        <w:t>1</w:t>
      </w:r>
      <w:r w:rsidR="00697729">
        <w:rPr>
          <w:rFonts w:ascii="Calibri" w:hAnsi="Calibri"/>
          <w:b/>
          <w:sz w:val="20"/>
          <w:szCs w:val="20"/>
          <w:lang w:val="en-US"/>
        </w:rPr>
        <w:t xml:space="preserve"> </w:t>
      </w:r>
      <w:r w:rsidRPr="00AF59B9" w:rsidDel="008E280E">
        <w:rPr>
          <w:rFonts w:ascii="Calibri" w:hAnsi="Calibri"/>
          <w:sz w:val="20"/>
          <w:szCs w:val="20"/>
          <w:lang w:val="en-US"/>
        </w:rPr>
        <w:t xml:space="preserve"> 10</w:t>
      </w:r>
      <w:proofErr w:type="gramEnd"/>
      <w:r w:rsidRPr="00AF59B9" w:rsidDel="008E280E">
        <w:rPr>
          <w:rFonts w:ascii="Calibri" w:hAnsi="Calibri"/>
          <w:sz w:val="20"/>
          <w:szCs w:val="20"/>
          <w:lang w:val="en-US"/>
        </w:rPr>
        <w:t>-year probabilities (%) of a major osteoporotic fracture for women from the U</w:t>
      </w:r>
      <w:r w:rsidR="00243897" w:rsidDel="008E280E">
        <w:rPr>
          <w:rFonts w:ascii="Calibri" w:hAnsi="Calibri"/>
          <w:sz w:val="20"/>
          <w:szCs w:val="20"/>
          <w:lang w:val="en-US"/>
        </w:rPr>
        <w:t>K</w:t>
      </w:r>
      <w:r w:rsidRPr="00AF59B9" w:rsidDel="008E280E">
        <w:rPr>
          <w:rFonts w:ascii="Calibri" w:hAnsi="Calibri"/>
          <w:sz w:val="20"/>
          <w:szCs w:val="20"/>
          <w:lang w:val="en-US"/>
        </w:rPr>
        <w:t xml:space="preserve"> according to </w:t>
      </w:r>
      <w:r w:rsidR="000304E4" w:rsidDel="008E280E">
        <w:rPr>
          <w:rFonts w:ascii="Calibri" w:hAnsi="Calibri"/>
          <w:sz w:val="20"/>
          <w:szCs w:val="20"/>
          <w:lang w:val="en-US"/>
        </w:rPr>
        <w:t>a</w:t>
      </w:r>
      <w:r w:rsidR="00DD16D1" w:rsidDel="008E280E">
        <w:rPr>
          <w:rFonts w:ascii="Calibri" w:hAnsi="Calibri"/>
          <w:sz w:val="20"/>
          <w:szCs w:val="20"/>
          <w:lang w:val="en-US"/>
        </w:rPr>
        <w:t xml:space="preserve"> </w:t>
      </w:r>
      <w:r w:rsidRPr="00AF59B9" w:rsidDel="008E280E">
        <w:rPr>
          <w:rFonts w:ascii="Calibri" w:hAnsi="Calibri"/>
          <w:sz w:val="20"/>
          <w:szCs w:val="20"/>
          <w:lang w:val="en-US"/>
        </w:rPr>
        <w:t>T-score</w:t>
      </w:r>
      <w:r w:rsidR="000304E4" w:rsidDel="008E280E">
        <w:rPr>
          <w:rFonts w:ascii="Calibri" w:hAnsi="Calibri"/>
          <w:sz w:val="20"/>
          <w:szCs w:val="20"/>
          <w:lang w:val="en-US"/>
        </w:rPr>
        <w:t xml:space="preserve"> of -2.5 SD (open </w:t>
      </w:r>
      <w:r w:rsidR="001E0154" w:rsidDel="008E280E">
        <w:rPr>
          <w:rFonts w:ascii="Calibri" w:hAnsi="Calibri"/>
          <w:sz w:val="20"/>
          <w:szCs w:val="20"/>
          <w:lang w:val="en-US"/>
        </w:rPr>
        <w:t>squares</w:t>
      </w:r>
      <w:r w:rsidR="000304E4" w:rsidDel="008E280E">
        <w:rPr>
          <w:rFonts w:ascii="Calibri" w:hAnsi="Calibri"/>
          <w:sz w:val="20"/>
          <w:szCs w:val="20"/>
          <w:lang w:val="en-US"/>
        </w:rPr>
        <w:t>)</w:t>
      </w:r>
      <w:r w:rsidRPr="00AF59B9" w:rsidDel="008E280E">
        <w:rPr>
          <w:rFonts w:ascii="Calibri" w:hAnsi="Calibri"/>
          <w:sz w:val="20"/>
          <w:szCs w:val="20"/>
          <w:lang w:val="en-US"/>
        </w:rPr>
        <w:t xml:space="preserve">, </w:t>
      </w:r>
      <w:r w:rsidR="00E6789D" w:rsidDel="008E280E">
        <w:rPr>
          <w:rFonts w:ascii="Calibri" w:hAnsi="Calibri"/>
          <w:sz w:val="20"/>
          <w:szCs w:val="20"/>
          <w:lang w:val="en-US"/>
        </w:rPr>
        <w:t xml:space="preserve">or </w:t>
      </w:r>
      <w:r w:rsidRPr="00AF59B9" w:rsidDel="008E280E">
        <w:rPr>
          <w:rFonts w:ascii="Calibri" w:hAnsi="Calibri"/>
          <w:sz w:val="20"/>
          <w:szCs w:val="20"/>
          <w:lang w:val="en-US"/>
        </w:rPr>
        <w:t>prior fracture</w:t>
      </w:r>
      <w:r w:rsidR="000304E4" w:rsidDel="008E280E">
        <w:rPr>
          <w:rFonts w:ascii="Calibri" w:hAnsi="Calibri"/>
          <w:sz w:val="20"/>
          <w:szCs w:val="20"/>
          <w:lang w:val="en-US"/>
        </w:rPr>
        <w:t xml:space="preserve"> (</w:t>
      </w:r>
      <w:r w:rsidR="001E0154" w:rsidDel="008E280E">
        <w:rPr>
          <w:rFonts w:ascii="Calibri" w:hAnsi="Calibri"/>
          <w:sz w:val="20"/>
          <w:szCs w:val="20"/>
          <w:lang w:val="en-US"/>
        </w:rPr>
        <w:t>open circle</w:t>
      </w:r>
      <w:r w:rsidR="00E6789D" w:rsidDel="008E280E">
        <w:rPr>
          <w:rFonts w:ascii="Calibri" w:hAnsi="Calibri"/>
          <w:sz w:val="20"/>
          <w:szCs w:val="20"/>
          <w:lang w:val="en-US"/>
        </w:rPr>
        <w:t>s</w:t>
      </w:r>
      <w:r w:rsidR="000304E4" w:rsidDel="008E280E">
        <w:rPr>
          <w:rFonts w:ascii="Calibri" w:hAnsi="Calibri"/>
          <w:sz w:val="20"/>
          <w:szCs w:val="20"/>
          <w:lang w:val="en-US"/>
        </w:rPr>
        <w:t>)</w:t>
      </w:r>
      <w:r w:rsidRPr="00AF59B9" w:rsidDel="008E280E">
        <w:rPr>
          <w:rFonts w:ascii="Calibri" w:hAnsi="Calibri"/>
          <w:sz w:val="20"/>
          <w:szCs w:val="20"/>
          <w:lang w:val="en-US"/>
        </w:rPr>
        <w:t xml:space="preserve"> (BMI is set to 2</w:t>
      </w:r>
      <w:r w:rsidR="00FE3B98" w:rsidDel="008E280E">
        <w:rPr>
          <w:rFonts w:ascii="Calibri" w:hAnsi="Calibri"/>
          <w:sz w:val="20"/>
          <w:szCs w:val="20"/>
          <w:lang w:val="en-US"/>
        </w:rPr>
        <w:t>5</w:t>
      </w:r>
      <w:r w:rsidRPr="00AF59B9" w:rsidDel="008E280E">
        <w:rPr>
          <w:rFonts w:ascii="Calibri" w:hAnsi="Calibri"/>
          <w:sz w:val="20"/>
          <w:szCs w:val="20"/>
          <w:lang w:val="en-US"/>
        </w:rPr>
        <w:t>kg/m</w:t>
      </w:r>
      <w:r w:rsidRPr="00AF59B9" w:rsidDel="008E280E">
        <w:rPr>
          <w:rFonts w:ascii="Calibri" w:hAnsi="Calibri"/>
          <w:sz w:val="20"/>
          <w:szCs w:val="20"/>
          <w:vertAlign w:val="superscript"/>
          <w:lang w:val="en-US"/>
        </w:rPr>
        <w:t>2</w:t>
      </w:r>
      <w:r w:rsidRPr="00AF59B9" w:rsidDel="008E280E">
        <w:rPr>
          <w:rFonts w:ascii="Calibri" w:hAnsi="Calibri"/>
          <w:sz w:val="20"/>
          <w:szCs w:val="20"/>
          <w:lang w:val="en-US"/>
        </w:rPr>
        <w:t xml:space="preserve">). </w:t>
      </w:r>
      <w:r w:rsidRPr="00AF59B9" w:rsidDel="008E280E">
        <w:rPr>
          <w:rFonts w:ascii="Calibri" w:hAnsi="Calibri"/>
          <w:sz w:val="20"/>
          <w:szCs w:val="20"/>
        </w:rPr>
        <w:t>[</w:t>
      </w:r>
      <w:hyperlink r:id="rId17" w:history="1">
        <w:r w:rsidRPr="00AF59B9" w:rsidDel="008E280E">
          <w:rPr>
            <w:rStyle w:val="Hyperlink"/>
            <w:rFonts w:ascii="Calibri" w:hAnsi="Calibri"/>
            <w:sz w:val="20"/>
            <w:szCs w:val="20"/>
          </w:rPr>
          <w:t>http://www.shef.ac.uk/FRAX</w:t>
        </w:r>
      </w:hyperlink>
      <w:r w:rsidRPr="00AF59B9" w:rsidDel="008E280E">
        <w:rPr>
          <w:rFonts w:ascii="Calibri" w:hAnsi="Calibri"/>
          <w:sz w:val="20"/>
          <w:szCs w:val="20"/>
        </w:rPr>
        <w:t>]</w:t>
      </w:r>
      <w:r w:rsidRPr="00AF59B9" w:rsidDel="008E280E">
        <w:rPr>
          <w:rFonts w:ascii="Calibri" w:hAnsi="Calibri"/>
          <w:sz w:val="20"/>
          <w:szCs w:val="20"/>
          <w:lang w:val="en-US"/>
        </w:rPr>
        <w:t>.</w:t>
      </w:r>
      <w:r w:rsidR="00C212D4" w:rsidDel="008E280E">
        <w:rPr>
          <w:rFonts w:ascii="Calibri" w:hAnsi="Calibri"/>
          <w:sz w:val="20"/>
          <w:szCs w:val="20"/>
          <w:lang w:val="en-US"/>
        </w:rPr>
        <w:t xml:space="preserve">  Note the decreased probability after the age of </w:t>
      </w:r>
      <w:r w:rsidR="007B781A" w:rsidDel="008E280E">
        <w:rPr>
          <w:rFonts w:ascii="Calibri" w:hAnsi="Calibri"/>
          <w:sz w:val="20"/>
          <w:szCs w:val="20"/>
          <w:lang w:val="en-US"/>
        </w:rPr>
        <w:t>85 years</w:t>
      </w:r>
      <w:r w:rsidR="00C212D4" w:rsidDel="008E280E">
        <w:rPr>
          <w:rFonts w:ascii="Calibri" w:hAnsi="Calibri"/>
          <w:sz w:val="20"/>
          <w:szCs w:val="20"/>
          <w:lang w:val="en-US"/>
        </w:rPr>
        <w:t xml:space="preserve"> due to the competing effect of mortality.</w:t>
      </w:r>
      <w:r w:rsidR="00D337D6" w:rsidDel="008E280E">
        <w:rPr>
          <w:rFonts w:ascii="Calibri" w:hAnsi="Calibri"/>
          <w:sz w:val="20"/>
          <w:szCs w:val="20"/>
          <w:lang w:val="en-US"/>
        </w:rPr>
        <w:t xml:space="preserve"> </w:t>
      </w:r>
    </w:p>
    <w:p w14:paraId="23E6F26D" w14:textId="5FCB5807" w:rsidR="00AD3C3B" w:rsidRDefault="00E429D8" w:rsidP="00696981">
      <w:pPr>
        <w:ind w:right="543"/>
        <w:rPr>
          <w:rFonts w:ascii="Calibri" w:hAnsi="Calibri" w:cs="AdvGulliv-R"/>
          <w:color w:val="000000"/>
        </w:rPr>
      </w:pPr>
      <w:r w:rsidRPr="00D642B9">
        <w:rPr>
          <w:rFonts w:ascii="Calibri" w:hAnsi="Calibri" w:cs="AdvGulliv-R"/>
          <w:color w:val="000000"/>
        </w:rPr>
        <w:lastRenderedPageBreak/>
        <w:t xml:space="preserve">The use of the T-score as an intervention threshold and the sole gateway to therapy has also given rise to confusion.  </w:t>
      </w:r>
      <w:r w:rsidRPr="00D642B9">
        <w:rPr>
          <w:rFonts w:ascii="Calibri" w:hAnsi="Calibri" w:cs="AdvGulliv-R"/>
          <w:iCs/>
          <w:color w:val="000000"/>
        </w:rPr>
        <w:t>This</w:t>
      </w:r>
      <w:r w:rsidR="00AD3C3B" w:rsidRPr="00D642B9">
        <w:rPr>
          <w:rFonts w:ascii="Calibri" w:hAnsi="Calibri" w:cs="AdvGulliv-R"/>
          <w:iCs/>
          <w:color w:val="000000"/>
        </w:rPr>
        <w:t xml:space="preserve"> problem </w:t>
      </w:r>
      <w:r w:rsidRPr="00D642B9">
        <w:rPr>
          <w:rFonts w:ascii="Calibri" w:hAnsi="Calibri" w:cs="AdvGulliv-R"/>
          <w:iCs/>
          <w:color w:val="000000"/>
        </w:rPr>
        <w:t>has been exacerbated by the decision of certain healthcare systems to l</w:t>
      </w:r>
      <w:r w:rsidR="00AD3C3B" w:rsidRPr="00D642B9">
        <w:rPr>
          <w:rFonts w:ascii="Calibri" w:hAnsi="Calibri" w:cs="AdvGulliv-R"/>
          <w:iCs/>
          <w:color w:val="000000"/>
        </w:rPr>
        <w:t xml:space="preserve">imit the </w:t>
      </w:r>
      <w:r w:rsidRPr="00D642B9">
        <w:rPr>
          <w:rFonts w:ascii="Calibri" w:hAnsi="Calibri" w:cs="AdvGulliv-R"/>
          <w:iCs/>
          <w:color w:val="000000"/>
        </w:rPr>
        <w:t>reimbursement of treatment costs to those with a BMD T-score fulfilling the criteria for osteoporosis, despite being at high risk of future fracture</w:t>
      </w:r>
      <w:r w:rsidR="00E43848" w:rsidRPr="00D642B9">
        <w:rPr>
          <w:rFonts w:ascii="Calibri" w:hAnsi="Calibri" w:cs="AdvGulliv-R"/>
          <w:iCs/>
          <w:color w:val="000000"/>
        </w:rPr>
        <w:t xml:space="preserve"> in its </w:t>
      </w:r>
      <w:r w:rsidR="00E43848" w:rsidRPr="007A7812">
        <w:rPr>
          <w:rFonts w:ascii="Calibri" w:hAnsi="Calibri" w:cs="AdvGulliv-R"/>
          <w:iCs/>
          <w:color w:val="000000"/>
        </w:rPr>
        <w:t>absence</w:t>
      </w:r>
      <w:r w:rsidR="000202B9" w:rsidRPr="007A7812">
        <w:rPr>
          <w:rFonts w:ascii="Calibri" w:hAnsi="Calibri" w:cs="AdvGulliv-R"/>
          <w:iCs/>
          <w:color w:val="000000"/>
        </w:rPr>
        <w:t xml:space="preserve"> </w:t>
      </w:r>
      <w:r w:rsidR="00D44C65" w:rsidRPr="007A7812">
        <w:rPr>
          <w:rFonts w:ascii="Calibri" w:hAnsi="Calibri" w:cs="AdvGulliv-R"/>
          <w:iCs/>
          <w:color w:val="000000"/>
        </w:rPr>
        <w:t>[</w:t>
      </w:r>
      <w:r w:rsidR="0024364F" w:rsidRPr="007A7812">
        <w:rPr>
          <w:rFonts w:ascii="Calibri" w:hAnsi="Calibri" w:cs="AdvGulliv-R"/>
          <w:iCs/>
          <w:color w:val="000000"/>
        </w:rPr>
        <w:t>27</w:t>
      </w:r>
      <w:r w:rsidR="00F42B12" w:rsidRPr="007A7812">
        <w:rPr>
          <w:rFonts w:ascii="Calibri" w:hAnsi="Calibri" w:cs="AdvGulliv-R"/>
          <w:iCs/>
          <w:color w:val="000000"/>
        </w:rPr>
        <w:t>, 4</w:t>
      </w:r>
      <w:r w:rsidR="007A7812" w:rsidRPr="007A7812">
        <w:rPr>
          <w:rFonts w:ascii="Calibri" w:hAnsi="Calibri" w:cs="AdvGulliv-R"/>
          <w:iCs/>
          <w:color w:val="000000"/>
        </w:rPr>
        <w:t>8</w:t>
      </w:r>
      <w:r w:rsidR="00F42B12" w:rsidRPr="007A7812">
        <w:rPr>
          <w:rFonts w:ascii="Calibri" w:hAnsi="Calibri" w:cs="AdvGulliv-R"/>
          <w:iCs/>
          <w:color w:val="000000"/>
        </w:rPr>
        <w:t>]</w:t>
      </w:r>
      <w:r w:rsidRPr="007A7812">
        <w:rPr>
          <w:rFonts w:ascii="Calibri" w:hAnsi="Calibri" w:cs="AdvGulliv-R"/>
          <w:iCs/>
          <w:color w:val="000000"/>
        </w:rPr>
        <w:t xml:space="preserve">.  </w:t>
      </w:r>
      <w:r w:rsidR="00E43848" w:rsidRPr="007A7812">
        <w:rPr>
          <w:rFonts w:ascii="Calibri" w:hAnsi="Calibri" w:cs="AdvGulliv-R"/>
          <w:iCs/>
          <w:color w:val="000000"/>
        </w:rPr>
        <w:t>This is</w:t>
      </w:r>
      <w:r w:rsidR="00E43848" w:rsidRPr="00D642B9">
        <w:rPr>
          <w:rFonts w:ascii="Calibri" w:hAnsi="Calibri" w:cs="AdvGulliv-R"/>
          <w:iCs/>
          <w:color w:val="000000"/>
        </w:rPr>
        <w:t xml:space="preserve"> further exacerbated by a relative lack of easy and/or timely access to DXA resources in many healthcare</w:t>
      </w:r>
      <w:r w:rsidR="00E43848">
        <w:rPr>
          <w:rFonts w:ascii="Calibri" w:hAnsi="Calibri" w:cs="AdvGulliv-R"/>
          <w:iCs/>
          <w:color w:val="000000"/>
        </w:rPr>
        <w:t xml:space="preserve"> settings.  Finally, t</w:t>
      </w:r>
      <w:r>
        <w:rPr>
          <w:rFonts w:ascii="Calibri" w:hAnsi="Calibri" w:cs="AdvGulliv-R"/>
          <w:iCs/>
          <w:color w:val="000000"/>
        </w:rPr>
        <w:t xml:space="preserve">his situation has also </w:t>
      </w:r>
      <w:r w:rsidRPr="00722464">
        <w:rPr>
          <w:rFonts w:ascii="Calibri" w:hAnsi="Calibri" w:cs="AdvGulliv-R"/>
          <w:iCs/>
          <w:color w:val="000000"/>
        </w:rPr>
        <w:t>been exacerbated by misleading and incorrect interpretation</w:t>
      </w:r>
      <w:r w:rsidR="00E43848" w:rsidRPr="00722464">
        <w:rPr>
          <w:rFonts w:ascii="Calibri" w:hAnsi="Calibri" w:cs="AdvGulliv-R"/>
          <w:iCs/>
          <w:color w:val="000000"/>
        </w:rPr>
        <w:t>s</w:t>
      </w:r>
      <w:r w:rsidRPr="00722464">
        <w:rPr>
          <w:rFonts w:ascii="Calibri" w:hAnsi="Calibri" w:cs="AdvGulliv-R"/>
          <w:iCs/>
          <w:color w:val="000000"/>
        </w:rPr>
        <w:t xml:space="preserve"> of clinical trial data that gave rise to a belief that </w:t>
      </w:r>
      <w:r w:rsidR="00E43848" w:rsidRPr="00722464">
        <w:rPr>
          <w:rFonts w:ascii="Calibri" w:hAnsi="Calibri" w:cs="AdvGulliv-R"/>
          <w:color w:val="000000"/>
        </w:rPr>
        <w:t>osteoporosis</w:t>
      </w:r>
      <w:r w:rsidR="00AD3C3B" w:rsidRPr="00722464">
        <w:rPr>
          <w:rFonts w:ascii="Calibri" w:hAnsi="Calibri" w:cs="AdvGulliv-R"/>
          <w:color w:val="000000"/>
        </w:rPr>
        <w:t xml:space="preserve"> </w:t>
      </w:r>
      <w:r w:rsidR="00AD3C3B" w:rsidRPr="009D5982">
        <w:rPr>
          <w:rFonts w:ascii="Calibri" w:hAnsi="Calibri" w:cs="AdvGulliv-R"/>
          <w:color w:val="000000"/>
        </w:rPr>
        <w:t xml:space="preserve">treatments </w:t>
      </w:r>
      <w:r w:rsidR="00E43848" w:rsidRPr="009D5982">
        <w:rPr>
          <w:rFonts w:ascii="Calibri" w:hAnsi="Calibri" w:cs="AdvGulliv-R"/>
          <w:color w:val="000000"/>
        </w:rPr>
        <w:t>do</w:t>
      </w:r>
      <w:r w:rsidR="00EF215A" w:rsidRPr="009D5982">
        <w:rPr>
          <w:rFonts w:ascii="Calibri" w:hAnsi="Calibri" w:cs="AdvGulliv-R"/>
          <w:color w:val="000000"/>
        </w:rPr>
        <w:t xml:space="preserve"> not</w:t>
      </w:r>
      <w:r w:rsidR="00EF215A">
        <w:rPr>
          <w:rFonts w:ascii="Calibri" w:hAnsi="Calibri" w:cs="AdvGulliv-R"/>
          <w:color w:val="000000"/>
        </w:rPr>
        <w:t xml:space="preserve"> </w:t>
      </w:r>
      <w:r w:rsidR="00AD3C3B" w:rsidRPr="00722464">
        <w:rPr>
          <w:rFonts w:ascii="Calibri" w:hAnsi="Calibri" w:cs="AdvGulliv-R"/>
          <w:color w:val="000000"/>
        </w:rPr>
        <w:t>work in the</w:t>
      </w:r>
      <w:r w:rsidR="00E43848" w:rsidRPr="00722464">
        <w:rPr>
          <w:rFonts w:ascii="Calibri" w:hAnsi="Calibri" w:cs="AdvGulliv-R"/>
          <w:color w:val="000000"/>
        </w:rPr>
        <w:t xml:space="preserve"> absence of </w:t>
      </w:r>
      <w:r w:rsidR="00AD3C3B" w:rsidRPr="00722464">
        <w:rPr>
          <w:rFonts w:ascii="Calibri" w:hAnsi="Calibri" w:cs="AdvGulliv-R"/>
          <w:color w:val="000000"/>
        </w:rPr>
        <w:t>B</w:t>
      </w:r>
      <w:r w:rsidR="00E43848" w:rsidRPr="00722464">
        <w:rPr>
          <w:rFonts w:ascii="Calibri" w:hAnsi="Calibri" w:cs="AdvGulliv-R"/>
          <w:color w:val="000000"/>
        </w:rPr>
        <w:t>M</w:t>
      </w:r>
      <w:r w:rsidR="00AD3C3B" w:rsidRPr="00722464">
        <w:rPr>
          <w:rFonts w:ascii="Calibri" w:hAnsi="Calibri" w:cs="AdvGulliv-R"/>
          <w:color w:val="000000"/>
        </w:rPr>
        <w:t xml:space="preserve">D-defined </w:t>
      </w:r>
      <w:r w:rsidR="003777B1" w:rsidRPr="00722464">
        <w:rPr>
          <w:rFonts w:ascii="Calibri" w:hAnsi="Calibri" w:cs="AdvGulliv-R"/>
          <w:color w:val="000000"/>
        </w:rPr>
        <w:t>osteoporosis [</w:t>
      </w:r>
      <w:r w:rsidR="003777B1" w:rsidRPr="007A7812">
        <w:rPr>
          <w:rFonts w:ascii="Calibri" w:hAnsi="Calibri" w:cs="AdvGulliv-R"/>
          <w:color w:val="000000"/>
        </w:rPr>
        <w:t>4</w:t>
      </w:r>
      <w:r w:rsidR="007A7812" w:rsidRPr="007A7812">
        <w:rPr>
          <w:rFonts w:ascii="Calibri" w:hAnsi="Calibri" w:cs="AdvGulliv-R"/>
          <w:color w:val="000000"/>
        </w:rPr>
        <w:t>9</w:t>
      </w:r>
      <w:r w:rsidR="003777B1" w:rsidRPr="007A7812">
        <w:rPr>
          <w:rFonts w:ascii="Calibri" w:hAnsi="Calibri" w:cs="AdvGulliv-R"/>
          <w:color w:val="000000"/>
        </w:rPr>
        <w:t xml:space="preserve">, </w:t>
      </w:r>
      <w:r w:rsidR="007A7812" w:rsidRPr="007A7812">
        <w:rPr>
          <w:rFonts w:ascii="Calibri" w:hAnsi="Calibri" w:cs="AdvGulliv-R"/>
          <w:color w:val="000000"/>
        </w:rPr>
        <w:t>50</w:t>
      </w:r>
      <w:r w:rsidR="00F42A09" w:rsidRPr="007A7812">
        <w:rPr>
          <w:rFonts w:ascii="Calibri" w:hAnsi="Calibri" w:cs="AdvGulliv-R"/>
          <w:color w:val="000000"/>
        </w:rPr>
        <w:t>,</w:t>
      </w:r>
      <w:r w:rsidR="007A7812" w:rsidRPr="007A7812">
        <w:rPr>
          <w:rFonts w:ascii="Calibri" w:hAnsi="Calibri" w:cs="AdvGulliv-R"/>
          <w:color w:val="000000"/>
        </w:rPr>
        <w:t xml:space="preserve"> 51</w:t>
      </w:r>
      <w:r w:rsidR="00451526">
        <w:rPr>
          <w:rFonts w:ascii="Calibri" w:hAnsi="Calibri" w:cs="AdvGulliv-R"/>
          <w:color w:val="000000"/>
        </w:rPr>
        <w:t xml:space="preserve">, </w:t>
      </w:r>
      <w:r w:rsidR="009623D5">
        <w:rPr>
          <w:rFonts w:ascii="Calibri" w:hAnsi="Calibri" w:cs="AdvGulliv-R"/>
          <w:color w:val="000000"/>
        </w:rPr>
        <w:t>52, 53]</w:t>
      </w:r>
      <w:r w:rsidRPr="00722464">
        <w:rPr>
          <w:rFonts w:ascii="Calibri" w:hAnsi="Calibri" w:cs="AdvGulliv-R"/>
          <w:color w:val="000000"/>
        </w:rPr>
        <w:t>.</w:t>
      </w:r>
      <w:r w:rsidR="00E43848" w:rsidRPr="00722464">
        <w:rPr>
          <w:rFonts w:ascii="Calibri" w:hAnsi="Calibri" w:cs="AdvGulliv-R"/>
          <w:color w:val="000000"/>
        </w:rPr>
        <w:t xml:space="preserve">  The use of BMD alone in determining intervention thresholds is demonstrably problematic.</w:t>
      </w:r>
    </w:p>
    <w:p w14:paraId="3B1537AD" w14:textId="01D77164" w:rsidR="001B3539" w:rsidRPr="00722464" w:rsidRDefault="00696981" w:rsidP="000C7F49">
      <w:pPr>
        <w:ind w:right="543"/>
        <w:rPr>
          <w:rFonts w:ascii="Calibri" w:hAnsi="Calibri" w:cs="AdvGulliv-R"/>
          <w:iCs/>
          <w:color w:val="000000"/>
        </w:rPr>
      </w:pPr>
      <w:r w:rsidRPr="00722464">
        <w:rPr>
          <w:rFonts w:ascii="Calibri" w:hAnsi="Calibri" w:cs="AdvGulliv-R"/>
          <w:iCs/>
          <w:color w:val="000000"/>
        </w:rPr>
        <w:t>The</w:t>
      </w:r>
      <w:r w:rsidR="002A429D">
        <w:rPr>
          <w:rFonts w:ascii="Calibri" w:hAnsi="Calibri" w:cs="AdvGulliv-R"/>
          <w:iCs/>
          <w:color w:val="000000"/>
        </w:rPr>
        <w:t>se</w:t>
      </w:r>
      <w:r w:rsidRPr="00722464">
        <w:rPr>
          <w:rFonts w:ascii="Calibri" w:hAnsi="Calibri" w:cs="AdvGulliv-R"/>
          <w:iCs/>
          <w:color w:val="000000"/>
        </w:rPr>
        <w:t xml:space="preserve"> problem</w:t>
      </w:r>
      <w:r w:rsidR="002E1CD8">
        <w:rPr>
          <w:rFonts w:ascii="Calibri" w:hAnsi="Calibri" w:cs="AdvGulliv-R"/>
          <w:iCs/>
          <w:color w:val="000000"/>
        </w:rPr>
        <w:t>s</w:t>
      </w:r>
      <w:r w:rsidRPr="00722464">
        <w:rPr>
          <w:rFonts w:ascii="Calibri" w:hAnsi="Calibri" w:cs="AdvGulliv-R"/>
          <w:iCs/>
          <w:color w:val="000000"/>
        </w:rPr>
        <w:t xml:space="preserve"> arise because BMD captures the likelihood of fracture incompletely. </w:t>
      </w:r>
      <w:r w:rsidR="00FD04B8" w:rsidRPr="00722464">
        <w:rPr>
          <w:rFonts w:ascii="Calibri" w:hAnsi="Calibri" w:cs="AdvGulliv-R"/>
          <w:iCs/>
          <w:color w:val="000000"/>
        </w:rPr>
        <w:t xml:space="preserve"> </w:t>
      </w:r>
      <w:r w:rsidRPr="00722464">
        <w:rPr>
          <w:rFonts w:ascii="Calibri" w:hAnsi="Calibri" w:cs="AdvGulliv-R"/>
          <w:iCs/>
          <w:color w:val="000000"/>
        </w:rPr>
        <w:t xml:space="preserve">There is an appropriate analogy with several other multifactorial </w:t>
      </w:r>
      <w:r w:rsidR="00FF1AC4" w:rsidRPr="00722464">
        <w:rPr>
          <w:rFonts w:ascii="Calibri" w:hAnsi="Calibri" w:cs="AdvGulliv-R"/>
          <w:iCs/>
          <w:color w:val="000000"/>
        </w:rPr>
        <w:t>outcomes</w:t>
      </w:r>
      <w:r w:rsidRPr="00722464">
        <w:rPr>
          <w:rFonts w:ascii="Calibri" w:hAnsi="Calibri" w:cs="AdvGulliv-R"/>
          <w:iCs/>
          <w:color w:val="000000"/>
        </w:rPr>
        <w:t xml:space="preserve">, such as </w:t>
      </w:r>
      <w:r w:rsidR="00327F2F" w:rsidRPr="00722464">
        <w:rPr>
          <w:rFonts w:ascii="Calibri" w:hAnsi="Calibri" w:cs="AdvGulliv-R"/>
          <w:iCs/>
          <w:color w:val="000000"/>
        </w:rPr>
        <w:t xml:space="preserve">stroke </w:t>
      </w:r>
      <w:r w:rsidRPr="00722464">
        <w:rPr>
          <w:rFonts w:ascii="Calibri" w:hAnsi="Calibri" w:cs="AdvGulliv-R"/>
          <w:iCs/>
          <w:color w:val="000000"/>
        </w:rPr>
        <w:t xml:space="preserve">and </w:t>
      </w:r>
      <w:r w:rsidR="00327F2F" w:rsidRPr="00722464">
        <w:rPr>
          <w:rFonts w:ascii="Calibri" w:hAnsi="Calibri" w:cs="AdvGulliv-R"/>
          <w:iCs/>
          <w:color w:val="000000"/>
        </w:rPr>
        <w:t>hypertension</w:t>
      </w:r>
      <w:r w:rsidRPr="00722464">
        <w:rPr>
          <w:rFonts w:ascii="Calibri" w:hAnsi="Calibri" w:cs="AdvGulliv-R"/>
          <w:iCs/>
          <w:color w:val="000000"/>
        </w:rPr>
        <w:t xml:space="preserve">.  Blood pressure is continuously distributed in the population (as is BMD) and hypertension is an important cause of stroke (high specificity).  But </w:t>
      </w:r>
      <w:proofErr w:type="gramStart"/>
      <w:r w:rsidRPr="00722464">
        <w:rPr>
          <w:rFonts w:ascii="Calibri" w:hAnsi="Calibri" w:cs="AdvGulliv-R"/>
          <w:iCs/>
          <w:color w:val="000000"/>
        </w:rPr>
        <w:t>a majority of</w:t>
      </w:r>
      <w:proofErr w:type="gramEnd"/>
      <w:r w:rsidRPr="00722464">
        <w:rPr>
          <w:rFonts w:ascii="Calibri" w:hAnsi="Calibri" w:cs="AdvGulliv-R"/>
          <w:iCs/>
          <w:color w:val="000000"/>
        </w:rPr>
        <w:t xml:space="preserve"> individuals with stroke are normotensive (low sensitivity) [</w:t>
      </w:r>
      <w:r w:rsidR="0047578E">
        <w:rPr>
          <w:rFonts w:ascii="Calibri" w:hAnsi="Calibri" w:cs="AdvGulliv-R"/>
          <w:iCs/>
          <w:color w:val="000000"/>
        </w:rPr>
        <w:t>54</w:t>
      </w:r>
      <w:r w:rsidR="00C3669F" w:rsidRPr="00722464">
        <w:rPr>
          <w:rFonts w:ascii="Calibri" w:hAnsi="Calibri" w:cs="AdvGulliv-R"/>
          <w:iCs/>
          <w:color w:val="000000"/>
        </w:rPr>
        <w:t>]</w:t>
      </w:r>
      <w:r w:rsidRPr="00722464">
        <w:rPr>
          <w:rFonts w:ascii="Calibri" w:hAnsi="Calibri" w:cs="AdvGulliv-R"/>
          <w:iCs/>
          <w:color w:val="000000"/>
        </w:rPr>
        <w:t xml:space="preserve">.  These considerations raised the question as to whether </w:t>
      </w:r>
      <w:r w:rsidR="002C6801" w:rsidRPr="00722464">
        <w:rPr>
          <w:rFonts w:ascii="Calibri" w:hAnsi="Calibri" w:cs="AdvGulliv-R"/>
          <w:iCs/>
          <w:color w:val="000000"/>
        </w:rPr>
        <w:t xml:space="preserve">addition of </w:t>
      </w:r>
      <w:r w:rsidRPr="00722464">
        <w:rPr>
          <w:rFonts w:ascii="Calibri" w:hAnsi="Calibri" w:cs="AdvGulliv-R"/>
          <w:iCs/>
          <w:color w:val="000000"/>
        </w:rPr>
        <w:t>other risk indicators could</w:t>
      </w:r>
      <w:r w:rsidR="002C6801" w:rsidRPr="00722464">
        <w:rPr>
          <w:rFonts w:ascii="Calibri" w:hAnsi="Calibri" w:cs="AdvGulliv-R"/>
          <w:iCs/>
          <w:color w:val="000000"/>
        </w:rPr>
        <w:t xml:space="preserve"> further</w:t>
      </w:r>
      <w:r w:rsidRPr="00722464">
        <w:rPr>
          <w:rFonts w:ascii="Calibri" w:hAnsi="Calibri" w:cs="AdvGulliv-R"/>
          <w:iCs/>
          <w:color w:val="000000"/>
        </w:rPr>
        <w:t xml:space="preserve"> improve the sensitivity of a risk </w:t>
      </w:r>
      <w:r w:rsidRPr="009D5982">
        <w:rPr>
          <w:rFonts w:ascii="Calibri" w:hAnsi="Calibri" w:cs="AdvGulliv-R"/>
          <w:iCs/>
          <w:color w:val="000000"/>
        </w:rPr>
        <w:t xml:space="preserve">assessment algorithm and, hence the development of </w:t>
      </w:r>
      <w:r w:rsidR="00FF1AC4" w:rsidRPr="009D5982">
        <w:rPr>
          <w:rFonts w:ascii="Calibri" w:hAnsi="Calibri" w:cs="AdvGulliv-R"/>
          <w:iCs/>
          <w:color w:val="000000"/>
        </w:rPr>
        <w:t>fracture risk prediction models</w:t>
      </w:r>
      <w:r w:rsidR="003D51BF" w:rsidRPr="009D5982">
        <w:rPr>
          <w:rFonts w:ascii="Calibri" w:hAnsi="Calibri" w:cs="AdvGulliv-R"/>
          <w:iCs/>
          <w:color w:val="000000"/>
        </w:rPr>
        <w:t>.</w:t>
      </w:r>
      <w:r w:rsidR="00C57FD9" w:rsidRPr="009D5982">
        <w:rPr>
          <w:rFonts w:ascii="Calibri" w:hAnsi="Calibri" w:cs="AdvGulliv-R"/>
          <w:iCs/>
          <w:color w:val="000000"/>
        </w:rPr>
        <w:t xml:space="preserve"> </w:t>
      </w:r>
      <w:r w:rsidR="00E9026C" w:rsidRPr="009D5982">
        <w:rPr>
          <w:rFonts w:ascii="Calibri" w:hAnsi="Calibri" w:cs="AdvGulliv-R"/>
          <w:iCs/>
          <w:color w:val="000000"/>
        </w:rPr>
        <w:t>A</w:t>
      </w:r>
      <w:r w:rsidR="00A43556" w:rsidRPr="009D5982">
        <w:rPr>
          <w:rFonts w:ascii="Calibri" w:hAnsi="Calibri" w:cs="AdvGulliv-R"/>
          <w:iCs/>
          <w:color w:val="000000"/>
        </w:rPr>
        <w:t xml:space="preserve">vailable </w:t>
      </w:r>
      <w:r w:rsidR="00973B0D" w:rsidRPr="009D5982">
        <w:rPr>
          <w:rFonts w:ascii="Calibri" w:hAnsi="Calibri" w:cs="AdvGulliv-R"/>
          <w:iCs/>
          <w:color w:val="000000"/>
        </w:rPr>
        <w:t xml:space="preserve">online risk engines </w:t>
      </w:r>
      <w:r w:rsidR="00A43556" w:rsidRPr="009D5982">
        <w:rPr>
          <w:rFonts w:ascii="Calibri" w:hAnsi="Calibri" w:cs="AdvGulliv-R"/>
          <w:iCs/>
          <w:color w:val="000000"/>
        </w:rPr>
        <w:t>include the Garvan fracture risk calculator</w:t>
      </w:r>
      <w:r w:rsidR="00BF2C72" w:rsidRPr="009D5982">
        <w:t xml:space="preserve"> [</w:t>
      </w:r>
      <w:r w:rsidR="007074D8" w:rsidRPr="009D5982">
        <w:rPr>
          <w:rFonts w:ascii="Calibri" w:hAnsi="Calibri" w:cs="AdvGulliv-R"/>
          <w:iCs/>
          <w:color w:val="000000"/>
        </w:rPr>
        <w:t>55</w:t>
      </w:r>
      <w:r w:rsidR="00BF2C72" w:rsidRPr="009D5982">
        <w:rPr>
          <w:rFonts w:ascii="Calibri" w:hAnsi="Calibri" w:cs="AdvGulliv-R"/>
          <w:iCs/>
          <w:color w:val="000000"/>
        </w:rPr>
        <w:t>]</w:t>
      </w:r>
      <w:r w:rsidR="003B2041" w:rsidRPr="009D5982">
        <w:rPr>
          <w:rFonts w:ascii="Calibri" w:hAnsi="Calibri" w:cs="AdvGulliv-R"/>
          <w:iCs/>
          <w:color w:val="000000"/>
        </w:rPr>
        <w:t>,</w:t>
      </w:r>
      <w:r w:rsidR="00A43556" w:rsidRPr="009D5982">
        <w:rPr>
          <w:rFonts w:ascii="Calibri" w:hAnsi="Calibri" w:cs="AdvGulliv-R"/>
          <w:iCs/>
          <w:color w:val="000000"/>
        </w:rPr>
        <w:t xml:space="preserve"> QFracture® [</w:t>
      </w:r>
      <w:r w:rsidR="00554631" w:rsidRPr="009D5982">
        <w:rPr>
          <w:rFonts w:ascii="Calibri" w:hAnsi="Calibri" w:cs="AdvGulliv-R"/>
          <w:iCs/>
          <w:color w:val="000000"/>
        </w:rPr>
        <w:t>56, 57</w:t>
      </w:r>
      <w:r w:rsidR="00A43556" w:rsidRPr="009D5982">
        <w:rPr>
          <w:rFonts w:ascii="Calibri" w:hAnsi="Calibri" w:cs="AdvGulliv-R"/>
          <w:iCs/>
          <w:color w:val="000000"/>
        </w:rPr>
        <w:t>]</w:t>
      </w:r>
      <w:r w:rsidR="003B2041" w:rsidRPr="009D5982">
        <w:rPr>
          <w:rFonts w:ascii="Calibri" w:hAnsi="Calibri" w:cs="AdvGulliv-R"/>
          <w:iCs/>
          <w:color w:val="000000"/>
        </w:rPr>
        <w:t xml:space="preserve"> and FRAX</w:t>
      </w:r>
      <w:r w:rsidR="006B7EC7" w:rsidRPr="009D5982">
        <w:rPr>
          <w:rFonts w:ascii="Calibri" w:hAnsi="Calibri" w:cs="AdvGulliv-R"/>
          <w:iCs/>
          <w:color w:val="000000"/>
        </w:rPr>
        <w:t xml:space="preserve"> [5</w:t>
      </w:r>
      <w:r w:rsidR="001E5735" w:rsidRPr="009D5982">
        <w:rPr>
          <w:rFonts w:ascii="Calibri" w:hAnsi="Calibri" w:cs="AdvGulliv-R"/>
          <w:iCs/>
          <w:color w:val="000000"/>
        </w:rPr>
        <w:t>8</w:t>
      </w:r>
      <w:r w:rsidR="006B7EC7" w:rsidRPr="009D5982">
        <w:rPr>
          <w:rFonts w:ascii="Calibri" w:hAnsi="Calibri" w:cs="AdvGulliv-R"/>
          <w:iCs/>
          <w:color w:val="000000"/>
        </w:rPr>
        <w:t>, 5</w:t>
      </w:r>
      <w:r w:rsidR="001E5735" w:rsidRPr="009D5982">
        <w:rPr>
          <w:rFonts w:ascii="Calibri" w:hAnsi="Calibri" w:cs="AdvGulliv-R"/>
          <w:iCs/>
          <w:color w:val="000000"/>
        </w:rPr>
        <w:t>9</w:t>
      </w:r>
      <w:r w:rsidR="006B7EC7" w:rsidRPr="009D5982">
        <w:rPr>
          <w:rFonts w:ascii="Calibri" w:hAnsi="Calibri" w:cs="AdvGulliv-R"/>
          <w:iCs/>
          <w:color w:val="000000"/>
        </w:rPr>
        <w:t xml:space="preserve">, </w:t>
      </w:r>
      <w:r w:rsidR="001E5735" w:rsidRPr="009D5982">
        <w:rPr>
          <w:rFonts w:ascii="Calibri" w:hAnsi="Calibri" w:cs="AdvGulliv-R"/>
          <w:iCs/>
          <w:color w:val="000000"/>
        </w:rPr>
        <w:t>60</w:t>
      </w:r>
      <w:r w:rsidR="006B7EC7" w:rsidRPr="009D5982">
        <w:rPr>
          <w:rFonts w:ascii="Calibri" w:hAnsi="Calibri" w:cs="AdvGulliv-R"/>
          <w:iCs/>
          <w:color w:val="000000"/>
        </w:rPr>
        <w:t>].</w:t>
      </w:r>
      <w:r w:rsidR="005B30B6" w:rsidRPr="009D5982">
        <w:rPr>
          <w:rFonts w:ascii="Calibri" w:hAnsi="Calibri" w:cs="AdvGulliv-R"/>
          <w:iCs/>
          <w:color w:val="000000"/>
        </w:rPr>
        <w:t xml:space="preserve">  </w:t>
      </w:r>
      <w:r w:rsidR="00204E10" w:rsidRPr="009D5982">
        <w:rPr>
          <w:rFonts w:ascii="Calibri" w:hAnsi="Calibri" w:cs="AdvGulliv-R"/>
          <w:iCs/>
          <w:color w:val="000000"/>
        </w:rPr>
        <w:t xml:space="preserve"> Of these, FRAX is the most widely used </w:t>
      </w:r>
      <w:r w:rsidR="00B205E4" w:rsidRPr="009D5982">
        <w:rPr>
          <w:rFonts w:ascii="Calibri" w:hAnsi="Calibri" w:cs="AdvGulliv-R"/>
          <w:iCs/>
          <w:color w:val="000000"/>
        </w:rPr>
        <w:t>[</w:t>
      </w:r>
      <w:r w:rsidR="001E5735" w:rsidRPr="009D5982">
        <w:rPr>
          <w:rFonts w:ascii="Calibri" w:hAnsi="Calibri" w:cs="AdvGulliv-R"/>
          <w:iCs/>
          <w:color w:val="000000"/>
        </w:rPr>
        <w:t>61</w:t>
      </w:r>
      <w:r w:rsidR="00563863" w:rsidRPr="009D5982">
        <w:rPr>
          <w:rFonts w:ascii="Calibri" w:hAnsi="Calibri" w:cs="AdvGulliv-R"/>
          <w:iCs/>
          <w:color w:val="000000"/>
        </w:rPr>
        <w:t xml:space="preserve">].  </w:t>
      </w:r>
      <w:r w:rsidR="00A43556" w:rsidRPr="009D5982">
        <w:rPr>
          <w:rFonts w:ascii="Calibri" w:hAnsi="Calibri" w:cs="AdvGulliv-R"/>
          <w:iCs/>
          <w:color w:val="000000"/>
        </w:rPr>
        <w:t>A fundamental difference</w:t>
      </w:r>
      <w:r w:rsidR="00563863" w:rsidRPr="009D5982">
        <w:rPr>
          <w:rFonts w:ascii="Calibri" w:hAnsi="Calibri" w:cs="AdvGulliv-R"/>
          <w:iCs/>
          <w:color w:val="000000"/>
        </w:rPr>
        <w:t xml:space="preserve"> </w:t>
      </w:r>
      <w:r w:rsidR="00A43556" w:rsidRPr="009D5982">
        <w:rPr>
          <w:rFonts w:ascii="Calibri" w:hAnsi="Calibri" w:cs="AdvGulliv-R"/>
          <w:iCs/>
          <w:color w:val="000000"/>
        </w:rPr>
        <w:t xml:space="preserve">between </w:t>
      </w:r>
      <w:r w:rsidR="00F74322" w:rsidRPr="009D5982">
        <w:rPr>
          <w:rFonts w:ascii="Calibri" w:hAnsi="Calibri" w:cs="AdvGulliv-R"/>
          <w:iCs/>
          <w:color w:val="000000"/>
        </w:rPr>
        <w:t xml:space="preserve">FRAX and </w:t>
      </w:r>
      <w:r w:rsidR="00563863" w:rsidRPr="009D5982">
        <w:rPr>
          <w:rFonts w:ascii="Calibri" w:hAnsi="Calibri" w:cs="AdvGulliv-R"/>
          <w:iCs/>
          <w:color w:val="000000"/>
        </w:rPr>
        <w:t>other</w:t>
      </w:r>
      <w:r w:rsidR="00A43556" w:rsidRPr="009D5982">
        <w:rPr>
          <w:rFonts w:ascii="Calibri" w:hAnsi="Calibri" w:cs="AdvGulliv-R"/>
          <w:iCs/>
          <w:color w:val="000000"/>
        </w:rPr>
        <w:t xml:space="preserve"> risk models is that the parameters</w:t>
      </w:r>
      <w:r w:rsidR="00765205" w:rsidRPr="009D5982">
        <w:rPr>
          <w:rFonts w:ascii="Calibri" w:hAnsi="Calibri" w:cs="AdvGulliv-R"/>
          <w:iCs/>
          <w:color w:val="000000"/>
        </w:rPr>
        <w:t xml:space="preserve"> </w:t>
      </w:r>
      <w:r w:rsidR="00A43556" w:rsidRPr="009D5982">
        <w:rPr>
          <w:rFonts w:ascii="Calibri" w:hAnsi="Calibri" w:cs="AdvGulliv-R"/>
          <w:iCs/>
          <w:color w:val="000000"/>
        </w:rPr>
        <w:t>of risk differ (incidence vs. probabilities</w:t>
      </w:r>
      <w:r w:rsidR="00765205" w:rsidRPr="009D5982">
        <w:rPr>
          <w:rFonts w:ascii="Calibri" w:hAnsi="Calibri" w:cs="AdvGulliv-R"/>
          <w:iCs/>
          <w:color w:val="000000"/>
        </w:rPr>
        <w:t xml:space="preserve"> for FRAX</w:t>
      </w:r>
      <w:r w:rsidR="00A43556" w:rsidRPr="009D5982">
        <w:rPr>
          <w:rFonts w:ascii="Calibri" w:hAnsi="Calibri" w:cs="AdvGulliv-R"/>
          <w:iCs/>
          <w:color w:val="000000"/>
        </w:rPr>
        <w:t>) so that comparative</w:t>
      </w:r>
      <w:r w:rsidR="00014D44" w:rsidRPr="009D5982">
        <w:rPr>
          <w:rFonts w:ascii="Calibri" w:hAnsi="Calibri" w:cs="AdvGulliv-R"/>
          <w:iCs/>
          <w:color w:val="000000"/>
        </w:rPr>
        <w:t xml:space="preserve"> </w:t>
      </w:r>
      <w:r w:rsidR="00A43556" w:rsidRPr="009D5982">
        <w:rPr>
          <w:rFonts w:ascii="Calibri" w:hAnsi="Calibri" w:cs="AdvGulliv-R"/>
          <w:iCs/>
          <w:color w:val="000000"/>
        </w:rPr>
        <w:t>data are not readily interpreted [</w:t>
      </w:r>
      <w:r w:rsidR="005A36F6" w:rsidRPr="009D5982">
        <w:rPr>
          <w:rFonts w:ascii="Calibri" w:hAnsi="Calibri" w:cs="AdvGulliv-R"/>
          <w:iCs/>
          <w:color w:val="000000"/>
        </w:rPr>
        <w:t>62</w:t>
      </w:r>
      <w:r w:rsidR="00A43556" w:rsidRPr="009D5982">
        <w:rPr>
          <w:rFonts w:ascii="Calibri" w:hAnsi="Calibri" w:cs="AdvGulliv-R"/>
          <w:iCs/>
          <w:color w:val="000000"/>
        </w:rPr>
        <w:t>]</w:t>
      </w:r>
      <w:r w:rsidR="00CE0C89" w:rsidRPr="009D5982">
        <w:rPr>
          <w:rFonts w:ascii="Calibri" w:hAnsi="Calibri" w:cs="AdvGulliv-R"/>
          <w:iCs/>
          <w:color w:val="000000"/>
        </w:rPr>
        <w:t>.</w:t>
      </w:r>
      <w:r w:rsidR="00A43556" w:rsidRPr="00A43556">
        <w:rPr>
          <w:rFonts w:ascii="Calibri" w:hAnsi="Calibri" w:cs="AdvGulliv-R"/>
          <w:iCs/>
          <w:color w:val="000000"/>
        </w:rPr>
        <w:t xml:space="preserve"> </w:t>
      </w:r>
    </w:p>
    <w:p w14:paraId="768B1732" w14:textId="59ED06B4" w:rsidR="008134CD" w:rsidRPr="00722464" w:rsidRDefault="008134CD" w:rsidP="00854F48">
      <w:pPr>
        <w:ind w:right="543"/>
        <w:rPr>
          <w:rFonts w:ascii="Calibri" w:hAnsi="Calibri" w:cs="AdvGulliv-R"/>
          <w:b/>
          <w:bCs/>
          <w:iCs/>
          <w:color w:val="000000"/>
          <w:u w:val="single"/>
        </w:rPr>
      </w:pPr>
    </w:p>
    <w:p w14:paraId="3EA1CCDB" w14:textId="7E96BB3F" w:rsidR="008E5E40" w:rsidRPr="00722464" w:rsidRDefault="008E5E40" w:rsidP="008E5E40">
      <w:pPr>
        <w:ind w:right="543"/>
        <w:rPr>
          <w:rFonts w:ascii="Calibri" w:hAnsi="Calibri" w:cs="AdvGulliv-R"/>
          <w:iCs/>
          <w:color w:val="000000"/>
          <w:u w:val="single"/>
        </w:rPr>
      </w:pPr>
      <w:r w:rsidRPr="00722464">
        <w:rPr>
          <w:rFonts w:ascii="Calibri" w:hAnsi="Calibri" w:cs="AdvGulliv-R"/>
          <w:iCs/>
          <w:color w:val="000000"/>
          <w:u w:val="single"/>
        </w:rPr>
        <w:t>The use of prior fracture as an intervention threshold</w:t>
      </w:r>
    </w:p>
    <w:p w14:paraId="779A5958" w14:textId="484564F2" w:rsidR="002F2566" w:rsidRPr="00722464" w:rsidRDefault="002F2566" w:rsidP="008E5E40">
      <w:pPr>
        <w:ind w:right="543"/>
        <w:rPr>
          <w:rFonts w:ascii="Calibri" w:hAnsi="Calibri" w:cs="AdvGulliv-R"/>
          <w:iCs/>
          <w:color w:val="000000"/>
        </w:rPr>
      </w:pPr>
      <w:r w:rsidRPr="00722464">
        <w:rPr>
          <w:rFonts w:ascii="Calibri" w:hAnsi="Calibri" w:cs="AdvGulliv-R"/>
          <w:iCs/>
          <w:color w:val="000000"/>
        </w:rPr>
        <w:t>In many countries, intervention thresholds</w:t>
      </w:r>
      <w:r w:rsidR="006F47EE" w:rsidRPr="00722464">
        <w:rPr>
          <w:rFonts w:ascii="Calibri" w:hAnsi="Calibri" w:cs="AdvGulliv-R"/>
          <w:iCs/>
          <w:color w:val="000000"/>
        </w:rPr>
        <w:t xml:space="preserve"> have</w:t>
      </w:r>
      <w:r w:rsidRPr="00722464">
        <w:rPr>
          <w:rFonts w:ascii="Calibri" w:hAnsi="Calibri" w:cs="AdvGulliv-R"/>
          <w:iCs/>
          <w:color w:val="000000"/>
        </w:rPr>
        <w:t xml:space="preserve"> been based </w:t>
      </w:r>
      <w:r w:rsidR="00D928E9" w:rsidRPr="00722464">
        <w:rPr>
          <w:rFonts w:ascii="Calibri" w:hAnsi="Calibri" w:cs="AdvGulliv-R"/>
          <w:iCs/>
          <w:color w:val="000000"/>
        </w:rPr>
        <w:t xml:space="preserve">not only </w:t>
      </w:r>
      <w:r w:rsidRPr="00722464">
        <w:rPr>
          <w:rFonts w:ascii="Calibri" w:hAnsi="Calibri" w:cs="AdvGulliv-R"/>
          <w:iCs/>
          <w:color w:val="000000"/>
        </w:rPr>
        <w:t>on the T-score for BMD</w:t>
      </w:r>
      <w:r w:rsidR="00D928E9" w:rsidRPr="00722464">
        <w:rPr>
          <w:rFonts w:ascii="Calibri" w:hAnsi="Calibri" w:cs="AdvGulliv-R"/>
          <w:iCs/>
          <w:color w:val="000000"/>
        </w:rPr>
        <w:t xml:space="preserve"> but also on</w:t>
      </w:r>
      <w:r w:rsidRPr="00722464">
        <w:rPr>
          <w:rFonts w:ascii="Calibri" w:hAnsi="Calibri" w:cs="AdvGulliv-R"/>
          <w:iCs/>
          <w:color w:val="000000"/>
        </w:rPr>
        <w:t xml:space="preserve"> the presence of a prior fragility fracture</w:t>
      </w:r>
      <w:r w:rsidR="00D3373E" w:rsidRPr="00722464">
        <w:rPr>
          <w:rFonts w:ascii="Calibri" w:hAnsi="Calibri" w:cs="AdvGulliv-R"/>
          <w:iCs/>
          <w:color w:val="000000"/>
        </w:rPr>
        <w:t xml:space="preserve"> [</w:t>
      </w:r>
      <w:r w:rsidR="005A36F6" w:rsidRPr="005A36F6">
        <w:rPr>
          <w:rFonts w:ascii="Calibri" w:hAnsi="Calibri" w:cs="AdvGulliv-R"/>
          <w:iCs/>
          <w:color w:val="000000"/>
        </w:rPr>
        <w:t>25</w:t>
      </w:r>
      <w:r w:rsidR="00ED1F0C" w:rsidRPr="00126FAF">
        <w:rPr>
          <w:rFonts w:ascii="Calibri" w:hAnsi="Calibri" w:cs="AdvGulliv-R"/>
          <w:iCs/>
          <w:color w:val="000000"/>
        </w:rPr>
        <w:t xml:space="preserve">, </w:t>
      </w:r>
      <w:r w:rsidR="00842472" w:rsidRPr="00126FAF">
        <w:rPr>
          <w:rFonts w:ascii="Calibri" w:hAnsi="Calibri" w:cs="AdvGulliv-R"/>
          <w:iCs/>
          <w:color w:val="000000"/>
        </w:rPr>
        <w:t>2</w:t>
      </w:r>
      <w:r w:rsidR="00126FAF" w:rsidRPr="00126FAF">
        <w:rPr>
          <w:rFonts w:ascii="Calibri" w:hAnsi="Calibri" w:cs="AdvGulliv-R"/>
          <w:iCs/>
          <w:color w:val="000000"/>
        </w:rPr>
        <w:t>8</w:t>
      </w:r>
      <w:r w:rsidR="00842472" w:rsidRPr="00126FAF">
        <w:rPr>
          <w:rFonts w:ascii="Calibri" w:hAnsi="Calibri" w:cs="AdvGulliv-R"/>
          <w:iCs/>
          <w:color w:val="000000"/>
        </w:rPr>
        <w:t xml:space="preserve">, </w:t>
      </w:r>
      <w:r w:rsidR="00126FAF" w:rsidRPr="00126FAF">
        <w:rPr>
          <w:rFonts w:ascii="Calibri" w:hAnsi="Calibri" w:cs="AdvGulliv-R"/>
          <w:iCs/>
          <w:color w:val="000000"/>
        </w:rPr>
        <w:t>6</w:t>
      </w:r>
      <w:r w:rsidR="00F3251C" w:rsidRPr="00126FAF">
        <w:rPr>
          <w:rFonts w:ascii="Calibri" w:hAnsi="Calibri" w:cs="AdvGulliv-R"/>
          <w:iCs/>
          <w:color w:val="000000"/>
        </w:rPr>
        <w:t xml:space="preserve">3, </w:t>
      </w:r>
      <w:r w:rsidR="00126FAF" w:rsidRPr="00126FAF">
        <w:rPr>
          <w:rFonts w:ascii="Calibri" w:hAnsi="Calibri" w:cs="AdvGulliv-R"/>
          <w:iCs/>
          <w:color w:val="000000"/>
        </w:rPr>
        <w:t>6</w:t>
      </w:r>
      <w:r w:rsidR="00991E0D" w:rsidRPr="00126FAF">
        <w:rPr>
          <w:rFonts w:ascii="Calibri" w:hAnsi="Calibri" w:cs="AdvGulliv-R"/>
          <w:iCs/>
          <w:color w:val="000000"/>
        </w:rPr>
        <w:t xml:space="preserve">4, </w:t>
      </w:r>
      <w:r w:rsidR="00126FAF" w:rsidRPr="00126FAF">
        <w:rPr>
          <w:rFonts w:ascii="Calibri" w:hAnsi="Calibri" w:cs="AdvGulliv-R"/>
          <w:iCs/>
          <w:color w:val="000000"/>
        </w:rPr>
        <w:t>6</w:t>
      </w:r>
      <w:r w:rsidR="00D62B75" w:rsidRPr="00126FAF">
        <w:rPr>
          <w:rFonts w:ascii="Calibri" w:hAnsi="Calibri" w:cs="AdvGulliv-R"/>
          <w:iCs/>
          <w:color w:val="000000"/>
        </w:rPr>
        <w:t xml:space="preserve">5, </w:t>
      </w:r>
      <w:r w:rsidR="00126FAF" w:rsidRPr="00126FAF">
        <w:rPr>
          <w:rFonts w:ascii="Calibri" w:hAnsi="Calibri" w:cs="AdvGulliv-R"/>
          <w:iCs/>
          <w:color w:val="000000"/>
        </w:rPr>
        <w:t>6</w:t>
      </w:r>
      <w:r w:rsidR="00D62B75" w:rsidRPr="00126FAF">
        <w:rPr>
          <w:rFonts w:ascii="Calibri" w:hAnsi="Calibri" w:cs="AdvGulliv-R"/>
          <w:iCs/>
          <w:color w:val="000000"/>
        </w:rPr>
        <w:t>6</w:t>
      </w:r>
      <w:r w:rsidR="00D62B75" w:rsidRPr="00722464">
        <w:rPr>
          <w:rFonts w:ascii="Calibri" w:hAnsi="Calibri" w:cs="AdvGulliv-R"/>
          <w:iCs/>
          <w:color w:val="000000"/>
        </w:rPr>
        <w:t>]</w:t>
      </w:r>
      <w:r w:rsidRPr="00722464">
        <w:rPr>
          <w:rFonts w:ascii="Calibri" w:hAnsi="Calibri" w:cs="AdvGulliv-R"/>
          <w:iCs/>
          <w:color w:val="000000"/>
        </w:rPr>
        <w:t>. These strategies seem intuitively sound since they cover the operational definition of disease and/or its clinical expression.  For example,</w:t>
      </w:r>
      <w:r w:rsidR="008134CD" w:rsidRPr="00722464">
        <w:rPr>
          <w:rFonts w:ascii="Calibri" w:hAnsi="Calibri"/>
          <w:sz w:val="20"/>
          <w:szCs w:val="20"/>
          <w:lang w:val="en-US"/>
        </w:rPr>
        <w:t xml:space="preserve"> </w:t>
      </w:r>
      <w:r w:rsidRPr="00722464">
        <w:rPr>
          <w:rFonts w:ascii="Calibri" w:hAnsi="Calibri" w:cs="AdvGulliv-R"/>
          <w:iCs/>
          <w:color w:val="000000"/>
        </w:rPr>
        <w:t xml:space="preserve">the NOF in the US recommends BMD assessment in </w:t>
      </w:r>
      <w:r w:rsidR="007E66E2" w:rsidRPr="00722464">
        <w:rPr>
          <w:rFonts w:ascii="Calibri" w:hAnsi="Calibri" w:cs="AdvGulliv-R"/>
          <w:iCs/>
          <w:color w:val="000000"/>
        </w:rPr>
        <w:t xml:space="preserve">postmenopausal </w:t>
      </w:r>
      <w:r w:rsidRPr="00722464">
        <w:rPr>
          <w:rFonts w:ascii="Calibri" w:hAnsi="Calibri" w:cs="AdvGulliv-R"/>
          <w:iCs/>
          <w:color w:val="000000"/>
        </w:rPr>
        <w:t xml:space="preserve">women and treatment is advised in </w:t>
      </w:r>
      <w:r w:rsidR="007E66E2" w:rsidRPr="00722464">
        <w:rPr>
          <w:rFonts w:ascii="Calibri" w:hAnsi="Calibri" w:cs="AdvGulliv-R"/>
          <w:iCs/>
          <w:color w:val="000000"/>
        </w:rPr>
        <w:t xml:space="preserve">those </w:t>
      </w:r>
      <w:r w:rsidRPr="00722464">
        <w:rPr>
          <w:rFonts w:ascii="Calibri" w:hAnsi="Calibri" w:cs="AdvGulliv-R"/>
          <w:iCs/>
          <w:color w:val="000000"/>
        </w:rPr>
        <w:t xml:space="preserve">with a T-score of </w:t>
      </w:r>
      <w:r w:rsidR="006F47EE" w:rsidRPr="00722464">
        <w:rPr>
          <w:rFonts w:ascii="Calibri" w:hAnsi="Calibri" w:cs="Calibri"/>
          <w:iCs/>
          <w:color w:val="000000"/>
        </w:rPr>
        <w:t>≤</w:t>
      </w:r>
      <w:r w:rsidRPr="00722464">
        <w:rPr>
          <w:rFonts w:ascii="Calibri" w:hAnsi="Calibri" w:cs="AdvGulliv-R"/>
          <w:iCs/>
          <w:color w:val="000000"/>
        </w:rPr>
        <w:t xml:space="preserve"> -2.5 SD.  Treatment is also recommended in women with a prior spine or hip </w:t>
      </w:r>
      <w:r w:rsidRPr="00E018BA">
        <w:rPr>
          <w:rFonts w:ascii="Calibri" w:hAnsi="Calibri" w:cs="AdvGulliv-R"/>
          <w:iCs/>
          <w:color w:val="000000"/>
        </w:rPr>
        <w:t>fracture</w:t>
      </w:r>
      <w:r w:rsidR="00BB2572" w:rsidRPr="00E018BA">
        <w:rPr>
          <w:rFonts w:ascii="Calibri" w:hAnsi="Calibri" w:cs="AdvGulliv-R"/>
          <w:iCs/>
          <w:color w:val="000000"/>
        </w:rPr>
        <w:t xml:space="preserve"> [</w:t>
      </w:r>
      <w:r w:rsidR="00E018BA" w:rsidRPr="00E018BA">
        <w:rPr>
          <w:rFonts w:ascii="Calibri" w:hAnsi="Calibri" w:cs="AdvGulliv-R"/>
          <w:iCs/>
          <w:color w:val="000000"/>
        </w:rPr>
        <w:t>6</w:t>
      </w:r>
      <w:r w:rsidR="009F7005" w:rsidRPr="00E018BA">
        <w:rPr>
          <w:rFonts w:ascii="Calibri" w:hAnsi="Calibri" w:cs="AdvGulliv-R"/>
          <w:iCs/>
          <w:color w:val="000000"/>
        </w:rPr>
        <w:t>5</w:t>
      </w:r>
      <w:r w:rsidR="00874E47" w:rsidRPr="00E018BA">
        <w:rPr>
          <w:rFonts w:ascii="Calibri" w:hAnsi="Calibri" w:cs="AdvGulliv-R"/>
          <w:iCs/>
          <w:color w:val="000000"/>
        </w:rPr>
        <w:t>]</w:t>
      </w:r>
      <w:r w:rsidRPr="00E018BA">
        <w:rPr>
          <w:rFonts w:ascii="Calibri" w:hAnsi="Calibri" w:cs="AdvGulliv-R"/>
          <w:iCs/>
          <w:color w:val="000000"/>
        </w:rPr>
        <w:t>.</w:t>
      </w:r>
      <w:r w:rsidR="005C69B2" w:rsidRPr="00722464">
        <w:rPr>
          <w:rFonts w:ascii="Calibri" w:hAnsi="Calibri" w:cs="AdvGulliv-R"/>
          <w:iCs/>
          <w:color w:val="000000"/>
        </w:rPr>
        <w:t xml:space="preserve">  </w:t>
      </w:r>
      <w:r w:rsidR="004E46B2" w:rsidRPr="00722464">
        <w:rPr>
          <w:rFonts w:ascii="Calibri" w:hAnsi="Calibri" w:cs="AdvGulliv-R"/>
          <w:iCs/>
          <w:color w:val="000000"/>
        </w:rPr>
        <w:t xml:space="preserve">In Europe, </w:t>
      </w:r>
      <w:r w:rsidR="006F47EE" w:rsidRPr="00722464">
        <w:rPr>
          <w:rFonts w:ascii="Calibri" w:hAnsi="Calibri" w:cs="AdvGulliv-R"/>
          <w:iCs/>
          <w:color w:val="000000"/>
        </w:rPr>
        <w:t xml:space="preserve">postmenopausal </w:t>
      </w:r>
      <w:r w:rsidR="007E66E2" w:rsidRPr="00722464">
        <w:rPr>
          <w:rFonts w:ascii="Calibri" w:hAnsi="Calibri" w:cs="AdvGulliv-R"/>
          <w:iCs/>
          <w:color w:val="000000"/>
        </w:rPr>
        <w:t xml:space="preserve">women </w:t>
      </w:r>
      <w:r w:rsidR="004E46B2" w:rsidRPr="00722464">
        <w:rPr>
          <w:rFonts w:ascii="Calibri" w:hAnsi="Calibri" w:cs="AdvGulliv-R"/>
          <w:iCs/>
          <w:color w:val="000000"/>
        </w:rPr>
        <w:t>with a fragility frac</w:t>
      </w:r>
      <w:r w:rsidR="00B212B8" w:rsidRPr="00722464">
        <w:rPr>
          <w:rFonts w:ascii="Calibri" w:hAnsi="Calibri" w:cs="AdvGulliv-R"/>
          <w:iCs/>
          <w:color w:val="000000"/>
        </w:rPr>
        <w:t xml:space="preserve">ture are </w:t>
      </w:r>
      <w:r w:rsidR="00EE2F99">
        <w:rPr>
          <w:rFonts w:ascii="Calibri" w:hAnsi="Calibri" w:cs="AdvGulliv-R"/>
          <w:iCs/>
          <w:color w:val="000000"/>
        </w:rPr>
        <w:t xml:space="preserve">generally </w:t>
      </w:r>
      <w:r w:rsidR="00B212B8" w:rsidRPr="00722464">
        <w:rPr>
          <w:rFonts w:ascii="Calibri" w:hAnsi="Calibri" w:cs="AdvGulliv-R"/>
          <w:iCs/>
          <w:color w:val="000000"/>
        </w:rPr>
        <w:t>considered eligible for treatment [</w:t>
      </w:r>
      <w:r w:rsidR="00E018BA" w:rsidRPr="00E018BA">
        <w:rPr>
          <w:rFonts w:ascii="Calibri" w:hAnsi="Calibri" w:cs="AdvGulliv-R"/>
          <w:iCs/>
          <w:color w:val="000000"/>
        </w:rPr>
        <w:t>6</w:t>
      </w:r>
      <w:r w:rsidR="00C0626B" w:rsidRPr="00E018BA">
        <w:rPr>
          <w:rFonts w:ascii="Calibri" w:hAnsi="Calibri" w:cs="AdvGulliv-R"/>
          <w:iCs/>
          <w:color w:val="000000"/>
        </w:rPr>
        <w:t xml:space="preserve">4, </w:t>
      </w:r>
      <w:r w:rsidR="00E018BA" w:rsidRPr="00E018BA">
        <w:rPr>
          <w:rFonts w:ascii="Calibri" w:hAnsi="Calibri" w:cs="AdvGulliv-R"/>
          <w:iCs/>
          <w:color w:val="000000"/>
        </w:rPr>
        <w:t>6</w:t>
      </w:r>
      <w:r w:rsidR="007D2A1A" w:rsidRPr="00E018BA">
        <w:rPr>
          <w:rFonts w:ascii="Calibri" w:hAnsi="Calibri" w:cs="AdvGulliv-R"/>
          <w:iCs/>
          <w:color w:val="000000"/>
        </w:rPr>
        <w:t xml:space="preserve">7, </w:t>
      </w:r>
      <w:r w:rsidR="00E018BA" w:rsidRPr="00E018BA">
        <w:rPr>
          <w:rFonts w:ascii="Calibri" w:hAnsi="Calibri" w:cs="AdvGulliv-R"/>
          <w:iCs/>
          <w:color w:val="000000"/>
        </w:rPr>
        <w:t>6</w:t>
      </w:r>
      <w:r w:rsidR="00894F92" w:rsidRPr="00E018BA">
        <w:rPr>
          <w:rFonts w:ascii="Calibri" w:hAnsi="Calibri" w:cs="AdvGulliv-R"/>
          <w:iCs/>
          <w:color w:val="000000"/>
        </w:rPr>
        <w:t>8</w:t>
      </w:r>
      <w:r w:rsidR="00C0626B" w:rsidRPr="00722464">
        <w:rPr>
          <w:rFonts w:ascii="Calibri" w:hAnsi="Calibri" w:cs="AdvGulliv-R"/>
          <w:iCs/>
          <w:color w:val="000000"/>
        </w:rPr>
        <w:t>]</w:t>
      </w:r>
      <w:r w:rsidR="00327F2F" w:rsidRPr="00722464">
        <w:rPr>
          <w:rFonts w:ascii="Calibri" w:hAnsi="Calibri" w:cs="AdvGulliv-R"/>
          <w:iCs/>
          <w:color w:val="000000"/>
        </w:rPr>
        <w:t xml:space="preserve">.  </w:t>
      </w:r>
      <w:r w:rsidR="00C56C6B" w:rsidRPr="00722464">
        <w:rPr>
          <w:rFonts w:ascii="Calibri" w:hAnsi="Calibri"/>
        </w:rPr>
        <w:t xml:space="preserve">In contrast to BMD, a prior fracture confers an increased risk over all ages (see Figure 1) reflecting the fact that future skeletal failure is more likely in those who have already experienced skeletal failure.  </w:t>
      </w:r>
      <w:r w:rsidR="00327F2F" w:rsidRPr="00722464">
        <w:rPr>
          <w:rFonts w:ascii="Calibri" w:hAnsi="Calibri" w:cs="AdvGulliv-R"/>
          <w:iCs/>
          <w:color w:val="000000"/>
        </w:rPr>
        <w:t xml:space="preserve">Once again, the approach is entirely aligned with management of other chronic conditions where disease-related outcomes </w:t>
      </w:r>
      <w:r w:rsidR="00871B50" w:rsidRPr="00722464">
        <w:rPr>
          <w:rFonts w:ascii="Calibri" w:hAnsi="Calibri" w:cs="AdvGulliv-R"/>
          <w:iCs/>
          <w:color w:val="000000"/>
        </w:rPr>
        <w:t xml:space="preserve">mandate consideration and use of interventions </w:t>
      </w:r>
      <w:r w:rsidR="00327F2F" w:rsidRPr="00722464">
        <w:rPr>
          <w:rFonts w:ascii="Calibri" w:hAnsi="Calibri" w:cs="AdvGulliv-R"/>
          <w:iCs/>
          <w:color w:val="000000"/>
        </w:rPr>
        <w:t>to reduce future risk of recurrence</w:t>
      </w:r>
      <w:r w:rsidR="00DA69FE" w:rsidRPr="00722464">
        <w:rPr>
          <w:rFonts w:ascii="Calibri" w:hAnsi="Calibri" w:cs="AdvGulliv-R"/>
          <w:iCs/>
          <w:color w:val="000000"/>
        </w:rPr>
        <w:t>.</w:t>
      </w:r>
      <w:r w:rsidR="00DE53EE" w:rsidRPr="00722464">
        <w:rPr>
          <w:rFonts w:ascii="Calibri" w:hAnsi="Calibri" w:cs="AdvGulliv-R"/>
          <w:iCs/>
          <w:color w:val="000000"/>
        </w:rPr>
        <w:t xml:space="preserve">  T</w:t>
      </w:r>
      <w:r w:rsidR="00DC2A95" w:rsidRPr="00722464">
        <w:rPr>
          <w:rFonts w:ascii="Calibri" w:hAnsi="Calibri" w:cs="AdvGulliv-R"/>
          <w:iCs/>
          <w:color w:val="000000"/>
        </w:rPr>
        <w:t>here is increasing evidence that the implementation of fracture liaison services</w:t>
      </w:r>
      <w:r w:rsidR="00F771E1" w:rsidRPr="00722464">
        <w:rPr>
          <w:rFonts w:ascii="Calibri" w:hAnsi="Calibri" w:cs="AdvGulliv-R"/>
          <w:iCs/>
          <w:color w:val="000000"/>
        </w:rPr>
        <w:t xml:space="preserve"> though campaigns such as Capture the Fracture can improve access to better management and treatment leading to reductions in future </w:t>
      </w:r>
      <w:r w:rsidR="00DE53EE" w:rsidRPr="0064152E">
        <w:rPr>
          <w:rFonts w:ascii="Calibri" w:hAnsi="Calibri" w:cs="AdvGulliv-R"/>
          <w:iCs/>
          <w:color w:val="000000"/>
        </w:rPr>
        <w:t>fractures</w:t>
      </w:r>
      <w:r w:rsidR="00F771E1" w:rsidRPr="0064152E">
        <w:rPr>
          <w:rFonts w:ascii="Calibri" w:hAnsi="Calibri" w:cs="AdvGulliv-R"/>
          <w:iCs/>
          <w:color w:val="000000"/>
        </w:rPr>
        <w:t xml:space="preserve"> </w:t>
      </w:r>
      <w:r w:rsidR="001015F1" w:rsidRPr="0064152E">
        <w:rPr>
          <w:rFonts w:ascii="Calibri" w:hAnsi="Calibri" w:cs="AdvGulliv-R"/>
          <w:iCs/>
          <w:color w:val="000000"/>
        </w:rPr>
        <w:t>[</w:t>
      </w:r>
      <w:r w:rsidR="00EA5EFF" w:rsidRPr="0064152E">
        <w:rPr>
          <w:rFonts w:ascii="Calibri" w:hAnsi="Calibri" w:cs="AdvGulliv-R"/>
          <w:iCs/>
          <w:color w:val="000000"/>
        </w:rPr>
        <w:t>3</w:t>
      </w:r>
      <w:r w:rsidR="00E018BA" w:rsidRPr="0064152E">
        <w:rPr>
          <w:rFonts w:ascii="Calibri" w:hAnsi="Calibri" w:cs="AdvGulliv-R"/>
          <w:iCs/>
          <w:color w:val="000000"/>
        </w:rPr>
        <w:t>3</w:t>
      </w:r>
      <w:r w:rsidR="00EA5EFF" w:rsidRPr="0064152E">
        <w:rPr>
          <w:rFonts w:ascii="Calibri" w:hAnsi="Calibri" w:cs="AdvGulliv-R"/>
          <w:iCs/>
          <w:color w:val="000000"/>
        </w:rPr>
        <w:t xml:space="preserve">, </w:t>
      </w:r>
      <w:r w:rsidR="0064152E" w:rsidRPr="0064152E">
        <w:rPr>
          <w:rFonts w:ascii="Calibri" w:hAnsi="Calibri" w:cs="AdvGulliv-R"/>
          <w:iCs/>
          <w:color w:val="000000"/>
        </w:rPr>
        <w:t>6</w:t>
      </w:r>
      <w:r w:rsidR="000F03C8" w:rsidRPr="0064152E">
        <w:rPr>
          <w:rFonts w:ascii="Calibri" w:hAnsi="Calibri" w:cs="AdvGulliv-R"/>
          <w:iCs/>
          <w:color w:val="000000"/>
        </w:rPr>
        <w:t xml:space="preserve">9, </w:t>
      </w:r>
      <w:r w:rsidR="0064152E" w:rsidRPr="0064152E">
        <w:rPr>
          <w:rFonts w:ascii="Calibri" w:hAnsi="Calibri" w:cs="AdvGulliv-R"/>
          <w:iCs/>
          <w:color w:val="000000"/>
        </w:rPr>
        <w:t>7</w:t>
      </w:r>
      <w:r w:rsidR="00627C2C" w:rsidRPr="0064152E">
        <w:rPr>
          <w:rFonts w:ascii="Calibri" w:hAnsi="Calibri" w:cs="AdvGulliv-R"/>
          <w:iCs/>
          <w:color w:val="000000"/>
        </w:rPr>
        <w:t>0</w:t>
      </w:r>
      <w:r w:rsidR="008661E5" w:rsidRPr="0064152E">
        <w:rPr>
          <w:rFonts w:ascii="Calibri" w:hAnsi="Calibri" w:cs="AdvGulliv-R"/>
          <w:iCs/>
          <w:color w:val="000000"/>
        </w:rPr>
        <w:t>]</w:t>
      </w:r>
      <w:r w:rsidR="00F771E1" w:rsidRPr="0064152E">
        <w:rPr>
          <w:rFonts w:ascii="Calibri" w:hAnsi="Calibri" w:cs="AdvGulliv-R"/>
          <w:iCs/>
          <w:color w:val="000000"/>
        </w:rPr>
        <w:t>.</w:t>
      </w:r>
    </w:p>
    <w:p w14:paraId="611ECDB8" w14:textId="23B62130" w:rsidR="00821B2D" w:rsidRPr="00722464" w:rsidRDefault="008E280E" w:rsidP="00821B2D">
      <w:pPr>
        <w:ind w:right="543"/>
        <w:rPr>
          <w:rFonts w:ascii="Calibri" w:hAnsi="Calibri" w:cs="AdvGulliv-R"/>
          <w:color w:val="000000"/>
          <w:u w:val="single"/>
        </w:rPr>
      </w:pPr>
      <w:r w:rsidRPr="00722464">
        <w:rPr>
          <w:rFonts w:ascii="Calibri" w:hAnsi="Calibri" w:cs="AdvGulliv-R"/>
          <w:color w:val="000000"/>
          <w:u w:val="single"/>
        </w:rPr>
        <w:t>U</w:t>
      </w:r>
      <w:r w:rsidR="00821B2D" w:rsidRPr="00722464">
        <w:rPr>
          <w:rFonts w:ascii="Calibri" w:hAnsi="Calibri" w:cs="AdvGulliv-R"/>
          <w:color w:val="000000"/>
          <w:u w:val="single"/>
        </w:rPr>
        <w:t xml:space="preserve">se of FRAX probability </w:t>
      </w:r>
      <w:r w:rsidRPr="00722464">
        <w:rPr>
          <w:rFonts w:ascii="Calibri" w:hAnsi="Calibri" w:cs="AdvGulliv-R"/>
          <w:color w:val="000000"/>
          <w:u w:val="single"/>
        </w:rPr>
        <w:t>as an intervention</w:t>
      </w:r>
      <w:r w:rsidR="006962CD" w:rsidRPr="00722464">
        <w:rPr>
          <w:rFonts w:ascii="Calibri" w:hAnsi="Calibri" w:cs="AdvGulliv-R"/>
          <w:color w:val="000000"/>
          <w:u w:val="single"/>
        </w:rPr>
        <w:t xml:space="preserve"> threshold</w:t>
      </w:r>
    </w:p>
    <w:p w14:paraId="33047DA8" w14:textId="7CFF0E4F" w:rsidR="00FB1B04" w:rsidRPr="00722464" w:rsidRDefault="00FB1B04" w:rsidP="00FB1B04">
      <w:pPr>
        <w:ind w:right="543"/>
        <w:rPr>
          <w:rFonts w:ascii="Calibri" w:hAnsi="Calibri" w:cs="AdvGulliv-R"/>
          <w:color w:val="000000"/>
        </w:rPr>
      </w:pPr>
      <w:r w:rsidRPr="00722464">
        <w:rPr>
          <w:rFonts w:ascii="Calibri" w:hAnsi="Calibri" w:cs="AdvGulliv-R"/>
          <w:color w:val="000000"/>
        </w:rPr>
        <w:t xml:space="preserve">Recently, the advent of risk assessment algorithms indicates that prevention of fractures is better targeted based on fracture probability </w:t>
      </w:r>
      <w:r w:rsidR="001755E6" w:rsidRPr="00722464">
        <w:rPr>
          <w:rFonts w:ascii="Calibri" w:hAnsi="Calibri" w:cs="AdvGulliv-R"/>
          <w:color w:val="000000"/>
        </w:rPr>
        <w:t xml:space="preserve">or risk </w:t>
      </w:r>
      <w:r w:rsidRPr="00722464">
        <w:rPr>
          <w:rFonts w:ascii="Calibri" w:hAnsi="Calibri" w:cs="AdvGulliv-R"/>
          <w:color w:val="000000"/>
        </w:rPr>
        <w:t xml:space="preserve">using multiple risk factors rather than on BMD </w:t>
      </w:r>
      <w:r w:rsidRPr="0064152E">
        <w:rPr>
          <w:rFonts w:ascii="Calibri" w:hAnsi="Calibri" w:cs="AdvGulliv-R"/>
          <w:color w:val="000000"/>
        </w:rPr>
        <w:t>alone [</w:t>
      </w:r>
      <w:r w:rsidR="0064152E" w:rsidRPr="0064152E">
        <w:rPr>
          <w:rFonts w:ascii="Calibri" w:hAnsi="Calibri" w:cs="AdvGulliv-R"/>
          <w:color w:val="000000"/>
        </w:rPr>
        <w:t>7</w:t>
      </w:r>
      <w:r w:rsidR="006D13BA" w:rsidRPr="0064152E">
        <w:rPr>
          <w:rFonts w:ascii="Calibri" w:hAnsi="Calibri" w:cs="AdvGulliv-R"/>
          <w:color w:val="000000"/>
        </w:rPr>
        <w:t xml:space="preserve">1, </w:t>
      </w:r>
      <w:r w:rsidR="0064152E" w:rsidRPr="0064152E">
        <w:rPr>
          <w:rFonts w:ascii="Calibri" w:hAnsi="Calibri" w:cs="AdvGulliv-R"/>
          <w:color w:val="000000"/>
        </w:rPr>
        <w:t>7</w:t>
      </w:r>
      <w:r w:rsidR="006D13BA" w:rsidRPr="0064152E">
        <w:rPr>
          <w:rFonts w:ascii="Calibri" w:hAnsi="Calibri" w:cs="AdvGulliv-R"/>
          <w:color w:val="000000"/>
        </w:rPr>
        <w:t xml:space="preserve">2, </w:t>
      </w:r>
      <w:r w:rsidR="0064152E" w:rsidRPr="0064152E">
        <w:rPr>
          <w:rFonts w:ascii="Calibri" w:hAnsi="Calibri" w:cs="AdvGulliv-R"/>
          <w:color w:val="000000"/>
        </w:rPr>
        <w:t>7</w:t>
      </w:r>
      <w:r w:rsidR="00A445CA" w:rsidRPr="0064152E">
        <w:rPr>
          <w:rFonts w:ascii="Calibri" w:hAnsi="Calibri" w:cs="AdvGulliv-R"/>
          <w:color w:val="000000"/>
        </w:rPr>
        <w:t>3</w:t>
      </w:r>
      <w:r w:rsidRPr="0064152E">
        <w:rPr>
          <w:rFonts w:ascii="Calibri" w:hAnsi="Calibri" w:cs="AdvGulliv-R"/>
          <w:color w:val="000000"/>
        </w:rPr>
        <w:t>].</w:t>
      </w:r>
      <w:r w:rsidRPr="00722464">
        <w:rPr>
          <w:rFonts w:ascii="Calibri" w:hAnsi="Calibri" w:cs="AdvGulliv-R"/>
          <w:color w:val="000000"/>
        </w:rPr>
        <w:t xml:space="preserve">   FRAX, currently available in 78 territories, is the most widely used fracture risk assessment tool and </w:t>
      </w:r>
      <w:r w:rsidR="00E074CE" w:rsidRPr="00722464">
        <w:rPr>
          <w:rFonts w:ascii="Calibri" w:hAnsi="Calibri" w:cs="AdvGulliv-R"/>
          <w:color w:val="000000"/>
        </w:rPr>
        <w:t xml:space="preserve">it </w:t>
      </w:r>
      <w:r w:rsidRPr="00722464">
        <w:rPr>
          <w:rFonts w:ascii="Calibri" w:hAnsi="Calibri" w:cs="AdvGulliv-R"/>
          <w:color w:val="000000"/>
        </w:rPr>
        <w:t>is incorporated in</w:t>
      </w:r>
      <w:r w:rsidR="00E074CE" w:rsidRPr="00722464">
        <w:rPr>
          <w:rFonts w:ascii="Calibri" w:hAnsi="Calibri" w:cs="AdvGulliv-R"/>
          <w:color w:val="000000"/>
        </w:rPr>
        <w:t>to</w:t>
      </w:r>
      <w:r w:rsidRPr="00722464">
        <w:rPr>
          <w:rFonts w:ascii="Calibri" w:hAnsi="Calibri" w:cs="AdvGulliv-R"/>
          <w:color w:val="000000"/>
        </w:rPr>
        <w:t xml:space="preserve"> </w:t>
      </w:r>
      <w:proofErr w:type="gramStart"/>
      <w:r w:rsidRPr="00722464">
        <w:rPr>
          <w:rFonts w:ascii="Calibri" w:hAnsi="Calibri" w:cs="AdvGulliv-R"/>
          <w:color w:val="000000"/>
        </w:rPr>
        <w:t>a large number of</w:t>
      </w:r>
      <w:proofErr w:type="gramEnd"/>
      <w:r w:rsidRPr="00722464">
        <w:rPr>
          <w:rFonts w:ascii="Calibri" w:hAnsi="Calibri" w:cs="AdvGulliv-R"/>
          <w:color w:val="000000"/>
        </w:rPr>
        <w:t xml:space="preserve"> assessment guidelines [</w:t>
      </w:r>
      <w:r w:rsidR="00034079" w:rsidRPr="00EC228B">
        <w:rPr>
          <w:rFonts w:ascii="Calibri" w:hAnsi="Calibri" w:cs="AdvGulliv-R"/>
          <w:color w:val="000000"/>
        </w:rPr>
        <w:t>2</w:t>
      </w:r>
      <w:r w:rsidR="0064152E" w:rsidRPr="00EC228B">
        <w:rPr>
          <w:rFonts w:ascii="Calibri" w:hAnsi="Calibri" w:cs="AdvGulliv-R"/>
          <w:color w:val="000000"/>
        </w:rPr>
        <w:t>8</w:t>
      </w:r>
      <w:r w:rsidR="00034079" w:rsidRPr="00EC228B">
        <w:rPr>
          <w:rFonts w:ascii="Calibri" w:hAnsi="Calibri" w:cs="AdvGulliv-R"/>
          <w:color w:val="000000"/>
        </w:rPr>
        <w:t xml:space="preserve">, </w:t>
      </w:r>
      <w:r w:rsidR="0064152E" w:rsidRPr="00EC228B">
        <w:rPr>
          <w:rFonts w:ascii="Calibri" w:hAnsi="Calibri" w:cs="AdvGulliv-R"/>
          <w:color w:val="000000"/>
        </w:rPr>
        <w:t>74</w:t>
      </w:r>
      <w:r w:rsidR="00EC228B">
        <w:rPr>
          <w:rFonts w:ascii="Calibri" w:hAnsi="Calibri" w:cs="AdvGulliv-R"/>
          <w:color w:val="000000"/>
        </w:rPr>
        <w:t>]</w:t>
      </w:r>
      <w:r w:rsidRPr="00722464">
        <w:rPr>
          <w:rFonts w:ascii="Calibri" w:hAnsi="Calibri" w:cs="AdvGulliv-R"/>
          <w:color w:val="000000"/>
        </w:rPr>
        <w:t xml:space="preserve">, recommended by the Committee for Medicinal Products for Human Use </w:t>
      </w:r>
      <w:r w:rsidRPr="00722464">
        <w:rPr>
          <w:rFonts w:ascii="Calibri" w:hAnsi="Calibri" w:cs="AdvGulliv-R"/>
          <w:color w:val="000000"/>
        </w:rPr>
        <w:lastRenderedPageBreak/>
        <w:t>(CHMP) [</w:t>
      </w:r>
      <w:r w:rsidR="00670FE8">
        <w:rPr>
          <w:rFonts w:ascii="Calibri" w:hAnsi="Calibri" w:cs="AdvGulliv-R"/>
          <w:color w:val="000000"/>
        </w:rPr>
        <w:t>21</w:t>
      </w:r>
      <w:r w:rsidR="005064A1" w:rsidRPr="00722464">
        <w:rPr>
          <w:rFonts w:ascii="Calibri" w:hAnsi="Calibri" w:cs="AdvGulliv-R"/>
          <w:color w:val="000000"/>
        </w:rPr>
        <w:t>]</w:t>
      </w:r>
      <w:r w:rsidRPr="00722464">
        <w:rPr>
          <w:rFonts w:ascii="Calibri" w:hAnsi="Calibri" w:cs="AdvGulliv-R"/>
          <w:color w:val="000000"/>
        </w:rPr>
        <w:t xml:space="preserve">, and approved by the National Institute for Health and Care Excellence (NICE) </w:t>
      </w:r>
      <w:r w:rsidRPr="00670FE8">
        <w:rPr>
          <w:rFonts w:ascii="Calibri" w:hAnsi="Calibri" w:cs="AdvGulliv-R"/>
          <w:color w:val="000000"/>
        </w:rPr>
        <w:t>[</w:t>
      </w:r>
      <w:r w:rsidR="00670FE8" w:rsidRPr="00670FE8">
        <w:rPr>
          <w:rFonts w:ascii="Calibri" w:hAnsi="Calibri" w:cs="AdvGulliv-R"/>
          <w:color w:val="000000"/>
        </w:rPr>
        <w:t>7</w:t>
      </w:r>
      <w:r w:rsidR="00283759" w:rsidRPr="00670FE8">
        <w:rPr>
          <w:rFonts w:ascii="Calibri" w:hAnsi="Calibri" w:cs="AdvGulliv-R"/>
          <w:color w:val="000000"/>
        </w:rPr>
        <w:t>5]</w:t>
      </w:r>
      <w:r w:rsidRPr="00670FE8">
        <w:rPr>
          <w:rFonts w:ascii="Calibri" w:hAnsi="Calibri" w:cs="AdvGulliv-R"/>
          <w:color w:val="000000"/>
        </w:rPr>
        <w:t>.</w:t>
      </w:r>
      <w:r w:rsidRPr="00722464">
        <w:rPr>
          <w:rFonts w:ascii="Calibri" w:hAnsi="Calibri" w:cs="AdvGulliv-R"/>
          <w:color w:val="000000"/>
        </w:rPr>
        <w:t xml:space="preserve">  </w:t>
      </w:r>
    </w:p>
    <w:p w14:paraId="71047ABB" w14:textId="54511BCF" w:rsidR="00783D29" w:rsidRPr="00A30316" w:rsidRDefault="00893E82" w:rsidP="00893E82">
      <w:pPr>
        <w:spacing w:after="120"/>
        <w:rPr>
          <w:rFonts w:ascii="Calibri" w:hAnsi="Calibri" w:cs="Arial"/>
        </w:rPr>
      </w:pPr>
      <w:r w:rsidRPr="00722464">
        <w:rPr>
          <w:rFonts w:ascii="Calibri" w:hAnsi="Calibri" w:cs="AdvGulliv-R"/>
          <w:color w:val="000000"/>
        </w:rPr>
        <w:t xml:space="preserve">Several guidelines that use FRAX have recommended that a fixed probability threshold be used as an intervention threshold.  Examples include a 20% ten-year probability of a major fracture in Canada and the US, and a 15% probability in Japan and </w:t>
      </w:r>
      <w:r w:rsidRPr="00D7306E">
        <w:rPr>
          <w:rFonts w:ascii="Calibri" w:hAnsi="Calibri" w:cs="AdvGulliv-R"/>
          <w:color w:val="000000"/>
        </w:rPr>
        <w:t>Sweden [</w:t>
      </w:r>
      <w:r w:rsidR="00670FE8" w:rsidRPr="00D7306E">
        <w:rPr>
          <w:rFonts w:ascii="Calibri" w:hAnsi="Calibri" w:cs="AdvGulliv-R"/>
          <w:color w:val="000000"/>
        </w:rPr>
        <w:t>6</w:t>
      </w:r>
      <w:r w:rsidR="008E2DCB" w:rsidRPr="00D7306E">
        <w:rPr>
          <w:rFonts w:ascii="Calibri" w:hAnsi="Calibri" w:cs="AdvGulliv-R"/>
          <w:color w:val="000000"/>
        </w:rPr>
        <w:t xml:space="preserve">3, </w:t>
      </w:r>
      <w:r w:rsidR="00670FE8" w:rsidRPr="00D7306E">
        <w:rPr>
          <w:rFonts w:ascii="Calibri" w:hAnsi="Calibri" w:cs="AdvGulliv-R"/>
          <w:color w:val="000000"/>
        </w:rPr>
        <w:t>6</w:t>
      </w:r>
      <w:r w:rsidR="008E2DCB" w:rsidRPr="00D7306E">
        <w:rPr>
          <w:rFonts w:ascii="Calibri" w:hAnsi="Calibri" w:cs="AdvGulliv-R"/>
          <w:color w:val="000000"/>
        </w:rPr>
        <w:t xml:space="preserve">5, </w:t>
      </w:r>
      <w:r w:rsidR="00670FE8" w:rsidRPr="00D7306E">
        <w:rPr>
          <w:rFonts w:ascii="Calibri" w:hAnsi="Calibri" w:cs="AdvGulliv-R"/>
          <w:color w:val="000000"/>
        </w:rPr>
        <w:t>6</w:t>
      </w:r>
      <w:r w:rsidR="00037D09" w:rsidRPr="00D7306E">
        <w:rPr>
          <w:rFonts w:ascii="Calibri" w:hAnsi="Calibri" w:cs="AdvGulliv-R"/>
          <w:color w:val="000000"/>
        </w:rPr>
        <w:t xml:space="preserve">6, </w:t>
      </w:r>
      <w:r w:rsidR="00D7306E" w:rsidRPr="00D7306E">
        <w:rPr>
          <w:rFonts w:ascii="Calibri" w:hAnsi="Calibri" w:cs="AdvGulliv-R"/>
          <w:color w:val="000000"/>
        </w:rPr>
        <w:t>7</w:t>
      </w:r>
      <w:r w:rsidR="00A31E57" w:rsidRPr="00D7306E">
        <w:rPr>
          <w:rFonts w:ascii="Calibri" w:hAnsi="Calibri" w:cs="AdvGulliv-R"/>
          <w:color w:val="000000"/>
        </w:rPr>
        <w:t>6]</w:t>
      </w:r>
      <w:r w:rsidRPr="00D7306E">
        <w:rPr>
          <w:rFonts w:ascii="Calibri" w:hAnsi="Calibri" w:cs="AdvGulliv-R"/>
          <w:color w:val="000000"/>
        </w:rPr>
        <w:t>.</w:t>
      </w:r>
      <w:r w:rsidRPr="00722464">
        <w:rPr>
          <w:rFonts w:ascii="Calibri" w:hAnsi="Calibri" w:cs="AdvGulliv-R"/>
          <w:color w:val="000000"/>
        </w:rPr>
        <w:t xml:space="preserve"> </w:t>
      </w:r>
      <w:r w:rsidR="00D7306E">
        <w:rPr>
          <w:rFonts w:ascii="Calibri" w:hAnsi="Calibri" w:cs="AdvGulliv-R"/>
          <w:color w:val="000000"/>
        </w:rPr>
        <w:t xml:space="preserve"> </w:t>
      </w:r>
      <w:r w:rsidRPr="00722464">
        <w:rPr>
          <w:rFonts w:ascii="Calibri" w:hAnsi="Calibri" w:cs="Arial"/>
        </w:rPr>
        <w:t>The National Bone Health Alliance recommended that postmenopausal women and men aged 50 years or more should be diagnosed with osteoporosis if they have 10-year FRAX probability of hip fracture ≥3 % or the 10-year probability of major osteoporotic fracture ≥20 % in individuals with osteopenia [</w:t>
      </w:r>
      <w:r w:rsidR="00D7306E">
        <w:rPr>
          <w:rFonts w:ascii="Calibri" w:hAnsi="Calibri" w:cs="Arial"/>
        </w:rPr>
        <w:t>4</w:t>
      </w:r>
      <w:r w:rsidRPr="00722464">
        <w:rPr>
          <w:rFonts w:ascii="Calibri" w:hAnsi="Calibri" w:cs="Arial"/>
        </w:rPr>
        <w:t xml:space="preserve">].  The criteria followed the NOF </w:t>
      </w:r>
      <w:r w:rsidRPr="009D5982">
        <w:rPr>
          <w:rFonts w:ascii="Calibri" w:hAnsi="Calibri" w:cs="Arial"/>
        </w:rPr>
        <w:t xml:space="preserve">guidelines with some minor modifications.  </w:t>
      </w:r>
      <w:r w:rsidR="00783D29" w:rsidRPr="009D5982">
        <w:rPr>
          <w:rFonts w:ascii="Calibri" w:hAnsi="Calibri" w:cs="Arial"/>
        </w:rPr>
        <w:t xml:space="preserve">Quite apart from the dubious validity of </w:t>
      </w:r>
      <w:r w:rsidR="00D13C8F" w:rsidRPr="009D5982">
        <w:rPr>
          <w:rFonts w:ascii="Calibri" w:hAnsi="Calibri" w:cs="Arial"/>
        </w:rPr>
        <w:t>confusin</w:t>
      </w:r>
      <w:r w:rsidR="002F246A" w:rsidRPr="009D5982">
        <w:rPr>
          <w:rFonts w:ascii="Calibri" w:hAnsi="Calibri" w:cs="Arial"/>
        </w:rPr>
        <w:t>g</w:t>
      </w:r>
      <w:r w:rsidR="00783D29" w:rsidRPr="009D5982">
        <w:rPr>
          <w:rFonts w:ascii="Calibri" w:hAnsi="Calibri" w:cs="Arial"/>
        </w:rPr>
        <w:t xml:space="preserve"> a risk factor (which may or may not be included in the risk score) together with the risk score and the outcome itself</w:t>
      </w:r>
      <w:r w:rsidR="00783D29" w:rsidRPr="00783D29">
        <w:rPr>
          <w:rFonts w:ascii="Calibri" w:hAnsi="Calibri" w:cs="Arial"/>
        </w:rPr>
        <w:t xml:space="preserve">, </w:t>
      </w:r>
      <w:r w:rsidR="00783D29">
        <w:rPr>
          <w:rFonts w:ascii="Calibri" w:hAnsi="Calibri" w:cs="Arial"/>
        </w:rPr>
        <w:t>t</w:t>
      </w:r>
      <w:r w:rsidR="00783D29" w:rsidRPr="00783D29">
        <w:rPr>
          <w:rFonts w:ascii="Calibri" w:hAnsi="Calibri" w:cs="Arial"/>
        </w:rPr>
        <w:t xml:space="preserve">here is </w:t>
      </w:r>
      <w:r w:rsidR="00783D29">
        <w:rPr>
          <w:rFonts w:ascii="Calibri" w:hAnsi="Calibri" w:cs="Arial"/>
        </w:rPr>
        <w:t>t</w:t>
      </w:r>
      <w:r w:rsidR="00783D29" w:rsidRPr="00783D29">
        <w:rPr>
          <w:rFonts w:ascii="Calibri" w:hAnsi="Calibri" w:cs="Arial"/>
        </w:rPr>
        <w:t xml:space="preserve">he added complication that individuals diagnosed with osteoporosis through </w:t>
      </w:r>
      <w:r w:rsidR="00783D29" w:rsidRPr="00A30316">
        <w:rPr>
          <w:rFonts w:ascii="Calibri" w:hAnsi="Calibri" w:cs="Arial"/>
        </w:rPr>
        <w:t>different routes, for example BMD T-score, fixed FRAX threshold, and prior fracture, could have markedly different fracture probabilities</w:t>
      </w:r>
      <w:r w:rsidR="002D51EE">
        <w:rPr>
          <w:rFonts w:ascii="Calibri" w:hAnsi="Calibri" w:cs="Arial"/>
        </w:rPr>
        <w:t>.</w:t>
      </w:r>
      <w:r w:rsidR="00783D29" w:rsidRPr="00A30316">
        <w:rPr>
          <w:rFonts w:ascii="Calibri" w:hAnsi="Calibri" w:cs="Arial"/>
        </w:rPr>
        <w:t xml:space="preserve"> </w:t>
      </w:r>
    </w:p>
    <w:p w14:paraId="44FFD5B2" w14:textId="36708A69" w:rsidR="00893E82" w:rsidRPr="00A30316" w:rsidRDefault="00893E82" w:rsidP="00893E82">
      <w:pPr>
        <w:spacing w:after="120"/>
        <w:rPr>
          <w:rFonts w:cs="Arial"/>
          <w:color w:val="000000"/>
        </w:rPr>
      </w:pPr>
      <w:r w:rsidRPr="00A30316">
        <w:rPr>
          <w:rFonts w:ascii="Calibri" w:hAnsi="Calibri" w:cs="AdvGulliv-R"/>
          <w:color w:val="000000"/>
        </w:rPr>
        <w:t xml:space="preserve">A problem with the use of fixed thresholds alone arises in the proportion of the population eligible for treatment. </w:t>
      </w:r>
      <w:r w:rsidRPr="00A30316">
        <w:rPr>
          <w:rFonts w:cs="Arial"/>
          <w:color w:val="000000"/>
        </w:rPr>
        <w:t xml:space="preserve">The impact of using different intervention threshold has been explored for postmenopausal women in </w:t>
      </w:r>
      <w:r w:rsidRPr="00D7306E">
        <w:rPr>
          <w:rFonts w:cs="Arial"/>
          <w:color w:val="000000"/>
        </w:rPr>
        <w:t>Japan [</w:t>
      </w:r>
      <w:r w:rsidR="00D7306E" w:rsidRPr="00D7306E">
        <w:rPr>
          <w:rFonts w:cs="Arial"/>
          <w:color w:val="000000"/>
        </w:rPr>
        <w:t>7</w:t>
      </w:r>
      <w:r w:rsidR="00D54BCB" w:rsidRPr="00D7306E">
        <w:rPr>
          <w:rFonts w:cs="Arial"/>
          <w:color w:val="000000"/>
        </w:rPr>
        <w:t>7]</w:t>
      </w:r>
      <w:r w:rsidRPr="00D7306E">
        <w:rPr>
          <w:rFonts w:cs="Arial"/>
          <w:color w:val="000000"/>
        </w:rPr>
        <w:t>.</w:t>
      </w:r>
      <w:r w:rsidRPr="00A30316">
        <w:rPr>
          <w:rFonts w:cs="Arial"/>
          <w:color w:val="000000"/>
        </w:rPr>
        <w:t xml:space="preserve">  At high thresholds </w:t>
      </w:r>
      <w:r w:rsidR="00BD2410" w:rsidRPr="00A30316">
        <w:rPr>
          <w:rFonts w:cs="Arial"/>
          <w:color w:val="000000"/>
        </w:rPr>
        <w:t>e.g.,</w:t>
      </w:r>
      <w:r w:rsidRPr="00A30316">
        <w:rPr>
          <w:rFonts w:cs="Arial"/>
          <w:color w:val="000000"/>
        </w:rPr>
        <w:t xml:space="preserve"> </w:t>
      </w:r>
      <w:r w:rsidRPr="00A30316">
        <w:rPr>
          <w:rFonts w:cs="Arial"/>
          <w:color w:val="000000"/>
          <w:u w:val="single"/>
        </w:rPr>
        <w:t>&gt;</w:t>
      </w:r>
      <w:r w:rsidRPr="00A30316">
        <w:rPr>
          <w:rFonts w:cs="Arial"/>
          <w:color w:val="000000"/>
        </w:rPr>
        <w:t xml:space="preserve">20% fracture probability, very few women under the age of 60 years would ever attain this threshold (less than 1%).  On the other hand, if a less stringent threshold were chosen, say 10%, then approximately 5% of women at the age of 50 years would exceed this threshold, and </w:t>
      </w:r>
      <w:proofErr w:type="gramStart"/>
      <w:r w:rsidRPr="00A30316">
        <w:rPr>
          <w:rFonts w:cs="Arial"/>
          <w:color w:val="000000"/>
        </w:rPr>
        <w:t>a majority of</w:t>
      </w:r>
      <w:proofErr w:type="gramEnd"/>
      <w:r w:rsidRPr="00A30316">
        <w:rPr>
          <w:rFonts w:cs="Arial"/>
          <w:color w:val="000000"/>
        </w:rPr>
        <w:t xml:space="preserve"> women over the age of 65 years would be eligible and the treatment threshold would be exceeded in 50% of all postmenopausal women</w:t>
      </w:r>
      <w:r w:rsidRPr="009D5982">
        <w:rPr>
          <w:rFonts w:cs="Arial"/>
          <w:color w:val="000000"/>
        </w:rPr>
        <w:t xml:space="preserve">.   Both scenarios </w:t>
      </w:r>
      <w:r w:rsidR="001150D4" w:rsidRPr="009D5982">
        <w:rPr>
          <w:rFonts w:cs="Arial"/>
          <w:color w:val="000000"/>
        </w:rPr>
        <w:t>are</w:t>
      </w:r>
      <w:r w:rsidRPr="009D5982">
        <w:rPr>
          <w:rFonts w:cs="Arial"/>
          <w:color w:val="000000"/>
        </w:rPr>
        <w:t xml:space="preserve"> </w:t>
      </w:r>
      <w:r w:rsidR="007D4441" w:rsidRPr="009D5982">
        <w:rPr>
          <w:rFonts w:cs="Arial"/>
          <w:color w:val="000000"/>
        </w:rPr>
        <w:t xml:space="preserve">contrary to </w:t>
      </w:r>
      <w:r w:rsidR="00502E3F" w:rsidRPr="009D5982">
        <w:rPr>
          <w:rFonts w:cs="Arial"/>
          <w:color w:val="000000"/>
        </w:rPr>
        <w:t xml:space="preserve">current </w:t>
      </w:r>
      <w:r w:rsidRPr="009D5982">
        <w:rPr>
          <w:rFonts w:cs="Arial"/>
          <w:color w:val="000000"/>
        </w:rPr>
        <w:t>clinical practice.</w:t>
      </w:r>
      <w:r w:rsidRPr="00A30316">
        <w:rPr>
          <w:rFonts w:cs="Arial"/>
          <w:color w:val="000000"/>
        </w:rPr>
        <w:t xml:space="preserve">  </w:t>
      </w:r>
    </w:p>
    <w:p w14:paraId="1A15D583" w14:textId="7C415C91" w:rsidR="00FB1B04" w:rsidRPr="00A30316" w:rsidRDefault="00C56C6B" w:rsidP="00FB1B04">
      <w:pPr>
        <w:spacing w:after="120"/>
        <w:rPr>
          <w:rFonts w:ascii="Calibri" w:hAnsi="Calibri"/>
        </w:rPr>
      </w:pPr>
      <w:r w:rsidRPr="00A30316">
        <w:rPr>
          <w:rFonts w:ascii="Calibri" w:hAnsi="Calibri"/>
        </w:rPr>
        <w:t>Given that</w:t>
      </w:r>
      <w:r w:rsidR="00FB1B04" w:rsidRPr="00A30316">
        <w:rPr>
          <w:rFonts w:ascii="Calibri" w:hAnsi="Calibri"/>
        </w:rPr>
        <w:t xml:space="preserve"> many guidelines in Europe, North </w:t>
      </w:r>
      <w:proofErr w:type="gramStart"/>
      <w:r w:rsidR="00FB1B04" w:rsidRPr="00A30316">
        <w:rPr>
          <w:rFonts w:ascii="Calibri" w:hAnsi="Calibri"/>
        </w:rPr>
        <w:t>America</w:t>
      </w:r>
      <w:proofErr w:type="gramEnd"/>
      <w:r w:rsidR="00FB1B04" w:rsidRPr="00A30316">
        <w:rPr>
          <w:rFonts w:ascii="Calibri" w:hAnsi="Calibri"/>
        </w:rPr>
        <w:t xml:space="preserve"> and elsewhere recommended treatment in the absence of information on BMD in women with a previous fragility fracture</w:t>
      </w:r>
      <w:r w:rsidRPr="00A30316">
        <w:rPr>
          <w:rFonts w:ascii="Calibri" w:hAnsi="Calibri"/>
        </w:rPr>
        <w:t xml:space="preserve">, a translational approach suggests that </w:t>
      </w:r>
      <w:r w:rsidR="00FB1B04" w:rsidRPr="00A30316">
        <w:rPr>
          <w:rFonts w:ascii="Calibri" w:hAnsi="Calibri"/>
        </w:rPr>
        <w:t xml:space="preserve">the intervention threshold in women without a prior fracture can be set at the age-specific fracture probability equivalent to women with a prior fragility </w:t>
      </w:r>
      <w:r w:rsidR="00FB1B04" w:rsidRPr="00D7306E">
        <w:rPr>
          <w:rFonts w:ascii="Calibri" w:hAnsi="Calibri"/>
        </w:rPr>
        <w:t>fracture [</w:t>
      </w:r>
      <w:r w:rsidR="00D7306E" w:rsidRPr="00D7306E">
        <w:rPr>
          <w:rFonts w:ascii="Calibri" w:hAnsi="Calibri"/>
        </w:rPr>
        <w:t>7</w:t>
      </w:r>
      <w:r w:rsidR="008502BC" w:rsidRPr="00D7306E">
        <w:rPr>
          <w:rFonts w:ascii="Calibri" w:hAnsi="Calibri"/>
        </w:rPr>
        <w:t xml:space="preserve">8, </w:t>
      </w:r>
      <w:r w:rsidR="00D7306E" w:rsidRPr="00D7306E">
        <w:rPr>
          <w:rFonts w:ascii="Calibri" w:hAnsi="Calibri"/>
        </w:rPr>
        <w:t>7</w:t>
      </w:r>
      <w:r w:rsidR="008502BC" w:rsidRPr="00D7306E">
        <w:rPr>
          <w:rFonts w:ascii="Calibri" w:hAnsi="Calibri"/>
        </w:rPr>
        <w:t>9]</w:t>
      </w:r>
      <w:r w:rsidRPr="00D7306E">
        <w:rPr>
          <w:rFonts w:ascii="Calibri" w:hAnsi="Calibri"/>
        </w:rPr>
        <w:t>.</w:t>
      </w:r>
      <w:r w:rsidRPr="00A30316">
        <w:rPr>
          <w:rFonts w:ascii="Calibri" w:hAnsi="Calibri"/>
        </w:rPr>
        <w:t xml:space="preserve">  As expected, this threshold </w:t>
      </w:r>
      <w:r w:rsidR="00FB1B04" w:rsidRPr="00A30316">
        <w:rPr>
          <w:rFonts w:ascii="Calibri" w:hAnsi="Calibri"/>
        </w:rPr>
        <w:t>rises with age</w:t>
      </w:r>
      <w:r w:rsidRPr="00A30316">
        <w:rPr>
          <w:rFonts w:ascii="Calibri" w:hAnsi="Calibri"/>
        </w:rPr>
        <w:t xml:space="preserve"> (</w:t>
      </w:r>
      <w:r w:rsidR="001015F1" w:rsidRPr="00A30316">
        <w:rPr>
          <w:rFonts w:ascii="Calibri" w:hAnsi="Calibri"/>
        </w:rPr>
        <w:t xml:space="preserve">see </w:t>
      </w:r>
      <w:r w:rsidRPr="00A30316">
        <w:rPr>
          <w:rFonts w:ascii="Calibri" w:hAnsi="Calibri"/>
        </w:rPr>
        <w:t>Figure 1)</w:t>
      </w:r>
      <w:r w:rsidR="00FB1B04" w:rsidRPr="00A30316">
        <w:rPr>
          <w:rFonts w:ascii="Calibri" w:hAnsi="Calibri"/>
        </w:rPr>
        <w:t xml:space="preserve">; for example, the threshold rises from a 10-year probability of 7% at </w:t>
      </w:r>
      <w:r w:rsidR="00FB1B04" w:rsidRPr="00F677A1">
        <w:rPr>
          <w:rFonts w:ascii="Calibri" w:hAnsi="Calibri"/>
        </w:rPr>
        <w:t xml:space="preserve">50 years to 27% at 80 years in the UK. </w:t>
      </w:r>
      <w:bookmarkStart w:id="5" w:name="_Hlk112327199"/>
      <w:r w:rsidR="000B2B4F" w:rsidRPr="00F677A1">
        <w:rPr>
          <w:rFonts w:ascii="Calibri" w:hAnsi="Calibri"/>
        </w:rPr>
        <w:t xml:space="preserve"> </w:t>
      </w:r>
      <w:r w:rsidR="00FB1B04" w:rsidRPr="00F677A1">
        <w:rPr>
          <w:rFonts w:ascii="Calibri" w:hAnsi="Calibri"/>
        </w:rPr>
        <w:t>In other words, the intervention threshold is set at the ‘fracture threshold’</w:t>
      </w:r>
      <w:r w:rsidR="001974A3" w:rsidRPr="00F677A1">
        <w:rPr>
          <w:rFonts w:ascii="Calibri" w:hAnsi="Calibri"/>
        </w:rPr>
        <w:t xml:space="preserve"> and has the added advantage of being independent of cost-effectiveness approaches to threshold setting that can rapidly be outdated by reductions in drug costs</w:t>
      </w:r>
      <w:r w:rsidR="00FB1B04" w:rsidRPr="00F677A1">
        <w:rPr>
          <w:rFonts w:ascii="Calibri" w:hAnsi="Calibri"/>
        </w:rPr>
        <w:t>.</w:t>
      </w:r>
      <w:r w:rsidR="001015F1" w:rsidRPr="00F677A1">
        <w:rPr>
          <w:rFonts w:ascii="Calibri" w:hAnsi="Calibri"/>
        </w:rPr>
        <w:t xml:space="preserve"> </w:t>
      </w:r>
      <w:r w:rsidR="00FB1B04" w:rsidRPr="00F677A1">
        <w:rPr>
          <w:rFonts w:ascii="Calibri" w:hAnsi="Calibri"/>
        </w:rPr>
        <w:t xml:space="preserve"> </w:t>
      </w:r>
      <w:bookmarkEnd w:id="5"/>
      <w:r w:rsidR="00FB1B04" w:rsidRPr="00F677A1">
        <w:rPr>
          <w:rFonts w:ascii="Calibri" w:hAnsi="Calibri"/>
        </w:rPr>
        <w:t>This approach to intervention thresholds, first adopted by the National Osteoporosis Guideline Group (NOGG)</w:t>
      </w:r>
      <w:r w:rsidR="00FB1B04" w:rsidRPr="00A30316">
        <w:rPr>
          <w:rFonts w:ascii="Calibri" w:hAnsi="Calibri"/>
        </w:rPr>
        <w:t xml:space="preserve"> for the </w:t>
      </w:r>
      <w:r w:rsidR="00FB1B04" w:rsidRPr="00633109">
        <w:rPr>
          <w:rFonts w:ascii="Calibri" w:hAnsi="Calibri"/>
        </w:rPr>
        <w:t>UK [</w:t>
      </w:r>
      <w:r w:rsidR="00633109" w:rsidRPr="00633109">
        <w:rPr>
          <w:rFonts w:ascii="Calibri" w:hAnsi="Calibri"/>
        </w:rPr>
        <w:t>8</w:t>
      </w:r>
      <w:r w:rsidR="00DC3772" w:rsidRPr="00633109">
        <w:rPr>
          <w:rFonts w:ascii="Calibri" w:hAnsi="Calibri"/>
        </w:rPr>
        <w:t>0]</w:t>
      </w:r>
      <w:r w:rsidR="00FB1B04" w:rsidRPr="00633109">
        <w:rPr>
          <w:rFonts w:ascii="Calibri" w:hAnsi="Calibri"/>
        </w:rPr>
        <w:t>, is</w:t>
      </w:r>
      <w:r w:rsidR="00FB1B04" w:rsidRPr="00A30316">
        <w:rPr>
          <w:rFonts w:ascii="Calibri" w:hAnsi="Calibri"/>
        </w:rPr>
        <w:t xml:space="preserve"> now widely used in Europe, the Middle </w:t>
      </w:r>
      <w:proofErr w:type="gramStart"/>
      <w:r w:rsidR="00FB1B04" w:rsidRPr="00A30316">
        <w:rPr>
          <w:rFonts w:ascii="Calibri" w:hAnsi="Calibri"/>
        </w:rPr>
        <w:t>East</w:t>
      </w:r>
      <w:proofErr w:type="gramEnd"/>
      <w:r w:rsidR="00FB1B04" w:rsidRPr="00A30316">
        <w:rPr>
          <w:rFonts w:ascii="Calibri" w:hAnsi="Calibri"/>
        </w:rPr>
        <w:t xml:space="preserve"> and Latin America [</w:t>
      </w:r>
      <w:r w:rsidR="006A04D9" w:rsidRPr="006A04D9">
        <w:rPr>
          <w:rFonts w:ascii="Calibri" w:hAnsi="Calibri"/>
        </w:rPr>
        <w:t>60</w:t>
      </w:r>
      <w:r w:rsidR="00E62954" w:rsidRPr="006A04D9">
        <w:rPr>
          <w:rFonts w:ascii="Calibri" w:hAnsi="Calibri"/>
        </w:rPr>
        <w:t xml:space="preserve">, </w:t>
      </w:r>
      <w:r w:rsidR="006A04D9" w:rsidRPr="006A04D9">
        <w:rPr>
          <w:rFonts w:ascii="Calibri" w:hAnsi="Calibri"/>
        </w:rPr>
        <w:t>6</w:t>
      </w:r>
      <w:r w:rsidR="00821C80" w:rsidRPr="006A04D9">
        <w:rPr>
          <w:rFonts w:ascii="Calibri" w:hAnsi="Calibri"/>
        </w:rPr>
        <w:t xml:space="preserve">7, </w:t>
      </w:r>
      <w:r w:rsidR="006A04D9" w:rsidRPr="006A04D9">
        <w:rPr>
          <w:rFonts w:ascii="Calibri" w:hAnsi="Calibri"/>
        </w:rPr>
        <w:t>8</w:t>
      </w:r>
      <w:r w:rsidR="00A62F61" w:rsidRPr="006A04D9">
        <w:rPr>
          <w:rFonts w:ascii="Calibri" w:hAnsi="Calibri"/>
        </w:rPr>
        <w:t xml:space="preserve">1, </w:t>
      </w:r>
      <w:r w:rsidR="006A04D9" w:rsidRPr="006A04D9">
        <w:rPr>
          <w:rFonts w:ascii="Calibri" w:hAnsi="Calibri"/>
        </w:rPr>
        <w:t>8</w:t>
      </w:r>
      <w:r w:rsidR="0089377D" w:rsidRPr="006A04D9">
        <w:rPr>
          <w:rFonts w:ascii="Calibri" w:hAnsi="Calibri"/>
        </w:rPr>
        <w:t>2</w:t>
      </w:r>
      <w:r w:rsidR="00D11DFF" w:rsidRPr="006A04D9">
        <w:rPr>
          <w:rFonts w:ascii="Calibri" w:hAnsi="Calibri"/>
        </w:rPr>
        <w:t xml:space="preserve">, </w:t>
      </w:r>
      <w:r w:rsidR="006A04D9" w:rsidRPr="006A04D9">
        <w:rPr>
          <w:rFonts w:ascii="Calibri" w:hAnsi="Calibri"/>
        </w:rPr>
        <w:t>8</w:t>
      </w:r>
      <w:r w:rsidR="00D11DFF" w:rsidRPr="006A04D9">
        <w:rPr>
          <w:rFonts w:ascii="Calibri" w:hAnsi="Calibri"/>
        </w:rPr>
        <w:t xml:space="preserve">3, </w:t>
      </w:r>
      <w:r w:rsidR="006A04D9" w:rsidRPr="006A04D9">
        <w:rPr>
          <w:rFonts w:ascii="Calibri" w:hAnsi="Calibri"/>
        </w:rPr>
        <w:t>8</w:t>
      </w:r>
      <w:r w:rsidR="004F2716" w:rsidRPr="006A04D9">
        <w:rPr>
          <w:rFonts w:ascii="Calibri" w:hAnsi="Calibri"/>
        </w:rPr>
        <w:t xml:space="preserve">4, </w:t>
      </w:r>
      <w:r w:rsidR="006A04D9" w:rsidRPr="006A04D9">
        <w:rPr>
          <w:rFonts w:ascii="Calibri" w:hAnsi="Calibri"/>
        </w:rPr>
        <w:t>8</w:t>
      </w:r>
      <w:r w:rsidR="004F2716" w:rsidRPr="006A04D9">
        <w:rPr>
          <w:rFonts w:ascii="Calibri" w:hAnsi="Calibri"/>
        </w:rPr>
        <w:t>5</w:t>
      </w:r>
      <w:r w:rsidR="00015738" w:rsidRPr="006A04D9">
        <w:rPr>
          <w:rFonts w:ascii="Calibri" w:hAnsi="Calibri"/>
        </w:rPr>
        <w:t xml:space="preserve">, </w:t>
      </w:r>
      <w:r w:rsidR="006A04D9" w:rsidRPr="006A04D9">
        <w:rPr>
          <w:rFonts w:ascii="Calibri" w:hAnsi="Calibri"/>
        </w:rPr>
        <w:t>8</w:t>
      </w:r>
      <w:r w:rsidR="00821C80" w:rsidRPr="006A04D9">
        <w:rPr>
          <w:rFonts w:ascii="Calibri" w:hAnsi="Calibri"/>
        </w:rPr>
        <w:t xml:space="preserve">6, </w:t>
      </w:r>
      <w:r w:rsidR="006A04D9" w:rsidRPr="006A04D9">
        <w:rPr>
          <w:rFonts w:ascii="Calibri" w:hAnsi="Calibri"/>
        </w:rPr>
        <w:t>8</w:t>
      </w:r>
      <w:r w:rsidR="00821C80" w:rsidRPr="006A04D9">
        <w:rPr>
          <w:rFonts w:ascii="Calibri" w:hAnsi="Calibri"/>
        </w:rPr>
        <w:t>7</w:t>
      </w:r>
      <w:r w:rsidR="00E62954" w:rsidRPr="006A04D9">
        <w:rPr>
          <w:rFonts w:ascii="Calibri" w:hAnsi="Calibri"/>
        </w:rPr>
        <w:t>]</w:t>
      </w:r>
      <w:r w:rsidR="00FB1B04" w:rsidRPr="006A04D9">
        <w:rPr>
          <w:rFonts w:ascii="Calibri" w:hAnsi="Calibri"/>
        </w:rPr>
        <w:t>.</w:t>
      </w:r>
      <w:r w:rsidR="00FB1B04" w:rsidRPr="00A30316">
        <w:rPr>
          <w:rFonts w:ascii="Calibri" w:hAnsi="Calibri"/>
        </w:rPr>
        <w:t xml:space="preserve">  It is a direct consequence of age-specific thresholds that the probability at which treatment is recommended differs as it is country-specific, though varies little in the western </w:t>
      </w:r>
      <w:r w:rsidR="00FB1B04" w:rsidRPr="006A04D9">
        <w:rPr>
          <w:rFonts w:ascii="Calibri" w:hAnsi="Calibri"/>
        </w:rPr>
        <w:t>world [</w:t>
      </w:r>
      <w:r w:rsidR="00D404AE" w:rsidRPr="006A04D9">
        <w:rPr>
          <w:rFonts w:ascii="Calibri" w:hAnsi="Calibri"/>
        </w:rPr>
        <w:t>4</w:t>
      </w:r>
      <w:r w:rsidR="006A04D9" w:rsidRPr="006A04D9">
        <w:rPr>
          <w:rFonts w:ascii="Calibri" w:hAnsi="Calibri"/>
        </w:rPr>
        <w:t>7</w:t>
      </w:r>
      <w:r w:rsidR="00D404AE" w:rsidRPr="006A04D9">
        <w:rPr>
          <w:rFonts w:ascii="Calibri" w:hAnsi="Calibri"/>
        </w:rPr>
        <w:t>]</w:t>
      </w:r>
      <w:r w:rsidR="00FB1B04" w:rsidRPr="006A04D9">
        <w:rPr>
          <w:rFonts w:ascii="Calibri" w:hAnsi="Calibri"/>
        </w:rPr>
        <w:t>.</w:t>
      </w:r>
      <w:r w:rsidR="00FB1B04" w:rsidRPr="00A30316">
        <w:rPr>
          <w:rFonts w:ascii="Calibri" w:hAnsi="Calibri"/>
        </w:rPr>
        <w:t xml:space="preserve">  For example, the fracture probability in women with a prior fracture in the five major EU are highest in the UK and lowest in Spain. The difference between countries is most evident at younger ages and becomes progressively less with advancing </w:t>
      </w:r>
      <w:r w:rsidR="00FB1B04" w:rsidRPr="006A04D9">
        <w:rPr>
          <w:rFonts w:ascii="Calibri" w:hAnsi="Calibri"/>
        </w:rPr>
        <w:t>age [</w:t>
      </w:r>
      <w:r w:rsidR="006A04D9" w:rsidRPr="006A04D9">
        <w:rPr>
          <w:rFonts w:ascii="Calibri" w:hAnsi="Calibri"/>
        </w:rPr>
        <w:t>8</w:t>
      </w:r>
      <w:r w:rsidR="00151383" w:rsidRPr="006A04D9">
        <w:rPr>
          <w:rFonts w:ascii="Calibri" w:hAnsi="Calibri"/>
        </w:rPr>
        <w:t>8</w:t>
      </w:r>
      <w:r w:rsidR="00DD7191" w:rsidRPr="006A04D9">
        <w:rPr>
          <w:rFonts w:ascii="Calibri" w:hAnsi="Calibri"/>
        </w:rPr>
        <w:t>]</w:t>
      </w:r>
      <w:r w:rsidR="00FB1B04" w:rsidRPr="006A04D9">
        <w:rPr>
          <w:rFonts w:ascii="Calibri" w:hAnsi="Calibri"/>
        </w:rPr>
        <w:t>.</w:t>
      </w:r>
      <w:r w:rsidR="00FB1B04" w:rsidRPr="00A30316">
        <w:rPr>
          <w:rFonts w:ascii="Calibri" w:hAnsi="Calibri"/>
        </w:rPr>
        <w:t xml:space="preserve">  In Europe, the proportion of men and women above this threshold varies little from 11-13%.  The merits of this approach are that it </w:t>
      </w:r>
      <w:r w:rsidR="00FB1B04" w:rsidRPr="00F677A1">
        <w:rPr>
          <w:rFonts w:ascii="Calibri" w:hAnsi="Calibri"/>
        </w:rPr>
        <w:t xml:space="preserve">embraces </w:t>
      </w:r>
      <w:r w:rsidR="0046124C" w:rsidRPr="00F677A1">
        <w:rPr>
          <w:rFonts w:ascii="Calibri" w:hAnsi="Calibri"/>
        </w:rPr>
        <w:t>both primary</w:t>
      </w:r>
      <w:r w:rsidR="000C13AA" w:rsidRPr="00F677A1">
        <w:rPr>
          <w:rFonts w:ascii="Calibri" w:hAnsi="Calibri"/>
        </w:rPr>
        <w:t xml:space="preserve"> and </w:t>
      </w:r>
      <w:r w:rsidR="00FB1B04" w:rsidRPr="00F677A1">
        <w:rPr>
          <w:rFonts w:ascii="Calibri" w:hAnsi="Calibri"/>
        </w:rPr>
        <w:t>secondary prevention of fracture and that it can be readily applied to all countries</w:t>
      </w:r>
      <w:r w:rsidR="007A34A8" w:rsidRPr="00F677A1">
        <w:rPr>
          <w:rFonts w:ascii="Calibri" w:hAnsi="Calibri"/>
        </w:rPr>
        <w:t>.</w:t>
      </w:r>
      <w:r w:rsidR="00FB1B04" w:rsidRPr="00F677A1">
        <w:rPr>
          <w:rFonts w:ascii="Calibri" w:hAnsi="Calibri"/>
        </w:rPr>
        <w:t xml:space="preserve"> </w:t>
      </w:r>
      <w:r w:rsidR="000E03A0" w:rsidRPr="00F677A1">
        <w:rPr>
          <w:rFonts w:ascii="Calibri" w:hAnsi="Calibri"/>
        </w:rPr>
        <w:t>race</w:t>
      </w:r>
      <w:r w:rsidR="007A34A8" w:rsidRPr="00F677A1">
        <w:rPr>
          <w:rFonts w:ascii="Calibri" w:hAnsi="Calibri"/>
        </w:rPr>
        <w:t>s</w:t>
      </w:r>
      <w:r w:rsidR="000E03A0" w:rsidRPr="00F677A1">
        <w:rPr>
          <w:rFonts w:ascii="Calibri" w:hAnsi="Calibri"/>
        </w:rPr>
        <w:t>, and ethnicit</w:t>
      </w:r>
      <w:r w:rsidR="007A34A8" w:rsidRPr="00F677A1">
        <w:rPr>
          <w:rFonts w:ascii="Calibri" w:hAnsi="Calibri"/>
        </w:rPr>
        <w:t>ies</w:t>
      </w:r>
      <w:r w:rsidR="000E03A0" w:rsidRPr="00F677A1">
        <w:rPr>
          <w:rFonts w:ascii="Calibri" w:hAnsi="Calibri"/>
        </w:rPr>
        <w:t xml:space="preserve"> </w:t>
      </w:r>
      <w:r w:rsidR="00FB1B04" w:rsidRPr="00F677A1">
        <w:rPr>
          <w:rFonts w:ascii="Calibri" w:hAnsi="Calibri"/>
        </w:rPr>
        <w:t>regardless of the availability of BMD.  In countries with a more conservative approach</w:t>
      </w:r>
      <w:r w:rsidR="00FB1B04" w:rsidRPr="00A30316">
        <w:rPr>
          <w:rFonts w:ascii="Calibri" w:hAnsi="Calibri"/>
        </w:rPr>
        <w:t xml:space="preserve">, the threshold can be uplifted, say by 10 or 20%.  Conversely, an intervention threshold can be downward adjusted where a more liberal approach is desired.  </w:t>
      </w:r>
      <w:r w:rsidR="00EE2DBC">
        <w:rPr>
          <w:rFonts w:ascii="Calibri" w:hAnsi="Calibri"/>
        </w:rPr>
        <w:t xml:space="preserve">Finally, a </w:t>
      </w:r>
      <w:r w:rsidR="00326114">
        <w:rPr>
          <w:rFonts w:ascii="Calibri" w:hAnsi="Calibri"/>
        </w:rPr>
        <w:t>hybrid approach</w:t>
      </w:r>
      <w:r w:rsidR="00CC5120">
        <w:rPr>
          <w:rFonts w:ascii="Calibri" w:hAnsi="Calibri"/>
        </w:rPr>
        <w:t xml:space="preserve"> </w:t>
      </w:r>
      <w:r w:rsidR="00203389" w:rsidRPr="00203389">
        <w:rPr>
          <w:rFonts w:ascii="Calibri" w:hAnsi="Calibri"/>
        </w:rPr>
        <w:t>incorporates a</w:t>
      </w:r>
      <w:r w:rsidR="0090733D">
        <w:rPr>
          <w:rFonts w:ascii="Calibri" w:hAnsi="Calibri"/>
        </w:rPr>
        <w:t>n age-dependent</w:t>
      </w:r>
      <w:r w:rsidR="00B91309">
        <w:rPr>
          <w:rFonts w:ascii="Calibri" w:hAnsi="Calibri"/>
        </w:rPr>
        <w:t xml:space="preserve"> threshold up to the age of 70 year</w:t>
      </w:r>
      <w:r w:rsidR="00FC37D3">
        <w:rPr>
          <w:rFonts w:ascii="Calibri" w:hAnsi="Calibri"/>
        </w:rPr>
        <w:t>s</w:t>
      </w:r>
      <w:r w:rsidR="00203389" w:rsidRPr="00203389">
        <w:rPr>
          <w:rFonts w:ascii="Calibri" w:hAnsi="Calibri"/>
        </w:rPr>
        <w:t xml:space="preserve"> </w:t>
      </w:r>
      <w:r w:rsidR="00FC37D3">
        <w:rPr>
          <w:rFonts w:ascii="Calibri" w:hAnsi="Calibri"/>
        </w:rPr>
        <w:t xml:space="preserve">and a </w:t>
      </w:r>
      <w:r w:rsidR="00203389" w:rsidRPr="00203389">
        <w:rPr>
          <w:rFonts w:ascii="Calibri" w:hAnsi="Calibri"/>
        </w:rPr>
        <w:t xml:space="preserve">fixed threshold </w:t>
      </w:r>
      <w:r w:rsidR="00FC37D3" w:rsidRPr="003D36C7">
        <w:rPr>
          <w:rFonts w:ascii="Calibri" w:hAnsi="Calibri"/>
        </w:rPr>
        <w:t>thereafter [</w:t>
      </w:r>
      <w:r w:rsidR="003D36C7" w:rsidRPr="003D36C7">
        <w:rPr>
          <w:rFonts w:ascii="Calibri" w:hAnsi="Calibri"/>
        </w:rPr>
        <w:t>6</w:t>
      </w:r>
      <w:r w:rsidR="00C87A26" w:rsidRPr="003D36C7">
        <w:rPr>
          <w:rFonts w:ascii="Calibri" w:hAnsi="Calibri"/>
        </w:rPr>
        <w:t xml:space="preserve">4, </w:t>
      </w:r>
      <w:r w:rsidR="003D36C7" w:rsidRPr="003D36C7">
        <w:rPr>
          <w:rFonts w:ascii="Calibri" w:hAnsi="Calibri"/>
        </w:rPr>
        <w:t>8</w:t>
      </w:r>
      <w:r w:rsidR="00712114" w:rsidRPr="003D36C7">
        <w:rPr>
          <w:rFonts w:ascii="Calibri" w:hAnsi="Calibri"/>
        </w:rPr>
        <w:t>0].</w:t>
      </w:r>
    </w:p>
    <w:p w14:paraId="1640C1B3" w14:textId="6DB31630" w:rsidR="00EE63FD" w:rsidRPr="00A30316" w:rsidRDefault="00136918" w:rsidP="00EE63FD">
      <w:pPr>
        <w:spacing w:after="120"/>
        <w:rPr>
          <w:rFonts w:ascii="Calibri" w:hAnsi="Calibri"/>
        </w:rPr>
      </w:pPr>
      <w:r w:rsidRPr="00A30316">
        <w:rPr>
          <w:rFonts w:ascii="Calibri" w:hAnsi="Calibri"/>
        </w:rPr>
        <w:t xml:space="preserve"> </w:t>
      </w:r>
      <w:r w:rsidR="00030AEA" w:rsidRPr="00A30316">
        <w:rPr>
          <w:rFonts w:ascii="Calibri" w:hAnsi="Calibri"/>
        </w:rPr>
        <w:t xml:space="preserve">  </w:t>
      </w:r>
      <w:r w:rsidRPr="00A30316">
        <w:rPr>
          <w:rFonts w:ascii="Calibri" w:hAnsi="Calibri"/>
        </w:rPr>
        <w:t xml:space="preserve"> </w:t>
      </w:r>
    </w:p>
    <w:p w14:paraId="1CA7B133" w14:textId="344751DA" w:rsidR="003E333A" w:rsidRPr="00A30316" w:rsidRDefault="00683A9C" w:rsidP="00B0162E">
      <w:pPr>
        <w:pStyle w:val="BodyText2"/>
        <w:spacing w:after="0" w:line="276" w:lineRule="auto"/>
        <w:ind w:left="0" w:firstLine="0"/>
        <w:rPr>
          <w:rFonts w:ascii="Calibri" w:hAnsi="Calibri"/>
          <w:b/>
          <w:bCs/>
          <w:spacing w:val="0"/>
          <w:sz w:val="22"/>
          <w:szCs w:val="22"/>
        </w:rPr>
      </w:pPr>
      <w:r w:rsidRPr="00A30316">
        <w:rPr>
          <w:rFonts w:ascii="Calibri" w:hAnsi="Calibri"/>
          <w:b/>
          <w:bCs/>
          <w:spacing w:val="0"/>
          <w:sz w:val="22"/>
          <w:szCs w:val="22"/>
        </w:rPr>
        <w:t>Conclusion</w:t>
      </w:r>
    </w:p>
    <w:p w14:paraId="0D017E35" w14:textId="57469B14" w:rsidR="007273BF" w:rsidRPr="00A30316" w:rsidRDefault="00CE2D30" w:rsidP="007273BF">
      <w:pPr>
        <w:pStyle w:val="BodyText2"/>
        <w:spacing w:after="0" w:line="276" w:lineRule="auto"/>
        <w:ind w:left="0" w:firstLine="0"/>
        <w:rPr>
          <w:rFonts w:ascii="Calibri" w:hAnsi="Calibri"/>
          <w:spacing w:val="0"/>
          <w:sz w:val="22"/>
          <w:szCs w:val="22"/>
        </w:rPr>
      </w:pPr>
      <w:r w:rsidRPr="00A30316">
        <w:rPr>
          <w:rFonts w:ascii="Calibri" w:hAnsi="Calibri" w:cs="AdvGulliv-R"/>
          <w:iCs/>
          <w:color w:val="000000"/>
          <w:sz w:val="22"/>
          <w:szCs w:val="22"/>
        </w:rPr>
        <w:lastRenderedPageBreak/>
        <w:t xml:space="preserve">The low rate of treatment </w:t>
      </w:r>
      <w:r w:rsidR="00BD2410" w:rsidRPr="00A30316">
        <w:rPr>
          <w:rFonts w:ascii="Calibri" w:hAnsi="Calibri" w:cs="AdvGulliv-R"/>
          <w:iCs/>
          <w:color w:val="000000"/>
          <w:sz w:val="22"/>
          <w:szCs w:val="22"/>
        </w:rPr>
        <w:t xml:space="preserve">in patients who have sustained a fragility fracture </w:t>
      </w:r>
      <w:r w:rsidRPr="00A30316">
        <w:rPr>
          <w:rFonts w:ascii="Calibri" w:hAnsi="Calibri" w:cs="AdvGulliv-R"/>
          <w:iCs/>
          <w:color w:val="000000"/>
          <w:sz w:val="22"/>
          <w:szCs w:val="22"/>
        </w:rPr>
        <w:t xml:space="preserve">appears to underlie the recent calls for a change in the diagnostic criteria for osteoporosis, but there is little evidence that this </w:t>
      </w:r>
      <w:r w:rsidR="007273BF" w:rsidRPr="00A30316">
        <w:rPr>
          <w:rFonts w:ascii="Calibri" w:hAnsi="Calibri" w:cs="AdvGulliv-R"/>
          <w:iCs/>
          <w:color w:val="000000"/>
          <w:sz w:val="22"/>
          <w:szCs w:val="22"/>
        </w:rPr>
        <w:t xml:space="preserve">alone </w:t>
      </w:r>
      <w:r w:rsidRPr="00A30316">
        <w:rPr>
          <w:rFonts w:ascii="Calibri" w:hAnsi="Calibri" w:cs="AdvGulliv-R"/>
          <w:iCs/>
          <w:color w:val="000000"/>
          <w:sz w:val="22"/>
          <w:szCs w:val="22"/>
        </w:rPr>
        <w:t xml:space="preserve">would improve management in such patients.  </w:t>
      </w:r>
      <w:r w:rsidR="007273BF" w:rsidRPr="00A30316">
        <w:rPr>
          <w:rFonts w:ascii="Calibri" w:hAnsi="Calibri"/>
          <w:spacing w:val="0"/>
          <w:sz w:val="22"/>
          <w:szCs w:val="22"/>
        </w:rPr>
        <w:t xml:space="preserve">The WHO BMD-based, operational definition of osteoporosis is analogous to that employed successfully for the use of continuously distributed clinical risk variables in the management and prevention of other multifactorial outcomes such as myocardial infarction (by defining hypercholesterolaemia) and stroke (by defining hypertension).  It has yielded a regulatory framework in the USA, EU and elsewhere which has permitted </w:t>
      </w:r>
      <w:r w:rsidR="003628F1">
        <w:rPr>
          <w:rFonts w:ascii="Calibri" w:hAnsi="Calibri"/>
          <w:spacing w:val="0"/>
          <w:sz w:val="22"/>
          <w:szCs w:val="22"/>
        </w:rPr>
        <w:t>the</w:t>
      </w:r>
      <w:r w:rsidR="00D53CB3">
        <w:rPr>
          <w:rFonts w:ascii="Calibri" w:hAnsi="Calibri"/>
          <w:spacing w:val="0"/>
          <w:sz w:val="22"/>
          <w:szCs w:val="22"/>
        </w:rPr>
        <w:t xml:space="preserve"> </w:t>
      </w:r>
      <w:r w:rsidR="007273BF" w:rsidRPr="00A30316">
        <w:rPr>
          <w:rFonts w:ascii="Calibri" w:hAnsi="Calibri"/>
          <w:spacing w:val="0"/>
          <w:sz w:val="22"/>
          <w:szCs w:val="22"/>
        </w:rPr>
        <w:t>development of an enviable armamentarium of therapeutic interventions.</w:t>
      </w:r>
      <w:r w:rsidR="00133C8B" w:rsidRPr="00A30316">
        <w:rPr>
          <w:rFonts w:ascii="Calibri" w:hAnsi="Calibri"/>
          <w:spacing w:val="0"/>
          <w:sz w:val="22"/>
          <w:szCs w:val="22"/>
        </w:rPr>
        <w:t xml:space="preserve">  </w:t>
      </w:r>
    </w:p>
    <w:p w14:paraId="05CC209E" w14:textId="77777777" w:rsidR="006655C7" w:rsidRPr="00A30316" w:rsidRDefault="006655C7" w:rsidP="007273BF">
      <w:pPr>
        <w:pStyle w:val="BodyText2"/>
        <w:spacing w:after="0" w:line="276" w:lineRule="auto"/>
        <w:ind w:left="0" w:firstLine="0"/>
        <w:rPr>
          <w:rFonts w:ascii="Calibri" w:hAnsi="Calibri"/>
          <w:spacing w:val="0"/>
          <w:sz w:val="22"/>
          <w:szCs w:val="22"/>
        </w:rPr>
      </w:pPr>
    </w:p>
    <w:p w14:paraId="22D3621F" w14:textId="40DFDE0E" w:rsidR="007273BF" w:rsidRPr="00CF3C4A" w:rsidRDefault="00E935DB" w:rsidP="00CE029F">
      <w:pPr>
        <w:pStyle w:val="BodyText2"/>
        <w:spacing w:after="0" w:line="276" w:lineRule="auto"/>
        <w:ind w:left="0" w:firstLine="0"/>
        <w:rPr>
          <w:rFonts w:ascii="Calibri" w:hAnsi="Calibri" w:cs="AdvGulliv-R"/>
          <w:iCs/>
          <w:color w:val="000000"/>
          <w:sz w:val="22"/>
          <w:szCs w:val="22"/>
        </w:rPr>
      </w:pPr>
      <w:r w:rsidRPr="00A30316">
        <w:rPr>
          <w:rFonts w:ascii="Calibri" w:hAnsi="Calibri"/>
          <w:spacing w:val="0"/>
          <w:sz w:val="22"/>
          <w:szCs w:val="22"/>
        </w:rPr>
        <w:t xml:space="preserve">The confusion </w:t>
      </w:r>
      <w:r w:rsidR="00133C8B" w:rsidRPr="00A30316">
        <w:rPr>
          <w:rFonts w:ascii="Calibri" w:hAnsi="Calibri"/>
          <w:spacing w:val="0"/>
          <w:sz w:val="22"/>
          <w:szCs w:val="22"/>
        </w:rPr>
        <w:t xml:space="preserve">appears to arise because of </w:t>
      </w:r>
      <w:r w:rsidR="00133C8B" w:rsidRPr="00F677A1">
        <w:rPr>
          <w:rFonts w:ascii="Calibri" w:hAnsi="Calibri"/>
          <w:spacing w:val="0"/>
          <w:sz w:val="22"/>
          <w:szCs w:val="22"/>
        </w:rPr>
        <w:t xml:space="preserve">the </w:t>
      </w:r>
      <w:r w:rsidR="000B4272" w:rsidRPr="00F677A1">
        <w:rPr>
          <w:rFonts w:ascii="Calibri" w:hAnsi="Calibri"/>
          <w:spacing w:val="0"/>
          <w:sz w:val="22"/>
          <w:szCs w:val="22"/>
        </w:rPr>
        <w:t xml:space="preserve">erroneous </w:t>
      </w:r>
      <w:r w:rsidR="00D02920" w:rsidRPr="00F677A1">
        <w:rPr>
          <w:rFonts w:ascii="Calibri" w:hAnsi="Calibri"/>
          <w:spacing w:val="0"/>
          <w:sz w:val="22"/>
          <w:szCs w:val="22"/>
        </w:rPr>
        <w:t>merging</w:t>
      </w:r>
      <w:r w:rsidR="00133C8B" w:rsidRPr="00F677A1">
        <w:rPr>
          <w:rFonts w:ascii="Calibri" w:hAnsi="Calibri"/>
          <w:spacing w:val="0"/>
          <w:sz w:val="22"/>
          <w:szCs w:val="22"/>
        </w:rPr>
        <w:t xml:space="preserve"> </w:t>
      </w:r>
      <w:r w:rsidR="000B4272" w:rsidRPr="00F677A1">
        <w:rPr>
          <w:rFonts w:ascii="Calibri" w:hAnsi="Calibri"/>
          <w:spacing w:val="0"/>
          <w:sz w:val="22"/>
          <w:szCs w:val="22"/>
        </w:rPr>
        <w:t>of diagnostic</w:t>
      </w:r>
      <w:r w:rsidR="000B4272" w:rsidRPr="00A30316">
        <w:rPr>
          <w:rFonts w:ascii="Calibri" w:hAnsi="Calibri"/>
          <w:spacing w:val="0"/>
          <w:sz w:val="22"/>
          <w:szCs w:val="22"/>
        </w:rPr>
        <w:t xml:space="preserve"> and intervention thresholds. The example used for the basis of</w:t>
      </w:r>
      <w:r w:rsidR="000B4272">
        <w:rPr>
          <w:rFonts w:ascii="Calibri" w:hAnsi="Calibri"/>
          <w:spacing w:val="0"/>
          <w:sz w:val="22"/>
          <w:szCs w:val="22"/>
        </w:rPr>
        <w:t xml:space="preserve"> the paper by Paskins and colleagues illustrates this clearly</w:t>
      </w:r>
      <w:r w:rsidR="00586942">
        <w:rPr>
          <w:rFonts w:ascii="Calibri" w:hAnsi="Calibri"/>
          <w:spacing w:val="0"/>
          <w:sz w:val="22"/>
          <w:szCs w:val="22"/>
        </w:rPr>
        <w:t xml:space="preserve">, namely a </w:t>
      </w:r>
      <w:r w:rsidR="006655C7">
        <w:rPr>
          <w:rFonts w:ascii="Calibri" w:hAnsi="Calibri"/>
          <w:spacing w:val="0"/>
          <w:sz w:val="22"/>
          <w:szCs w:val="22"/>
        </w:rPr>
        <w:t>76-year-old</w:t>
      </w:r>
      <w:r w:rsidR="00586942">
        <w:rPr>
          <w:rFonts w:ascii="Calibri" w:hAnsi="Calibri"/>
          <w:spacing w:val="0"/>
          <w:sz w:val="22"/>
          <w:szCs w:val="22"/>
        </w:rPr>
        <w:t xml:space="preserve"> woman with a recent vertebral fracture</w:t>
      </w:r>
      <w:r w:rsidR="00445A2A">
        <w:rPr>
          <w:rFonts w:ascii="Calibri" w:hAnsi="Calibri"/>
          <w:spacing w:val="0"/>
          <w:sz w:val="22"/>
          <w:szCs w:val="22"/>
        </w:rPr>
        <w:t xml:space="preserve"> [</w:t>
      </w:r>
      <w:r w:rsidR="007B6DFE">
        <w:rPr>
          <w:rFonts w:ascii="Calibri" w:hAnsi="Calibri"/>
          <w:spacing w:val="0"/>
          <w:sz w:val="22"/>
          <w:szCs w:val="22"/>
        </w:rPr>
        <w:t>5</w:t>
      </w:r>
      <w:r w:rsidR="00445A2A">
        <w:rPr>
          <w:rFonts w:ascii="Calibri" w:hAnsi="Calibri"/>
          <w:spacing w:val="0"/>
          <w:sz w:val="22"/>
          <w:szCs w:val="22"/>
        </w:rPr>
        <w:t>]</w:t>
      </w:r>
      <w:r w:rsidR="000B4272">
        <w:rPr>
          <w:rFonts w:ascii="Calibri" w:hAnsi="Calibri"/>
          <w:spacing w:val="0"/>
          <w:sz w:val="22"/>
          <w:szCs w:val="22"/>
        </w:rPr>
        <w:t xml:space="preserve">.  Here, the diagnosis is one of fragility fracture, which like a diagnosis of myocardial infarction or stroke, should </w:t>
      </w:r>
      <w:r w:rsidR="009029E6">
        <w:rPr>
          <w:rFonts w:ascii="Calibri" w:hAnsi="Calibri"/>
          <w:spacing w:val="0"/>
          <w:sz w:val="22"/>
          <w:szCs w:val="22"/>
        </w:rPr>
        <w:t>initiate</w:t>
      </w:r>
      <w:r w:rsidR="000B4272">
        <w:rPr>
          <w:rFonts w:ascii="Calibri" w:hAnsi="Calibri"/>
          <w:spacing w:val="0"/>
          <w:sz w:val="22"/>
          <w:szCs w:val="22"/>
        </w:rPr>
        <w:t xml:space="preserve"> a course of </w:t>
      </w:r>
      <w:r w:rsidR="00AC00DF">
        <w:rPr>
          <w:rFonts w:ascii="Calibri" w:hAnsi="Calibri"/>
          <w:spacing w:val="0"/>
          <w:sz w:val="22"/>
          <w:szCs w:val="22"/>
        </w:rPr>
        <w:t xml:space="preserve">interventions, including </w:t>
      </w:r>
      <w:r w:rsidR="00AC00DF" w:rsidRPr="00CF3C4A">
        <w:rPr>
          <w:rFonts w:ascii="Calibri" w:hAnsi="Calibri"/>
          <w:spacing w:val="0"/>
          <w:sz w:val="22"/>
          <w:szCs w:val="22"/>
        </w:rPr>
        <w:t>pharmacological agents, to reduce future risk</w:t>
      </w:r>
      <w:r w:rsidR="002F0A91" w:rsidRPr="00CF3C4A">
        <w:rPr>
          <w:rFonts w:ascii="Calibri" w:hAnsi="Calibri"/>
          <w:spacing w:val="0"/>
          <w:sz w:val="22"/>
          <w:szCs w:val="22"/>
        </w:rPr>
        <w:t xml:space="preserve"> of recurrence </w:t>
      </w:r>
      <w:r w:rsidR="00AC00DF" w:rsidRPr="00CF3C4A">
        <w:rPr>
          <w:rFonts w:ascii="Calibri" w:hAnsi="Calibri"/>
          <w:spacing w:val="0"/>
          <w:sz w:val="22"/>
          <w:szCs w:val="22"/>
        </w:rPr>
        <w:t xml:space="preserve">  The need for </w:t>
      </w:r>
      <w:r w:rsidR="009029E6" w:rsidRPr="00CF3C4A">
        <w:rPr>
          <w:rFonts w:ascii="Calibri" w:hAnsi="Calibri"/>
          <w:spacing w:val="0"/>
          <w:sz w:val="22"/>
          <w:szCs w:val="22"/>
        </w:rPr>
        <w:t xml:space="preserve">a parallel diagnosis of BMD-defined osteoporosis serves to delay and indeed limit access to treatment, particularly where the result is misinterpreted, possibly fuelled by previous </w:t>
      </w:r>
      <w:r w:rsidR="007D3E34">
        <w:rPr>
          <w:rFonts w:ascii="Calibri" w:hAnsi="Calibri"/>
          <w:spacing w:val="0"/>
          <w:sz w:val="22"/>
          <w:szCs w:val="22"/>
        </w:rPr>
        <w:t>views</w:t>
      </w:r>
      <w:r w:rsidR="009029E6" w:rsidRPr="00CF3C4A">
        <w:rPr>
          <w:rFonts w:ascii="Calibri" w:hAnsi="Calibri"/>
          <w:spacing w:val="0"/>
          <w:sz w:val="22"/>
          <w:szCs w:val="22"/>
        </w:rPr>
        <w:t xml:space="preserve"> that the </w:t>
      </w:r>
      <w:r w:rsidR="009029E6" w:rsidRPr="00F677A1">
        <w:rPr>
          <w:rFonts w:ascii="Calibri" w:hAnsi="Calibri"/>
          <w:spacing w:val="0"/>
          <w:sz w:val="22"/>
          <w:szCs w:val="22"/>
        </w:rPr>
        <w:t>treatments do</w:t>
      </w:r>
      <w:r w:rsidR="00EF215A" w:rsidRPr="00F677A1">
        <w:rPr>
          <w:rFonts w:ascii="Calibri" w:hAnsi="Calibri"/>
          <w:spacing w:val="0"/>
          <w:sz w:val="22"/>
          <w:szCs w:val="22"/>
        </w:rPr>
        <w:t xml:space="preserve"> </w:t>
      </w:r>
      <w:r w:rsidR="009029E6" w:rsidRPr="00F677A1">
        <w:rPr>
          <w:rFonts w:ascii="Calibri" w:hAnsi="Calibri"/>
          <w:spacing w:val="0"/>
          <w:sz w:val="22"/>
          <w:szCs w:val="22"/>
        </w:rPr>
        <w:t>n</w:t>
      </w:r>
      <w:r w:rsidR="00EF215A" w:rsidRPr="00F677A1">
        <w:rPr>
          <w:rFonts w:ascii="Calibri" w:hAnsi="Calibri"/>
          <w:spacing w:val="0"/>
          <w:sz w:val="22"/>
          <w:szCs w:val="22"/>
        </w:rPr>
        <w:t>o</w:t>
      </w:r>
      <w:r w:rsidR="009029E6" w:rsidRPr="00F677A1">
        <w:rPr>
          <w:rFonts w:ascii="Calibri" w:hAnsi="Calibri"/>
          <w:spacing w:val="0"/>
          <w:sz w:val="22"/>
          <w:szCs w:val="22"/>
        </w:rPr>
        <w:t>t work in</w:t>
      </w:r>
      <w:r w:rsidR="009029E6" w:rsidRPr="00CF3C4A">
        <w:rPr>
          <w:rFonts w:ascii="Calibri" w:hAnsi="Calibri"/>
          <w:spacing w:val="0"/>
          <w:sz w:val="22"/>
          <w:szCs w:val="22"/>
        </w:rPr>
        <w:t xml:space="preserve"> the absence of BMD-defined </w:t>
      </w:r>
      <w:r w:rsidR="009029E6" w:rsidRPr="006C1B66">
        <w:rPr>
          <w:rFonts w:ascii="Calibri" w:hAnsi="Calibri"/>
          <w:spacing w:val="0"/>
          <w:sz w:val="22"/>
          <w:szCs w:val="22"/>
        </w:rPr>
        <w:t>osteoporosis</w:t>
      </w:r>
      <w:r w:rsidR="002F0A91" w:rsidRPr="006C1B66">
        <w:rPr>
          <w:rFonts w:ascii="Calibri" w:hAnsi="Calibri"/>
          <w:spacing w:val="0"/>
          <w:sz w:val="22"/>
          <w:szCs w:val="22"/>
        </w:rPr>
        <w:t xml:space="preserve"> </w:t>
      </w:r>
      <w:r w:rsidR="006655C7" w:rsidRPr="006C1B66">
        <w:rPr>
          <w:rFonts w:ascii="Calibri" w:hAnsi="Calibri"/>
          <w:spacing w:val="0"/>
          <w:sz w:val="22"/>
          <w:szCs w:val="22"/>
        </w:rPr>
        <w:t>[</w:t>
      </w:r>
      <w:r w:rsidR="00353D27" w:rsidRPr="006C1B66">
        <w:rPr>
          <w:rFonts w:ascii="Calibri" w:hAnsi="Calibri"/>
          <w:spacing w:val="0"/>
          <w:sz w:val="22"/>
          <w:szCs w:val="22"/>
        </w:rPr>
        <w:t>4</w:t>
      </w:r>
      <w:r w:rsidR="007B6DFE" w:rsidRPr="006C1B66">
        <w:rPr>
          <w:rFonts w:ascii="Calibri" w:hAnsi="Calibri"/>
          <w:spacing w:val="0"/>
          <w:sz w:val="22"/>
          <w:szCs w:val="22"/>
        </w:rPr>
        <w:t>9</w:t>
      </w:r>
      <w:r w:rsidR="00353D27" w:rsidRPr="006C1B66">
        <w:rPr>
          <w:rFonts w:ascii="Calibri" w:hAnsi="Calibri"/>
          <w:spacing w:val="0"/>
          <w:sz w:val="22"/>
          <w:szCs w:val="22"/>
        </w:rPr>
        <w:t xml:space="preserve">, </w:t>
      </w:r>
      <w:r w:rsidR="006C1B66" w:rsidRPr="006C1B66">
        <w:rPr>
          <w:rFonts w:ascii="Calibri" w:hAnsi="Calibri"/>
          <w:spacing w:val="0"/>
          <w:sz w:val="22"/>
          <w:szCs w:val="22"/>
        </w:rPr>
        <w:t>50</w:t>
      </w:r>
      <w:r w:rsidR="00353D27" w:rsidRPr="006C1B66">
        <w:rPr>
          <w:rFonts w:ascii="Calibri" w:hAnsi="Calibri"/>
          <w:spacing w:val="0"/>
          <w:sz w:val="22"/>
          <w:szCs w:val="22"/>
        </w:rPr>
        <w:t>]</w:t>
      </w:r>
      <w:r w:rsidR="009029E6" w:rsidRPr="006C1B66">
        <w:rPr>
          <w:rFonts w:ascii="Calibri" w:hAnsi="Calibri"/>
          <w:spacing w:val="0"/>
          <w:sz w:val="22"/>
          <w:szCs w:val="22"/>
        </w:rPr>
        <w:t>.</w:t>
      </w:r>
      <w:r w:rsidR="00586942" w:rsidRPr="00CF3C4A">
        <w:rPr>
          <w:rFonts w:ascii="Calibri" w:hAnsi="Calibri"/>
          <w:spacing w:val="0"/>
          <w:sz w:val="22"/>
          <w:szCs w:val="22"/>
        </w:rPr>
        <w:t xml:space="preserve">  </w:t>
      </w:r>
      <w:r w:rsidR="00586942" w:rsidRPr="00CF3C4A">
        <w:rPr>
          <w:rFonts w:ascii="Calibri" w:hAnsi="Calibri" w:cs="AdvGulliv-R"/>
          <w:iCs/>
          <w:color w:val="000000"/>
          <w:sz w:val="22"/>
          <w:szCs w:val="22"/>
        </w:rPr>
        <w:t>Importantly</w:t>
      </w:r>
      <w:r w:rsidR="007273BF" w:rsidRPr="00CF3C4A">
        <w:rPr>
          <w:rFonts w:ascii="Calibri" w:hAnsi="Calibri" w:cs="AdvGulliv-R"/>
          <w:iCs/>
          <w:color w:val="000000"/>
          <w:sz w:val="22"/>
          <w:szCs w:val="22"/>
        </w:rPr>
        <w:t xml:space="preserve">, there is increasing evidence that the implementation of fracture liaison services though campaigns such as Capture the Fracture can improve access to better management </w:t>
      </w:r>
      <w:r w:rsidR="006655C7" w:rsidRPr="006C1B66">
        <w:rPr>
          <w:rFonts w:ascii="Calibri" w:hAnsi="Calibri" w:cs="AdvGulliv-R"/>
          <w:iCs/>
          <w:color w:val="000000"/>
          <w:sz w:val="22"/>
          <w:szCs w:val="22"/>
        </w:rPr>
        <w:t>[</w:t>
      </w:r>
      <w:r w:rsidR="00ED7FC3" w:rsidRPr="006C1B66">
        <w:rPr>
          <w:rFonts w:ascii="Calibri" w:hAnsi="Calibri" w:cs="AdvGulliv-R"/>
          <w:iCs/>
          <w:color w:val="000000"/>
          <w:sz w:val="22"/>
          <w:szCs w:val="22"/>
        </w:rPr>
        <w:t>3</w:t>
      </w:r>
      <w:r w:rsidR="006C1B66" w:rsidRPr="006C1B66">
        <w:rPr>
          <w:rFonts w:ascii="Calibri" w:hAnsi="Calibri" w:cs="AdvGulliv-R"/>
          <w:iCs/>
          <w:color w:val="000000"/>
          <w:sz w:val="22"/>
          <w:szCs w:val="22"/>
        </w:rPr>
        <w:t>3</w:t>
      </w:r>
      <w:r w:rsidR="00ED7FC3" w:rsidRPr="006C1B66">
        <w:rPr>
          <w:rFonts w:ascii="Calibri" w:hAnsi="Calibri" w:cs="AdvGulliv-R"/>
          <w:iCs/>
          <w:color w:val="000000"/>
          <w:sz w:val="22"/>
          <w:szCs w:val="22"/>
        </w:rPr>
        <w:t>]</w:t>
      </w:r>
      <w:r w:rsidR="007273BF" w:rsidRPr="006C1B66">
        <w:rPr>
          <w:rFonts w:ascii="Calibri" w:hAnsi="Calibri" w:cs="AdvGulliv-R"/>
          <w:iCs/>
          <w:color w:val="000000"/>
          <w:sz w:val="22"/>
          <w:szCs w:val="22"/>
        </w:rPr>
        <w:t>.</w:t>
      </w:r>
    </w:p>
    <w:p w14:paraId="3F7D34B3" w14:textId="77777777" w:rsidR="006655C7" w:rsidRPr="00CF3C4A" w:rsidRDefault="006655C7" w:rsidP="006655C7">
      <w:pPr>
        <w:pStyle w:val="BodyText2"/>
        <w:spacing w:after="0" w:line="276" w:lineRule="auto"/>
        <w:ind w:left="0" w:firstLine="0"/>
        <w:rPr>
          <w:rFonts w:ascii="Calibri" w:hAnsi="Calibri" w:cs="AdvGulliv-R"/>
          <w:iCs/>
          <w:color w:val="000000"/>
        </w:rPr>
      </w:pPr>
    </w:p>
    <w:p w14:paraId="38BB0B28" w14:textId="52BD96C3" w:rsidR="00CE2D30" w:rsidRPr="00CF3C4A" w:rsidRDefault="00586942" w:rsidP="004E097A">
      <w:pPr>
        <w:spacing w:after="120"/>
        <w:rPr>
          <w:rFonts w:ascii="Calibri" w:hAnsi="Calibri"/>
        </w:rPr>
      </w:pPr>
      <w:r w:rsidRPr="00CF3C4A">
        <w:rPr>
          <w:rFonts w:ascii="Calibri" w:hAnsi="Calibri"/>
        </w:rPr>
        <w:t xml:space="preserve">It is widely recognised that </w:t>
      </w:r>
      <w:r w:rsidR="00CE2D30" w:rsidRPr="00CF3C4A">
        <w:rPr>
          <w:rFonts w:ascii="Calibri" w:hAnsi="Calibri"/>
        </w:rPr>
        <w:t xml:space="preserve">BMD alone for fracture risk assessment is less sensitive than risk assessment algorithms such as FRAX that incorporate risk indicators in addition to BMD.  </w:t>
      </w:r>
      <w:r w:rsidRPr="00CF3C4A">
        <w:rPr>
          <w:rFonts w:ascii="Calibri" w:hAnsi="Calibri"/>
        </w:rPr>
        <w:t xml:space="preserve">It is certainly </w:t>
      </w:r>
      <w:r w:rsidR="00CE2D30" w:rsidRPr="00CF3C4A">
        <w:rPr>
          <w:rFonts w:ascii="Calibri" w:hAnsi="Calibri"/>
        </w:rPr>
        <w:t>relevant to question the need for diagnostic criteria when the field is moving towards risk-based assessment and intervention</w:t>
      </w:r>
      <w:r w:rsidR="009B15AD" w:rsidRPr="00CF3C4A">
        <w:rPr>
          <w:rFonts w:ascii="Calibri" w:hAnsi="Calibri"/>
        </w:rPr>
        <w:t xml:space="preserve">, including adjustments to FRAX and guidance thresholds to distinguish high risk from very high risk to optimise the use of anabolic </w:t>
      </w:r>
      <w:r w:rsidR="009B15AD" w:rsidRPr="006E061F">
        <w:rPr>
          <w:rFonts w:ascii="Calibri" w:hAnsi="Calibri"/>
        </w:rPr>
        <w:t>agents [</w:t>
      </w:r>
      <w:r w:rsidR="006E061F" w:rsidRPr="006E061F">
        <w:rPr>
          <w:rFonts w:ascii="Calibri" w:hAnsi="Calibri"/>
        </w:rPr>
        <w:t>6</w:t>
      </w:r>
      <w:r w:rsidR="00644A9D" w:rsidRPr="006E061F">
        <w:rPr>
          <w:rFonts w:ascii="Calibri" w:hAnsi="Calibri"/>
        </w:rPr>
        <w:t xml:space="preserve">8, </w:t>
      </w:r>
      <w:r w:rsidR="006E061F" w:rsidRPr="006E061F">
        <w:rPr>
          <w:rFonts w:ascii="Calibri" w:hAnsi="Calibri"/>
        </w:rPr>
        <w:t>8</w:t>
      </w:r>
      <w:r w:rsidR="00DB1C64" w:rsidRPr="006E061F">
        <w:rPr>
          <w:rFonts w:ascii="Calibri" w:hAnsi="Calibri"/>
        </w:rPr>
        <w:t xml:space="preserve">9, </w:t>
      </w:r>
      <w:r w:rsidR="006E061F" w:rsidRPr="006E061F">
        <w:rPr>
          <w:rFonts w:ascii="Calibri" w:hAnsi="Calibri"/>
        </w:rPr>
        <w:t>9</w:t>
      </w:r>
      <w:r w:rsidR="00861643" w:rsidRPr="006E061F">
        <w:rPr>
          <w:rFonts w:ascii="Calibri" w:hAnsi="Calibri"/>
        </w:rPr>
        <w:t>0,</w:t>
      </w:r>
      <w:r w:rsidR="007D576C" w:rsidRPr="006E061F">
        <w:rPr>
          <w:rFonts w:ascii="Calibri" w:hAnsi="Calibri"/>
        </w:rPr>
        <w:t xml:space="preserve"> </w:t>
      </w:r>
      <w:r w:rsidR="006E061F" w:rsidRPr="006E061F">
        <w:rPr>
          <w:rFonts w:ascii="Calibri" w:hAnsi="Calibri"/>
        </w:rPr>
        <w:t>9</w:t>
      </w:r>
      <w:r w:rsidR="007D576C" w:rsidRPr="006E061F">
        <w:rPr>
          <w:rFonts w:ascii="Calibri" w:hAnsi="Calibri"/>
        </w:rPr>
        <w:t xml:space="preserve">1, </w:t>
      </w:r>
      <w:r w:rsidR="006E061F" w:rsidRPr="006E061F">
        <w:rPr>
          <w:rFonts w:ascii="Calibri" w:hAnsi="Calibri"/>
        </w:rPr>
        <w:t>9</w:t>
      </w:r>
      <w:r w:rsidR="00D64FE0" w:rsidRPr="006E061F">
        <w:rPr>
          <w:rFonts w:ascii="Calibri" w:hAnsi="Calibri"/>
        </w:rPr>
        <w:t>2</w:t>
      </w:r>
      <w:r w:rsidR="00E01B43" w:rsidRPr="006E061F">
        <w:rPr>
          <w:rFonts w:ascii="Calibri" w:hAnsi="Calibri"/>
        </w:rPr>
        <w:t>].</w:t>
      </w:r>
      <w:r w:rsidR="009B15AD" w:rsidRPr="00CF3C4A">
        <w:rPr>
          <w:rFonts w:ascii="Calibri" w:hAnsi="Calibri"/>
        </w:rPr>
        <w:t xml:space="preserve">  </w:t>
      </w:r>
      <w:r w:rsidR="00CE2D30" w:rsidRPr="00CF3C4A">
        <w:rPr>
          <w:rFonts w:ascii="Calibri" w:hAnsi="Calibri"/>
        </w:rPr>
        <w:t xml:space="preserve">These developments will </w:t>
      </w:r>
      <w:r w:rsidRPr="00CF3C4A">
        <w:rPr>
          <w:rFonts w:ascii="Calibri" w:hAnsi="Calibri"/>
        </w:rPr>
        <w:t xml:space="preserve">inevitably </w:t>
      </w:r>
      <w:r w:rsidR="00CE2D30" w:rsidRPr="00CF3C4A">
        <w:rPr>
          <w:rFonts w:ascii="Calibri" w:hAnsi="Calibri"/>
        </w:rPr>
        <w:t>decrease the clinical utility of the T-score, but they will, however, take time to implement into routine clinical practice.  Notwithstanding, current diagnostic criteria will remain of value in quantifying the burden of disease and the development of strategies to combat osteoporosis in the foreseeable future.</w:t>
      </w:r>
    </w:p>
    <w:p w14:paraId="1BD2BDBF" w14:textId="13412787" w:rsidR="00783D29" w:rsidRPr="00CF3C4A" w:rsidRDefault="00783D29" w:rsidP="006655C7">
      <w:pPr>
        <w:spacing w:after="120"/>
        <w:rPr>
          <w:rFonts w:ascii="Calibri" w:hAnsi="Calibri"/>
        </w:rPr>
      </w:pPr>
      <w:bookmarkStart w:id="6" w:name="_Hlk112349630"/>
      <w:r w:rsidRPr="00CF3C4A">
        <w:rPr>
          <w:rFonts w:ascii="Calibri" w:hAnsi="Calibri"/>
        </w:rPr>
        <w:t xml:space="preserve">It is hard to argue that </w:t>
      </w:r>
      <w:r w:rsidRPr="00557D23">
        <w:rPr>
          <w:rFonts w:ascii="Calibri" w:hAnsi="Calibri"/>
        </w:rPr>
        <w:t>operational BMD-based definition is anything other than a</w:t>
      </w:r>
      <w:r w:rsidR="005459A1" w:rsidRPr="00557D23">
        <w:rPr>
          <w:rFonts w:ascii="Calibri" w:hAnsi="Calibri"/>
        </w:rPr>
        <w:t xml:space="preserve"> seminal event of positive significance</w:t>
      </w:r>
      <w:r w:rsidRPr="00557D23">
        <w:rPr>
          <w:rFonts w:ascii="Calibri" w:hAnsi="Calibri"/>
        </w:rPr>
        <w:t xml:space="preserve"> in </w:t>
      </w:r>
      <w:r w:rsidR="004A4935" w:rsidRPr="00557D23">
        <w:rPr>
          <w:rFonts w:ascii="Calibri" w:hAnsi="Calibri"/>
        </w:rPr>
        <w:t>osteoporosis-related healthcare</w:t>
      </w:r>
      <w:r w:rsidRPr="00557D23">
        <w:rPr>
          <w:rFonts w:ascii="Calibri" w:hAnsi="Calibri"/>
        </w:rPr>
        <w:t>, and there</w:t>
      </w:r>
      <w:r w:rsidRPr="00CF3C4A">
        <w:rPr>
          <w:rFonts w:ascii="Calibri" w:hAnsi="Calibri"/>
        </w:rPr>
        <w:t xml:space="preserve"> appears little possible (or indeed intellectually sound) reason to argue for a </w:t>
      </w:r>
      <w:r w:rsidRPr="00ED3D08">
        <w:rPr>
          <w:rFonts w:ascii="Calibri" w:hAnsi="Calibri"/>
        </w:rPr>
        <w:t>change</w:t>
      </w:r>
      <w:bookmarkEnd w:id="6"/>
      <w:r w:rsidR="00B44F38" w:rsidRPr="00ED3D08">
        <w:rPr>
          <w:rFonts w:ascii="Calibri" w:hAnsi="Calibri"/>
        </w:rPr>
        <w:t xml:space="preserve"> </w:t>
      </w:r>
      <w:r w:rsidR="00E93329" w:rsidRPr="00ED3D08">
        <w:rPr>
          <w:rFonts w:ascii="Calibri" w:hAnsi="Calibri"/>
        </w:rPr>
        <w:t>[</w:t>
      </w:r>
      <w:r w:rsidR="00ED3D08" w:rsidRPr="00ED3D08">
        <w:rPr>
          <w:rFonts w:ascii="Calibri" w:hAnsi="Calibri"/>
        </w:rPr>
        <w:t>9</w:t>
      </w:r>
      <w:r w:rsidR="00DC7F01" w:rsidRPr="00ED3D08">
        <w:rPr>
          <w:rFonts w:ascii="Calibri" w:hAnsi="Calibri"/>
        </w:rPr>
        <w:t>3]</w:t>
      </w:r>
      <w:r w:rsidRPr="00ED3D08">
        <w:rPr>
          <w:rFonts w:ascii="Calibri" w:hAnsi="Calibri"/>
        </w:rPr>
        <w:t>.</w:t>
      </w:r>
      <w:r w:rsidRPr="00CF3C4A">
        <w:rPr>
          <w:rFonts w:ascii="Calibri" w:hAnsi="Calibri"/>
        </w:rPr>
        <w:t xml:space="preserve">  Those suggesting an alteration to the diagnostic criteria for osteoporosis would do well to consider the implications of such an </w:t>
      </w:r>
      <w:r w:rsidR="00717714" w:rsidRPr="00CF3C4A">
        <w:rPr>
          <w:rFonts w:ascii="Calibri" w:hAnsi="Calibri"/>
        </w:rPr>
        <w:t>approach if</w:t>
      </w:r>
      <w:r w:rsidRPr="00CF3C4A">
        <w:rPr>
          <w:rFonts w:ascii="Calibri" w:hAnsi="Calibri"/>
        </w:rPr>
        <w:t xml:space="preserve"> it were to be adopted more widely. Would they really be happy with diagnosing hypertension purely </w:t>
      </w:r>
      <w:proofErr w:type="gramStart"/>
      <w:r w:rsidRPr="00CF3C4A">
        <w:rPr>
          <w:rFonts w:ascii="Calibri" w:hAnsi="Calibri"/>
        </w:rPr>
        <w:t>on the basis of</w:t>
      </w:r>
      <w:proofErr w:type="gramEnd"/>
      <w:r w:rsidRPr="00CF3C4A">
        <w:rPr>
          <w:rFonts w:ascii="Calibri" w:hAnsi="Calibri"/>
        </w:rPr>
        <w:t xml:space="preserve"> a stroke or myocardial infarction? In our view, the proposal is intellectually </w:t>
      </w:r>
      <w:r w:rsidR="00E074CE" w:rsidRPr="00CF3C4A">
        <w:rPr>
          <w:rFonts w:ascii="Calibri" w:hAnsi="Calibri"/>
        </w:rPr>
        <w:t>constrained</w:t>
      </w:r>
      <w:r w:rsidRPr="00CF3C4A">
        <w:rPr>
          <w:rFonts w:ascii="Calibri" w:hAnsi="Calibri"/>
        </w:rPr>
        <w:t>, inadequately justified and may well inappropriately reflect the pressures of reimbursement led healthcare.</w:t>
      </w:r>
    </w:p>
    <w:p w14:paraId="1373B052" w14:textId="357548BD" w:rsidR="0009157F" w:rsidRPr="00CF3C4A" w:rsidRDefault="0009157F" w:rsidP="00546AAE">
      <w:pPr>
        <w:pStyle w:val="BodyText2"/>
        <w:spacing w:after="0" w:line="276" w:lineRule="auto"/>
        <w:ind w:left="0" w:firstLine="0"/>
        <w:rPr>
          <w:rFonts w:ascii="Calibri" w:hAnsi="Calibri"/>
          <w:spacing w:val="0"/>
          <w:sz w:val="22"/>
          <w:szCs w:val="22"/>
        </w:rPr>
      </w:pPr>
      <w:r w:rsidRPr="00CF3C4A">
        <w:rPr>
          <w:rFonts w:ascii="Calibri" w:hAnsi="Calibri"/>
          <w:spacing w:val="0"/>
          <w:sz w:val="22"/>
          <w:szCs w:val="22"/>
        </w:rPr>
        <w:t>We</w:t>
      </w:r>
      <w:r w:rsidR="00C67E82" w:rsidRPr="00CF3C4A">
        <w:rPr>
          <w:rFonts w:ascii="Calibri" w:hAnsi="Calibri"/>
          <w:spacing w:val="0"/>
          <w:sz w:val="22"/>
          <w:szCs w:val="22"/>
        </w:rPr>
        <w:t xml:space="preserve"> recommend</w:t>
      </w:r>
      <w:r w:rsidRPr="00CF3C4A">
        <w:rPr>
          <w:rFonts w:ascii="Calibri" w:hAnsi="Calibri"/>
          <w:spacing w:val="0"/>
          <w:sz w:val="22"/>
          <w:szCs w:val="22"/>
        </w:rPr>
        <w:t xml:space="preserve"> that the BMD-based definition </w:t>
      </w:r>
      <w:r w:rsidR="00C67E82" w:rsidRPr="00CF3C4A">
        <w:rPr>
          <w:rFonts w:ascii="Calibri" w:hAnsi="Calibri"/>
          <w:spacing w:val="0"/>
          <w:sz w:val="22"/>
          <w:szCs w:val="22"/>
        </w:rPr>
        <w:t xml:space="preserve">of osteoporosis </w:t>
      </w:r>
      <w:r w:rsidRPr="00CF3C4A">
        <w:rPr>
          <w:rFonts w:ascii="Calibri" w:hAnsi="Calibri"/>
          <w:spacing w:val="0"/>
          <w:sz w:val="22"/>
          <w:szCs w:val="22"/>
        </w:rPr>
        <w:t xml:space="preserve">be retained whilst </w:t>
      </w:r>
      <w:r w:rsidR="009B15AD" w:rsidRPr="00CF3C4A">
        <w:rPr>
          <w:rFonts w:ascii="Calibri" w:hAnsi="Calibri"/>
          <w:spacing w:val="0"/>
          <w:sz w:val="22"/>
          <w:szCs w:val="22"/>
        </w:rPr>
        <w:t xml:space="preserve">further </w:t>
      </w:r>
      <w:r w:rsidRPr="00CF3C4A">
        <w:rPr>
          <w:rFonts w:ascii="Calibri" w:hAnsi="Calibri"/>
          <w:spacing w:val="0"/>
          <w:sz w:val="22"/>
          <w:szCs w:val="22"/>
        </w:rPr>
        <w:t xml:space="preserve">clarity is brought to bear on the distinction between </w:t>
      </w:r>
      <w:r w:rsidR="00C67E82" w:rsidRPr="00CF3C4A">
        <w:rPr>
          <w:rFonts w:ascii="Calibri" w:hAnsi="Calibri"/>
          <w:spacing w:val="0"/>
          <w:sz w:val="22"/>
          <w:szCs w:val="22"/>
        </w:rPr>
        <w:t>diagnos</w:t>
      </w:r>
      <w:r w:rsidR="002B3422" w:rsidRPr="00CF3C4A">
        <w:rPr>
          <w:rFonts w:ascii="Calibri" w:hAnsi="Calibri"/>
          <w:spacing w:val="0"/>
          <w:sz w:val="22"/>
          <w:szCs w:val="22"/>
        </w:rPr>
        <w:t>tic</w:t>
      </w:r>
      <w:r w:rsidR="00C67E82" w:rsidRPr="00CF3C4A">
        <w:rPr>
          <w:rFonts w:ascii="Calibri" w:hAnsi="Calibri"/>
          <w:spacing w:val="0"/>
          <w:sz w:val="22"/>
          <w:szCs w:val="22"/>
        </w:rPr>
        <w:t xml:space="preserve"> </w:t>
      </w:r>
      <w:r w:rsidRPr="00CF3C4A">
        <w:rPr>
          <w:rFonts w:ascii="Calibri" w:hAnsi="Calibri"/>
          <w:spacing w:val="0"/>
          <w:sz w:val="22"/>
          <w:szCs w:val="22"/>
        </w:rPr>
        <w:t>and intervention thresholds</w:t>
      </w:r>
      <w:r w:rsidR="002B3422" w:rsidRPr="00CF3C4A">
        <w:t xml:space="preserve"> </w:t>
      </w:r>
      <w:r w:rsidR="002B3422" w:rsidRPr="00CF3C4A">
        <w:rPr>
          <w:rFonts w:ascii="Calibri" w:hAnsi="Calibri"/>
          <w:spacing w:val="0"/>
          <w:sz w:val="22"/>
          <w:szCs w:val="22"/>
        </w:rPr>
        <w:t>as has been successfully managed in</w:t>
      </w:r>
      <w:r w:rsidR="00546AAE" w:rsidRPr="00CF3C4A">
        <w:rPr>
          <w:rFonts w:ascii="Calibri" w:hAnsi="Calibri"/>
          <w:spacing w:val="0"/>
          <w:sz w:val="22"/>
          <w:szCs w:val="22"/>
        </w:rPr>
        <w:t xml:space="preserve"> </w:t>
      </w:r>
      <w:r w:rsidR="002B3422" w:rsidRPr="00CF3C4A">
        <w:rPr>
          <w:rFonts w:ascii="Calibri" w:hAnsi="Calibri"/>
          <w:spacing w:val="0"/>
          <w:sz w:val="22"/>
          <w:szCs w:val="22"/>
        </w:rPr>
        <w:t xml:space="preserve">cardiovascular </w:t>
      </w:r>
      <w:r w:rsidR="002B3422" w:rsidRPr="007771B5">
        <w:rPr>
          <w:rFonts w:ascii="Calibri" w:hAnsi="Calibri"/>
          <w:spacing w:val="0"/>
          <w:sz w:val="22"/>
          <w:szCs w:val="22"/>
        </w:rPr>
        <w:t>disease</w:t>
      </w:r>
      <w:r w:rsidR="00E70904" w:rsidRPr="007771B5">
        <w:rPr>
          <w:rFonts w:ascii="Calibri" w:hAnsi="Calibri"/>
          <w:spacing w:val="0"/>
          <w:sz w:val="22"/>
          <w:szCs w:val="22"/>
        </w:rPr>
        <w:t xml:space="preserve"> </w:t>
      </w:r>
      <w:r w:rsidR="00546AAE" w:rsidRPr="007771B5">
        <w:rPr>
          <w:rFonts w:ascii="Calibri" w:hAnsi="Calibri"/>
          <w:spacing w:val="0"/>
          <w:sz w:val="22"/>
          <w:szCs w:val="22"/>
        </w:rPr>
        <w:t>[</w:t>
      </w:r>
      <w:r w:rsidR="007771B5" w:rsidRPr="007771B5">
        <w:rPr>
          <w:rFonts w:ascii="Calibri" w:hAnsi="Calibri"/>
          <w:spacing w:val="0"/>
          <w:sz w:val="22"/>
          <w:szCs w:val="22"/>
        </w:rPr>
        <w:t>9</w:t>
      </w:r>
      <w:r w:rsidR="00720D4F" w:rsidRPr="007771B5">
        <w:rPr>
          <w:rFonts w:ascii="Calibri" w:hAnsi="Calibri"/>
          <w:spacing w:val="0"/>
          <w:sz w:val="22"/>
          <w:szCs w:val="22"/>
        </w:rPr>
        <w:t>4]</w:t>
      </w:r>
      <w:r w:rsidRPr="007771B5">
        <w:rPr>
          <w:rFonts w:ascii="Calibri" w:hAnsi="Calibri"/>
          <w:spacing w:val="0"/>
          <w:sz w:val="22"/>
          <w:szCs w:val="22"/>
        </w:rPr>
        <w:t>.</w:t>
      </w:r>
    </w:p>
    <w:p w14:paraId="78F222A2" w14:textId="77777777" w:rsidR="002F0029" w:rsidRPr="00CF3C4A" w:rsidRDefault="002F0029" w:rsidP="002F0029">
      <w:pPr>
        <w:rPr>
          <w:rFonts w:ascii="Calibri" w:hAnsi="Calibri"/>
          <w:sz w:val="20"/>
          <w:szCs w:val="20"/>
          <w:lang w:val="en-US"/>
        </w:rPr>
      </w:pPr>
    </w:p>
    <w:p w14:paraId="341A2B2B" w14:textId="6725AC18" w:rsidR="00925049" w:rsidRPr="00DA1521" w:rsidRDefault="00925049" w:rsidP="002F0029">
      <w:pPr>
        <w:rPr>
          <w:rFonts w:ascii="Calibri" w:hAnsi="Calibri"/>
          <w:b/>
          <w:lang w:val="en-US"/>
        </w:rPr>
      </w:pPr>
      <w:r w:rsidRPr="00CF3C4A">
        <w:rPr>
          <w:rFonts w:ascii="Calibri" w:hAnsi="Calibri"/>
          <w:b/>
          <w:lang w:val="en-US"/>
        </w:rPr>
        <w:t>Disclosures</w:t>
      </w:r>
    </w:p>
    <w:p w14:paraId="7C1B0BBD" w14:textId="21F6B1FA" w:rsidR="00BA580F" w:rsidRDefault="00925049" w:rsidP="00101D63">
      <w:pPr>
        <w:pStyle w:val="BodyText2"/>
        <w:spacing w:line="276" w:lineRule="auto"/>
        <w:ind w:left="0" w:firstLine="0"/>
        <w:rPr>
          <w:rFonts w:ascii="Calibri" w:hAnsi="Calibri"/>
          <w:spacing w:val="0"/>
          <w:sz w:val="22"/>
          <w:szCs w:val="22"/>
        </w:rPr>
      </w:pPr>
      <w:r w:rsidRPr="00DA1521">
        <w:rPr>
          <w:rFonts w:ascii="Calibri" w:hAnsi="Calibri"/>
          <w:spacing w:val="0"/>
          <w:sz w:val="22"/>
          <w:szCs w:val="22"/>
        </w:rPr>
        <w:t>JA Kanis</w:t>
      </w:r>
      <w:r w:rsidR="003A05FF">
        <w:rPr>
          <w:rFonts w:ascii="Calibri" w:hAnsi="Calibri"/>
          <w:spacing w:val="0"/>
          <w:sz w:val="22"/>
          <w:szCs w:val="22"/>
        </w:rPr>
        <w:t xml:space="preserve"> </w:t>
      </w:r>
      <w:r w:rsidRPr="00DA1521">
        <w:rPr>
          <w:rFonts w:ascii="Calibri" w:hAnsi="Calibri"/>
          <w:spacing w:val="0"/>
          <w:sz w:val="22"/>
          <w:szCs w:val="22"/>
        </w:rPr>
        <w:t>led the team that developed FRAX</w:t>
      </w:r>
      <w:r w:rsidR="00E71EA5">
        <w:rPr>
          <w:rFonts w:ascii="Calibri" w:hAnsi="Calibri"/>
          <w:spacing w:val="0"/>
          <w:sz w:val="22"/>
          <w:szCs w:val="22"/>
        </w:rPr>
        <w:t xml:space="preserve">.  He was also the Chair of the WHO Technical report that provided the operational </w:t>
      </w:r>
      <w:r w:rsidR="00480D44">
        <w:rPr>
          <w:rFonts w:ascii="Calibri" w:hAnsi="Calibri"/>
          <w:spacing w:val="0"/>
          <w:sz w:val="22"/>
          <w:szCs w:val="22"/>
        </w:rPr>
        <w:t>definition</w:t>
      </w:r>
      <w:r w:rsidR="00E71EA5">
        <w:rPr>
          <w:rFonts w:ascii="Calibri" w:hAnsi="Calibri"/>
          <w:spacing w:val="0"/>
          <w:sz w:val="22"/>
          <w:szCs w:val="22"/>
        </w:rPr>
        <w:t xml:space="preserve"> of osteoporosis</w:t>
      </w:r>
      <w:r w:rsidR="00480D44">
        <w:rPr>
          <w:rFonts w:ascii="Calibri" w:hAnsi="Calibri"/>
          <w:spacing w:val="0"/>
          <w:sz w:val="22"/>
          <w:szCs w:val="22"/>
        </w:rPr>
        <w:t>.</w:t>
      </w:r>
    </w:p>
    <w:p w14:paraId="5D10910C" w14:textId="47B483D5" w:rsidR="00045690" w:rsidRDefault="00045690" w:rsidP="00D95DF6">
      <w:pPr>
        <w:pStyle w:val="BodyText2"/>
        <w:spacing w:line="276" w:lineRule="auto"/>
        <w:ind w:left="0" w:firstLine="0"/>
        <w:rPr>
          <w:rFonts w:ascii="Calibri" w:hAnsi="Calibri"/>
          <w:spacing w:val="0"/>
          <w:sz w:val="22"/>
          <w:szCs w:val="22"/>
        </w:rPr>
      </w:pPr>
      <w:r w:rsidRPr="00045690">
        <w:rPr>
          <w:rFonts w:ascii="Calibri" w:hAnsi="Calibri"/>
          <w:spacing w:val="0"/>
          <w:sz w:val="22"/>
          <w:szCs w:val="22"/>
        </w:rPr>
        <w:lastRenderedPageBreak/>
        <w:t>EV McCloskey</w:t>
      </w:r>
      <w:r>
        <w:rPr>
          <w:rFonts w:ascii="Calibri" w:hAnsi="Calibri"/>
          <w:spacing w:val="0"/>
          <w:sz w:val="22"/>
          <w:szCs w:val="22"/>
        </w:rPr>
        <w:t xml:space="preserve"> </w:t>
      </w:r>
      <w:r w:rsidRPr="00045690">
        <w:rPr>
          <w:rFonts w:ascii="Calibri" w:hAnsi="Calibri"/>
          <w:spacing w:val="0"/>
          <w:sz w:val="22"/>
          <w:szCs w:val="22"/>
        </w:rPr>
        <w:t>has received consultancy/lecture fees/grant funding/honoraria from</w:t>
      </w:r>
      <w:r w:rsidR="00D95DF6">
        <w:rPr>
          <w:rFonts w:ascii="Calibri" w:hAnsi="Calibri"/>
          <w:spacing w:val="0"/>
          <w:sz w:val="22"/>
          <w:szCs w:val="22"/>
        </w:rPr>
        <w:t xml:space="preserve"> </w:t>
      </w:r>
      <w:proofErr w:type="spellStart"/>
      <w:r w:rsidRPr="00045690">
        <w:rPr>
          <w:rFonts w:ascii="Calibri" w:hAnsi="Calibri"/>
          <w:spacing w:val="0"/>
          <w:sz w:val="22"/>
          <w:szCs w:val="22"/>
        </w:rPr>
        <w:t>AgNovos</w:t>
      </w:r>
      <w:proofErr w:type="spellEnd"/>
      <w:r w:rsidRPr="00045690">
        <w:rPr>
          <w:rFonts w:ascii="Calibri" w:hAnsi="Calibri"/>
          <w:spacing w:val="0"/>
          <w:sz w:val="22"/>
          <w:szCs w:val="22"/>
        </w:rPr>
        <w:t xml:space="preserve">, Amgen, AstraZeneca, Consilient Healthcare, Fresenius </w:t>
      </w:r>
      <w:proofErr w:type="spellStart"/>
      <w:r w:rsidRPr="00045690">
        <w:rPr>
          <w:rFonts w:ascii="Calibri" w:hAnsi="Calibri"/>
          <w:spacing w:val="0"/>
          <w:sz w:val="22"/>
          <w:szCs w:val="22"/>
        </w:rPr>
        <w:t>Kabi</w:t>
      </w:r>
      <w:proofErr w:type="spellEnd"/>
      <w:r w:rsidRPr="00045690">
        <w:rPr>
          <w:rFonts w:ascii="Calibri" w:hAnsi="Calibri"/>
          <w:spacing w:val="0"/>
          <w:sz w:val="22"/>
          <w:szCs w:val="22"/>
        </w:rPr>
        <w:t>,</w:t>
      </w:r>
      <w:r w:rsidR="00D95DF6">
        <w:rPr>
          <w:rFonts w:ascii="Calibri" w:hAnsi="Calibri"/>
          <w:spacing w:val="0"/>
          <w:sz w:val="22"/>
          <w:szCs w:val="22"/>
        </w:rPr>
        <w:t xml:space="preserve"> </w:t>
      </w:r>
      <w:r w:rsidRPr="00045690">
        <w:rPr>
          <w:rFonts w:ascii="Calibri" w:hAnsi="Calibri"/>
          <w:spacing w:val="0"/>
          <w:sz w:val="22"/>
          <w:szCs w:val="22"/>
        </w:rPr>
        <w:t xml:space="preserve">Gilead, GSK, Hologic, </w:t>
      </w:r>
      <w:proofErr w:type="spellStart"/>
      <w:r w:rsidRPr="00045690">
        <w:rPr>
          <w:rFonts w:ascii="Calibri" w:hAnsi="Calibri"/>
          <w:spacing w:val="0"/>
          <w:sz w:val="22"/>
          <w:szCs w:val="22"/>
        </w:rPr>
        <w:t>Internis</w:t>
      </w:r>
      <w:proofErr w:type="spellEnd"/>
      <w:r w:rsidRPr="00045690">
        <w:rPr>
          <w:rFonts w:ascii="Calibri" w:hAnsi="Calibri"/>
          <w:spacing w:val="0"/>
          <w:sz w:val="22"/>
          <w:szCs w:val="22"/>
        </w:rPr>
        <w:t>, Lilly, Merck, Novartis, Pfizer, Radius</w:t>
      </w:r>
      <w:r w:rsidR="00D95DF6">
        <w:rPr>
          <w:rFonts w:ascii="Calibri" w:hAnsi="Calibri"/>
          <w:spacing w:val="0"/>
          <w:sz w:val="22"/>
          <w:szCs w:val="22"/>
        </w:rPr>
        <w:t xml:space="preserve"> </w:t>
      </w:r>
      <w:r w:rsidRPr="00045690">
        <w:rPr>
          <w:rFonts w:ascii="Calibri" w:hAnsi="Calibri"/>
          <w:spacing w:val="0"/>
          <w:sz w:val="22"/>
          <w:szCs w:val="22"/>
        </w:rPr>
        <w:t xml:space="preserve">Health, </w:t>
      </w:r>
      <w:proofErr w:type="spellStart"/>
      <w:r w:rsidRPr="00045690">
        <w:rPr>
          <w:rFonts w:ascii="Calibri" w:hAnsi="Calibri"/>
          <w:spacing w:val="0"/>
          <w:sz w:val="22"/>
          <w:szCs w:val="22"/>
        </w:rPr>
        <w:t>Redx</w:t>
      </w:r>
      <w:proofErr w:type="spellEnd"/>
      <w:r w:rsidRPr="00045690">
        <w:rPr>
          <w:rFonts w:ascii="Calibri" w:hAnsi="Calibri"/>
          <w:spacing w:val="0"/>
          <w:sz w:val="22"/>
          <w:szCs w:val="22"/>
        </w:rPr>
        <w:t xml:space="preserve"> Oncology, Roche, </w:t>
      </w:r>
      <w:proofErr w:type="spellStart"/>
      <w:r w:rsidRPr="00045690">
        <w:rPr>
          <w:rFonts w:ascii="Calibri" w:hAnsi="Calibri"/>
          <w:spacing w:val="0"/>
          <w:sz w:val="22"/>
          <w:szCs w:val="22"/>
        </w:rPr>
        <w:t>SanofiAventis</w:t>
      </w:r>
      <w:proofErr w:type="spellEnd"/>
      <w:r w:rsidRPr="00045690">
        <w:rPr>
          <w:rFonts w:ascii="Calibri" w:hAnsi="Calibri"/>
          <w:spacing w:val="0"/>
          <w:sz w:val="22"/>
          <w:szCs w:val="22"/>
        </w:rPr>
        <w:t xml:space="preserve">, </w:t>
      </w:r>
      <w:proofErr w:type="spellStart"/>
      <w:r w:rsidRPr="00045690">
        <w:rPr>
          <w:rFonts w:ascii="Calibri" w:hAnsi="Calibri"/>
          <w:spacing w:val="0"/>
          <w:sz w:val="22"/>
          <w:szCs w:val="22"/>
        </w:rPr>
        <w:t>Servier</w:t>
      </w:r>
      <w:proofErr w:type="spellEnd"/>
      <w:r w:rsidRPr="00045690">
        <w:rPr>
          <w:rFonts w:ascii="Calibri" w:hAnsi="Calibri"/>
          <w:spacing w:val="0"/>
          <w:sz w:val="22"/>
          <w:szCs w:val="22"/>
        </w:rPr>
        <w:t xml:space="preserve">, </w:t>
      </w:r>
      <w:proofErr w:type="spellStart"/>
      <w:r w:rsidRPr="00045690">
        <w:rPr>
          <w:rFonts w:ascii="Calibri" w:hAnsi="Calibri"/>
          <w:spacing w:val="0"/>
          <w:sz w:val="22"/>
          <w:szCs w:val="22"/>
        </w:rPr>
        <w:t>Synexus</w:t>
      </w:r>
      <w:proofErr w:type="spellEnd"/>
      <w:r w:rsidRPr="00045690">
        <w:rPr>
          <w:rFonts w:ascii="Calibri" w:hAnsi="Calibri"/>
          <w:spacing w:val="0"/>
          <w:sz w:val="22"/>
          <w:szCs w:val="22"/>
        </w:rPr>
        <w:t>, UCB,</w:t>
      </w:r>
      <w:r w:rsidR="00D95DF6">
        <w:rPr>
          <w:rFonts w:ascii="Calibri" w:hAnsi="Calibri"/>
          <w:spacing w:val="0"/>
          <w:sz w:val="22"/>
          <w:szCs w:val="22"/>
        </w:rPr>
        <w:t xml:space="preserve"> </w:t>
      </w:r>
      <w:proofErr w:type="spellStart"/>
      <w:r w:rsidRPr="00045690">
        <w:rPr>
          <w:rFonts w:ascii="Calibri" w:hAnsi="Calibri"/>
          <w:spacing w:val="0"/>
          <w:sz w:val="22"/>
          <w:szCs w:val="22"/>
        </w:rPr>
        <w:t>Viiv</w:t>
      </w:r>
      <w:proofErr w:type="spellEnd"/>
      <w:r w:rsidRPr="00045690">
        <w:rPr>
          <w:rFonts w:ascii="Calibri" w:hAnsi="Calibri"/>
          <w:spacing w:val="0"/>
          <w:sz w:val="22"/>
          <w:szCs w:val="22"/>
        </w:rPr>
        <w:t xml:space="preserve">, Warner Chilcott, I3 </w:t>
      </w:r>
      <w:proofErr w:type="spellStart"/>
      <w:r w:rsidRPr="00045690">
        <w:rPr>
          <w:rFonts w:ascii="Calibri" w:hAnsi="Calibri"/>
          <w:spacing w:val="0"/>
          <w:sz w:val="22"/>
          <w:szCs w:val="22"/>
        </w:rPr>
        <w:t>Innovus</w:t>
      </w:r>
      <w:proofErr w:type="spellEnd"/>
      <w:r w:rsidRPr="00045690">
        <w:rPr>
          <w:rFonts w:ascii="Calibri" w:hAnsi="Calibri"/>
          <w:spacing w:val="0"/>
          <w:sz w:val="22"/>
          <w:szCs w:val="22"/>
        </w:rPr>
        <w:t xml:space="preserve"> and Unilever.</w:t>
      </w:r>
    </w:p>
    <w:p w14:paraId="7290DFA2" w14:textId="0D5A04FB" w:rsidR="009D39F1" w:rsidRDefault="009D39F1" w:rsidP="00DA1521">
      <w:pPr>
        <w:pStyle w:val="BodyText2"/>
        <w:spacing w:line="276" w:lineRule="auto"/>
        <w:ind w:left="0" w:firstLine="0"/>
        <w:rPr>
          <w:rFonts w:ascii="Calibri" w:hAnsi="Calibri"/>
          <w:spacing w:val="0"/>
          <w:sz w:val="22"/>
          <w:szCs w:val="22"/>
        </w:rPr>
      </w:pPr>
      <w:r w:rsidRPr="009D39F1">
        <w:rPr>
          <w:rFonts w:ascii="Calibri" w:hAnsi="Calibri"/>
          <w:spacing w:val="0"/>
          <w:sz w:val="22"/>
          <w:szCs w:val="22"/>
        </w:rPr>
        <w:t>NC</w:t>
      </w:r>
      <w:r w:rsidR="008A0DC1">
        <w:rPr>
          <w:rFonts w:ascii="Calibri" w:hAnsi="Calibri"/>
          <w:spacing w:val="0"/>
          <w:sz w:val="22"/>
          <w:szCs w:val="22"/>
        </w:rPr>
        <w:t xml:space="preserve"> </w:t>
      </w:r>
      <w:r w:rsidRPr="009D39F1">
        <w:rPr>
          <w:rFonts w:ascii="Calibri" w:hAnsi="Calibri"/>
          <w:spacing w:val="0"/>
          <w:sz w:val="22"/>
          <w:szCs w:val="22"/>
        </w:rPr>
        <w:t>H</w:t>
      </w:r>
      <w:r w:rsidR="008A0DC1">
        <w:rPr>
          <w:rFonts w:ascii="Calibri" w:hAnsi="Calibri"/>
          <w:spacing w:val="0"/>
          <w:sz w:val="22"/>
          <w:szCs w:val="22"/>
        </w:rPr>
        <w:t xml:space="preserve">arvey </w:t>
      </w:r>
      <w:r w:rsidRPr="009D39F1">
        <w:rPr>
          <w:rFonts w:ascii="Calibri" w:hAnsi="Calibri"/>
          <w:spacing w:val="0"/>
          <w:sz w:val="22"/>
          <w:szCs w:val="22"/>
        </w:rPr>
        <w:t xml:space="preserve">reports personal fees, consultancy, lecture fees and honoraria from Alliance for Better Bone Health, AMGEN, MSD, Eli Lilly, UCB, Kyowa Kirin, </w:t>
      </w:r>
      <w:proofErr w:type="spellStart"/>
      <w:r w:rsidRPr="009D39F1">
        <w:rPr>
          <w:rFonts w:ascii="Calibri" w:hAnsi="Calibri"/>
          <w:spacing w:val="0"/>
          <w:sz w:val="22"/>
          <w:szCs w:val="22"/>
        </w:rPr>
        <w:t>Servier</w:t>
      </w:r>
      <w:proofErr w:type="spellEnd"/>
      <w:r w:rsidRPr="009D39F1">
        <w:rPr>
          <w:rFonts w:ascii="Calibri" w:hAnsi="Calibri"/>
          <w:spacing w:val="0"/>
          <w:sz w:val="22"/>
          <w:szCs w:val="22"/>
        </w:rPr>
        <w:t xml:space="preserve">, Shire, Consilient </w:t>
      </w:r>
      <w:proofErr w:type="gramStart"/>
      <w:r w:rsidRPr="009D39F1">
        <w:rPr>
          <w:rFonts w:ascii="Calibri" w:hAnsi="Calibri"/>
          <w:spacing w:val="0"/>
          <w:sz w:val="22"/>
          <w:szCs w:val="22"/>
        </w:rPr>
        <w:t>Healthcare</w:t>
      </w:r>
      <w:proofErr w:type="gramEnd"/>
      <w:r w:rsidRPr="009D39F1">
        <w:rPr>
          <w:rFonts w:ascii="Calibri" w:hAnsi="Calibri"/>
          <w:spacing w:val="0"/>
          <w:sz w:val="22"/>
          <w:szCs w:val="22"/>
        </w:rPr>
        <w:t xml:space="preserve"> and </w:t>
      </w:r>
      <w:proofErr w:type="spellStart"/>
      <w:r w:rsidRPr="009D39F1">
        <w:rPr>
          <w:rFonts w:ascii="Calibri" w:hAnsi="Calibri"/>
          <w:spacing w:val="0"/>
          <w:sz w:val="22"/>
          <w:szCs w:val="22"/>
        </w:rPr>
        <w:t>Internis</w:t>
      </w:r>
      <w:proofErr w:type="spellEnd"/>
      <w:r w:rsidRPr="009D39F1">
        <w:rPr>
          <w:rFonts w:ascii="Calibri" w:hAnsi="Calibri"/>
          <w:spacing w:val="0"/>
          <w:sz w:val="22"/>
          <w:szCs w:val="22"/>
        </w:rPr>
        <w:t xml:space="preserve"> Pharma, outside the submitted work.</w:t>
      </w:r>
    </w:p>
    <w:p w14:paraId="517DD059" w14:textId="24E6CA6B" w:rsidR="00612B44" w:rsidRDefault="00612B44" w:rsidP="00402B8F">
      <w:pPr>
        <w:pStyle w:val="BodyText2"/>
        <w:spacing w:line="276" w:lineRule="auto"/>
        <w:ind w:left="0" w:firstLine="0"/>
        <w:rPr>
          <w:rFonts w:ascii="Calibri" w:hAnsi="Calibri"/>
          <w:spacing w:val="0"/>
          <w:sz w:val="22"/>
          <w:szCs w:val="22"/>
        </w:rPr>
      </w:pPr>
      <w:r>
        <w:rPr>
          <w:rFonts w:ascii="Calibri" w:hAnsi="Calibri"/>
          <w:spacing w:val="0"/>
          <w:sz w:val="22"/>
          <w:szCs w:val="22"/>
        </w:rPr>
        <w:t>C Cooper</w:t>
      </w:r>
      <w:r w:rsidR="00402B8F" w:rsidRPr="00402B8F">
        <w:t xml:space="preserve"> </w:t>
      </w:r>
      <w:r w:rsidR="00402B8F" w:rsidRPr="00402B8F">
        <w:rPr>
          <w:rFonts w:ascii="Calibri" w:hAnsi="Calibri"/>
          <w:spacing w:val="0"/>
          <w:sz w:val="22"/>
          <w:szCs w:val="22"/>
        </w:rPr>
        <w:t>reports personal fees from Alliance for Better</w:t>
      </w:r>
      <w:r w:rsidR="00402B8F">
        <w:rPr>
          <w:rFonts w:ascii="Calibri" w:hAnsi="Calibri"/>
          <w:spacing w:val="0"/>
          <w:sz w:val="22"/>
          <w:szCs w:val="22"/>
        </w:rPr>
        <w:t xml:space="preserve"> </w:t>
      </w:r>
      <w:r w:rsidR="00402B8F" w:rsidRPr="00402B8F">
        <w:rPr>
          <w:rFonts w:ascii="Calibri" w:hAnsi="Calibri"/>
          <w:spacing w:val="0"/>
          <w:sz w:val="22"/>
          <w:szCs w:val="22"/>
        </w:rPr>
        <w:t xml:space="preserve">Bone </w:t>
      </w:r>
      <w:proofErr w:type="spellStart"/>
      <w:proofErr w:type="gramStart"/>
      <w:r w:rsidR="00402B8F" w:rsidRPr="00402B8F">
        <w:rPr>
          <w:rFonts w:ascii="Calibri" w:hAnsi="Calibri"/>
          <w:spacing w:val="0"/>
          <w:sz w:val="22"/>
          <w:szCs w:val="22"/>
        </w:rPr>
        <w:t>Health,Amgen</w:t>
      </w:r>
      <w:proofErr w:type="spellEnd"/>
      <w:proofErr w:type="gramEnd"/>
      <w:r w:rsidR="00402B8F" w:rsidRPr="00402B8F">
        <w:rPr>
          <w:rFonts w:ascii="Calibri" w:hAnsi="Calibri"/>
          <w:spacing w:val="0"/>
          <w:sz w:val="22"/>
          <w:szCs w:val="22"/>
        </w:rPr>
        <w:t xml:space="preserve">, Eli Lilly, </w:t>
      </w:r>
      <w:proofErr w:type="spellStart"/>
      <w:r w:rsidR="00402B8F" w:rsidRPr="00402B8F">
        <w:rPr>
          <w:rFonts w:ascii="Calibri" w:hAnsi="Calibri"/>
          <w:spacing w:val="0"/>
          <w:sz w:val="22"/>
          <w:szCs w:val="22"/>
        </w:rPr>
        <w:t>GSK,Medtronic,Merck</w:t>
      </w:r>
      <w:proofErr w:type="spellEnd"/>
      <w:r w:rsidR="00402B8F" w:rsidRPr="00402B8F">
        <w:rPr>
          <w:rFonts w:ascii="Calibri" w:hAnsi="Calibri"/>
          <w:spacing w:val="0"/>
          <w:sz w:val="22"/>
          <w:szCs w:val="22"/>
        </w:rPr>
        <w:t>, Novartis, Pfizer,</w:t>
      </w:r>
      <w:r w:rsidR="006365B5">
        <w:rPr>
          <w:rFonts w:ascii="Calibri" w:hAnsi="Calibri"/>
          <w:spacing w:val="0"/>
          <w:sz w:val="22"/>
          <w:szCs w:val="22"/>
        </w:rPr>
        <w:t xml:space="preserve"> </w:t>
      </w:r>
      <w:r w:rsidR="00402B8F" w:rsidRPr="00402B8F">
        <w:rPr>
          <w:rFonts w:ascii="Calibri" w:hAnsi="Calibri"/>
          <w:spacing w:val="0"/>
          <w:sz w:val="22"/>
          <w:szCs w:val="22"/>
        </w:rPr>
        <w:t xml:space="preserve">Roche, </w:t>
      </w:r>
      <w:proofErr w:type="spellStart"/>
      <w:r w:rsidR="00402B8F" w:rsidRPr="00402B8F">
        <w:rPr>
          <w:rFonts w:ascii="Calibri" w:hAnsi="Calibri"/>
          <w:spacing w:val="0"/>
          <w:sz w:val="22"/>
          <w:szCs w:val="22"/>
        </w:rPr>
        <w:t>Servier</w:t>
      </w:r>
      <w:proofErr w:type="spellEnd"/>
      <w:r w:rsidR="00402B8F" w:rsidRPr="00402B8F">
        <w:rPr>
          <w:rFonts w:ascii="Calibri" w:hAnsi="Calibri"/>
          <w:spacing w:val="0"/>
          <w:sz w:val="22"/>
          <w:szCs w:val="22"/>
        </w:rPr>
        <w:t>, Takeda and UCB</w:t>
      </w:r>
    </w:p>
    <w:p w14:paraId="6E3B8CA6" w14:textId="297EA2A2" w:rsidR="008B6205" w:rsidRDefault="00C21E65" w:rsidP="00C21E65">
      <w:pPr>
        <w:pStyle w:val="BodyText2"/>
        <w:spacing w:line="276" w:lineRule="auto"/>
        <w:ind w:left="0" w:firstLine="0"/>
        <w:rPr>
          <w:rFonts w:ascii="Calibri" w:hAnsi="Calibri"/>
          <w:spacing w:val="0"/>
          <w:sz w:val="22"/>
          <w:szCs w:val="22"/>
        </w:rPr>
      </w:pPr>
      <w:r w:rsidRPr="00C21E65">
        <w:rPr>
          <w:rFonts w:ascii="Calibri" w:hAnsi="Calibri"/>
          <w:spacing w:val="0"/>
          <w:sz w:val="22"/>
          <w:szCs w:val="22"/>
        </w:rPr>
        <w:t>R</w:t>
      </w:r>
      <w:r w:rsidR="00AC124D">
        <w:rPr>
          <w:rFonts w:ascii="Calibri" w:hAnsi="Calibri"/>
          <w:spacing w:val="0"/>
          <w:sz w:val="22"/>
          <w:szCs w:val="22"/>
        </w:rPr>
        <w:t xml:space="preserve"> </w:t>
      </w:r>
      <w:r w:rsidRPr="00C21E65">
        <w:rPr>
          <w:rFonts w:ascii="Calibri" w:hAnsi="Calibri"/>
          <w:spacing w:val="0"/>
          <w:sz w:val="22"/>
          <w:szCs w:val="22"/>
        </w:rPr>
        <w:t>R</w:t>
      </w:r>
      <w:r w:rsidR="00AC124D">
        <w:rPr>
          <w:rFonts w:ascii="Calibri" w:hAnsi="Calibri"/>
          <w:spacing w:val="0"/>
          <w:sz w:val="22"/>
          <w:szCs w:val="22"/>
        </w:rPr>
        <w:t>i</w:t>
      </w:r>
      <w:r w:rsidR="00750935">
        <w:rPr>
          <w:rFonts w:ascii="Calibri" w:hAnsi="Calibri"/>
          <w:spacing w:val="0"/>
          <w:sz w:val="22"/>
          <w:szCs w:val="22"/>
        </w:rPr>
        <w:t>zzoli</w:t>
      </w:r>
      <w:r w:rsidRPr="00C21E65">
        <w:rPr>
          <w:rFonts w:ascii="Calibri" w:hAnsi="Calibri"/>
          <w:spacing w:val="0"/>
          <w:sz w:val="22"/>
          <w:szCs w:val="22"/>
        </w:rPr>
        <w:t xml:space="preserve"> has received fees for lectures or advisory boards from </w:t>
      </w:r>
      <w:proofErr w:type="spellStart"/>
      <w:r w:rsidRPr="00C21E65">
        <w:rPr>
          <w:rFonts w:ascii="Calibri" w:hAnsi="Calibri"/>
          <w:spacing w:val="0"/>
          <w:sz w:val="22"/>
          <w:szCs w:val="22"/>
        </w:rPr>
        <w:t>Abiogen</w:t>
      </w:r>
      <w:proofErr w:type="spellEnd"/>
      <w:r w:rsidRPr="00C21E65">
        <w:rPr>
          <w:rFonts w:ascii="Calibri" w:hAnsi="Calibri"/>
          <w:spacing w:val="0"/>
          <w:sz w:val="22"/>
          <w:szCs w:val="22"/>
        </w:rPr>
        <w:t xml:space="preserve">, Amgen, Danone, </w:t>
      </w:r>
      <w:proofErr w:type="spellStart"/>
      <w:r w:rsidRPr="00C21E65">
        <w:rPr>
          <w:rFonts w:ascii="Calibri" w:hAnsi="Calibri"/>
          <w:spacing w:val="0"/>
          <w:sz w:val="22"/>
          <w:szCs w:val="22"/>
        </w:rPr>
        <w:t>Echolight</w:t>
      </w:r>
      <w:proofErr w:type="spellEnd"/>
      <w:r w:rsidRPr="00C21E65">
        <w:rPr>
          <w:rFonts w:ascii="Calibri" w:hAnsi="Calibri"/>
          <w:spacing w:val="0"/>
          <w:sz w:val="22"/>
          <w:szCs w:val="22"/>
        </w:rPr>
        <w:t xml:space="preserve">, European Milk Forum, Mithra, Nestlé, </w:t>
      </w:r>
      <w:proofErr w:type="spellStart"/>
      <w:r w:rsidRPr="00C21E65">
        <w:rPr>
          <w:rFonts w:ascii="Calibri" w:hAnsi="Calibri"/>
          <w:spacing w:val="0"/>
          <w:sz w:val="22"/>
          <w:szCs w:val="22"/>
        </w:rPr>
        <w:t>ObsEva</w:t>
      </w:r>
      <w:proofErr w:type="spellEnd"/>
      <w:r w:rsidRPr="00C21E65">
        <w:rPr>
          <w:rFonts w:ascii="Calibri" w:hAnsi="Calibri"/>
          <w:spacing w:val="0"/>
          <w:sz w:val="22"/>
          <w:szCs w:val="22"/>
        </w:rPr>
        <w:t xml:space="preserve">, Pfizer Consumer Health, Radius Health, </w:t>
      </w:r>
      <w:proofErr w:type="spellStart"/>
      <w:r w:rsidRPr="00C21E65">
        <w:rPr>
          <w:rFonts w:ascii="Calibri" w:hAnsi="Calibri"/>
          <w:spacing w:val="0"/>
          <w:sz w:val="22"/>
          <w:szCs w:val="22"/>
        </w:rPr>
        <w:t>Rejunevate</w:t>
      </w:r>
      <w:proofErr w:type="spellEnd"/>
      <w:r w:rsidRPr="00C21E65">
        <w:rPr>
          <w:rFonts w:ascii="Calibri" w:hAnsi="Calibri"/>
          <w:spacing w:val="0"/>
          <w:sz w:val="22"/>
          <w:szCs w:val="22"/>
        </w:rPr>
        <w:t xml:space="preserve"> and </w:t>
      </w:r>
      <w:proofErr w:type="spellStart"/>
      <w:r w:rsidRPr="00C21E65">
        <w:rPr>
          <w:rFonts w:ascii="Calibri" w:hAnsi="Calibri"/>
          <w:spacing w:val="0"/>
          <w:sz w:val="22"/>
          <w:szCs w:val="22"/>
        </w:rPr>
        <w:t>Theramex</w:t>
      </w:r>
      <w:proofErr w:type="spellEnd"/>
      <w:r w:rsidR="00750935">
        <w:rPr>
          <w:rFonts w:ascii="Calibri" w:hAnsi="Calibri"/>
          <w:spacing w:val="0"/>
          <w:sz w:val="22"/>
          <w:szCs w:val="22"/>
        </w:rPr>
        <w:t xml:space="preserve">, </w:t>
      </w:r>
      <w:r w:rsidR="00750935" w:rsidRPr="00750935">
        <w:rPr>
          <w:rFonts w:ascii="Calibri" w:hAnsi="Calibri"/>
          <w:spacing w:val="0"/>
          <w:sz w:val="22"/>
          <w:szCs w:val="22"/>
        </w:rPr>
        <w:t>outside the submitted work.</w:t>
      </w:r>
    </w:p>
    <w:p w14:paraId="7A31FC43" w14:textId="085516A0" w:rsidR="006D33F3" w:rsidRDefault="006D33F3" w:rsidP="00B90527">
      <w:pPr>
        <w:pStyle w:val="BodyText2"/>
        <w:spacing w:line="276" w:lineRule="auto"/>
        <w:ind w:left="0" w:firstLine="0"/>
        <w:rPr>
          <w:rFonts w:ascii="Calibri" w:hAnsi="Calibri"/>
          <w:spacing w:val="0"/>
          <w:sz w:val="22"/>
          <w:szCs w:val="22"/>
        </w:rPr>
      </w:pPr>
      <w:r>
        <w:rPr>
          <w:rFonts w:ascii="Calibri" w:hAnsi="Calibri"/>
          <w:spacing w:val="0"/>
          <w:sz w:val="22"/>
          <w:szCs w:val="22"/>
        </w:rPr>
        <w:t>B Dawson-Hughes</w:t>
      </w:r>
      <w:r w:rsidR="00E074CE">
        <w:rPr>
          <w:rFonts w:ascii="Calibri" w:hAnsi="Calibri"/>
          <w:spacing w:val="0"/>
          <w:sz w:val="22"/>
          <w:szCs w:val="22"/>
        </w:rPr>
        <w:t xml:space="preserve"> is on the Data Safety Monitoring Board of </w:t>
      </w:r>
      <w:proofErr w:type="spellStart"/>
      <w:r w:rsidR="00E074CE">
        <w:rPr>
          <w:rFonts w:ascii="Calibri" w:hAnsi="Calibri"/>
          <w:spacing w:val="0"/>
          <w:sz w:val="22"/>
          <w:szCs w:val="22"/>
        </w:rPr>
        <w:t>AgNovos</w:t>
      </w:r>
      <w:proofErr w:type="spellEnd"/>
      <w:r w:rsidR="00E074CE">
        <w:rPr>
          <w:rFonts w:ascii="Calibri" w:hAnsi="Calibri"/>
          <w:spacing w:val="0"/>
          <w:sz w:val="22"/>
          <w:szCs w:val="22"/>
        </w:rPr>
        <w:t xml:space="preserve">, outside the submitted work. </w:t>
      </w:r>
    </w:p>
    <w:p w14:paraId="2CF21E7C" w14:textId="168C1291" w:rsidR="00DB7025" w:rsidRDefault="00DB7025" w:rsidP="00B90527">
      <w:pPr>
        <w:pStyle w:val="BodyText2"/>
        <w:spacing w:line="276" w:lineRule="auto"/>
        <w:ind w:left="0" w:firstLine="0"/>
        <w:rPr>
          <w:rFonts w:ascii="Calibri" w:hAnsi="Calibri"/>
          <w:spacing w:val="0"/>
          <w:sz w:val="22"/>
          <w:szCs w:val="22"/>
        </w:rPr>
      </w:pPr>
      <w:r>
        <w:rPr>
          <w:rFonts w:ascii="Calibri" w:hAnsi="Calibri"/>
          <w:spacing w:val="0"/>
          <w:sz w:val="22"/>
          <w:szCs w:val="22"/>
        </w:rPr>
        <w:t>S Maggi</w:t>
      </w:r>
      <w:r w:rsidRPr="00DB7025">
        <w:rPr>
          <w:rFonts w:ascii="Calibri" w:hAnsi="Calibri"/>
          <w:spacing w:val="0"/>
          <w:sz w:val="22"/>
          <w:szCs w:val="22"/>
        </w:rPr>
        <w:t xml:space="preserve"> declare</w:t>
      </w:r>
      <w:r>
        <w:rPr>
          <w:rFonts w:ascii="Calibri" w:hAnsi="Calibri"/>
          <w:spacing w:val="0"/>
          <w:sz w:val="22"/>
          <w:szCs w:val="22"/>
        </w:rPr>
        <w:t>s</w:t>
      </w:r>
      <w:r w:rsidRPr="00DB7025">
        <w:rPr>
          <w:rFonts w:ascii="Calibri" w:hAnsi="Calibri"/>
          <w:spacing w:val="0"/>
          <w:sz w:val="22"/>
          <w:szCs w:val="22"/>
        </w:rPr>
        <w:t xml:space="preserve"> no conflict of interest.</w:t>
      </w:r>
    </w:p>
    <w:p w14:paraId="3C52B8EC" w14:textId="72EB4B92" w:rsidR="00606FC2" w:rsidRDefault="001959F2" w:rsidP="00DA1521">
      <w:pPr>
        <w:pStyle w:val="BodyText2"/>
        <w:spacing w:line="276" w:lineRule="auto"/>
        <w:ind w:left="0" w:firstLine="0"/>
        <w:rPr>
          <w:rFonts w:ascii="Calibri" w:hAnsi="Calibri"/>
          <w:spacing w:val="0"/>
          <w:sz w:val="22"/>
          <w:szCs w:val="22"/>
        </w:rPr>
      </w:pPr>
      <w:r w:rsidRPr="001959F2">
        <w:rPr>
          <w:rFonts w:ascii="Calibri" w:hAnsi="Calibri"/>
          <w:spacing w:val="0"/>
          <w:sz w:val="22"/>
          <w:szCs w:val="22"/>
        </w:rPr>
        <w:t>J-Y Reginster has received fees for lectures or advisory boards from IBSA-</w:t>
      </w:r>
      <w:proofErr w:type="spellStart"/>
      <w:r w:rsidRPr="001959F2">
        <w:rPr>
          <w:rFonts w:ascii="Calibri" w:hAnsi="Calibri"/>
          <w:spacing w:val="0"/>
          <w:sz w:val="22"/>
          <w:szCs w:val="22"/>
        </w:rPr>
        <w:t>Genevrier</w:t>
      </w:r>
      <w:proofErr w:type="spellEnd"/>
      <w:r w:rsidRPr="001959F2">
        <w:rPr>
          <w:rFonts w:ascii="Calibri" w:hAnsi="Calibri"/>
          <w:spacing w:val="0"/>
          <w:sz w:val="22"/>
          <w:szCs w:val="22"/>
        </w:rPr>
        <w:t xml:space="preserve">, Mylan, Radius Health, Pierre Fabre, </w:t>
      </w:r>
      <w:proofErr w:type="spellStart"/>
      <w:r w:rsidRPr="001959F2">
        <w:rPr>
          <w:rFonts w:ascii="Calibri" w:hAnsi="Calibri"/>
          <w:spacing w:val="0"/>
          <w:sz w:val="22"/>
          <w:szCs w:val="22"/>
        </w:rPr>
        <w:t>Faes</w:t>
      </w:r>
      <w:proofErr w:type="spellEnd"/>
      <w:r w:rsidRPr="001959F2">
        <w:rPr>
          <w:rFonts w:ascii="Calibri" w:hAnsi="Calibri"/>
          <w:spacing w:val="0"/>
          <w:sz w:val="22"/>
          <w:szCs w:val="22"/>
        </w:rPr>
        <w:t xml:space="preserve"> Pharma, </w:t>
      </w:r>
      <w:proofErr w:type="spellStart"/>
      <w:r w:rsidRPr="001959F2">
        <w:rPr>
          <w:rFonts w:ascii="Calibri" w:hAnsi="Calibri"/>
          <w:spacing w:val="0"/>
          <w:sz w:val="22"/>
          <w:szCs w:val="22"/>
        </w:rPr>
        <w:t>Rejuvinate</w:t>
      </w:r>
      <w:proofErr w:type="spellEnd"/>
      <w:r w:rsidRPr="001959F2">
        <w:rPr>
          <w:rFonts w:ascii="Calibri" w:hAnsi="Calibri"/>
          <w:spacing w:val="0"/>
          <w:sz w:val="22"/>
          <w:szCs w:val="22"/>
        </w:rPr>
        <w:t xml:space="preserve"> Biomed, Teva, </w:t>
      </w:r>
      <w:proofErr w:type="spellStart"/>
      <w:r w:rsidRPr="001959F2">
        <w:rPr>
          <w:rFonts w:ascii="Calibri" w:hAnsi="Calibri"/>
          <w:spacing w:val="0"/>
          <w:sz w:val="22"/>
          <w:szCs w:val="22"/>
        </w:rPr>
        <w:t>Theramex</w:t>
      </w:r>
      <w:proofErr w:type="spellEnd"/>
      <w:r w:rsidRPr="001959F2">
        <w:rPr>
          <w:rFonts w:ascii="Calibri" w:hAnsi="Calibri"/>
          <w:spacing w:val="0"/>
          <w:sz w:val="22"/>
          <w:szCs w:val="22"/>
        </w:rPr>
        <w:t xml:space="preserve">, Pfizer, Mithra Pharmaceuticals, CNIEL, Dairy Research Council, </w:t>
      </w:r>
      <w:proofErr w:type="spellStart"/>
      <w:r w:rsidRPr="001959F2">
        <w:rPr>
          <w:rFonts w:ascii="Calibri" w:hAnsi="Calibri"/>
          <w:spacing w:val="0"/>
          <w:sz w:val="22"/>
          <w:szCs w:val="22"/>
        </w:rPr>
        <w:t>Nutricia</w:t>
      </w:r>
      <w:proofErr w:type="spellEnd"/>
      <w:r w:rsidRPr="001959F2">
        <w:rPr>
          <w:rFonts w:ascii="Calibri" w:hAnsi="Calibri"/>
          <w:spacing w:val="0"/>
          <w:sz w:val="22"/>
          <w:szCs w:val="22"/>
        </w:rPr>
        <w:t xml:space="preserve">, Danone and </w:t>
      </w:r>
      <w:proofErr w:type="spellStart"/>
      <w:r w:rsidRPr="001959F2">
        <w:rPr>
          <w:rFonts w:ascii="Calibri" w:hAnsi="Calibri"/>
          <w:spacing w:val="0"/>
          <w:sz w:val="22"/>
          <w:szCs w:val="22"/>
        </w:rPr>
        <w:t>Agnovos</w:t>
      </w:r>
      <w:proofErr w:type="spellEnd"/>
      <w:r w:rsidRPr="001959F2">
        <w:rPr>
          <w:rFonts w:ascii="Calibri" w:hAnsi="Calibri"/>
          <w:spacing w:val="0"/>
          <w:sz w:val="22"/>
          <w:szCs w:val="22"/>
        </w:rPr>
        <w:t>, and industry grants (all through institution) from IBSA-</w:t>
      </w:r>
      <w:proofErr w:type="spellStart"/>
      <w:r w:rsidRPr="001959F2">
        <w:rPr>
          <w:rFonts w:ascii="Calibri" w:hAnsi="Calibri"/>
          <w:spacing w:val="0"/>
          <w:sz w:val="22"/>
          <w:szCs w:val="22"/>
        </w:rPr>
        <w:t>Genevrier</w:t>
      </w:r>
      <w:proofErr w:type="spellEnd"/>
      <w:r w:rsidRPr="001959F2">
        <w:rPr>
          <w:rFonts w:ascii="Calibri" w:hAnsi="Calibri"/>
          <w:spacing w:val="0"/>
          <w:sz w:val="22"/>
          <w:szCs w:val="22"/>
        </w:rPr>
        <w:t>, Mylan, CNIEL, Radius Health and TRB, outside the submitted work.</w:t>
      </w:r>
    </w:p>
    <w:p w14:paraId="1344D231" w14:textId="6C70BEC0" w:rsidR="00606FC2" w:rsidRPr="00606FC2" w:rsidRDefault="00606FC2" w:rsidP="00DA1521">
      <w:pPr>
        <w:pStyle w:val="BodyText2"/>
        <w:spacing w:line="276" w:lineRule="auto"/>
        <w:ind w:left="0" w:firstLine="0"/>
        <w:rPr>
          <w:rFonts w:ascii="Calibri" w:hAnsi="Calibri"/>
          <w:b/>
          <w:spacing w:val="0"/>
          <w:sz w:val="22"/>
          <w:szCs w:val="22"/>
        </w:rPr>
      </w:pPr>
      <w:r w:rsidRPr="00606FC2">
        <w:rPr>
          <w:rFonts w:ascii="Calibri" w:hAnsi="Calibri"/>
          <w:b/>
          <w:spacing w:val="0"/>
          <w:sz w:val="22"/>
          <w:szCs w:val="22"/>
        </w:rPr>
        <w:t>Acknowledgements</w:t>
      </w:r>
    </w:p>
    <w:p w14:paraId="7C27A94B" w14:textId="7BA6DBB1" w:rsidR="00B0162E" w:rsidRDefault="004C5B60" w:rsidP="00095CE6">
      <w:pPr>
        <w:pStyle w:val="BodyText2"/>
        <w:spacing w:after="0" w:line="276" w:lineRule="auto"/>
        <w:ind w:left="0" w:firstLine="0"/>
        <w:rPr>
          <w:rFonts w:ascii="Calibri" w:hAnsi="Calibri"/>
          <w:spacing w:val="0"/>
          <w:szCs w:val="24"/>
        </w:rPr>
      </w:pPr>
      <w:r w:rsidRPr="004C5B60">
        <w:rPr>
          <w:rFonts w:ascii="Calibri" w:hAnsi="Calibri"/>
          <w:spacing w:val="0"/>
          <w:szCs w:val="24"/>
        </w:rPr>
        <w:t>We are grateful to the IOF Committee of Scientific</w:t>
      </w:r>
      <w:r w:rsidR="00983881">
        <w:rPr>
          <w:rFonts w:ascii="Calibri" w:hAnsi="Calibri"/>
          <w:spacing w:val="0"/>
          <w:szCs w:val="24"/>
        </w:rPr>
        <w:t xml:space="preserve"> </w:t>
      </w:r>
      <w:r w:rsidRPr="004C5B60">
        <w:rPr>
          <w:rFonts w:ascii="Calibri" w:hAnsi="Calibri"/>
          <w:spacing w:val="0"/>
          <w:szCs w:val="24"/>
        </w:rPr>
        <w:t>Advisors</w:t>
      </w:r>
      <w:r w:rsidR="007069E5">
        <w:rPr>
          <w:rFonts w:ascii="Calibri" w:hAnsi="Calibri"/>
          <w:spacing w:val="0"/>
          <w:szCs w:val="24"/>
        </w:rPr>
        <w:t>,</w:t>
      </w:r>
      <w:r w:rsidRPr="004C5B60">
        <w:rPr>
          <w:rFonts w:ascii="Calibri" w:hAnsi="Calibri"/>
          <w:spacing w:val="0"/>
          <w:szCs w:val="24"/>
        </w:rPr>
        <w:t xml:space="preserve"> the </w:t>
      </w:r>
      <w:r w:rsidR="007069E5">
        <w:rPr>
          <w:rFonts w:ascii="Calibri" w:hAnsi="Calibri"/>
          <w:spacing w:val="0"/>
          <w:szCs w:val="24"/>
        </w:rPr>
        <w:t xml:space="preserve">IOF </w:t>
      </w:r>
      <w:r w:rsidRPr="004C5B60">
        <w:rPr>
          <w:rFonts w:ascii="Calibri" w:hAnsi="Calibri"/>
          <w:spacing w:val="0"/>
          <w:szCs w:val="24"/>
        </w:rPr>
        <w:t xml:space="preserve">Committee of National Societies </w:t>
      </w:r>
      <w:r w:rsidR="00095CE6">
        <w:rPr>
          <w:rFonts w:ascii="Calibri" w:hAnsi="Calibri"/>
          <w:spacing w:val="0"/>
          <w:szCs w:val="24"/>
        </w:rPr>
        <w:t xml:space="preserve">and </w:t>
      </w:r>
      <w:r w:rsidRPr="004C5B60">
        <w:rPr>
          <w:rFonts w:ascii="Calibri" w:hAnsi="Calibri"/>
          <w:spacing w:val="0"/>
          <w:szCs w:val="24"/>
        </w:rPr>
        <w:t>to the ESCEO</w:t>
      </w:r>
      <w:r w:rsidR="00095CE6">
        <w:rPr>
          <w:rFonts w:ascii="Calibri" w:hAnsi="Calibri"/>
          <w:spacing w:val="0"/>
          <w:szCs w:val="24"/>
        </w:rPr>
        <w:t xml:space="preserve"> </w:t>
      </w:r>
      <w:r w:rsidRPr="004C5B60">
        <w:rPr>
          <w:rFonts w:ascii="Calibri" w:hAnsi="Calibri"/>
          <w:spacing w:val="0"/>
          <w:szCs w:val="24"/>
        </w:rPr>
        <w:t>Scientific Advisory Board for their review of this paper and its endorsement.</w:t>
      </w:r>
      <w:r w:rsidR="00925049" w:rsidRPr="00925049">
        <w:rPr>
          <w:rFonts w:ascii="Calibri" w:hAnsi="Calibri"/>
          <w:spacing w:val="0"/>
          <w:szCs w:val="24"/>
        </w:rPr>
        <w:t xml:space="preserve"> </w:t>
      </w:r>
    </w:p>
    <w:p w14:paraId="1896A526" w14:textId="021A269C" w:rsidR="00EB3951" w:rsidRDefault="00EB3951" w:rsidP="00B0162E">
      <w:pPr>
        <w:pStyle w:val="BodyText2"/>
        <w:spacing w:after="0" w:line="276" w:lineRule="auto"/>
        <w:ind w:left="0" w:firstLine="0"/>
        <w:rPr>
          <w:rFonts w:ascii="Calibri" w:hAnsi="Calibri"/>
          <w:b/>
          <w:spacing w:val="0"/>
          <w:szCs w:val="24"/>
        </w:rPr>
      </w:pPr>
    </w:p>
    <w:p w14:paraId="2DD2F10A" w14:textId="7A3B7F30" w:rsidR="00B0162E" w:rsidRPr="00B84950" w:rsidRDefault="00B0162E" w:rsidP="00B0162E">
      <w:pPr>
        <w:pStyle w:val="BodyText2"/>
        <w:spacing w:after="0" w:line="276" w:lineRule="auto"/>
        <w:ind w:left="0" w:firstLine="0"/>
        <w:rPr>
          <w:rFonts w:ascii="Calibri" w:hAnsi="Calibri"/>
          <w:b/>
          <w:spacing w:val="0"/>
          <w:szCs w:val="24"/>
        </w:rPr>
      </w:pPr>
      <w:r w:rsidRPr="00B84950">
        <w:rPr>
          <w:rFonts w:ascii="Calibri" w:hAnsi="Calibri"/>
          <w:b/>
          <w:spacing w:val="0"/>
          <w:szCs w:val="24"/>
        </w:rPr>
        <w:t>References</w:t>
      </w:r>
      <w:r w:rsidR="00AB476B" w:rsidRPr="00B84950">
        <w:rPr>
          <w:rFonts w:ascii="Calibri" w:hAnsi="Calibri"/>
          <w:b/>
          <w:spacing w:val="0"/>
          <w:szCs w:val="24"/>
        </w:rPr>
        <w:t xml:space="preserve"> </w:t>
      </w:r>
    </w:p>
    <w:tbl>
      <w:tblPr>
        <w:tblStyle w:val="TableGrid"/>
        <w:tblW w:w="91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8595"/>
      </w:tblGrid>
      <w:tr w:rsidR="00D3694D" w:rsidRPr="00D3694D" w14:paraId="6AA03665" w14:textId="77777777" w:rsidTr="00600902">
        <w:trPr>
          <w:trHeight w:val="819"/>
        </w:trPr>
        <w:tc>
          <w:tcPr>
            <w:tcW w:w="568" w:type="dxa"/>
          </w:tcPr>
          <w:p w14:paraId="08FBC93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w:t>
            </w:r>
          </w:p>
        </w:tc>
        <w:tc>
          <w:tcPr>
            <w:tcW w:w="8595" w:type="dxa"/>
          </w:tcPr>
          <w:p w14:paraId="3E62AD54"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Harvey NCW, McCloskey EV, Mitchell PJ, Dawson-Hughes B, Pierroz DD, Reginster J-Y, Rizzoli R Cooper C, Kanis JA (2017) Mind the (treatment) gap: a global perspective on current and future strategies for prevention of fragility fractures.  Osteoporos Int 28: 1507-1529</w:t>
            </w:r>
          </w:p>
        </w:tc>
      </w:tr>
      <w:tr w:rsidR="00D3694D" w:rsidRPr="00D3694D" w14:paraId="1C337F15" w14:textId="77777777" w:rsidTr="00600902">
        <w:tc>
          <w:tcPr>
            <w:tcW w:w="568" w:type="dxa"/>
          </w:tcPr>
          <w:p w14:paraId="1F53BA74"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2.</w:t>
            </w:r>
          </w:p>
        </w:tc>
        <w:tc>
          <w:tcPr>
            <w:tcW w:w="8595" w:type="dxa"/>
          </w:tcPr>
          <w:p w14:paraId="6A24ADFC" w14:textId="77777777" w:rsidR="00D3694D" w:rsidRPr="00D3694D" w:rsidRDefault="00D3694D" w:rsidP="00D3694D">
            <w:pPr>
              <w:autoSpaceDE w:val="0"/>
              <w:autoSpaceDN w:val="0"/>
              <w:adjustRightInd w:val="0"/>
              <w:rPr>
                <w:rFonts w:ascii="Calibri" w:hAnsi="Calibri" w:cs="Calibri"/>
              </w:rPr>
            </w:pPr>
            <w:r w:rsidRPr="00D3694D">
              <w:rPr>
                <w:rFonts w:ascii="Calibri" w:eastAsia="Calibri" w:hAnsi="Calibri" w:cs="Calibri"/>
              </w:rPr>
              <w:t xml:space="preserve">McCloskey, E., Rathi, J., </w:t>
            </w:r>
            <w:proofErr w:type="spellStart"/>
            <w:r w:rsidRPr="00D3694D">
              <w:rPr>
                <w:rFonts w:ascii="Calibri" w:eastAsia="Calibri" w:hAnsi="Calibri" w:cs="Calibri"/>
              </w:rPr>
              <w:t>Heijmans</w:t>
            </w:r>
            <w:proofErr w:type="spellEnd"/>
            <w:r w:rsidRPr="00D3694D">
              <w:rPr>
                <w:rFonts w:ascii="Calibri" w:eastAsia="Calibri" w:hAnsi="Calibri" w:cs="Calibri"/>
              </w:rPr>
              <w:t xml:space="preserve">, S., Blagden, M., Cortet, B., Czerwinski, E., Hadji P, Payer J, Palmer K, </w:t>
            </w:r>
            <w:proofErr w:type="spellStart"/>
            <w:r w:rsidRPr="00D3694D">
              <w:rPr>
                <w:rFonts w:ascii="Calibri" w:eastAsia="Calibri" w:hAnsi="Calibri" w:cs="Calibri"/>
              </w:rPr>
              <w:t>Stad</w:t>
            </w:r>
            <w:proofErr w:type="spellEnd"/>
            <w:r w:rsidRPr="00D3694D">
              <w:rPr>
                <w:rFonts w:ascii="Calibri" w:eastAsia="Calibri" w:hAnsi="Calibri" w:cs="Calibri"/>
              </w:rPr>
              <w:t xml:space="preserve"> R, O'Kelly J, Papapoulos S (2021). The osteoporosis treatment gap in patients at risk of fracture in European primary care: a multi-country cross-sectional observational study. Osteoporos Int, 32(2), 251-259.</w:t>
            </w:r>
          </w:p>
        </w:tc>
      </w:tr>
      <w:tr w:rsidR="00D3694D" w:rsidRPr="00D3694D" w14:paraId="4DD93B21" w14:textId="77777777" w:rsidTr="00600902">
        <w:tc>
          <w:tcPr>
            <w:tcW w:w="568" w:type="dxa"/>
            <w:shd w:val="clear" w:color="auto" w:fill="auto"/>
          </w:tcPr>
          <w:p w14:paraId="7E9EF6A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w:t>
            </w:r>
          </w:p>
        </w:tc>
        <w:tc>
          <w:tcPr>
            <w:tcW w:w="8595" w:type="dxa"/>
            <w:shd w:val="clear" w:color="auto" w:fill="auto"/>
          </w:tcPr>
          <w:p w14:paraId="336892EC" w14:textId="77777777" w:rsidR="00D3694D" w:rsidRPr="00D3694D" w:rsidRDefault="00D3694D" w:rsidP="00D3694D">
            <w:pPr>
              <w:autoSpaceDE w:val="0"/>
              <w:autoSpaceDN w:val="0"/>
              <w:adjustRightInd w:val="0"/>
              <w:rPr>
                <w:rFonts w:ascii="Calibri" w:hAnsi="Calibri" w:cs="Calibri"/>
                <w:shd w:val="clear" w:color="auto" w:fill="FFFF00"/>
                <w:lang w:val="en"/>
              </w:rPr>
            </w:pPr>
            <w:r w:rsidRPr="00D3694D">
              <w:rPr>
                <w:rFonts w:ascii="Calibri" w:eastAsia="Calibri" w:hAnsi="Calibri" w:cs="Calibri"/>
              </w:rPr>
              <w:t>Skjødt MK, Ernst MT, Khalid S, Libanati C, Cooper C, Delmestri A, Rubin KH, Javaid MK, Martinez-Laguna D, Toth E, Prieto-Alhambra D, Abrahamsen B (2021). The treatment gap after major osteoporotic fractures in Denmark 2005-2014: a combined analysis including both prescription-based and hospital-administered anti-osteoporosis medications. Osteoporos Int, 32(10), 1961-1971.</w:t>
            </w:r>
          </w:p>
        </w:tc>
      </w:tr>
      <w:tr w:rsidR="00D3694D" w:rsidRPr="00D3694D" w14:paraId="6B2C6A08" w14:textId="77777777" w:rsidTr="00600902">
        <w:tc>
          <w:tcPr>
            <w:tcW w:w="568" w:type="dxa"/>
          </w:tcPr>
          <w:p w14:paraId="21BE413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w:t>
            </w:r>
          </w:p>
        </w:tc>
        <w:tc>
          <w:tcPr>
            <w:tcW w:w="8595" w:type="dxa"/>
          </w:tcPr>
          <w:p w14:paraId="1AD7FDB3"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Siris ES, Adler R, Bilezikian J, Bolognese M, Dawson-Hughes B, Favus MJ, Harris ST, Jan de </w:t>
            </w:r>
            <w:proofErr w:type="spellStart"/>
            <w:r w:rsidRPr="00D3694D">
              <w:rPr>
                <w:rFonts w:ascii="Calibri" w:eastAsia="Calibri" w:hAnsi="Calibri" w:cs="Calibri"/>
              </w:rPr>
              <w:t>Beur</w:t>
            </w:r>
            <w:proofErr w:type="spellEnd"/>
            <w:r w:rsidRPr="00D3694D">
              <w:rPr>
                <w:rFonts w:ascii="Calibri" w:eastAsia="Calibri" w:hAnsi="Calibri" w:cs="Calibri"/>
              </w:rPr>
              <w:t xml:space="preserve"> SM, Khosla S, Lane NE, Lindsay R, Nana AD, Orwoll ES, Saag K, Silverman S, Watts NB (2014) The clinical diagnosis of osteoporosis: a position statement from the National Bone Health Alliance Working Group. Osteoporos Int. 2014; 25: 1439–1443.</w:t>
            </w:r>
          </w:p>
        </w:tc>
      </w:tr>
      <w:tr w:rsidR="00D3694D" w:rsidRPr="00D3694D" w14:paraId="27BB3231" w14:textId="77777777" w:rsidTr="00600902">
        <w:tc>
          <w:tcPr>
            <w:tcW w:w="568" w:type="dxa"/>
          </w:tcPr>
          <w:p w14:paraId="21ECA2FA"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w:t>
            </w:r>
          </w:p>
        </w:tc>
        <w:tc>
          <w:tcPr>
            <w:tcW w:w="8595" w:type="dxa"/>
          </w:tcPr>
          <w:p w14:paraId="0E352438"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Paskins Z, Ong T, Armstrong DJ (2020) Bringing osteoporosis up to date: time to address the identity crisis. Age Ageing 49: 329-331</w:t>
            </w:r>
          </w:p>
        </w:tc>
      </w:tr>
      <w:tr w:rsidR="00D3694D" w:rsidRPr="00D3694D" w14:paraId="657DC7EF" w14:textId="77777777" w:rsidTr="00600902">
        <w:tc>
          <w:tcPr>
            <w:tcW w:w="568" w:type="dxa"/>
          </w:tcPr>
          <w:p w14:paraId="53813DF8"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bCs/>
                <w:lang w:val="sv-SE"/>
              </w:rPr>
              <w:lastRenderedPageBreak/>
              <w:t>6.</w:t>
            </w:r>
          </w:p>
        </w:tc>
        <w:tc>
          <w:tcPr>
            <w:tcW w:w="8595" w:type="dxa"/>
          </w:tcPr>
          <w:p w14:paraId="20332777"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Anonymous (1993) Consensus development conference: Diagnosis, </w:t>
            </w:r>
            <w:proofErr w:type="gramStart"/>
            <w:r w:rsidRPr="00D3694D">
              <w:rPr>
                <w:rFonts w:ascii="Calibri" w:eastAsia="Calibri" w:hAnsi="Calibri" w:cs="Calibri"/>
              </w:rPr>
              <w:t>prophylaxis</w:t>
            </w:r>
            <w:proofErr w:type="gramEnd"/>
            <w:r w:rsidRPr="00D3694D">
              <w:rPr>
                <w:rFonts w:ascii="Calibri" w:eastAsia="Calibri" w:hAnsi="Calibri" w:cs="Calibri"/>
              </w:rPr>
              <w:t xml:space="preserve"> and treatment of osteoporosis. Am J Med 94: 646-650.</w:t>
            </w:r>
          </w:p>
        </w:tc>
      </w:tr>
      <w:tr w:rsidR="00D3694D" w:rsidRPr="00D3694D" w14:paraId="1AB2BCE3" w14:textId="77777777" w:rsidTr="00600902">
        <w:tc>
          <w:tcPr>
            <w:tcW w:w="568" w:type="dxa"/>
          </w:tcPr>
          <w:p w14:paraId="256C158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w:t>
            </w:r>
          </w:p>
        </w:tc>
        <w:tc>
          <w:tcPr>
            <w:tcW w:w="8595" w:type="dxa"/>
          </w:tcPr>
          <w:p w14:paraId="3E81F577"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NIH Consensus Development Panel on Osteoporosis Prevention, Diagnosis, and Therapy (2001) Osteoporosis prevention, diagnosis, and therapy. JAMA 285:785–95.</w:t>
            </w:r>
          </w:p>
        </w:tc>
      </w:tr>
      <w:tr w:rsidR="00D3694D" w:rsidRPr="00D3694D" w14:paraId="20084EA1" w14:textId="77777777" w:rsidTr="00600902">
        <w:tc>
          <w:tcPr>
            <w:tcW w:w="568" w:type="dxa"/>
          </w:tcPr>
          <w:p w14:paraId="5604FE18"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8.</w:t>
            </w:r>
          </w:p>
        </w:tc>
        <w:tc>
          <w:tcPr>
            <w:tcW w:w="8595" w:type="dxa"/>
          </w:tcPr>
          <w:p w14:paraId="1894D050"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World Health Organization (1994) Assessment of fracture risk and its application to screening for postmenopausal osteoporosis. Report of a WHO study group WHO Technical Report </w:t>
            </w:r>
            <w:proofErr w:type="gramStart"/>
            <w:r w:rsidRPr="00D3694D">
              <w:rPr>
                <w:rFonts w:ascii="Calibri" w:eastAsia="Calibri" w:hAnsi="Calibri" w:cs="Calibri"/>
              </w:rPr>
              <w:t>Series  843</w:t>
            </w:r>
            <w:proofErr w:type="gramEnd"/>
            <w:r w:rsidRPr="00D3694D">
              <w:rPr>
                <w:rFonts w:ascii="Calibri" w:eastAsia="Calibri" w:hAnsi="Calibri" w:cs="Calibri"/>
              </w:rPr>
              <w:t xml:space="preserve">, Geneva: World Health Organization </w:t>
            </w:r>
          </w:p>
        </w:tc>
      </w:tr>
      <w:tr w:rsidR="00D3694D" w:rsidRPr="00D3694D" w14:paraId="7E8B347D" w14:textId="77777777" w:rsidTr="00600902">
        <w:tc>
          <w:tcPr>
            <w:tcW w:w="568" w:type="dxa"/>
          </w:tcPr>
          <w:p w14:paraId="79BD277D" w14:textId="77777777" w:rsidR="00D3694D" w:rsidRPr="00D3694D" w:rsidRDefault="00D3694D" w:rsidP="00D3694D">
            <w:pPr>
              <w:autoSpaceDE w:val="0"/>
              <w:autoSpaceDN w:val="0"/>
              <w:adjustRightInd w:val="0"/>
              <w:jc w:val="right"/>
              <w:rPr>
                <w:rFonts w:ascii="Calibri" w:eastAsia="Calibri" w:hAnsi="Calibri" w:cs="Calibri"/>
                <w:bCs/>
                <w:lang w:val="sv-SE"/>
              </w:rPr>
            </w:pPr>
            <w:r w:rsidRPr="00D3694D">
              <w:rPr>
                <w:rFonts w:ascii="Calibri" w:eastAsia="Calibri" w:hAnsi="Calibri" w:cs="Calibri"/>
              </w:rPr>
              <w:t>9.</w:t>
            </w:r>
          </w:p>
        </w:tc>
        <w:tc>
          <w:tcPr>
            <w:tcW w:w="8595" w:type="dxa"/>
          </w:tcPr>
          <w:p w14:paraId="68A0DEAB" w14:textId="77777777" w:rsidR="00D3694D" w:rsidRPr="00D3694D" w:rsidRDefault="00D3694D" w:rsidP="00D3694D">
            <w:pPr>
              <w:autoSpaceDE w:val="0"/>
              <w:autoSpaceDN w:val="0"/>
              <w:adjustRightInd w:val="0"/>
              <w:rPr>
                <w:rFonts w:ascii="Calibri" w:eastAsia="Calibri" w:hAnsi="Calibri" w:cs="Calibri"/>
                <w:bCs/>
                <w:lang w:val="sv-SE"/>
              </w:rPr>
            </w:pPr>
            <w:r w:rsidRPr="00D3694D">
              <w:rPr>
                <w:rFonts w:ascii="Calibri" w:eastAsia="Calibri" w:hAnsi="Calibri" w:cs="Calibri"/>
              </w:rPr>
              <w:t>Kanis JA, Melton LJ 3rd, Christiansen C, Johnston CC, Khaltaev N (1994) The diagnosis of osteoporosis. J Bone Miner Res 9:1137-1141.</w:t>
            </w:r>
          </w:p>
        </w:tc>
      </w:tr>
      <w:tr w:rsidR="00D3694D" w:rsidRPr="00D3694D" w14:paraId="674CE2F6" w14:textId="77777777" w:rsidTr="00600902">
        <w:tc>
          <w:tcPr>
            <w:tcW w:w="568" w:type="dxa"/>
          </w:tcPr>
          <w:p w14:paraId="3D698E9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bCs/>
                <w:lang w:val="sv-SE"/>
              </w:rPr>
              <w:t>10.</w:t>
            </w:r>
          </w:p>
        </w:tc>
        <w:tc>
          <w:tcPr>
            <w:tcW w:w="8595" w:type="dxa"/>
          </w:tcPr>
          <w:p w14:paraId="15909911"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McCloskey EV, Johansson H, Oden A, Melton LJ, III, Khaltaev N (2008) A reference standard for the description of osteoporosis. Bone 42:467-75.</w:t>
            </w:r>
          </w:p>
        </w:tc>
      </w:tr>
      <w:tr w:rsidR="00D3694D" w:rsidRPr="00D3694D" w14:paraId="7064B196" w14:textId="77777777" w:rsidTr="00600902">
        <w:tc>
          <w:tcPr>
            <w:tcW w:w="568" w:type="dxa"/>
          </w:tcPr>
          <w:p w14:paraId="0BABE3A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bCs/>
                <w:lang w:val="sv-SE"/>
              </w:rPr>
              <w:t>11.</w:t>
            </w:r>
          </w:p>
        </w:tc>
        <w:tc>
          <w:tcPr>
            <w:tcW w:w="8595" w:type="dxa"/>
          </w:tcPr>
          <w:p w14:paraId="5C48D01C"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lang w:val="nb-NO"/>
              </w:rPr>
              <w:t>Looker AC, Wahner HW, Dunn WL, Calvo MS, Harris TB, Heyse SP,</w:t>
            </w:r>
            <w:r w:rsidRPr="00D3694D">
              <w:rPr>
                <w:rFonts w:ascii="Calibri" w:eastAsia="Calibri" w:hAnsi="Calibri" w:cs="Calibri"/>
              </w:rPr>
              <w:t xml:space="preserve"> </w:t>
            </w:r>
            <w:r w:rsidRPr="00D3694D">
              <w:rPr>
                <w:rFonts w:ascii="Calibri" w:eastAsia="Calibri" w:hAnsi="Calibri" w:cs="Calibri"/>
                <w:lang w:val="nb-NO"/>
              </w:rPr>
              <w:t>Johnston CC Jr, Lindsay R (1998) Updated data on proximal femur bone mineral levels of US adults. Osteoporos Int 8: 468-89.</w:t>
            </w:r>
          </w:p>
        </w:tc>
      </w:tr>
      <w:tr w:rsidR="00D3694D" w:rsidRPr="00D3694D" w14:paraId="125F99CD" w14:textId="77777777" w:rsidTr="00600902">
        <w:tc>
          <w:tcPr>
            <w:tcW w:w="568" w:type="dxa"/>
          </w:tcPr>
          <w:p w14:paraId="61FDCB8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12.</w:t>
            </w:r>
          </w:p>
        </w:tc>
        <w:tc>
          <w:tcPr>
            <w:tcW w:w="8595" w:type="dxa"/>
          </w:tcPr>
          <w:p w14:paraId="607562E3"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Binkley N, Bilezikian JP, Kendler DL, </w:t>
            </w:r>
            <w:proofErr w:type="spellStart"/>
            <w:r w:rsidRPr="00D3694D">
              <w:rPr>
                <w:rFonts w:ascii="Calibri" w:eastAsia="Calibri" w:hAnsi="Calibri" w:cs="Calibri"/>
              </w:rPr>
              <w:t>Leib</w:t>
            </w:r>
            <w:proofErr w:type="spellEnd"/>
            <w:r w:rsidRPr="00D3694D">
              <w:rPr>
                <w:rFonts w:ascii="Calibri" w:eastAsia="Calibri" w:hAnsi="Calibri" w:cs="Calibri"/>
              </w:rPr>
              <w:t xml:space="preserve"> ES, </w:t>
            </w:r>
            <w:proofErr w:type="spellStart"/>
            <w:r w:rsidRPr="00D3694D">
              <w:rPr>
                <w:rFonts w:ascii="Calibri" w:eastAsia="Calibri" w:hAnsi="Calibri" w:cs="Calibri"/>
              </w:rPr>
              <w:t>Lewiecki</w:t>
            </w:r>
            <w:proofErr w:type="spellEnd"/>
            <w:r w:rsidRPr="00D3694D">
              <w:rPr>
                <w:rFonts w:ascii="Calibri" w:eastAsia="Calibri" w:hAnsi="Calibri" w:cs="Calibri"/>
              </w:rPr>
              <w:t xml:space="preserve"> EM, </w:t>
            </w:r>
            <w:proofErr w:type="spellStart"/>
            <w:r w:rsidRPr="00D3694D">
              <w:rPr>
                <w:rFonts w:ascii="Calibri" w:eastAsia="Calibri" w:hAnsi="Calibri" w:cs="Calibri"/>
              </w:rPr>
              <w:t>Petak</w:t>
            </w:r>
            <w:proofErr w:type="spellEnd"/>
            <w:r w:rsidRPr="00D3694D">
              <w:rPr>
                <w:rFonts w:ascii="Calibri" w:eastAsia="Calibri" w:hAnsi="Calibri" w:cs="Calibri"/>
              </w:rPr>
              <w:t xml:space="preserve"> SM, International Society for Clinical Densitometry (2006) Official positions of the International Society for Clinical Densitometry and Executive Summary of the 2005 Position Development Conference. J Clin </w:t>
            </w:r>
            <w:proofErr w:type="spellStart"/>
            <w:proofErr w:type="gramStart"/>
            <w:r w:rsidRPr="00D3694D">
              <w:rPr>
                <w:rFonts w:ascii="Calibri" w:eastAsia="Calibri" w:hAnsi="Calibri" w:cs="Calibri"/>
              </w:rPr>
              <w:t>Densitom</w:t>
            </w:r>
            <w:proofErr w:type="spellEnd"/>
            <w:r w:rsidRPr="00D3694D">
              <w:rPr>
                <w:rFonts w:ascii="Calibri" w:eastAsia="Calibri" w:hAnsi="Calibri" w:cs="Calibri"/>
              </w:rPr>
              <w:t xml:space="preserve">  9</w:t>
            </w:r>
            <w:proofErr w:type="gramEnd"/>
            <w:r w:rsidRPr="00D3694D">
              <w:rPr>
                <w:rFonts w:ascii="Calibri" w:eastAsia="Calibri" w:hAnsi="Calibri" w:cs="Calibri"/>
              </w:rPr>
              <w:t>: 4–14.</w:t>
            </w:r>
          </w:p>
        </w:tc>
      </w:tr>
      <w:tr w:rsidR="00D3694D" w:rsidRPr="00D3694D" w14:paraId="5A918FC2" w14:textId="77777777" w:rsidTr="00600902">
        <w:tc>
          <w:tcPr>
            <w:tcW w:w="568" w:type="dxa"/>
          </w:tcPr>
          <w:p w14:paraId="789C0032" w14:textId="77777777" w:rsidR="00D3694D" w:rsidRPr="00D3694D" w:rsidRDefault="00D3694D" w:rsidP="00D3694D">
            <w:pPr>
              <w:autoSpaceDE w:val="0"/>
              <w:autoSpaceDN w:val="0"/>
              <w:adjustRightInd w:val="0"/>
              <w:jc w:val="right"/>
              <w:rPr>
                <w:rFonts w:ascii="Calibri" w:eastAsia="Calibri" w:hAnsi="Calibri" w:cs="Calibri"/>
                <w:bCs/>
                <w:lang w:val="sv-SE"/>
              </w:rPr>
            </w:pPr>
            <w:r w:rsidRPr="00D3694D">
              <w:rPr>
                <w:rFonts w:ascii="Calibri" w:eastAsia="Calibri" w:hAnsi="Calibri" w:cs="Calibri"/>
              </w:rPr>
              <w:t>13.</w:t>
            </w:r>
          </w:p>
        </w:tc>
        <w:tc>
          <w:tcPr>
            <w:tcW w:w="8595" w:type="dxa"/>
          </w:tcPr>
          <w:p w14:paraId="13C07D3F" w14:textId="77777777" w:rsidR="00D3694D" w:rsidRPr="00D3694D" w:rsidRDefault="00D3694D" w:rsidP="00D3694D">
            <w:pPr>
              <w:autoSpaceDE w:val="0"/>
              <w:autoSpaceDN w:val="0"/>
              <w:adjustRightInd w:val="0"/>
              <w:rPr>
                <w:rFonts w:ascii="Calibri" w:eastAsia="Calibri" w:hAnsi="Calibri" w:cs="Calibri"/>
                <w:bCs/>
                <w:lang w:val="sv-SE"/>
              </w:rPr>
            </w:pPr>
            <w:r w:rsidRPr="00D3694D">
              <w:rPr>
                <w:rFonts w:ascii="Calibri" w:eastAsia="Calibri" w:hAnsi="Calibri" w:cs="Calibri"/>
              </w:rPr>
              <w:t>Kanis JA, Glüer CC, for the Committee of Scientific Advisors, International Osteoporosis Foundation (2000) An update on the diagnosis and assessment of osteoporosis with densitometry. Osteoporos Int 11: 192–202.</w:t>
            </w:r>
          </w:p>
        </w:tc>
      </w:tr>
      <w:tr w:rsidR="00D3694D" w:rsidRPr="00D3694D" w14:paraId="1AA6ACE8" w14:textId="77777777" w:rsidTr="00600902">
        <w:tc>
          <w:tcPr>
            <w:tcW w:w="568" w:type="dxa"/>
          </w:tcPr>
          <w:p w14:paraId="1D44F652" w14:textId="77777777" w:rsidR="00D3694D" w:rsidRPr="00D3694D" w:rsidRDefault="00D3694D" w:rsidP="00D3694D">
            <w:pPr>
              <w:autoSpaceDE w:val="0"/>
              <w:autoSpaceDN w:val="0"/>
              <w:adjustRightInd w:val="0"/>
              <w:jc w:val="right"/>
              <w:rPr>
                <w:rFonts w:ascii="Calibri" w:eastAsia="Calibri" w:hAnsi="Calibri" w:cs="Calibri"/>
                <w:bCs/>
                <w:lang w:val="sv-SE"/>
              </w:rPr>
            </w:pPr>
            <w:r w:rsidRPr="00D3694D">
              <w:rPr>
                <w:rFonts w:ascii="Calibri" w:eastAsia="Calibri" w:hAnsi="Calibri" w:cs="Calibri"/>
              </w:rPr>
              <w:t>14.</w:t>
            </w:r>
          </w:p>
        </w:tc>
        <w:tc>
          <w:tcPr>
            <w:tcW w:w="8595" w:type="dxa"/>
          </w:tcPr>
          <w:p w14:paraId="79AA7064" w14:textId="77777777" w:rsidR="00D3694D" w:rsidRPr="00D3694D" w:rsidRDefault="00D3694D" w:rsidP="00D3694D">
            <w:pPr>
              <w:autoSpaceDE w:val="0"/>
              <w:autoSpaceDN w:val="0"/>
              <w:adjustRightInd w:val="0"/>
              <w:rPr>
                <w:rFonts w:ascii="Calibri" w:eastAsia="Calibri" w:hAnsi="Calibri" w:cs="Calibri"/>
                <w:bCs/>
                <w:lang w:val="sv-SE"/>
              </w:rPr>
            </w:pPr>
            <w:r w:rsidRPr="00D3694D">
              <w:rPr>
                <w:rFonts w:ascii="Calibri" w:eastAsia="Calibri" w:hAnsi="Calibri" w:cs="Calibri"/>
                <w:lang w:val="sv-SE"/>
              </w:rPr>
              <w:t xml:space="preserve">Kanis JA, Black D, Cooper C, Dargent P, Dawson-Hughes B, De Laet C, Delmas P, Eisman J, Johnell O, Jonsson B, Melton L, Oden A, Papapoulos S, Pols H, Rizzoli R, Silman A, Tenenhouse A; International Osteoporosis Foundation; National Osteoporosis Foundation (2002) </w:t>
            </w:r>
            <w:r w:rsidRPr="00D3694D">
              <w:rPr>
                <w:rFonts w:ascii="Calibri" w:eastAsia="Calibri" w:hAnsi="Calibri" w:cs="Calibri"/>
              </w:rPr>
              <w:t xml:space="preserve">A new approach to the development of assessment guidelines for osteoporosis. Osteoporos </w:t>
            </w:r>
            <w:proofErr w:type="gramStart"/>
            <w:r w:rsidRPr="00D3694D">
              <w:rPr>
                <w:rFonts w:ascii="Calibri" w:eastAsia="Calibri" w:hAnsi="Calibri" w:cs="Calibri"/>
              </w:rPr>
              <w:t>Int  13</w:t>
            </w:r>
            <w:proofErr w:type="gramEnd"/>
            <w:r w:rsidRPr="00D3694D">
              <w:rPr>
                <w:rFonts w:ascii="Calibri" w:eastAsia="Calibri" w:hAnsi="Calibri" w:cs="Calibri"/>
              </w:rPr>
              <w:t>: 527-536.</w:t>
            </w:r>
          </w:p>
        </w:tc>
      </w:tr>
      <w:tr w:rsidR="00D3694D" w:rsidRPr="00D3694D" w14:paraId="36CE6B45" w14:textId="77777777" w:rsidTr="00600902">
        <w:tc>
          <w:tcPr>
            <w:tcW w:w="568" w:type="dxa"/>
          </w:tcPr>
          <w:p w14:paraId="07440E6F"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15.</w:t>
            </w:r>
          </w:p>
        </w:tc>
        <w:tc>
          <w:tcPr>
            <w:tcW w:w="8595" w:type="dxa"/>
          </w:tcPr>
          <w:p w14:paraId="58EA7D1B"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DeLaet CEDH, Van </w:t>
            </w:r>
            <w:proofErr w:type="spellStart"/>
            <w:r w:rsidRPr="00D3694D">
              <w:rPr>
                <w:rFonts w:ascii="Calibri" w:eastAsia="Calibri" w:hAnsi="Calibri" w:cs="Calibri"/>
              </w:rPr>
              <w:t>Hout</w:t>
            </w:r>
            <w:proofErr w:type="spellEnd"/>
            <w:r w:rsidRPr="00D3694D">
              <w:rPr>
                <w:rFonts w:ascii="Calibri" w:eastAsia="Calibri" w:hAnsi="Calibri" w:cs="Calibri"/>
              </w:rPr>
              <w:t xml:space="preserve"> BA, Burger H, </w:t>
            </w:r>
            <w:proofErr w:type="spellStart"/>
            <w:r w:rsidRPr="00D3694D">
              <w:rPr>
                <w:rFonts w:ascii="Calibri" w:eastAsia="Calibri" w:hAnsi="Calibri" w:cs="Calibri"/>
              </w:rPr>
              <w:t>Hofman</w:t>
            </w:r>
            <w:proofErr w:type="spellEnd"/>
            <w:r w:rsidRPr="00D3694D">
              <w:rPr>
                <w:rFonts w:ascii="Calibri" w:eastAsia="Calibri" w:hAnsi="Calibri" w:cs="Calibri"/>
              </w:rPr>
              <w:t xml:space="preserve"> A, </w:t>
            </w:r>
            <w:proofErr w:type="spellStart"/>
            <w:r w:rsidRPr="00D3694D">
              <w:rPr>
                <w:rFonts w:ascii="Calibri" w:eastAsia="Calibri" w:hAnsi="Calibri" w:cs="Calibri"/>
              </w:rPr>
              <w:t>Weel</w:t>
            </w:r>
            <w:proofErr w:type="spellEnd"/>
            <w:r w:rsidRPr="00D3694D">
              <w:rPr>
                <w:rFonts w:ascii="Calibri" w:eastAsia="Calibri" w:hAnsi="Calibri" w:cs="Calibri"/>
              </w:rPr>
              <w:t xml:space="preserve"> AEAM, Pols HAP (1998) Hip fracture prediction in elderly men and women: validation in the Rotterdam Study. J Bone Miner Res 13:1587–1593.</w:t>
            </w:r>
          </w:p>
        </w:tc>
      </w:tr>
      <w:tr w:rsidR="00D3694D" w:rsidRPr="00D3694D" w14:paraId="1C58224D" w14:textId="77777777" w:rsidTr="00600902">
        <w:tc>
          <w:tcPr>
            <w:tcW w:w="568" w:type="dxa"/>
          </w:tcPr>
          <w:p w14:paraId="27F6169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16.</w:t>
            </w:r>
          </w:p>
        </w:tc>
        <w:tc>
          <w:tcPr>
            <w:tcW w:w="8595" w:type="dxa"/>
          </w:tcPr>
          <w:p w14:paraId="26CCDD7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bCs/>
                <w:lang w:val="sv-SE"/>
              </w:rPr>
              <w:t>Johnell O, Kanis JA, Oden A, Johansson H, De Laet C, Delmas P, Eisman JA, Fujiwara S, Kroger H, Mellstrom D, Meunier PJ, Melton LJ III, O’Neill T, Pols H, Reeve J, Silman A, Tenenhouse A (2005) Predictive value of BMD for hip and other fractures.</w:t>
            </w:r>
            <w:r w:rsidRPr="00D3694D">
              <w:rPr>
                <w:rFonts w:ascii="Calibri" w:eastAsia="Calibri" w:hAnsi="Calibri" w:cs="Calibri"/>
                <w:bCs/>
              </w:rPr>
              <w:t>. J Bone Miner Res. 2005; 20:1185–1194.</w:t>
            </w:r>
          </w:p>
        </w:tc>
      </w:tr>
      <w:tr w:rsidR="00D3694D" w:rsidRPr="00D3694D" w14:paraId="73145175" w14:textId="77777777" w:rsidTr="00600902">
        <w:tc>
          <w:tcPr>
            <w:tcW w:w="568" w:type="dxa"/>
          </w:tcPr>
          <w:p w14:paraId="7C28AD2D"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17.</w:t>
            </w:r>
          </w:p>
        </w:tc>
        <w:tc>
          <w:tcPr>
            <w:tcW w:w="8595" w:type="dxa"/>
          </w:tcPr>
          <w:p w14:paraId="3F8882F2" w14:textId="77777777" w:rsidR="00D3694D" w:rsidRPr="00D3694D" w:rsidRDefault="00D3694D" w:rsidP="00D3694D">
            <w:pPr>
              <w:autoSpaceDE w:val="0"/>
              <w:autoSpaceDN w:val="0"/>
              <w:adjustRightInd w:val="0"/>
              <w:rPr>
                <w:rFonts w:ascii="Calibri" w:eastAsia="Calibri" w:hAnsi="Calibri" w:cs="Calibri"/>
              </w:rPr>
            </w:pPr>
            <w:proofErr w:type="spellStart"/>
            <w:r w:rsidRPr="00D3694D">
              <w:rPr>
                <w:rFonts w:ascii="Calibri" w:eastAsia="Calibri" w:hAnsi="Calibri" w:cs="Calibri"/>
              </w:rPr>
              <w:t>Langsetmo</w:t>
            </w:r>
            <w:proofErr w:type="spellEnd"/>
            <w:r w:rsidRPr="00D3694D">
              <w:rPr>
                <w:rFonts w:ascii="Calibri" w:eastAsia="Calibri" w:hAnsi="Calibri" w:cs="Calibri"/>
              </w:rPr>
              <w:t xml:space="preserve"> L, Leslie WD, Zhou W, Goltzman D, Kovacs CS, Prior J (2010) Using the same bone density reference database for men and women provides a simpler estimation of fracture risk. J Bone Miner </w:t>
            </w:r>
            <w:proofErr w:type="gramStart"/>
            <w:r w:rsidRPr="00D3694D">
              <w:rPr>
                <w:rFonts w:ascii="Calibri" w:eastAsia="Calibri" w:hAnsi="Calibri" w:cs="Calibri"/>
              </w:rPr>
              <w:t>Res  25</w:t>
            </w:r>
            <w:proofErr w:type="gramEnd"/>
            <w:r w:rsidRPr="00D3694D">
              <w:rPr>
                <w:rFonts w:ascii="Calibri" w:eastAsia="Calibri" w:hAnsi="Calibri" w:cs="Calibri"/>
              </w:rPr>
              <w:t xml:space="preserve">: 2108-14. </w:t>
            </w:r>
          </w:p>
        </w:tc>
      </w:tr>
      <w:tr w:rsidR="00D3694D" w:rsidRPr="00D3694D" w14:paraId="45302927" w14:textId="77777777" w:rsidTr="00600902">
        <w:tc>
          <w:tcPr>
            <w:tcW w:w="568" w:type="dxa"/>
          </w:tcPr>
          <w:p w14:paraId="6D85E3A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18.</w:t>
            </w:r>
          </w:p>
        </w:tc>
        <w:tc>
          <w:tcPr>
            <w:tcW w:w="8595" w:type="dxa"/>
          </w:tcPr>
          <w:p w14:paraId="447B31BE"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Riggs LB, Melton LJ (eds) (1995) Osteoporosis: </w:t>
            </w:r>
            <w:proofErr w:type="spellStart"/>
            <w:r w:rsidRPr="00D3694D">
              <w:rPr>
                <w:rFonts w:ascii="Calibri" w:eastAsia="Calibri" w:hAnsi="Calibri" w:cs="Calibri"/>
              </w:rPr>
              <w:t>etiology</w:t>
            </w:r>
            <w:proofErr w:type="spellEnd"/>
            <w:r w:rsidRPr="00D3694D">
              <w:rPr>
                <w:rFonts w:ascii="Calibri" w:eastAsia="Calibri" w:hAnsi="Calibri" w:cs="Calibri"/>
              </w:rPr>
              <w:t xml:space="preserve">, diagnosis, and management, 2nd </w:t>
            </w:r>
            <w:proofErr w:type="spellStart"/>
            <w:r w:rsidRPr="00D3694D">
              <w:rPr>
                <w:rFonts w:ascii="Calibri" w:eastAsia="Calibri" w:hAnsi="Calibri" w:cs="Calibri"/>
              </w:rPr>
              <w:t>edn</w:t>
            </w:r>
            <w:proofErr w:type="spellEnd"/>
            <w:r w:rsidRPr="00D3694D">
              <w:rPr>
                <w:rFonts w:ascii="Calibri" w:eastAsia="Calibri" w:hAnsi="Calibri" w:cs="Calibri"/>
              </w:rPr>
              <w:t>. Lippincott-Raven Publishers, Philadelphia</w:t>
            </w:r>
          </w:p>
        </w:tc>
      </w:tr>
      <w:tr w:rsidR="00D3694D" w:rsidRPr="00D3694D" w14:paraId="01205C10" w14:textId="77777777" w:rsidTr="00600902">
        <w:tc>
          <w:tcPr>
            <w:tcW w:w="568" w:type="dxa"/>
          </w:tcPr>
          <w:p w14:paraId="63A7A2E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19.</w:t>
            </w:r>
          </w:p>
        </w:tc>
        <w:tc>
          <w:tcPr>
            <w:tcW w:w="8595" w:type="dxa"/>
          </w:tcPr>
          <w:p w14:paraId="312204D6"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World Health Organization (2003) Prevention and management of osteoporosis: report of a WHO scientific group. WHO Technical Report Series, 921. World Health Organization, Geneva </w:t>
            </w:r>
          </w:p>
        </w:tc>
      </w:tr>
      <w:tr w:rsidR="00D3694D" w:rsidRPr="00D3694D" w14:paraId="4F47D372" w14:textId="77777777" w:rsidTr="00600902">
        <w:tc>
          <w:tcPr>
            <w:tcW w:w="568" w:type="dxa"/>
          </w:tcPr>
          <w:p w14:paraId="51788EE1"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20.</w:t>
            </w:r>
          </w:p>
        </w:tc>
        <w:tc>
          <w:tcPr>
            <w:tcW w:w="8595" w:type="dxa"/>
          </w:tcPr>
          <w:p w14:paraId="190E2901" w14:textId="77777777" w:rsidR="00D3694D" w:rsidRPr="00D3694D" w:rsidRDefault="00D3694D" w:rsidP="00D3694D">
            <w:pPr>
              <w:autoSpaceDE w:val="0"/>
              <w:autoSpaceDN w:val="0"/>
              <w:adjustRightInd w:val="0"/>
              <w:rPr>
                <w:rFonts w:ascii="Calibri" w:eastAsia="Calibri" w:hAnsi="Calibri" w:cs="Calibri"/>
                <w:highlight w:val="cyan"/>
              </w:rPr>
            </w:pPr>
            <w:r w:rsidRPr="00D3694D">
              <w:rPr>
                <w:rFonts w:ascii="Calibri" w:eastAsia="Calibri" w:hAnsi="Calibri" w:cs="Calibri"/>
              </w:rPr>
              <w:t>Food and Drug Administration (1994) Guidelines for preclinical and clinical evaluation of agents used in the prevention or treatment of postmenopausal osteoporosis. Division of Metabolism and Endocrine Drug Products, Food and Drug Administration, Rockville, MD</w:t>
            </w:r>
          </w:p>
        </w:tc>
      </w:tr>
      <w:tr w:rsidR="00D3694D" w:rsidRPr="00D3694D" w14:paraId="59DB158F" w14:textId="77777777" w:rsidTr="00600902">
        <w:tc>
          <w:tcPr>
            <w:tcW w:w="568" w:type="dxa"/>
          </w:tcPr>
          <w:p w14:paraId="11878C37"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21.</w:t>
            </w:r>
          </w:p>
        </w:tc>
        <w:tc>
          <w:tcPr>
            <w:tcW w:w="8595" w:type="dxa"/>
          </w:tcPr>
          <w:p w14:paraId="181ADE9E"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Committee for Medicinal Products for Human Use (CHMP) (2006) Guideline on the evaluation of medicinal products in the treatment of primary osteoporosis.  Ref CPMP/EWP/552/95Rev.2.  London, CHMP. Nov 2006</w:t>
            </w:r>
          </w:p>
        </w:tc>
      </w:tr>
      <w:tr w:rsidR="00D3694D" w:rsidRPr="00D3694D" w14:paraId="65E0C5B7" w14:textId="77777777" w:rsidTr="00600902">
        <w:tc>
          <w:tcPr>
            <w:tcW w:w="568" w:type="dxa"/>
          </w:tcPr>
          <w:p w14:paraId="44D6F7B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22.</w:t>
            </w:r>
          </w:p>
        </w:tc>
        <w:tc>
          <w:tcPr>
            <w:tcW w:w="8595" w:type="dxa"/>
          </w:tcPr>
          <w:p w14:paraId="05E96553"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Reginster, JY., Abadie, E., Delmas, P , Rizzoli R, </w:t>
            </w:r>
            <w:proofErr w:type="spellStart"/>
            <w:r w:rsidRPr="00D3694D">
              <w:rPr>
                <w:rFonts w:ascii="Calibri" w:eastAsia="Calibri" w:hAnsi="Calibri" w:cs="Calibri"/>
              </w:rPr>
              <w:t>Dere</w:t>
            </w:r>
            <w:proofErr w:type="spellEnd"/>
            <w:r w:rsidRPr="00D3694D">
              <w:rPr>
                <w:rFonts w:ascii="Calibri" w:eastAsia="Calibri" w:hAnsi="Calibri" w:cs="Calibri"/>
              </w:rPr>
              <w:t xml:space="preserve"> W, der </w:t>
            </w:r>
            <w:proofErr w:type="spellStart"/>
            <w:r w:rsidRPr="00D3694D">
              <w:rPr>
                <w:rFonts w:ascii="Calibri" w:eastAsia="Calibri" w:hAnsi="Calibri" w:cs="Calibri"/>
              </w:rPr>
              <w:t>Auwera</w:t>
            </w:r>
            <w:proofErr w:type="spellEnd"/>
            <w:r w:rsidRPr="00D3694D">
              <w:rPr>
                <w:rFonts w:ascii="Calibri" w:eastAsia="Calibri" w:hAnsi="Calibri" w:cs="Calibri"/>
              </w:rPr>
              <w:t xml:space="preserve"> P, </w:t>
            </w:r>
            <w:proofErr w:type="spellStart"/>
            <w:r w:rsidRPr="00D3694D">
              <w:rPr>
                <w:rFonts w:ascii="Calibri" w:eastAsia="Calibri" w:hAnsi="Calibri" w:cs="Calibri"/>
              </w:rPr>
              <w:t>Avouac</w:t>
            </w:r>
            <w:proofErr w:type="spellEnd"/>
            <w:r w:rsidRPr="00D3694D">
              <w:rPr>
                <w:rFonts w:ascii="Calibri" w:eastAsia="Calibri" w:hAnsi="Calibri" w:cs="Calibri"/>
              </w:rPr>
              <w:t xml:space="preserve"> B, Brandi ML, </w:t>
            </w:r>
            <w:proofErr w:type="spellStart"/>
            <w:r w:rsidRPr="00D3694D">
              <w:rPr>
                <w:rFonts w:ascii="Calibri" w:eastAsia="Calibri" w:hAnsi="Calibri" w:cs="Calibri"/>
              </w:rPr>
              <w:t>Daifotis</w:t>
            </w:r>
            <w:proofErr w:type="spellEnd"/>
            <w:r w:rsidRPr="00D3694D">
              <w:rPr>
                <w:rFonts w:ascii="Calibri" w:eastAsia="Calibri" w:hAnsi="Calibri" w:cs="Calibri"/>
              </w:rPr>
              <w:t xml:space="preserve"> A, Diez-Perez A, Calvo G, Johnell O, Kaufman JM, Kreutz G, Laslop A, Lekkerkerker F, Mitlak B, Nilsson P, Orloff J, </w:t>
            </w:r>
            <w:proofErr w:type="spellStart"/>
            <w:r w:rsidRPr="00D3694D">
              <w:rPr>
                <w:rFonts w:ascii="Calibri" w:eastAsia="Calibri" w:hAnsi="Calibri" w:cs="Calibri"/>
              </w:rPr>
              <w:t>Smillie</w:t>
            </w:r>
            <w:proofErr w:type="spellEnd"/>
            <w:r w:rsidRPr="00D3694D">
              <w:rPr>
                <w:rFonts w:ascii="Calibri" w:eastAsia="Calibri" w:hAnsi="Calibri" w:cs="Calibri"/>
              </w:rPr>
              <w:t xml:space="preserve"> M, Taylor A, </w:t>
            </w:r>
            <w:proofErr w:type="spellStart"/>
            <w:r w:rsidRPr="00D3694D">
              <w:rPr>
                <w:rFonts w:ascii="Calibri" w:eastAsia="Calibri" w:hAnsi="Calibri" w:cs="Calibri"/>
              </w:rPr>
              <w:t>Tsouderos</w:t>
            </w:r>
            <w:proofErr w:type="spellEnd"/>
            <w:r w:rsidRPr="00D3694D">
              <w:rPr>
                <w:rFonts w:ascii="Calibri" w:eastAsia="Calibri" w:hAnsi="Calibri" w:cs="Calibri"/>
              </w:rPr>
              <w:t xml:space="preserve"> Y, </w:t>
            </w:r>
            <w:proofErr w:type="spellStart"/>
            <w:r w:rsidRPr="00D3694D">
              <w:rPr>
                <w:rFonts w:ascii="Calibri" w:eastAsia="Calibri" w:hAnsi="Calibri" w:cs="Calibri"/>
              </w:rPr>
              <w:t>Ethgen</w:t>
            </w:r>
            <w:proofErr w:type="spellEnd"/>
            <w:r w:rsidRPr="00D3694D">
              <w:rPr>
                <w:rFonts w:ascii="Calibri" w:eastAsia="Calibri" w:hAnsi="Calibri" w:cs="Calibri"/>
              </w:rPr>
              <w:t xml:space="preserve"> D, </w:t>
            </w:r>
            <w:proofErr w:type="spellStart"/>
            <w:r w:rsidRPr="00D3694D">
              <w:rPr>
                <w:rFonts w:ascii="Calibri" w:eastAsia="Calibri" w:hAnsi="Calibri" w:cs="Calibri"/>
              </w:rPr>
              <w:t>Flamion</w:t>
            </w:r>
            <w:proofErr w:type="spellEnd"/>
            <w:r w:rsidRPr="00D3694D">
              <w:rPr>
                <w:rFonts w:ascii="Calibri" w:eastAsia="Calibri" w:hAnsi="Calibri" w:cs="Calibri"/>
              </w:rPr>
              <w:t xml:space="preserve"> B (2006) Recommendations for an update of the current (2001) regulatory requirements for </w:t>
            </w:r>
            <w:r w:rsidRPr="00D3694D">
              <w:rPr>
                <w:rFonts w:ascii="Calibri" w:eastAsia="Calibri" w:hAnsi="Calibri" w:cs="Calibri"/>
              </w:rPr>
              <w:lastRenderedPageBreak/>
              <w:t xml:space="preserve">registration of drugs to be used in the treatment of osteoporosis in postmenopausal women and in men. Osteoporos Int 17: 1–7 </w:t>
            </w:r>
          </w:p>
        </w:tc>
      </w:tr>
      <w:tr w:rsidR="00D3694D" w:rsidRPr="00D3694D" w14:paraId="180D0274" w14:textId="77777777" w:rsidTr="00600902">
        <w:tc>
          <w:tcPr>
            <w:tcW w:w="568" w:type="dxa"/>
          </w:tcPr>
          <w:p w14:paraId="7B0DEFE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lastRenderedPageBreak/>
              <w:t>23.</w:t>
            </w:r>
          </w:p>
        </w:tc>
        <w:tc>
          <w:tcPr>
            <w:tcW w:w="8595" w:type="dxa"/>
          </w:tcPr>
          <w:p w14:paraId="60B90C0A" w14:textId="77777777" w:rsidR="00D3694D" w:rsidRPr="00D3694D" w:rsidRDefault="00D3694D" w:rsidP="00D3694D">
            <w:pPr>
              <w:autoSpaceDE w:val="0"/>
              <w:autoSpaceDN w:val="0"/>
              <w:adjustRightInd w:val="0"/>
              <w:rPr>
                <w:rFonts w:ascii="Calibri" w:eastAsia="Calibri" w:hAnsi="Calibri" w:cs="Calibri"/>
              </w:rPr>
            </w:pPr>
            <w:bookmarkStart w:id="7" w:name="_Hlk105078407"/>
            <w:r w:rsidRPr="00D3694D">
              <w:rPr>
                <w:rFonts w:ascii="Calibri" w:eastAsia="Calibri" w:hAnsi="Calibri" w:cs="Calibri"/>
              </w:rPr>
              <w:t>Pharmaceuticals and Medical Devices Agency</w:t>
            </w:r>
            <w:bookmarkEnd w:id="7"/>
            <w:r w:rsidRPr="00D3694D">
              <w:rPr>
                <w:rFonts w:ascii="Calibri" w:eastAsia="Calibri" w:hAnsi="Calibri" w:cs="Calibri"/>
              </w:rPr>
              <w:t xml:space="preserve">, Japan Ministry of Health (2022) </w:t>
            </w:r>
          </w:p>
          <w:p w14:paraId="360FD28C" w14:textId="77777777" w:rsidR="00D3694D" w:rsidRPr="00D3694D" w:rsidRDefault="00FF7F02" w:rsidP="00D3694D">
            <w:pPr>
              <w:autoSpaceDE w:val="0"/>
              <w:autoSpaceDN w:val="0"/>
              <w:adjustRightInd w:val="0"/>
              <w:rPr>
                <w:rFonts w:ascii="Calibri" w:eastAsia="Calibri" w:hAnsi="Calibri" w:cs="Calibri"/>
              </w:rPr>
            </w:pPr>
            <w:hyperlink r:id="rId18" w:history="1">
              <w:r w:rsidR="00D3694D" w:rsidRPr="00D3694D">
                <w:rPr>
                  <w:rFonts w:ascii="Calibri" w:eastAsia="Calibri" w:hAnsi="Calibri" w:cs="Calibri"/>
                  <w:color w:val="0000FF"/>
                  <w:u w:val="single"/>
                </w:rPr>
                <w:t>https://ss.pmda.go.jp/en_all/search.x?q=osteoporosis&amp;ie=utf8&amp;cat=0&amp;pagemax=10&amp;imgsize=1&amp;pdf=ok&amp;zoom=1&amp;suggest=1&amp;counsel=1&amp;ref=www.pmda.go.jp&amp;pid=Fp8oj1XtsOnvzmF1SMqOwQ..&amp;qid=YlyMtLtewUXjdTr9eaLGkxC7j2s5IqGL&amp;page=2</w:t>
              </w:r>
            </w:hyperlink>
            <w:r w:rsidR="00D3694D" w:rsidRPr="00D3694D">
              <w:rPr>
                <w:rFonts w:ascii="Calibri" w:eastAsia="Calibri" w:hAnsi="Calibri" w:cs="Calibri"/>
              </w:rPr>
              <w:t xml:space="preserve"> Accessed June 16 2022</w:t>
            </w:r>
          </w:p>
        </w:tc>
      </w:tr>
      <w:tr w:rsidR="00D3694D" w:rsidRPr="00D3694D" w14:paraId="649190A7" w14:textId="77777777" w:rsidTr="00600902">
        <w:tc>
          <w:tcPr>
            <w:tcW w:w="568" w:type="dxa"/>
          </w:tcPr>
          <w:p w14:paraId="4623DB7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24.</w:t>
            </w:r>
          </w:p>
        </w:tc>
        <w:tc>
          <w:tcPr>
            <w:tcW w:w="8595" w:type="dxa"/>
          </w:tcPr>
          <w:p w14:paraId="68A6DDA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World Health Organization (1998) Guidelines for preclinical evaluation and clinical trials in osteoporosis.  WHO, Geneva</w:t>
            </w:r>
          </w:p>
        </w:tc>
      </w:tr>
      <w:tr w:rsidR="00D3694D" w:rsidRPr="00D3694D" w14:paraId="037C7D80" w14:textId="77777777" w:rsidTr="00600902">
        <w:tc>
          <w:tcPr>
            <w:tcW w:w="568" w:type="dxa"/>
          </w:tcPr>
          <w:p w14:paraId="3F6739B9"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25.</w:t>
            </w:r>
          </w:p>
        </w:tc>
        <w:tc>
          <w:tcPr>
            <w:tcW w:w="8595" w:type="dxa"/>
          </w:tcPr>
          <w:p w14:paraId="761E4CFD"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Norton N, Harvey NC, Jacobson T, Johansson H Lorentzon M, McCloskey EV, Willers C, Borgström F (2021) SCOPE 2021: a new scorecard for osteoporosis in Europe.  Arch Osteoporos 16: 82. doi.org/10.1007/s11657-020-00871-9</w:t>
            </w:r>
          </w:p>
        </w:tc>
      </w:tr>
      <w:tr w:rsidR="00D3694D" w:rsidRPr="00D3694D" w14:paraId="1B017ADA" w14:textId="77777777" w:rsidTr="00600902">
        <w:tc>
          <w:tcPr>
            <w:tcW w:w="568" w:type="dxa"/>
          </w:tcPr>
          <w:p w14:paraId="59E7471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26.</w:t>
            </w:r>
          </w:p>
        </w:tc>
        <w:tc>
          <w:tcPr>
            <w:tcW w:w="8595" w:type="dxa"/>
          </w:tcPr>
          <w:p w14:paraId="189EB138"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Hernlund E, </w:t>
            </w:r>
            <w:proofErr w:type="spellStart"/>
            <w:r w:rsidRPr="00D3694D">
              <w:rPr>
                <w:rFonts w:ascii="Calibri" w:eastAsia="Calibri" w:hAnsi="Calibri" w:cs="Calibri"/>
              </w:rPr>
              <w:t>Svedbom</w:t>
            </w:r>
            <w:proofErr w:type="spellEnd"/>
            <w:r w:rsidRPr="00D3694D">
              <w:rPr>
                <w:rFonts w:ascii="Calibri" w:eastAsia="Calibri" w:hAnsi="Calibri" w:cs="Calibri"/>
              </w:rPr>
              <w:t xml:space="preserve"> A, </w:t>
            </w:r>
            <w:proofErr w:type="spellStart"/>
            <w:r w:rsidRPr="00D3694D">
              <w:rPr>
                <w:rFonts w:ascii="Calibri" w:eastAsia="Calibri" w:hAnsi="Calibri" w:cs="Calibri"/>
              </w:rPr>
              <w:t>Ivergård</w:t>
            </w:r>
            <w:proofErr w:type="spellEnd"/>
            <w:r w:rsidRPr="00D3694D">
              <w:rPr>
                <w:rFonts w:ascii="Calibri" w:eastAsia="Calibri" w:hAnsi="Calibri" w:cs="Calibri"/>
              </w:rPr>
              <w:t xml:space="preserve">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 Osteoporos 8:136. DOI: 10.1007/s11657-013-0136-</w:t>
            </w:r>
            <w:proofErr w:type="gramStart"/>
            <w:r w:rsidRPr="00D3694D">
              <w:rPr>
                <w:rFonts w:ascii="Calibri" w:eastAsia="Calibri" w:hAnsi="Calibri" w:cs="Calibri"/>
              </w:rPr>
              <w:t>1..</w:t>
            </w:r>
            <w:proofErr w:type="gramEnd"/>
          </w:p>
        </w:tc>
      </w:tr>
      <w:tr w:rsidR="00D3694D" w:rsidRPr="00D3694D" w14:paraId="2EB25F51" w14:textId="77777777" w:rsidTr="00600902">
        <w:tc>
          <w:tcPr>
            <w:tcW w:w="568" w:type="dxa"/>
          </w:tcPr>
          <w:p w14:paraId="22D2B7F1"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27.</w:t>
            </w:r>
          </w:p>
        </w:tc>
        <w:tc>
          <w:tcPr>
            <w:tcW w:w="8595" w:type="dxa"/>
          </w:tcPr>
          <w:p w14:paraId="08E75B9E"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Willers C, Norton N, Harvey NC, Jacobson T, Johansson H, Lorentzon M, McCloskey EV, Borgström F, Kanis JA and the SCOPE review panel of the IOF (2022) Osteoporosis in Europe: A compendium of country-specific reports.  Archives of Osteoporosis 17: 23, doi.org/10.1007/s11657-021-00969-8.</w:t>
            </w:r>
          </w:p>
        </w:tc>
      </w:tr>
      <w:tr w:rsidR="00D3694D" w:rsidRPr="00D3694D" w14:paraId="03CF2E2B" w14:textId="77777777" w:rsidTr="00600902">
        <w:tc>
          <w:tcPr>
            <w:tcW w:w="568" w:type="dxa"/>
          </w:tcPr>
          <w:p w14:paraId="0BFF72A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28.</w:t>
            </w:r>
          </w:p>
        </w:tc>
        <w:tc>
          <w:tcPr>
            <w:tcW w:w="8595" w:type="dxa"/>
          </w:tcPr>
          <w:p w14:paraId="61DD59E9"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Harvey NC, Cooper C, Johansson H, Oden A, McCloskey EV and The Advisory Board of the National Osteoporosis Guideline Group (2016) A systematic review of intervention thresholds based on FRAX. A report prepared for the National Osteoporosis Guideline Group and the International Osteoporosis Foundation.  Arch Osteoporos 11:25</w:t>
            </w:r>
            <w:proofErr w:type="gramStart"/>
            <w:r w:rsidRPr="00D3694D">
              <w:rPr>
                <w:rFonts w:ascii="Calibri" w:eastAsia="Calibri" w:hAnsi="Calibri" w:cs="Calibri"/>
              </w:rPr>
              <w:t>.  DOI</w:t>
            </w:r>
            <w:proofErr w:type="gramEnd"/>
            <w:r w:rsidRPr="00D3694D">
              <w:rPr>
                <w:rFonts w:ascii="Calibri" w:eastAsia="Calibri" w:hAnsi="Calibri" w:cs="Calibri"/>
              </w:rPr>
              <w:t xml:space="preserve"> 10.1007/s11657-016-0278-z</w:t>
            </w:r>
          </w:p>
        </w:tc>
      </w:tr>
      <w:tr w:rsidR="00D3694D" w:rsidRPr="00D3694D" w14:paraId="149C12FD" w14:textId="77777777" w:rsidTr="00600902">
        <w:tc>
          <w:tcPr>
            <w:tcW w:w="568" w:type="dxa"/>
          </w:tcPr>
          <w:p w14:paraId="3E2AD80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29.</w:t>
            </w:r>
          </w:p>
        </w:tc>
        <w:tc>
          <w:tcPr>
            <w:tcW w:w="8595" w:type="dxa"/>
          </w:tcPr>
          <w:p w14:paraId="0CAE450F"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Harvey NCW, McCloskey EV, Mitchell PJ, Dawson-Hughes B, Pierroz DD, Reginster J-Y, Rizzoli R Cooper C, Kanis JA (2017) Mind the (treatment) gap: a global perspective on current and future strategies for prevention of fragility fractures.  Osteoporosis International 28: 1507-1529. doi: 10.1007/s00198-016-3894-y.</w:t>
            </w:r>
          </w:p>
        </w:tc>
      </w:tr>
      <w:tr w:rsidR="00D3694D" w:rsidRPr="00D3694D" w14:paraId="0F8C6FFD" w14:textId="77777777" w:rsidTr="00600902">
        <w:tc>
          <w:tcPr>
            <w:tcW w:w="568" w:type="dxa"/>
          </w:tcPr>
          <w:p w14:paraId="429132C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30.</w:t>
            </w:r>
          </w:p>
        </w:tc>
        <w:tc>
          <w:tcPr>
            <w:tcW w:w="8595" w:type="dxa"/>
          </w:tcPr>
          <w:p w14:paraId="5755BEFA"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Fuggle NR, Curtis B, Clynes M, Zhang J, Ward K, Javaid MK, Harvey NC, Dennison E, Cooper C (2021) The treatment gap: The missed opportunities for osteoporosis therapy.  Bone 144:115833. doi: 10.1016/j.bone.2020.115833.</w:t>
            </w:r>
          </w:p>
        </w:tc>
      </w:tr>
      <w:tr w:rsidR="00D3694D" w:rsidRPr="00D3694D" w14:paraId="7BABD96F" w14:textId="77777777" w:rsidTr="00600902">
        <w:tc>
          <w:tcPr>
            <w:tcW w:w="568" w:type="dxa"/>
          </w:tcPr>
          <w:p w14:paraId="19B0F75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31.</w:t>
            </w:r>
          </w:p>
        </w:tc>
        <w:tc>
          <w:tcPr>
            <w:tcW w:w="8595" w:type="dxa"/>
          </w:tcPr>
          <w:p w14:paraId="350E2B9C"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McCloskey E, Rathi J, </w:t>
            </w:r>
            <w:proofErr w:type="spellStart"/>
            <w:r w:rsidRPr="00D3694D">
              <w:rPr>
                <w:rFonts w:ascii="Calibri" w:eastAsia="Calibri" w:hAnsi="Calibri" w:cs="Calibri"/>
              </w:rPr>
              <w:t>Heijmans</w:t>
            </w:r>
            <w:proofErr w:type="spellEnd"/>
            <w:r w:rsidRPr="00D3694D">
              <w:rPr>
                <w:rFonts w:ascii="Calibri" w:eastAsia="Calibri" w:hAnsi="Calibri" w:cs="Calibri"/>
              </w:rPr>
              <w:t xml:space="preserve"> S, Blagden M, Cortet B, Czerwinski E, Hadji P, Payer J, Palmer K, </w:t>
            </w:r>
            <w:proofErr w:type="spellStart"/>
            <w:r w:rsidRPr="00D3694D">
              <w:rPr>
                <w:rFonts w:ascii="Calibri" w:eastAsia="Calibri" w:hAnsi="Calibri" w:cs="Calibri"/>
              </w:rPr>
              <w:t>Stad</w:t>
            </w:r>
            <w:proofErr w:type="spellEnd"/>
            <w:r w:rsidRPr="00D3694D">
              <w:rPr>
                <w:rFonts w:ascii="Calibri" w:eastAsia="Calibri" w:hAnsi="Calibri" w:cs="Calibri"/>
              </w:rPr>
              <w:t xml:space="preserve"> R, O'Kelly J, Papapoulos S (2022) Prevalence of FRAX risk factors and the osteoporosis treatment gap among women ≥ 70 years of age in routine primary care across 8 countries in Europe. Arch Osteoporos 17(1):20. doi: 10.1007/s11657-021-01048-8.</w:t>
            </w:r>
          </w:p>
        </w:tc>
      </w:tr>
      <w:tr w:rsidR="00D3694D" w:rsidRPr="00D3694D" w14:paraId="6A2662D3" w14:textId="77777777" w:rsidTr="00600902">
        <w:tc>
          <w:tcPr>
            <w:tcW w:w="568" w:type="dxa"/>
          </w:tcPr>
          <w:p w14:paraId="0AC1686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32.</w:t>
            </w:r>
          </w:p>
        </w:tc>
        <w:tc>
          <w:tcPr>
            <w:tcW w:w="8595" w:type="dxa"/>
          </w:tcPr>
          <w:p w14:paraId="38CEA1EA"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Akesson, K., D. Marsh, P. J. Mitchell, A. R. McLellan, J. Stenmark, D. D. Pierroz, C. Kyer, C. Cooper and International Osteoporosis Foundation Working Group (2013) Capture the Fracture: A best practice framework and global campaign to break the fragility fracture cycle. Osteoporos Int 24(8): 2135-2152</w:t>
            </w:r>
          </w:p>
        </w:tc>
      </w:tr>
      <w:tr w:rsidR="00D3694D" w:rsidRPr="00D3694D" w14:paraId="50F0CD41" w14:textId="77777777" w:rsidTr="00600902">
        <w:tc>
          <w:tcPr>
            <w:tcW w:w="568" w:type="dxa"/>
          </w:tcPr>
          <w:p w14:paraId="5DAA2A2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33.</w:t>
            </w:r>
          </w:p>
        </w:tc>
        <w:tc>
          <w:tcPr>
            <w:tcW w:w="8595" w:type="dxa"/>
          </w:tcPr>
          <w:p w14:paraId="64209494"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Javaid MK, Kyer C, Mitchell PJ, Chana J, Moss C, Edwards MH, McLellan AR, Stenmark J, Pierroz DD, Schneider MC, Kanis JA, Akesson K, Cooper C; IOF Fracture Working Group; EXCO (2015) Effective secondary fracture prevention: implementation of a global benchmarking of clinical quality using the IOF Capture the Fracture(R) Best Practice Framework tool. Osteoporos Int 26: 2573–2578.</w:t>
            </w:r>
          </w:p>
        </w:tc>
      </w:tr>
      <w:tr w:rsidR="00D3694D" w:rsidRPr="00D3694D" w14:paraId="67423216" w14:textId="77777777" w:rsidTr="00600902">
        <w:tc>
          <w:tcPr>
            <w:tcW w:w="568" w:type="dxa"/>
          </w:tcPr>
          <w:p w14:paraId="40FF082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34.</w:t>
            </w:r>
          </w:p>
        </w:tc>
        <w:tc>
          <w:tcPr>
            <w:tcW w:w="8595" w:type="dxa"/>
          </w:tcPr>
          <w:p w14:paraId="12E7F22C"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Mitchell PJ, Cooper C, Fujita M, Halbout P, Åkesson K, Costa M, </w:t>
            </w:r>
            <w:proofErr w:type="spellStart"/>
            <w:r w:rsidRPr="00D3694D">
              <w:rPr>
                <w:rFonts w:ascii="Calibri" w:eastAsia="Calibri" w:hAnsi="Calibri" w:cs="Calibri"/>
              </w:rPr>
              <w:t>Dreinhöfer</w:t>
            </w:r>
            <w:proofErr w:type="spellEnd"/>
            <w:r w:rsidRPr="00D3694D">
              <w:rPr>
                <w:rFonts w:ascii="Calibri" w:eastAsia="Calibri" w:hAnsi="Calibri" w:cs="Calibri"/>
              </w:rPr>
              <w:t xml:space="preserve"> KE, Marsh DR, Lee JK, Chan DD, Javaid MK (2019) Quality improvement initiatives in fragility fracture care and prevention. Curr Osteoporos Rep 17(6):510-520.</w:t>
            </w:r>
          </w:p>
        </w:tc>
      </w:tr>
      <w:tr w:rsidR="00D3694D" w:rsidRPr="00D3694D" w14:paraId="18145DC8" w14:textId="77777777" w:rsidTr="00600902">
        <w:tc>
          <w:tcPr>
            <w:tcW w:w="568" w:type="dxa"/>
          </w:tcPr>
          <w:p w14:paraId="7188675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35.</w:t>
            </w:r>
          </w:p>
        </w:tc>
        <w:tc>
          <w:tcPr>
            <w:tcW w:w="8595" w:type="dxa"/>
          </w:tcPr>
          <w:p w14:paraId="18F2077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Beaupre LA, Moradi F, </w:t>
            </w:r>
            <w:proofErr w:type="spellStart"/>
            <w:r w:rsidRPr="00D3694D">
              <w:rPr>
                <w:rFonts w:ascii="Calibri" w:eastAsia="Calibri" w:hAnsi="Calibri" w:cs="Calibri"/>
              </w:rPr>
              <w:t>Khong</w:t>
            </w:r>
            <w:proofErr w:type="spellEnd"/>
            <w:r w:rsidRPr="00D3694D">
              <w:rPr>
                <w:rFonts w:ascii="Calibri" w:eastAsia="Calibri" w:hAnsi="Calibri" w:cs="Calibri"/>
              </w:rPr>
              <w:t xml:space="preserve"> H, Smith C, Evens L, Hanson HM, Juby AG, </w:t>
            </w:r>
            <w:proofErr w:type="spellStart"/>
            <w:r w:rsidRPr="00D3694D">
              <w:rPr>
                <w:rFonts w:ascii="Calibri" w:eastAsia="Calibri" w:hAnsi="Calibri" w:cs="Calibri"/>
              </w:rPr>
              <w:t>Kivi</w:t>
            </w:r>
            <w:proofErr w:type="spellEnd"/>
            <w:r w:rsidRPr="00D3694D">
              <w:rPr>
                <w:rFonts w:ascii="Calibri" w:eastAsia="Calibri" w:hAnsi="Calibri" w:cs="Calibri"/>
              </w:rPr>
              <w:t xml:space="preserve"> P, Majumdar SR; STOP-Fracture Team (2020) Implementation of an in-patient hip fracture liaison services to improve initiation of osteoporosis medication use within 1-year of hip fracture: a population-</w:t>
            </w:r>
            <w:r w:rsidRPr="00D3694D">
              <w:rPr>
                <w:rFonts w:ascii="Calibri" w:eastAsia="Calibri" w:hAnsi="Calibri" w:cs="Calibri"/>
              </w:rPr>
              <w:lastRenderedPageBreak/>
              <w:t>based time series analysis using the RE-AIM framework. Arch Osteoporos 15(1): 83. doi: 10.1007/s11657-020-00751-2.</w:t>
            </w:r>
          </w:p>
        </w:tc>
      </w:tr>
      <w:tr w:rsidR="00D3694D" w:rsidRPr="00D3694D" w14:paraId="386259D2" w14:textId="77777777" w:rsidTr="00600902">
        <w:tc>
          <w:tcPr>
            <w:tcW w:w="568" w:type="dxa"/>
          </w:tcPr>
          <w:p w14:paraId="605E926D"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lastRenderedPageBreak/>
              <w:t>36.</w:t>
            </w:r>
          </w:p>
        </w:tc>
        <w:tc>
          <w:tcPr>
            <w:tcW w:w="8595" w:type="dxa"/>
          </w:tcPr>
          <w:p w14:paraId="27245875"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Barton, D. W., A. S. </w:t>
            </w:r>
            <w:proofErr w:type="spellStart"/>
            <w:r w:rsidRPr="00D3694D">
              <w:rPr>
                <w:rFonts w:ascii="Calibri" w:eastAsia="Calibri" w:hAnsi="Calibri" w:cs="Calibri"/>
              </w:rPr>
              <w:t>Piple</w:t>
            </w:r>
            <w:proofErr w:type="spellEnd"/>
            <w:r w:rsidRPr="00D3694D">
              <w:rPr>
                <w:rFonts w:ascii="Calibri" w:eastAsia="Calibri" w:hAnsi="Calibri" w:cs="Calibri"/>
              </w:rPr>
              <w:t xml:space="preserve">, C. T. Smith, S. A. </w:t>
            </w:r>
            <w:proofErr w:type="spellStart"/>
            <w:r w:rsidRPr="00D3694D">
              <w:rPr>
                <w:rFonts w:ascii="Calibri" w:eastAsia="Calibri" w:hAnsi="Calibri" w:cs="Calibri"/>
              </w:rPr>
              <w:t>Moskal</w:t>
            </w:r>
            <w:proofErr w:type="spellEnd"/>
            <w:r w:rsidRPr="00D3694D">
              <w:rPr>
                <w:rFonts w:ascii="Calibri" w:eastAsia="Calibri" w:hAnsi="Calibri" w:cs="Calibri"/>
              </w:rPr>
              <w:t xml:space="preserve"> and J. J. Carmouche (2021) The Clinical Impact of Fracture Liaison Services: A Systematic Review. Geriatr Orthop Surg </w:t>
            </w:r>
            <w:proofErr w:type="spellStart"/>
            <w:r w:rsidRPr="00D3694D">
              <w:rPr>
                <w:rFonts w:ascii="Calibri" w:eastAsia="Calibri" w:hAnsi="Calibri" w:cs="Calibri"/>
              </w:rPr>
              <w:t>Rehabil</w:t>
            </w:r>
            <w:proofErr w:type="spellEnd"/>
            <w:r w:rsidRPr="00D3694D">
              <w:rPr>
                <w:rFonts w:ascii="Calibri" w:eastAsia="Calibri" w:hAnsi="Calibri" w:cs="Calibri"/>
              </w:rPr>
              <w:t xml:space="preserve"> 12: 2151459320979978.</w:t>
            </w:r>
          </w:p>
        </w:tc>
      </w:tr>
      <w:tr w:rsidR="00D3694D" w:rsidRPr="00D3694D" w14:paraId="461F8DE6" w14:textId="77777777" w:rsidTr="00600902">
        <w:tc>
          <w:tcPr>
            <w:tcW w:w="568" w:type="dxa"/>
          </w:tcPr>
          <w:p w14:paraId="301C948C"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37.</w:t>
            </w:r>
          </w:p>
        </w:tc>
        <w:tc>
          <w:tcPr>
            <w:tcW w:w="8595" w:type="dxa"/>
          </w:tcPr>
          <w:p w14:paraId="537B8EBB"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Fuggle NR, Javaid MK, Fujita M, Halbout P, Dawson-Hughes B, Rizzoli R, Reginster JY, Kanis JA, Cooper C (2020) Fracture risk assessment and how to implement a fracture liaison service. In: </w:t>
            </w:r>
            <w:proofErr w:type="spellStart"/>
            <w:r w:rsidRPr="00D3694D">
              <w:rPr>
                <w:rFonts w:ascii="Calibri" w:eastAsia="Calibri" w:hAnsi="Calibri" w:cs="Calibri"/>
              </w:rPr>
              <w:t>Falaschi</w:t>
            </w:r>
            <w:proofErr w:type="spellEnd"/>
            <w:r w:rsidRPr="00D3694D">
              <w:rPr>
                <w:rFonts w:ascii="Calibri" w:eastAsia="Calibri" w:hAnsi="Calibri" w:cs="Calibri"/>
              </w:rPr>
              <w:t xml:space="preserve"> P, Marsh D, editors. </w:t>
            </w:r>
            <w:proofErr w:type="spellStart"/>
            <w:r w:rsidRPr="00D3694D">
              <w:rPr>
                <w:rFonts w:ascii="Calibri" w:eastAsia="Calibri" w:hAnsi="Calibri" w:cs="Calibri"/>
              </w:rPr>
              <w:t>Orthogeriatrics</w:t>
            </w:r>
            <w:proofErr w:type="spellEnd"/>
            <w:r w:rsidRPr="00D3694D">
              <w:rPr>
                <w:rFonts w:ascii="Calibri" w:eastAsia="Calibri" w:hAnsi="Calibri" w:cs="Calibri"/>
              </w:rPr>
              <w:t xml:space="preserve">: The management of older patients with fragility fractures [Internet]. Chapter 14. Cham (CH): Springer; 2021. </w:t>
            </w:r>
          </w:p>
        </w:tc>
      </w:tr>
      <w:tr w:rsidR="00D3694D" w:rsidRPr="00D3694D" w14:paraId="48FC19C2" w14:textId="77777777" w:rsidTr="00600902">
        <w:tc>
          <w:tcPr>
            <w:tcW w:w="568" w:type="dxa"/>
          </w:tcPr>
          <w:p w14:paraId="439394F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38.</w:t>
            </w:r>
          </w:p>
        </w:tc>
        <w:tc>
          <w:tcPr>
            <w:tcW w:w="8595" w:type="dxa"/>
          </w:tcPr>
          <w:p w14:paraId="0FC6642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Li N, Hiligsmann M, Boonen A, van </w:t>
            </w:r>
            <w:proofErr w:type="spellStart"/>
            <w:r w:rsidRPr="00D3694D">
              <w:rPr>
                <w:rFonts w:ascii="Calibri" w:eastAsia="Calibri" w:hAnsi="Calibri" w:cs="Calibri"/>
              </w:rPr>
              <w:t>Oostwaard</w:t>
            </w:r>
            <w:proofErr w:type="spellEnd"/>
            <w:r w:rsidRPr="00D3694D">
              <w:rPr>
                <w:rFonts w:ascii="Calibri" w:eastAsia="Calibri" w:hAnsi="Calibri" w:cs="Calibri"/>
              </w:rPr>
              <w:t xml:space="preserve"> MM, de Bot RTAL, </w:t>
            </w:r>
            <w:proofErr w:type="spellStart"/>
            <w:r w:rsidRPr="00D3694D">
              <w:rPr>
                <w:rFonts w:ascii="Calibri" w:eastAsia="Calibri" w:hAnsi="Calibri" w:cs="Calibri"/>
              </w:rPr>
              <w:t>Wyers</w:t>
            </w:r>
            <w:proofErr w:type="spellEnd"/>
            <w:r w:rsidRPr="00D3694D">
              <w:rPr>
                <w:rFonts w:ascii="Calibri" w:eastAsia="Calibri" w:hAnsi="Calibri" w:cs="Calibri"/>
              </w:rPr>
              <w:t xml:space="preserve"> CE, Bours SPG, van den Bergh JP (2021) The impact of fracture liaison services on subsequent fractures and mortality: a systematic literature review and meta-analysis. Osteoporos Int 32: 1517-1530.</w:t>
            </w:r>
          </w:p>
        </w:tc>
      </w:tr>
      <w:tr w:rsidR="00D3694D" w:rsidRPr="00D3694D" w14:paraId="5C8E1A51" w14:textId="77777777" w:rsidTr="00600902">
        <w:tc>
          <w:tcPr>
            <w:tcW w:w="568" w:type="dxa"/>
          </w:tcPr>
          <w:p w14:paraId="0A75042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39.</w:t>
            </w:r>
          </w:p>
        </w:tc>
        <w:tc>
          <w:tcPr>
            <w:tcW w:w="8595" w:type="dxa"/>
          </w:tcPr>
          <w:p w14:paraId="462D8D2F"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Naranjo A, Prieto-Alhambra D, Sánchez-Martín J, Pérez-</w:t>
            </w:r>
            <w:proofErr w:type="spellStart"/>
            <w:r w:rsidRPr="00D3694D">
              <w:rPr>
                <w:rFonts w:ascii="Calibri" w:eastAsia="Calibri" w:hAnsi="Calibri" w:cs="Calibri"/>
              </w:rPr>
              <w:t>Mitru</w:t>
            </w:r>
            <w:proofErr w:type="spellEnd"/>
            <w:r w:rsidRPr="00D3694D">
              <w:rPr>
                <w:rFonts w:ascii="Calibri" w:eastAsia="Calibri" w:hAnsi="Calibri" w:cs="Calibri"/>
              </w:rPr>
              <w:t xml:space="preserve"> A, </w:t>
            </w:r>
            <w:proofErr w:type="spellStart"/>
            <w:r w:rsidRPr="00D3694D">
              <w:rPr>
                <w:rFonts w:ascii="Calibri" w:eastAsia="Calibri" w:hAnsi="Calibri" w:cs="Calibri"/>
              </w:rPr>
              <w:t>Brosa</w:t>
            </w:r>
            <w:proofErr w:type="spellEnd"/>
            <w:r w:rsidRPr="00D3694D">
              <w:rPr>
                <w:rFonts w:ascii="Calibri" w:eastAsia="Calibri" w:hAnsi="Calibri" w:cs="Calibri"/>
              </w:rPr>
              <w:t xml:space="preserve"> M (2022) Cost-effectiveness analysis of fracture liaison services compared with standard of care in the secondary prevention of fragility fractures in Spain. </w:t>
            </w:r>
            <w:proofErr w:type="spellStart"/>
            <w:r w:rsidRPr="00D3694D">
              <w:rPr>
                <w:rFonts w:ascii="Calibri" w:eastAsia="Calibri" w:hAnsi="Calibri" w:cs="Calibri"/>
              </w:rPr>
              <w:t>Clinicoecon</w:t>
            </w:r>
            <w:proofErr w:type="spellEnd"/>
            <w:r w:rsidRPr="00D3694D">
              <w:rPr>
                <w:rFonts w:ascii="Calibri" w:eastAsia="Calibri" w:hAnsi="Calibri" w:cs="Calibri"/>
              </w:rPr>
              <w:t xml:space="preserve"> Outcomes Res 14:249-264.</w:t>
            </w:r>
          </w:p>
        </w:tc>
      </w:tr>
      <w:tr w:rsidR="00D3694D" w:rsidRPr="00D3694D" w14:paraId="2DE19770" w14:textId="77777777" w:rsidTr="00600902">
        <w:tc>
          <w:tcPr>
            <w:tcW w:w="568" w:type="dxa"/>
          </w:tcPr>
          <w:p w14:paraId="529471E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40.</w:t>
            </w:r>
          </w:p>
        </w:tc>
        <w:tc>
          <w:tcPr>
            <w:tcW w:w="8595" w:type="dxa"/>
          </w:tcPr>
          <w:p w14:paraId="23E1F0DA"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Cranney A, Jamal SA, Tsang JF, Josse RG, Leslie WD (2007) Low bone mineral density and fracture burden in postmenopausal women. CMAJ. 2007; 177: 575-580</w:t>
            </w:r>
          </w:p>
        </w:tc>
      </w:tr>
      <w:tr w:rsidR="00D3694D" w:rsidRPr="00D3694D" w14:paraId="1CB00CB0" w14:textId="77777777" w:rsidTr="00600902">
        <w:tc>
          <w:tcPr>
            <w:tcW w:w="568" w:type="dxa"/>
          </w:tcPr>
          <w:p w14:paraId="427B7F0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41.</w:t>
            </w:r>
          </w:p>
        </w:tc>
        <w:tc>
          <w:tcPr>
            <w:tcW w:w="8595" w:type="dxa"/>
          </w:tcPr>
          <w:p w14:paraId="16C4F32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Johnell O, Oden A, Jonsson B, Dawson A, Dere W (2000) Risk of hip fracture derived from relative risks: an analysis applied to the population of Sweden. Osteoporos Int 11:120–127</w:t>
            </w:r>
          </w:p>
        </w:tc>
      </w:tr>
      <w:tr w:rsidR="00D3694D" w:rsidRPr="00D3694D" w14:paraId="5A9D891D" w14:textId="77777777" w:rsidTr="00600902">
        <w:tc>
          <w:tcPr>
            <w:tcW w:w="568" w:type="dxa"/>
          </w:tcPr>
          <w:p w14:paraId="28E36B4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42.</w:t>
            </w:r>
          </w:p>
        </w:tc>
        <w:tc>
          <w:tcPr>
            <w:tcW w:w="8595" w:type="dxa"/>
          </w:tcPr>
          <w:p w14:paraId="3797EE4B"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Johnell O, Oden A, Jonsson B, De </w:t>
            </w:r>
            <w:proofErr w:type="spellStart"/>
            <w:r w:rsidRPr="00D3694D">
              <w:rPr>
                <w:rFonts w:ascii="Calibri" w:eastAsia="Calibri" w:hAnsi="Calibri" w:cs="Calibri"/>
              </w:rPr>
              <w:t>Laet</w:t>
            </w:r>
            <w:proofErr w:type="spellEnd"/>
            <w:r w:rsidRPr="00D3694D">
              <w:rPr>
                <w:rFonts w:ascii="Calibri" w:eastAsia="Calibri" w:hAnsi="Calibri" w:cs="Calibri"/>
              </w:rPr>
              <w:t xml:space="preserve"> C, Dawson A (2000) Prediction of fracture from low bone mineral density measurements overestimates risk. Bone 26:387–391</w:t>
            </w:r>
          </w:p>
        </w:tc>
      </w:tr>
      <w:tr w:rsidR="00D3694D" w:rsidRPr="00D3694D" w14:paraId="53CF9248" w14:textId="77777777" w:rsidTr="00600902">
        <w:tc>
          <w:tcPr>
            <w:tcW w:w="568" w:type="dxa"/>
          </w:tcPr>
          <w:p w14:paraId="68A1FD8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43.</w:t>
            </w:r>
          </w:p>
        </w:tc>
        <w:tc>
          <w:tcPr>
            <w:tcW w:w="8595" w:type="dxa"/>
          </w:tcPr>
          <w:p w14:paraId="2987A4F2" w14:textId="5B76DB92"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Wainwright SA, Marshall LM, </w:t>
            </w:r>
            <w:proofErr w:type="spellStart"/>
            <w:r w:rsidRPr="00D3694D">
              <w:rPr>
                <w:rFonts w:ascii="Calibri" w:eastAsia="Calibri" w:hAnsi="Calibri" w:cs="Calibri"/>
              </w:rPr>
              <w:t>Ensrud</w:t>
            </w:r>
            <w:proofErr w:type="spellEnd"/>
            <w:r w:rsidRPr="00D3694D">
              <w:rPr>
                <w:rFonts w:ascii="Calibri" w:eastAsia="Calibri" w:hAnsi="Calibri" w:cs="Calibri"/>
              </w:rPr>
              <w:t xml:space="preserve"> KE, Cauley JA, Black DM, Hillier TA, Hochberg MC, Vogt MT, Orwoll ES; Study of Osteoporotic Fractures Research Group (2005) Hip fracture in women without osteoporosis. J Clin Endocrinol </w:t>
            </w:r>
            <w:r w:rsidR="00600902" w:rsidRPr="00D3694D">
              <w:rPr>
                <w:rFonts w:ascii="Calibri" w:eastAsia="Calibri" w:hAnsi="Calibri" w:cs="Calibri"/>
              </w:rPr>
              <w:t>Metab 90</w:t>
            </w:r>
            <w:r w:rsidRPr="00D3694D">
              <w:rPr>
                <w:rFonts w:ascii="Calibri" w:eastAsia="Calibri" w:hAnsi="Calibri" w:cs="Calibri"/>
              </w:rPr>
              <w:t>: 2787–2793</w:t>
            </w:r>
          </w:p>
        </w:tc>
      </w:tr>
      <w:tr w:rsidR="00D3694D" w:rsidRPr="00D3694D" w14:paraId="60F9E735" w14:textId="77777777" w:rsidTr="00600902">
        <w:tc>
          <w:tcPr>
            <w:tcW w:w="568" w:type="dxa"/>
          </w:tcPr>
          <w:p w14:paraId="5D2BC11A"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44.</w:t>
            </w:r>
          </w:p>
        </w:tc>
        <w:tc>
          <w:tcPr>
            <w:tcW w:w="8595" w:type="dxa"/>
          </w:tcPr>
          <w:p w14:paraId="729BE054" w14:textId="132131A5"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Oden A, McCloskey EV, Johansson H, Kanis JA (2013) Assessing the Impact of osteoporosis on the burden of hip Fractures.  Calcif Tissue </w:t>
            </w:r>
            <w:r w:rsidR="00600902" w:rsidRPr="00D3694D">
              <w:rPr>
                <w:rFonts w:ascii="Calibri" w:eastAsia="Calibri" w:hAnsi="Calibri" w:cs="Calibri"/>
              </w:rPr>
              <w:t>Int 92:42</w:t>
            </w:r>
            <w:r w:rsidRPr="00D3694D">
              <w:rPr>
                <w:rFonts w:ascii="Calibri" w:eastAsia="Calibri" w:hAnsi="Calibri" w:cs="Calibri"/>
              </w:rPr>
              <w:t xml:space="preserve">–49. </w:t>
            </w:r>
          </w:p>
        </w:tc>
      </w:tr>
      <w:tr w:rsidR="00D3694D" w:rsidRPr="00D3694D" w14:paraId="52C1F35F" w14:textId="77777777" w:rsidTr="00600902">
        <w:tc>
          <w:tcPr>
            <w:tcW w:w="568" w:type="dxa"/>
          </w:tcPr>
          <w:p w14:paraId="6E27BD49"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45.</w:t>
            </w:r>
          </w:p>
        </w:tc>
        <w:tc>
          <w:tcPr>
            <w:tcW w:w="8595" w:type="dxa"/>
          </w:tcPr>
          <w:p w14:paraId="05957BFB"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Johnell O, Oden A, Dawson A, De </w:t>
            </w:r>
            <w:proofErr w:type="spellStart"/>
            <w:r w:rsidRPr="00D3694D">
              <w:rPr>
                <w:rFonts w:ascii="Calibri" w:eastAsia="Calibri" w:hAnsi="Calibri" w:cs="Calibri"/>
              </w:rPr>
              <w:t>Laet</w:t>
            </w:r>
            <w:proofErr w:type="spellEnd"/>
            <w:r w:rsidRPr="00D3694D">
              <w:rPr>
                <w:rFonts w:ascii="Calibri" w:eastAsia="Calibri" w:hAnsi="Calibri" w:cs="Calibri"/>
              </w:rPr>
              <w:t xml:space="preserve"> C, Jonsson B (2001) Ten-year probabilities of osteoporotic fractures according to BMD and diagnostic thresholds. Osteoporos Int 12:989–995</w:t>
            </w:r>
          </w:p>
        </w:tc>
      </w:tr>
      <w:tr w:rsidR="00D3694D" w:rsidRPr="00D3694D" w14:paraId="0B1AE0BA" w14:textId="77777777" w:rsidTr="00600902">
        <w:tc>
          <w:tcPr>
            <w:tcW w:w="568" w:type="dxa"/>
          </w:tcPr>
          <w:p w14:paraId="75A25D4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46.</w:t>
            </w:r>
          </w:p>
        </w:tc>
        <w:tc>
          <w:tcPr>
            <w:tcW w:w="8595" w:type="dxa"/>
          </w:tcPr>
          <w:p w14:paraId="70E1377E" w14:textId="7B7A545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Hui SL, </w:t>
            </w:r>
            <w:proofErr w:type="spellStart"/>
            <w:r w:rsidRPr="00D3694D">
              <w:rPr>
                <w:rFonts w:ascii="Calibri" w:eastAsia="Calibri" w:hAnsi="Calibri" w:cs="Calibri"/>
              </w:rPr>
              <w:t>Slemenda</w:t>
            </w:r>
            <w:proofErr w:type="spellEnd"/>
            <w:r w:rsidR="00600902">
              <w:rPr>
                <w:rFonts w:ascii="Calibri" w:eastAsia="Calibri" w:hAnsi="Calibri" w:cs="Calibri"/>
              </w:rPr>
              <w:t xml:space="preserve"> </w:t>
            </w:r>
            <w:r w:rsidRPr="00D3694D">
              <w:rPr>
                <w:rFonts w:ascii="Calibri" w:eastAsia="Calibri" w:hAnsi="Calibri" w:cs="Calibri"/>
              </w:rPr>
              <w:t>CW, Johnston CC Jr (1988) Age and bone mass as predictors of fracture in a prospective study. J Clin Invest 81: 1804–1809</w:t>
            </w:r>
          </w:p>
        </w:tc>
      </w:tr>
      <w:tr w:rsidR="00D3694D" w:rsidRPr="00D3694D" w14:paraId="7792F082" w14:textId="77777777" w:rsidTr="00600902">
        <w:tc>
          <w:tcPr>
            <w:tcW w:w="568" w:type="dxa"/>
          </w:tcPr>
          <w:p w14:paraId="212BEE1A"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47.</w:t>
            </w:r>
          </w:p>
        </w:tc>
        <w:tc>
          <w:tcPr>
            <w:tcW w:w="8595" w:type="dxa"/>
          </w:tcPr>
          <w:p w14:paraId="2D5A2D91" w14:textId="1CE222BA"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Odén A, McCloskey EV, Johansson H, Wahl D, Cyrus Cooper </w:t>
            </w:r>
            <w:r w:rsidR="00600902" w:rsidRPr="00D3694D">
              <w:rPr>
                <w:rFonts w:ascii="Calibri" w:eastAsia="Calibri" w:hAnsi="Calibri" w:cs="Calibri"/>
              </w:rPr>
              <w:t>C on</w:t>
            </w:r>
            <w:r w:rsidRPr="00D3694D">
              <w:rPr>
                <w:rFonts w:ascii="Calibri" w:eastAsia="Calibri" w:hAnsi="Calibri" w:cs="Calibri"/>
              </w:rPr>
              <w:t xml:space="preserve"> behalf of the IOF Working Group on Epidemiology and Quality of Life (2012) A systematic review of hip fracture incidence and probability of fracture worldwide. Osteoporos </w:t>
            </w:r>
            <w:r w:rsidR="00600902" w:rsidRPr="00D3694D">
              <w:rPr>
                <w:rFonts w:ascii="Calibri" w:eastAsia="Calibri" w:hAnsi="Calibri" w:cs="Calibri"/>
              </w:rPr>
              <w:t>Int 23</w:t>
            </w:r>
            <w:r w:rsidRPr="00D3694D">
              <w:rPr>
                <w:rFonts w:ascii="Calibri" w:eastAsia="Calibri" w:hAnsi="Calibri" w:cs="Calibri"/>
              </w:rPr>
              <w:t xml:space="preserve">: 2239-2256.  </w:t>
            </w:r>
          </w:p>
        </w:tc>
      </w:tr>
      <w:tr w:rsidR="00D3694D" w:rsidRPr="00D3694D" w14:paraId="6D594707" w14:textId="77777777" w:rsidTr="00600902">
        <w:tc>
          <w:tcPr>
            <w:tcW w:w="568" w:type="dxa"/>
          </w:tcPr>
          <w:p w14:paraId="5B21AD7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48.</w:t>
            </w:r>
          </w:p>
        </w:tc>
        <w:tc>
          <w:tcPr>
            <w:tcW w:w="8595" w:type="dxa"/>
          </w:tcPr>
          <w:p w14:paraId="3608094B" w14:textId="6CF617F6"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The Asia-Pacific regional audit (2013 Epidemiology, costs &amp; burden of osteoporosis in 2013.  </w:t>
            </w:r>
            <w:r w:rsidR="005D50CF" w:rsidRPr="00D3694D">
              <w:rPr>
                <w:rFonts w:ascii="Calibri" w:eastAsia="Calibri" w:hAnsi="Calibri" w:cs="Calibri"/>
              </w:rPr>
              <w:t xml:space="preserve">https://www.osteoporosis.foundation/sites/iofbonehealth/files/2019-06/2013_Asia_Pacific_Audit_English.pdf </w:t>
            </w:r>
            <w:r w:rsidR="005D50CF">
              <w:rPr>
                <w:rFonts w:ascii="Calibri" w:eastAsia="Calibri" w:hAnsi="Calibri" w:cs="Calibri"/>
              </w:rPr>
              <w:t>(</w:t>
            </w:r>
            <w:r w:rsidRPr="00D3694D">
              <w:rPr>
                <w:rFonts w:ascii="Calibri" w:eastAsia="Calibri" w:hAnsi="Calibri" w:cs="Calibri"/>
              </w:rPr>
              <w:t>accessed 12th June 2022).</w:t>
            </w:r>
          </w:p>
        </w:tc>
      </w:tr>
      <w:tr w:rsidR="00D3694D" w:rsidRPr="00D3694D" w14:paraId="183E0EED" w14:textId="77777777" w:rsidTr="00600902">
        <w:tc>
          <w:tcPr>
            <w:tcW w:w="568" w:type="dxa"/>
          </w:tcPr>
          <w:p w14:paraId="1506CE0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49.</w:t>
            </w:r>
          </w:p>
        </w:tc>
        <w:tc>
          <w:tcPr>
            <w:tcW w:w="8595" w:type="dxa"/>
          </w:tcPr>
          <w:p w14:paraId="4119DCF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McCloskey E, Johansson H, Oden A, Leslie WD (2012) FRAX® with and without bone mineral density. Calcif Tiss Int 90: 1-13.</w:t>
            </w:r>
          </w:p>
        </w:tc>
      </w:tr>
      <w:tr w:rsidR="00D3694D" w:rsidRPr="00D3694D" w14:paraId="40A6D25C" w14:textId="77777777" w:rsidTr="00600902">
        <w:tc>
          <w:tcPr>
            <w:tcW w:w="568" w:type="dxa"/>
          </w:tcPr>
          <w:p w14:paraId="1FCF59DD"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50.</w:t>
            </w:r>
          </w:p>
        </w:tc>
        <w:tc>
          <w:tcPr>
            <w:tcW w:w="8595" w:type="dxa"/>
          </w:tcPr>
          <w:p w14:paraId="70B73CDD"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McCloskey E (2016) A BMD threshold for treatment efficacy in osteoporosis?  A need to consider the whole evidence base.  Osteoporos Int 27:  417-419.</w:t>
            </w:r>
          </w:p>
        </w:tc>
      </w:tr>
      <w:tr w:rsidR="00D3694D" w:rsidRPr="00D3694D" w14:paraId="69F200A4" w14:textId="77777777" w:rsidTr="00600902">
        <w:tc>
          <w:tcPr>
            <w:tcW w:w="568" w:type="dxa"/>
          </w:tcPr>
          <w:p w14:paraId="5AE0F8CC"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51.</w:t>
            </w:r>
          </w:p>
        </w:tc>
        <w:tc>
          <w:tcPr>
            <w:tcW w:w="8595" w:type="dxa"/>
          </w:tcPr>
          <w:p w14:paraId="03B5A119"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Reid IR, Horne AM, </w:t>
            </w:r>
            <w:proofErr w:type="spellStart"/>
            <w:r w:rsidRPr="00D3694D">
              <w:rPr>
                <w:rFonts w:ascii="Calibri" w:eastAsia="Calibri" w:hAnsi="Calibri" w:cs="Calibri"/>
              </w:rPr>
              <w:t>Mihov</w:t>
            </w:r>
            <w:proofErr w:type="spellEnd"/>
            <w:r w:rsidRPr="00D3694D">
              <w:rPr>
                <w:rFonts w:ascii="Calibri" w:eastAsia="Calibri" w:hAnsi="Calibri" w:cs="Calibri"/>
              </w:rPr>
              <w:t xml:space="preserve"> B, Stewart A, Garratt E, Wong S, </w:t>
            </w:r>
            <w:proofErr w:type="spellStart"/>
            <w:r w:rsidRPr="00D3694D">
              <w:rPr>
                <w:rFonts w:ascii="Calibri" w:eastAsia="Calibri" w:hAnsi="Calibri" w:cs="Calibri"/>
              </w:rPr>
              <w:t>Wiessing</w:t>
            </w:r>
            <w:proofErr w:type="spellEnd"/>
            <w:r w:rsidRPr="00D3694D">
              <w:rPr>
                <w:rFonts w:ascii="Calibri" w:eastAsia="Calibri" w:hAnsi="Calibri" w:cs="Calibri"/>
              </w:rPr>
              <w:t xml:space="preserve"> KR, </w:t>
            </w:r>
            <w:proofErr w:type="spellStart"/>
            <w:r w:rsidRPr="00D3694D">
              <w:rPr>
                <w:rFonts w:ascii="Calibri" w:eastAsia="Calibri" w:hAnsi="Calibri" w:cs="Calibri"/>
              </w:rPr>
              <w:t>Bolland</w:t>
            </w:r>
            <w:proofErr w:type="spellEnd"/>
            <w:r w:rsidRPr="00D3694D">
              <w:rPr>
                <w:rFonts w:ascii="Calibri" w:eastAsia="Calibri" w:hAnsi="Calibri" w:cs="Calibri"/>
              </w:rPr>
              <w:t xml:space="preserve"> MJ, </w:t>
            </w:r>
            <w:proofErr w:type="spellStart"/>
            <w:r w:rsidRPr="00D3694D">
              <w:rPr>
                <w:rFonts w:ascii="Calibri" w:eastAsia="Calibri" w:hAnsi="Calibri" w:cs="Calibri"/>
              </w:rPr>
              <w:t>Bastin</w:t>
            </w:r>
            <w:proofErr w:type="spellEnd"/>
            <w:r w:rsidRPr="00D3694D">
              <w:rPr>
                <w:rFonts w:ascii="Calibri" w:eastAsia="Calibri" w:hAnsi="Calibri" w:cs="Calibri"/>
              </w:rPr>
              <w:t xml:space="preserve"> S, Gamble GD 2018) Fracture prevention with zoledronate in older women with osteopenia. N </w:t>
            </w:r>
            <w:proofErr w:type="spellStart"/>
            <w:r w:rsidRPr="00D3694D">
              <w:rPr>
                <w:rFonts w:ascii="Calibri" w:eastAsia="Calibri" w:hAnsi="Calibri" w:cs="Calibri"/>
              </w:rPr>
              <w:t>Engl</w:t>
            </w:r>
            <w:proofErr w:type="spellEnd"/>
            <w:r w:rsidRPr="00D3694D">
              <w:rPr>
                <w:rFonts w:ascii="Calibri" w:eastAsia="Calibri" w:hAnsi="Calibri" w:cs="Calibri"/>
              </w:rPr>
              <w:t xml:space="preserve"> J Med 379(25):2407-2416. doi: 10.1056/NEJMoa1808082.</w:t>
            </w:r>
          </w:p>
        </w:tc>
      </w:tr>
      <w:tr w:rsidR="00D3694D" w:rsidRPr="00D3694D" w14:paraId="01E30FA1" w14:textId="77777777" w:rsidTr="00600902">
        <w:tc>
          <w:tcPr>
            <w:tcW w:w="568" w:type="dxa"/>
          </w:tcPr>
          <w:p w14:paraId="040F7524"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52.</w:t>
            </w:r>
          </w:p>
        </w:tc>
        <w:tc>
          <w:tcPr>
            <w:tcW w:w="8595" w:type="dxa"/>
          </w:tcPr>
          <w:p w14:paraId="600D8639" w14:textId="77777777" w:rsidR="00D3694D" w:rsidRPr="00D3694D" w:rsidRDefault="00D3694D" w:rsidP="00D3694D">
            <w:pPr>
              <w:autoSpaceDE w:val="0"/>
              <w:autoSpaceDN w:val="0"/>
              <w:adjustRightInd w:val="0"/>
              <w:rPr>
                <w:rFonts w:ascii="Calibri" w:hAnsi="Calibri" w:cs="Calibri"/>
              </w:rPr>
            </w:pPr>
            <w:r w:rsidRPr="00D3694D">
              <w:rPr>
                <w:rFonts w:ascii="Calibri" w:eastAsia="Calibri" w:hAnsi="Calibri" w:cs="Calibri"/>
              </w:rPr>
              <w:t xml:space="preserve">McCloskey EV, Beneton M, Charlesworth D, </w:t>
            </w:r>
            <w:proofErr w:type="spellStart"/>
            <w:r w:rsidRPr="00D3694D">
              <w:rPr>
                <w:rFonts w:ascii="Calibri" w:eastAsia="Calibri" w:hAnsi="Calibri" w:cs="Calibri"/>
              </w:rPr>
              <w:t>Kayan</w:t>
            </w:r>
            <w:proofErr w:type="spellEnd"/>
            <w:r w:rsidRPr="00D3694D">
              <w:rPr>
                <w:rFonts w:ascii="Calibri" w:eastAsia="Calibri" w:hAnsi="Calibri" w:cs="Calibri"/>
              </w:rPr>
              <w:t xml:space="preserve"> K, </w:t>
            </w:r>
            <w:proofErr w:type="spellStart"/>
            <w:r w:rsidRPr="00D3694D">
              <w:rPr>
                <w:rFonts w:ascii="Calibri" w:eastAsia="Calibri" w:hAnsi="Calibri" w:cs="Calibri"/>
              </w:rPr>
              <w:t>deTakats</w:t>
            </w:r>
            <w:proofErr w:type="spellEnd"/>
            <w:r w:rsidRPr="00D3694D">
              <w:rPr>
                <w:rFonts w:ascii="Calibri" w:eastAsia="Calibri" w:hAnsi="Calibri" w:cs="Calibri"/>
              </w:rPr>
              <w:t xml:space="preserve"> D, Dey A, </w:t>
            </w:r>
            <w:proofErr w:type="spellStart"/>
            <w:r w:rsidRPr="00D3694D">
              <w:rPr>
                <w:rFonts w:ascii="Calibri" w:eastAsia="Calibri" w:hAnsi="Calibri" w:cs="Calibri"/>
              </w:rPr>
              <w:t>Orgee</w:t>
            </w:r>
            <w:proofErr w:type="spellEnd"/>
            <w:r w:rsidRPr="00D3694D">
              <w:rPr>
                <w:rFonts w:ascii="Calibri" w:eastAsia="Calibri" w:hAnsi="Calibri" w:cs="Calibri"/>
              </w:rPr>
              <w:t xml:space="preserve"> J, Ashford R, Forster M, Cliffe J, </w:t>
            </w:r>
            <w:proofErr w:type="spellStart"/>
            <w:r w:rsidRPr="00D3694D">
              <w:rPr>
                <w:rFonts w:ascii="Calibri" w:eastAsia="Calibri" w:hAnsi="Calibri" w:cs="Calibri"/>
              </w:rPr>
              <w:t>Kersh</w:t>
            </w:r>
            <w:proofErr w:type="spellEnd"/>
            <w:r w:rsidRPr="00D3694D">
              <w:rPr>
                <w:rFonts w:ascii="Calibri" w:eastAsia="Calibri" w:hAnsi="Calibri" w:cs="Calibri"/>
              </w:rPr>
              <w:t xml:space="preserve"> L, Brazier J, Nichol J, </w:t>
            </w:r>
            <w:proofErr w:type="spellStart"/>
            <w:r w:rsidRPr="00D3694D">
              <w:rPr>
                <w:rFonts w:ascii="Calibri" w:eastAsia="Calibri" w:hAnsi="Calibri" w:cs="Calibri"/>
              </w:rPr>
              <w:t>Aropuu</w:t>
            </w:r>
            <w:proofErr w:type="spellEnd"/>
            <w:r w:rsidRPr="00D3694D">
              <w:rPr>
                <w:rFonts w:ascii="Calibri" w:eastAsia="Calibri" w:hAnsi="Calibri" w:cs="Calibri"/>
              </w:rPr>
              <w:t xml:space="preserve"> S, </w:t>
            </w:r>
            <w:proofErr w:type="spellStart"/>
            <w:r w:rsidRPr="00D3694D">
              <w:rPr>
                <w:rFonts w:ascii="Calibri" w:eastAsia="Calibri" w:hAnsi="Calibri" w:cs="Calibri"/>
              </w:rPr>
              <w:t>Jalava</w:t>
            </w:r>
            <w:proofErr w:type="spellEnd"/>
            <w:r w:rsidRPr="00D3694D">
              <w:rPr>
                <w:rFonts w:ascii="Calibri" w:eastAsia="Calibri" w:hAnsi="Calibri" w:cs="Calibri"/>
              </w:rPr>
              <w:t xml:space="preserve"> T, Kanis JA (2007) Clodronate reduces the incidence of fractures in community-dwelling elderly women unselected for osteoporosis: results of a double-blind, placebo-controlled randomized study. J Bone Miner Res 22: 135-141</w:t>
            </w:r>
          </w:p>
        </w:tc>
      </w:tr>
      <w:tr w:rsidR="00D3694D" w:rsidRPr="00D3694D" w14:paraId="1EDDD782" w14:textId="77777777" w:rsidTr="00600902">
        <w:tc>
          <w:tcPr>
            <w:tcW w:w="568" w:type="dxa"/>
          </w:tcPr>
          <w:p w14:paraId="7EDB3B92"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lastRenderedPageBreak/>
              <w:t>53.</w:t>
            </w:r>
          </w:p>
        </w:tc>
        <w:tc>
          <w:tcPr>
            <w:tcW w:w="8595" w:type="dxa"/>
          </w:tcPr>
          <w:p w14:paraId="3B895710" w14:textId="77777777" w:rsidR="00D3694D" w:rsidRPr="00D3694D" w:rsidRDefault="00D3694D" w:rsidP="00D3694D">
            <w:pPr>
              <w:autoSpaceDE w:val="0"/>
              <w:autoSpaceDN w:val="0"/>
              <w:adjustRightInd w:val="0"/>
              <w:rPr>
                <w:rFonts w:ascii="Calibri" w:hAnsi="Calibri" w:cs="Calibri"/>
              </w:rPr>
            </w:pPr>
            <w:r w:rsidRPr="00D3694D">
              <w:rPr>
                <w:rFonts w:ascii="Calibri" w:eastAsia="Calibri" w:hAnsi="Calibri" w:cs="Calibri"/>
                <w:color w:val="000000"/>
              </w:rPr>
              <w:t xml:space="preserve">Rossouw JE, Anderson GL, Prentice RL LaCroix AZ, </w:t>
            </w:r>
            <w:proofErr w:type="spellStart"/>
            <w:r w:rsidRPr="00D3694D">
              <w:rPr>
                <w:rFonts w:ascii="Calibri" w:eastAsia="Calibri" w:hAnsi="Calibri" w:cs="Calibri"/>
                <w:color w:val="000000"/>
              </w:rPr>
              <w:t>Kooperberg</w:t>
            </w:r>
            <w:proofErr w:type="spellEnd"/>
            <w:r w:rsidRPr="00D3694D">
              <w:rPr>
                <w:rFonts w:ascii="Calibri" w:eastAsia="Calibri" w:hAnsi="Calibri" w:cs="Calibri"/>
                <w:color w:val="000000"/>
              </w:rPr>
              <w:t xml:space="preserve"> C, Stefanick ML, Jackson RD, Beresford SA, Howard BV, Johnson KC, </w:t>
            </w:r>
            <w:proofErr w:type="spellStart"/>
            <w:r w:rsidRPr="00D3694D">
              <w:rPr>
                <w:rFonts w:ascii="Calibri" w:eastAsia="Calibri" w:hAnsi="Calibri" w:cs="Calibri"/>
                <w:color w:val="000000"/>
              </w:rPr>
              <w:t>Kotchen</w:t>
            </w:r>
            <w:proofErr w:type="spellEnd"/>
            <w:r w:rsidRPr="00D3694D">
              <w:rPr>
                <w:rFonts w:ascii="Calibri" w:eastAsia="Calibri" w:hAnsi="Calibri" w:cs="Calibri"/>
                <w:color w:val="000000"/>
              </w:rPr>
              <w:t xml:space="preserve"> JM, </w:t>
            </w:r>
            <w:proofErr w:type="spellStart"/>
            <w:r w:rsidRPr="00D3694D">
              <w:rPr>
                <w:rFonts w:ascii="Calibri" w:eastAsia="Calibri" w:hAnsi="Calibri" w:cs="Calibri"/>
                <w:color w:val="000000"/>
              </w:rPr>
              <w:t>Ockene</w:t>
            </w:r>
            <w:proofErr w:type="spellEnd"/>
            <w:r w:rsidRPr="00D3694D">
              <w:rPr>
                <w:rFonts w:ascii="Calibri" w:eastAsia="Calibri" w:hAnsi="Calibri" w:cs="Calibri"/>
                <w:color w:val="000000"/>
              </w:rPr>
              <w:t xml:space="preserve"> J; Writing Group for the Women's Health Initiative Investigators. (2002) Risks and benefits of </w:t>
            </w:r>
            <w:proofErr w:type="spellStart"/>
            <w:r w:rsidRPr="00D3694D">
              <w:rPr>
                <w:rFonts w:ascii="Calibri" w:eastAsia="Calibri" w:hAnsi="Calibri" w:cs="Calibri"/>
                <w:color w:val="000000"/>
              </w:rPr>
              <w:t>estrogen</w:t>
            </w:r>
            <w:proofErr w:type="spellEnd"/>
            <w:r w:rsidRPr="00D3694D">
              <w:rPr>
                <w:rFonts w:ascii="Calibri" w:eastAsia="Calibri" w:hAnsi="Calibri" w:cs="Calibri"/>
                <w:color w:val="000000"/>
              </w:rPr>
              <w:t xml:space="preserve"> plus progestin in healthy postmenopausal women: principal results From the Women’s Health Initiative randomized controlled trial. JAMA 288:321–333</w:t>
            </w:r>
          </w:p>
        </w:tc>
      </w:tr>
      <w:tr w:rsidR="00D3694D" w:rsidRPr="00D3694D" w14:paraId="4474D059" w14:textId="77777777" w:rsidTr="00600902">
        <w:tc>
          <w:tcPr>
            <w:tcW w:w="568" w:type="dxa"/>
          </w:tcPr>
          <w:p w14:paraId="3FA14FC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54.</w:t>
            </w:r>
          </w:p>
        </w:tc>
        <w:tc>
          <w:tcPr>
            <w:tcW w:w="8595" w:type="dxa"/>
          </w:tcPr>
          <w:p w14:paraId="2A7E2597" w14:textId="77777777" w:rsidR="00D3694D" w:rsidRPr="00D3694D" w:rsidRDefault="00D3694D" w:rsidP="00D3694D">
            <w:pPr>
              <w:autoSpaceDE w:val="0"/>
              <w:autoSpaceDN w:val="0"/>
              <w:adjustRightInd w:val="0"/>
              <w:rPr>
                <w:rFonts w:ascii="Calibri" w:hAnsi="Calibri" w:cs="Calibri"/>
                <w:color w:val="000000"/>
              </w:rPr>
            </w:pPr>
            <w:r w:rsidRPr="00D3694D">
              <w:rPr>
                <w:rFonts w:ascii="Calibri" w:eastAsia="Calibri" w:hAnsi="Calibri" w:cs="Calibri"/>
              </w:rPr>
              <w:t xml:space="preserve">Li Y, Wei FF, Thijs L, </w:t>
            </w:r>
            <w:proofErr w:type="spellStart"/>
            <w:r w:rsidRPr="00D3694D">
              <w:rPr>
                <w:rFonts w:ascii="Calibri" w:eastAsia="Calibri" w:hAnsi="Calibri" w:cs="Calibri"/>
              </w:rPr>
              <w:t>Boggia</w:t>
            </w:r>
            <w:proofErr w:type="spellEnd"/>
            <w:r w:rsidRPr="00D3694D">
              <w:rPr>
                <w:rFonts w:ascii="Calibri" w:eastAsia="Calibri" w:hAnsi="Calibri" w:cs="Calibri"/>
              </w:rPr>
              <w:t xml:space="preserve"> J, </w:t>
            </w:r>
            <w:proofErr w:type="spellStart"/>
            <w:r w:rsidRPr="00D3694D">
              <w:rPr>
                <w:rFonts w:ascii="Calibri" w:eastAsia="Calibri" w:hAnsi="Calibri" w:cs="Calibri"/>
              </w:rPr>
              <w:t>Asayama</w:t>
            </w:r>
            <w:proofErr w:type="spellEnd"/>
            <w:r w:rsidRPr="00D3694D">
              <w:rPr>
                <w:rFonts w:ascii="Calibri" w:eastAsia="Calibri" w:hAnsi="Calibri" w:cs="Calibri"/>
              </w:rPr>
              <w:t xml:space="preserve"> K, Hansen TW </w:t>
            </w:r>
            <w:proofErr w:type="spellStart"/>
            <w:r w:rsidRPr="00D3694D">
              <w:rPr>
                <w:rFonts w:ascii="Calibri" w:eastAsia="Calibri" w:hAnsi="Calibri" w:cs="Calibri"/>
              </w:rPr>
              <w:t>Kikuya</w:t>
            </w:r>
            <w:proofErr w:type="spellEnd"/>
            <w:r w:rsidRPr="00D3694D">
              <w:rPr>
                <w:rFonts w:ascii="Calibri" w:eastAsia="Calibri" w:hAnsi="Calibri" w:cs="Calibri"/>
              </w:rPr>
              <w:t xml:space="preserve"> M, Björklund-</w:t>
            </w:r>
            <w:proofErr w:type="spellStart"/>
            <w:r w:rsidRPr="00D3694D">
              <w:rPr>
                <w:rFonts w:ascii="Calibri" w:eastAsia="Calibri" w:hAnsi="Calibri" w:cs="Calibri"/>
              </w:rPr>
              <w:t>Bodegård</w:t>
            </w:r>
            <w:proofErr w:type="spellEnd"/>
            <w:r w:rsidRPr="00D3694D">
              <w:rPr>
                <w:rFonts w:ascii="Calibri" w:eastAsia="Calibri" w:hAnsi="Calibri" w:cs="Calibri"/>
              </w:rPr>
              <w:t xml:space="preserve"> K, Ohkubo T, Jeppesen J, Gu YM, Torp-Pedersen C, Dolan E, Liu YP, Kuznetsova T, </w:t>
            </w:r>
            <w:proofErr w:type="spellStart"/>
            <w:r w:rsidRPr="00D3694D">
              <w:rPr>
                <w:rFonts w:ascii="Calibri" w:eastAsia="Calibri" w:hAnsi="Calibri" w:cs="Calibri"/>
              </w:rPr>
              <w:t>Stolarz-Skrzypek</w:t>
            </w:r>
            <w:proofErr w:type="spellEnd"/>
            <w:r w:rsidRPr="00D3694D">
              <w:rPr>
                <w:rFonts w:ascii="Calibri" w:eastAsia="Calibri" w:hAnsi="Calibri" w:cs="Calibri"/>
              </w:rPr>
              <w:t xml:space="preserve"> K, </w:t>
            </w:r>
            <w:proofErr w:type="spellStart"/>
            <w:r w:rsidRPr="00D3694D">
              <w:rPr>
                <w:rFonts w:ascii="Calibri" w:eastAsia="Calibri" w:hAnsi="Calibri" w:cs="Calibri"/>
              </w:rPr>
              <w:t>Tikhonoff</w:t>
            </w:r>
            <w:proofErr w:type="spellEnd"/>
            <w:r w:rsidRPr="00D3694D">
              <w:rPr>
                <w:rFonts w:ascii="Calibri" w:eastAsia="Calibri" w:hAnsi="Calibri" w:cs="Calibri"/>
              </w:rPr>
              <w:t xml:space="preserve"> V, </w:t>
            </w:r>
            <w:proofErr w:type="spellStart"/>
            <w:r w:rsidRPr="00D3694D">
              <w:rPr>
                <w:rFonts w:ascii="Calibri" w:eastAsia="Calibri" w:hAnsi="Calibri" w:cs="Calibri"/>
              </w:rPr>
              <w:t>Malyutina</w:t>
            </w:r>
            <w:proofErr w:type="spellEnd"/>
            <w:r w:rsidRPr="00D3694D">
              <w:rPr>
                <w:rFonts w:ascii="Calibri" w:eastAsia="Calibri" w:hAnsi="Calibri" w:cs="Calibri"/>
              </w:rPr>
              <w:t xml:space="preserve"> S, </w:t>
            </w:r>
            <w:proofErr w:type="spellStart"/>
            <w:r w:rsidRPr="00D3694D">
              <w:rPr>
                <w:rFonts w:ascii="Calibri" w:eastAsia="Calibri" w:hAnsi="Calibri" w:cs="Calibri"/>
              </w:rPr>
              <w:t>Casiglia</w:t>
            </w:r>
            <w:proofErr w:type="spellEnd"/>
            <w:r w:rsidRPr="00D3694D">
              <w:rPr>
                <w:rFonts w:ascii="Calibri" w:eastAsia="Calibri" w:hAnsi="Calibri" w:cs="Calibri"/>
              </w:rPr>
              <w:t xml:space="preserve"> E, Nikitin Y, Lind L, </w:t>
            </w:r>
            <w:proofErr w:type="spellStart"/>
            <w:r w:rsidRPr="00D3694D">
              <w:rPr>
                <w:rFonts w:ascii="Calibri" w:eastAsia="Calibri" w:hAnsi="Calibri" w:cs="Calibri"/>
              </w:rPr>
              <w:t>Sandoya</w:t>
            </w:r>
            <w:proofErr w:type="spellEnd"/>
            <w:r w:rsidRPr="00D3694D">
              <w:rPr>
                <w:rFonts w:ascii="Calibri" w:eastAsia="Calibri" w:hAnsi="Calibri" w:cs="Calibri"/>
              </w:rPr>
              <w:t xml:space="preserve"> E, </w:t>
            </w:r>
            <w:proofErr w:type="spellStart"/>
            <w:r w:rsidRPr="00D3694D">
              <w:rPr>
                <w:rFonts w:ascii="Calibri" w:eastAsia="Calibri" w:hAnsi="Calibri" w:cs="Calibri"/>
              </w:rPr>
              <w:t>Kawecka-Jaszcz</w:t>
            </w:r>
            <w:proofErr w:type="spellEnd"/>
            <w:r w:rsidRPr="00D3694D">
              <w:rPr>
                <w:rFonts w:ascii="Calibri" w:eastAsia="Calibri" w:hAnsi="Calibri" w:cs="Calibri"/>
              </w:rPr>
              <w:t xml:space="preserve"> K, Mena L, </w:t>
            </w:r>
            <w:proofErr w:type="spellStart"/>
            <w:r w:rsidRPr="00D3694D">
              <w:rPr>
                <w:rFonts w:ascii="Calibri" w:eastAsia="Calibri" w:hAnsi="Calibri" w:cs="Calibri"/>
              </w:rPr>
              <w:t>Maestre</w:t>
            </w:r>
            <w:proofErr w:type="spellEnd"/>
            <w:r w:rsidRPr="00D3694D">
              <w:rPr>
                <w:rFonts w:ascii="Calibri" w:eastAsia="Calibri" w:hAnsi="Calibri" w:cs="Calibri"/>
              </w:rPr>
              <w:t xml:space="preserve"> GE, </w:t>
            </w:r>
            <w:proofErr w:type="spellStart"/>
            <w:r w:rsidRPr="00D3694D">
              <w:rPr>
                <w:rFonts w:ascii="Calibri" w:eastAsia="Calibri" w:hAnsi="Calibri" w:cs="Calibri"/>
              </w:rPr>
              <w:t>Filipovský</w:t>
            </w:r>
            <w:proofErr w:type="spellEnd"/>
            <w:r w:rsidRPr="00D3694D">
              <w:rPr>
                <w:rFonts w:ascii="Calibri" w:eastAsia="Calibri" w:hAnsi="Calibri" w:cs="Calibri"/>
              </w:rPr>
              <w:t xml:space="preserve"> J, Imai Y, O'Brien E, Wang JG, </w:t>
            </w:r>
            <w:proofErr w:type="spellStart"/>
            <w:r w:rsidRPr="00D3694D">
              <w:rPr>
                <w:rFonts w:ascii="Calibri" w:eastAsia="Calibri" w:hAnsi="Calibri" w:cs="Calibri"/>
              </w:rPr>
              <w:t>Staessen</w:t>
            </w:r>
            <w:proofErr w:type="spellEnd"/>
            <w:r w:rsidRPr="00D3694D">
              <w:rPr>
                <w:rFonts w:ascii="Calibri" w:eastAsia="Calibri" w:hAnsi="Calibri" w:cs="Calibri"/>
              </w:rPr>
              <w:t xml:space="preserve"> JA; International Database on Ambulatory blood pressure in relation to Cardiovascular Outcomes (IDACO) Investigators (2014) Ambulatory hypertension subtypes and 24-hour systolic and diastolic blood pressure as distinct outcome predictors in 8341 untreated people recruited from 12 populations. </w:t>
            </w:r>
            <w:r w:rsidRPr="00D3694D">
              <w:rPr>
                <w:rFonts w:ascii="Calibri" w:hAnsi="Calibri" w:cs="Calibri"/>
              </w:rPr>
              <w:t>Circulation 130</w:t>
            </w:r>
            <w:r w:rsidRPr="00D3694D">
              <w:rPr>
                <w:rFonts w:ascii="Calibri" w:eastAsia="Calibri" w:hAnsi="Calibri" w:cs="Calibri"/>
              </w:rPr>
              <w:t>: 466-74.</w:t>
            </w:r>
          </w:p>
        </w:tc>
      </w:tr>
      <w:tr w:rsidR="00D3694D" w:rsidRPr="00D3694D" w14:paraId="6C808C11" w14:textId="77777777" w:rsidTr="00600902">
        <w:tc>
          <w:tcPr>
            <w:tcW w:w="568" w:type="dxa"/>
          </w:tcPr>
          <w:p w14:paraId="5069AC8A"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55.</w:t>
            </w:r>
          </w:p>
        </w:tc>
        <w:tc>
          <w:tcPr>
            <w:tcW w:w="8595" w:type="dxa"/>
          </w:tcPr>
          <w:p w14:paraId="010D0B8B" w14:textId="77777777" w:rsidR="00D3694D" w:rsidRPr="00D3694D" w:rsidRDefault="00D3694D" w:rsidP="00D3694D">
            <w:pPr>
              <w:autoSpaceDE w:val="0"/>
              <w:autoSpaceDN w:val="0"/>
              <w:adjustRightInd w:val="0"/>
              <w:rPr>
                <w:rFonts w:ascii="Calibri" w:hAnsi="Calibri" w:cs="Calibri"/>
                <w:color w:val="000000"/>
                <w:highlight w:val="yellow"/>
              </w:rPr>
            </w:pPr>
            <w:r w:rsidRPr="00D3694D">
              <w:rPr>
                <w:rFonts w:ascii="Calibri" w:eastAsia="Calibri" w:hAnsi="Calibri" w:cs="Calibri"/>
                <w:color w:val="000000"/>
              </w:rPr>
              <w:t xml:space="preserve">Nguyen ND, Frost SA, </w:t>
            </w:r>
            <w:proofErr w:type="spellStart"/>
            <w:r w:rsidRPr="00D3694D">
              <w:rPr>
                <w:rFonts w:ascii="Calibri" w:eastAsia="Calibri" w:hAnsi="Calibri" w:cs="Calibri"/>
                <w:color w:val="000000"/>
              </w:rPr>
              <w:t>Center</w:t>
            </w:r>
            <w:proofErr w:type="spellEnd"/>
            <w:r w:rsidRPr="00D3694D">
              <w:rPr>
                <w:rFonts w:ascii="Calibri" w:eastAsia="Calibri" w:hAnsi="Calibri" w:cs="Calibri"/>
                <w:color w:val="000000"/>
              </w:rPr>
              <w:t xml:space="preserve"> JR, </w:t>
            </w:r>
            <w:proofErr w:type="spellStart"/>
            <w:r w:rsidRPr="00D3694D">
              <w:rPr>
                <w:rFonts w:ascii="Calibri" w:eastAsia="Calibri" w:hAnsi="Calibri" w:cs="Calibri"/>
                <w:color w:val="000000"/>
              </w:rPr>
              <w:t>Eisman</w:t>
            </w:r>
            <w:proofErr w:type="spellEnd"/>
            <w:r w:rsidRPr="00D3694D">
              <w:rPr>
                <w:rFonts w:ascii="Calibri" w:eastAsia="Calibri" w:hAnsi="Calibri" w:cs="Calibri"/>
                <w:color w:val="000000"/>
              </w:rPr>
              <w:t xml:space="preserve"> JA, Nguyen TV (2008) Development of prognostic nomograms for individualizing 5-year and 10-year fracture risks. Osteoporos Int 19:1431–1444</w:t>
            </w:r>
          </w:p>
        </w:tc>
      </w:tr>
      <w:tr w:rsidR="00D3694D" w:rsidRPr="00D3694D" w14:paraId="2B5D6056" w14:textId="77777777" w:rsidTr="00600902">
        <w:tc>
          <w:tcPr>
            <w:tcW w:w="568" w:type="dxa"/>
          </w:tcPr>
          <w:p w14:paraId="1A8A4757"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56.</w:t>
            </w:r>
          </w:p>
        </w:tc>
        <w:tc>
          <w:tcPr>
            <w:tcW w:w="8595" w:type="dxa"/>
          </w:tcPr>
          <w:p w14:paraId="45DF877B" w14:textId="1F5DF058" w:rsidR="00D3694D" w:rsidRPr="00D3694D" w:rsidRDefault="00D3694D" w:rsidP="00D3694D">
            <w:pPr>
              <w:autoSpaceDE w:val="0"/>
              <w:autoSpaceDN w:val="0"/>
              <w:adjustRightInd w:val="0"/>
              <w:rPr>
                <w:rFonts w:ascii="Calibri" w:hAnsi="Calibri" w:cs="Calibri"/>
                <w:color w:val="000000"/>
                <w:highlight w:val="yellow"/>
              </w:rPr>
            </w:pPr>
            <w:proofErr w:type="spellStart"/>
            <w:r w:rsidRPr="00D3694D">
              <w:rPr>
                <w:rFonts w:ascii="Calibri" w:eastAsia="Calibri" w:hAnsi="Calibri" w:cs="Calibri"/>
                <w:color w:val="000000"/>
              </w:rPr>
              <w:t>Hippisley</w:t>
            </w:r>
            <w:proofErr w:type="spellEnd"/>
            <w:r w:rsidRPr="00D3694D">
              <w:rPr>
                <w:rFonts w:ascii="Calibri" w:eastAsia="Calibri" w:hAnsi="Calibri" w:cs="Calibri"/>
                <w:color w:val="000000"/>
              </w:rPr>
              <w:t xml:space="preserve">-Cox J, Coupland C (2009) Predicting risk of osteoporotic fracture in men and women in England and Wales: prospective derivation and validation of </w:t>
            </w:r>
            <w:proofErr w:type="spellStart"/>
            <w:r w:rsidRPr="00D3694D">
              <w:rPr>
                <w:rFonts w:ascii="Calibri" w:eastAsia="Calibri" w:hAnsi="Calibri" w:cs="Calibri"/>
                <w:color w:val="000000"/>
              </w:rPr>
              <w:t>QFractureScores</w:t>
            </w:r>
            <w:proofErr w:type="spellEnd"/>
            <w:r w:rsidRPr="00D3694D">
              <w:rPr>
                <w:rFonts w:ascii="Calibri" w:eastAsia="Calibri" w:hAnsi="Calibri" w:cs="Calibri"/>
                <w:color w:val="000000"/>
              </w:rPr>
              <w:t>. BMJ 339:</w:t>
            </w:r>
            <w:r w:rsidR="00A87231">
              <w:rPr>
                <w:rFonts w:ascii="Calibri" w:eastAsia="Calibri" w:hAnsi="Calibri" w:cs="Calibri"/>
                <w:color w:val="000000"/>
              </w:rPr>
              <w:t xml:space="preserve"> </w:t>
            </w:r>
            <w:r w:rsidRPr="00D3694D">
              <w:rPr>
                <w:rFonts w:ascii="Calibri" w:eastAsia="Calibri" w:hAnsi="Calibri" w:cs="Calibri"/>
                <w:color w:val="000000"/>
              </w:rPr>
              <w:t>b4229</w:t>
            </w:r>
          </w:p>
        </w:tc>
      </w:tr>
      <w:tr w:rsidR="00D3694D" w:rsidRPr="00D3694D" w14:paraId="6BAC1FE3" w14:textId="77777777" w:rsidTr="00600902">
        <w:tc>
          <w:tcPr>
            <w:tcW w:w="568" w:type="dxa"/>
          </w:tcPr>
          <w:p w14:paraId="3845973D"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57.</w:t>
            </w:r>
          </w:p>
        </w:tc>
        <w:tc>
          <w:tcPr>
            <w:tcW w:w="8595" w:type="dxa"/>
          </w:tcPr>
          <w:p w14:paraId="60C7CA63" w14:textId="77777777" w:rsidR="00D3694D" w:rsidRPr="00D3694D" w:rsidRDefault="00D3694D" w:rsidP="00D3694D">
            <w:pPr>
              <w:autoSpaceDE w:val="0"/>
              <w:autoSpaceDN w:val="0"/>
              <w:adjustRightInd w:val="0"/>
              <w:rPr>
                <w:rFonts w:ascii="Calibri" w:hAnsi="Calibri" w:cs="Calibri"/>
                <w:color w:val="000000"/>
                <w:highlight w:val="yellow"/>
              </w:rPr>
            </w:pPr>
            <w:proofErr w:type="spellStart"/>
            <w:r w:rsidRPr="00D3694D">
              <w:rPr>
                <w:rFonts w:ascii="Calibri" w:eastAsia="Calibri" w:hAnsi="Calibri" w:cs="Calibri"/>
                <w:color w:val="000000"/>
              </w:rPr>
              <w:t>Hippisley</w:t>
            </w:r>
            <w:proofErr w:type="spellEnd"/>
            <w:r w:rsidRPr="00D3694D">
              <w:rPr>
                <w:rFonts w:ascii="Calibri" w:eastAsia="Calibri" w:hAnsi="Calibri" w:cs="Calibri"/>
                <w:color w:val="000000"/>
              </w:rPr>
              <w:t>-Cox J, Coupland C, Brindle P (2017) Development and validation of QRISK3 risk prediction algorithms to estimate future risk of cardiovascular disease: prospective cohort study. BMJ  357: j2099</w:t>
            </w:r>
          </w:p>
        </w:tc>
      </w:tr>
      <w:tr w:rsidR="00D3694D" w:rsidRPr="00D3694D" w14:paraId="1F4D2A7D" w14:textId="77777777" w:rsidTr="00600902">
        <w:tc>
          <w:tcPr>
            <w:tcW w:w="568" w:type="dxa"/>
          </w:tcPr>
          <w:p w14:paraId="4550453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58.</w:t>
            </w:r>
          </w:p>
        </w:tc>
        <w:tc>
          <w:tcPr>
            <w:tcW w:w="8595" w:type="dxa"/>
          </w:tcPr>
          <w:p w14:paraId="337B6136" w14:textId="56EC454A"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McCloskey E, Branco J, Brandi ML, Dennison E, Devogelaer JP, Ferrari S, Kaufman JM, Papapoulos S, Reginster JY, Rizzoli R (2014) Goal-directed treatment of osteoporosis in Europe.  Osteoporos </w:t>
            </w:r>
            <w:r w:rsidR="00A87231" w:rsidRPr="00D3694D">
              <w:rPr>
                <w:rFonts w:ascii="Calibri" w:eastAsia="Calibri" w:hAnsi="Calibri" w:cs="Calibri"/>
              </w:rPr>
              <w:t>Int 25</w:t>
            </w:r>
            <w:r w:rsidRPr="00D3694D">
              <w:rPr>
                <w:rFonts w:ascii="Calibri" w:eastAsia="Calibri" w:hAnsi="Calibri" w:cs="Calibri"/>
              </w:rPr>
              <w:t>: 2533-43.</w:t>
            </w:r>
          </w:p>
        </w:tc>
      </w:tr>
      <w:tr w:rsidR="00D3694D" w:rsidRPr="00D3694D" w14:paraId="569CF123" w14:textId="77777777" w:rsidTr="00600902">
        <w:tc>
          <w:tcPr>
            <w:tcW w:w="568" w:type="dxa"/>
          </w:tcPr>
          <w:p w14:paraId="6E63B707"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59.</w:t>
            </w:r>
          </w:p>
        </w:tc>
        <w:tc>
          <w:tcPr>
            <w:tcW w:w="8595" w:type="dxa"/>
          </w:tcPr>
          <w:p w14:paraId="02717B89"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Johansson H, Harvey </w:t>
            </w:r>
            <w:proofErr w:type="gramStart"/>
            <w:r w:rsidRPr="00D3694D">
              <w:rPr>
                <w:rFonts w:ascii="Calibri" w:eastAsia="Calibri" w:hAnsi="Calibri" w:cs="Calibri"/>
              </w:rPr>
              <w:t>NC</w:t>
            </w:r>
            <w:proofErr w:type="gramEnd"/>
            <w:r w:rsidRPr="00D3694D">
              <w:rPr>
                <w:rFonts w:ascii="Calibri" w:eastAsia="Calibri" w:hAnsi="Calibri" w:cs="Calibri"/>
              </w:rPr>
              <w:t xml:space="preserve"> and McCloskey EV (2018) A brief history of FRAX. Arch Osteoporos 13: 118. DOI: 10.1007/s11657-018-0510-0.</w:t>
            </w:r>
          </w:p>
        </w:tc>
      </w:tr>
      <w:tr w:rsidR="00D3694D" w:rsidRPr="00D3694D" w14:paraId="570B51C8" w14:textId="77777777" w:rsidTr="00600902">
        <w:tc>
          <w:tcPr>
            <w:tcW w:w="568" w:type="dxa"/>
          </w:tcPr>
          <w:p w14:paraId="5DDBB8A9"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60.</w:t>
            </w:r>
          </w:p>
        </w:tc>
        <w:tc>
          <w:tcPr>
            <w:tcW w:w="8595" w:type="dxa"/>
          </w:tcPr>
          <w:p w14:paraId="51482048"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Harvey NC, Johansson H, Liu E, Lorentzon M, Leslie WD, Eugene V McCloskey E (2020) A decade of FRAX: How has it changed the management of osteoporosis? Aging Clin Exp Res 33:187-196</w:t>
            </w:r>
          </w:p>
        </w:tc>
      </w:tr>
      <w:tr w:rsidR="00D3694D" w:rsidRPr="00D3694D" w14:paraId="348B6CE4" w14:textId="77777777" w:rsidTr="00600902">
        <w:tc>
          <w:tcPr>
            <w:tcW w:w="568" w:type="dxa"/>
          </w:tcPr>
          <w:p w14:paraId="684D4783"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61.</w:t>
            </w:r>
          </w:p>
        </w:tc>
        <w:tc>
          <w:tcPr>
            <w:tcW w:w="8595" w:type="dxa"/>
          </w:tcPr>
          <w:p w14:paraId="77BD4EF8" w14:textId="77777777" w:rsidR="00D3694D" w:rsidRPr="00D3694D" w:rsidRDefault="00D3694D" w:rsidP="00D3694D">
            <w:pPr>
              <w:autoSpaceDE w:val="0"/>
              <w:autoSpaceDN w:val="0"/>
              <w:adjustRightInd w:val="0"/>
              <w:rPr>
                <w:rFonts w:ascii="Calibri" w:hAnsi="Calibri" w:cs="Calibri"/>
                <w:lang w:val="nb-NO"/>
              </w:rPr>
            </w:pPr>
            <w:r w:rsidRPr="00D3694D">
              <w:rPr>
                <w:rFonts w:ascii="Calibri" w:eastAsia="Calibri" w:hAnsi="Calibri" w:cs="Calibri"/>
                <w:lang w:val="nb-NO"/>
              </w:rPr>
              <w:t>Kanis JA, Johansson H, Oden A, Cooper C, McCloskey EV and the Epidemiology and Quality of Life Working Group of IOF (2013) Worldwide uptake of FRAX. Archives of Osteoporosis 8: 166. DOI 10.1007/s11657-013-0166-8</w:t>
            </w:r>
          </w:p>
        </w:tc>
      </w:tr>
      <w:tr w:rsidR="00D3694D" w:rsidRPr="00D3694D" w14:paraId="5190F891" w14:textId="77777777" w:rsidTr="00600902">
        <w:tc>
          <w:tcPr>
            <w:tcW w:w="568" w:type="dxa"/>
          </w:tcPr>
          <w:p w14:paraId="63DD36C6"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62.</w:t>
            </w:r>
          </w:p>
        </w:tc>
        <w:tc>
          <w:tcPr>
            <w:tcW w:w="8595" w:type="dxa"/>
          </w:tcPr>
          <w:p w14:paraId="388B42DD" w14:textId="77777777" w:rsidR="00D3694D" w:rsidRPr="00D3694D" w:rsidRDefault="00D3694D" w:rsidP="00D3694D">
            <w:pPr>
              <w:autoSpaceDE w:val="0"/>
              <w:autoSpaceDN w:val="0"/>
              <w:adjustRightInd w:val="0"/>
              <w:rPr>
                <w:rFonts w:ascii="Calibri" w:hAnsi="Calibri" w:cs="Calibri"/>
                <w:lang w:val="nb-NO"/>
              </w:rPr>
            </w:pPr>
            <w:r w:rsidRPr="00D3694D">
              <w:rPr>
                <w:rFonts w:ascii="Calibri" w:eastAsia="Calibri" w:hAnsi="Calibri" w:cs="Calibri"/>
                <w:lang w:val="nb-NO"/>
              </w:rPr>
              <w:t>Kanis JA, Odén A, Johansson H, McCloskey E (2012) Pitfalls in the external validation of FRAX. Osteoporos Int 23:423–431</w:t>
            </w:r>
          </w:p>
        </w:tc>
      </w:tr>
      <w:tr w:rsidR="00D3694D" w:rsidRPr="00D3694D" w14:paraId="572DE7A9" w14:textId="77777777" w:rsidTr="00600902">
        <w:tc>
          <w:tcPr>
            <w:tcW w:w="568" w:type="dxa"/>
          </w:tcPr>
          <w:p w14:paraId="419CBC2D" w14:textId="77777777" w:rsidR="00D3694D" w:rsidRPr="00D3694D" w:rsidRDefault="00D3694D" w:rsidP="00D3694D">
            <w:pPr>
              <w:autoSpaceDE w:val="0"/>
              <w:autoSpaceDN w:val="0"/>
              <w:adjustRightInd w:val="0"/>
              <w:jc w:val="right"/>
              <w:rPr>
                <w:rFonts w:ascii="Calibri" w:hAnsi="Calibri" w:cs="Calibri"/>
              </w:rPr>
            </w:pPr>
            <w:r w:rsidRPr="00D3694D">
              <w:rPr>
                <w:rFonts w:ascii="Calibri" w:eastAsia="Calibri" w:hAnsi="Calibri" w:cs="Calibri"/>
              </w:rPr>
              <w:t>63.</w:t>
            </w:r>
          </w:p>
        </w:tc>
        <w:tc>
          <w:tcPr>
            <w:tcW w:w="8595" w:type="dxa"/>
          </w:tcPr>
          <w:p w14:paraId="34EBDA99" w14:textId="77777777" w:rsidR="00D3694D" w:rsidRPr="00D3694D" w:rsidRDefault="00D3694D" w:rsidP="00D3694D">
            <w:pPr>
              <w:autoSpaceDE w:val="0"/>
              <w:autoSpaceDN w:val="0"/>
              <w:adjustRightInd w:val="0"/>
              <w:rPr>
                <w:rFonts w:ascii="Calibri" w:hAnsi="Calibri" w:cs="Calibri"/>
                <w:lang w:val="nb-NO"/>
              </w:rPr>
            </w:pPr>
            <w:r w:rsidRPr="00D3694D">
              <w:rPr>
                <w:rFonts w:ascii="Calibri" w:eastAsia="Calibri" w:hAnsi="Calibri" w:cs="Calibri"/>
                <w:lang w:val="nb-NO"/>
              </w:rPr>
              <w:t>Papaioannou A, Morin S, Cheung AM, Atkinson S, Brown JP, Feldman S, Hodsman AB, Jamal AS, Josse RG, Kaiser SM, Kvern B, Morin S, Siminoski K; Scientific Advisory Council of Osteoporosis Canada (2010) 2010 clinical practice guidelines for the diagnosis and management of osteoporosis in Canada: summary. CMAJ  182: 1864-73</w:t>
            </w:r>
          </w:p>
        </w:tc>
      </w:tr>
      <w:tr w:rsidR="00D3694D" w:rsidRPr="00D3694D" w14:paraId="0B4D3AA8" w14:textId="77777777" w:rsidTr="00600902">
        <w:tc>
          <w:tcPr>
            <w:tcW w:w="568" w:type="dxa"/>
          </w:tcPr>
          <w:p w14:paraId="171D348F"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64.</w:t>
            </w:r>
          </w:p>
        </w:tc>
        <w:tc>
          <w:tcPr>
            <w:tcW w:w="8595" w:type="dxa"/>
          </w:tcPr>
          <w:p w14:paraId="56761695"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Gregson CL, Armstrong DJ, Bowden J, Cooper C, Edwards J, Gittoes NJL, Harvey N, Kanis J, Leyland S, Low R, McCloskey E, Moss K, Parker J, Paskins Z, Poole K, Reid DM, Stone M, Thomson J, Vine N, Compston J. Correction: UK clinical guideline for the prevention and treatment of osteoporosis. Arch Osteoporos. 2022 May 19;17(1):80. doi: 10.1007/s11657-022-01115-8. Erratum for: Arch Osteoporos. 2022 Apr 5;17(1):58.</w:t>
            </w:r>
          </w:p>
        </w:tc>
      </w:tr>
      <w:tr w:rsidR="00D3694D" w:rsidRPr="00D3694D" w14:paraId="3CDE3F30" w14:textId="77777777" w:rsidTr="00600902">
        <w:tc>
          <w:tcPr>
            <w:tcW w:w="568" w:type="dxa"/>
          </w:tcPr>
          <w:p w14:paraId="2CD0016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65.</w:t>
            </w:r>
          </w:p>
        </w:tc>
        <w:tc>
          <w:tcPr>
            <w:tcW w:w="8595" w:type="dxa"/>
          </w:tcPr>
          <w:p w14:paraId="42D33D2A" w14:textId="77777777" w:rsidR="00D3694D" w:rsidRPr="00D3694D" w:rsidRDefault="00D3694D" w:rsidP="00D3694D">
            <w:pPr>
              <w:autoSpaceDE w:val="0"/>
              <w:autoSpaceDN w:val="0"/>
              <w:adjustRightInd w:val="0"/>
              <w:rPr>
                <w:rFonts w:ascii="Calibri" w:eastAsia="Calibri" w:hAnsi="Calibri" w:cs="Calibri"/>
              </w:rPr>
            </w:pPr>
            <w:proofErr w:type="spellStart"/>
            <w:r w:rsidRPr="00D3694D">
              <w:rPr>
                <w:rFonts w:ascii="Calibri" w:eastAsia="Calibri" w:hAnsi="Calibri" w:cs="Calibri"/>
              </w:rPr>
              <w:t>Cosman</w:t>
            </w:r>
            <w:proofErr w:type="spellEnd"/>
            <w:r w:rsidRPr="00D3694D">
              <w:rPr>
                <w:rFonts w:ascii="Calibri" w:eastAsia="Calibri" w:hAnsi="Calibri" w:cs="Calibri"/>
              </w:rPr>
              <w:t xml:space="preserve"> F, de </w:t>
            </w:r>
            <w:proofErr w:type="spellStart"/>
            <w:r w:rsidRPr="00D3694D">
              <w:rPr>
                <w:rFonts w:ascii="Calibri" w:eastAsia="Calibri" w:hAnsi="Calibri" w:cs="Calibri"/>
              </w:rPr>
              <w:t>Beur</w:t>
            </w:r>
            <w:proofErr w:type="spellEnd"/>
            <w:r w:rsidRPr="00D3694D">
              <w:rPr>
                <w:rFonts w:ascii="Calibri" w:eastAsia="Calibri" w:hAnsi="Calibri" w:cs="Calibri"/>
              </w:rPr>
              <w:t xml:space="preserve"> SJ, </w:t>
            </w:r>
            <w:proofErr w:type="spellStart"/>
            <w:r w:rsidRPr="00D3694D">
              <w:rPr>
                <w:rFonts w:ascii="Calibri" w:eastAsia="Calibri" w:hAnsi="Calibri" w:cs="Calibri"/>
              </w:rPr>
              <w:t>LeBoff</w:t>
            </w:r>
            <w:proofErr w:type="spellEnd"/>
            <w:r w:rsidRPr="00D3694D">
              <w:rPr>
                <w:rFonts w:ascii="Calibri" w:eastAsia="Calibri" w:hAnsi="Calibri" w:cs="Calibri"/>
              </w:rPr>
              <w:t xml:space="preserve"> MS, Lewiecki EM, Tanner B Randall S, Lindsay R (2014) Clinician’s guide to prevention and treatment of osteoporosis. Osteoporos Int. 2014; 25: 2359-81.</w:t>
            </w:r>
          </w:p>
        </w:tc>
      </w:tr>
      <w:tr w:rsidR="00D3694D" w:rsidRPr="00D3694D" w14:paraId="2DD0F1BD" w14:textId="77777777" w:rsidTr="00600902">
        <w:tc>
          <w:tcPr>
            <w:tcW w:w="568" w:type="dxa"/>
          </w:tcPr>
          <w:p w14:paraId="352AE07E"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66.</w:t>
            </w:r>
          </w:p>
        </w:tc>
        <w:tc>
          <w:tcPr>
            <w:tcW w:w="8595" w:type="dxa"/>
          </w:tcPr>
          <w:p w14:paraId="48F30343"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lang w:val="nb-NO"/>
              </w:rPr>
              <w:t>Orimo H, Nakamura T, Hosoi T, Iki M, Uenishi K, Endo N, Ohta H, Shiraki M, Sugimoto T, Suzuki T, Soen S, Nishizawa Y, Hagino H, Fukunaga M, Fujiwara S (2012) Japanese 2011 guidelines for prevention and treatment of osteoporosis--executive summary.   Arch Osteoporos  7 :3-20.</w:t>
            </w:r>
            <w:r w:rsidRPr="00D3694D">
              <w:rPr>
                <w:rFonts w:ascii="Calibri" w:eastAsia="Calibri" w:hAnsi="Calibri" w:cs="Calibri"/>
              </w:rPr>
              <w:t xml:space="preserve"> </w:t>
            </w:r>
            <w:r w:rsidRPr="00D3694D">
              <w:rPr>
                <w:rFonts w:ascii="Calibri" w:eastAsia="Calibri" w:hAnsi="Calibri" w:cs="Calibri"/>
                <w:lang w:val="nb-NO"/>
              </w:rPr>
              <w:t>doi: 10.1007/s11657-012-0109-9.</w:t>
            </w:r>
          </w:p>
        </w:tc>
      </w:tr>
      <w:tr w:rsidR="00D3694D" w:rsidRPr="00D3694D" w14:paraId="0ED899F4" w14:textId="77777777" w:rsidTr="00600902">
        <w:tc>
          <w:tcPr>
            <w:tcW w:w="568" w:type="dxa"/>
          </w:tcPr>
          <w:p w14:paraId="43D6B5AE"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lastRenderedPageBreak/>
              <w:t>67.</w:t>
            </w:r>
          </w:p>
        </w:tc>
        <w:tc>
          <w:tcPr>
            <w:tcW w:w="8595" w:type="dxa"/>
          </w:tcPr>
          <w:p w14:paraId="1F049BC5" w14:textId="4B4C44E2"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 </w:t>
            </w:r>
            <w:r w:rsidR="00600902" w:rsidRPr="00D3694D">
              <w:rPr>
                <w:rFonts w:ascii="Calibri" w:eastAsia="Calibri" w:hAnsi="Calibri" w:cs="Calibri"/>
              </w:rPr>
              <w:t>Int 30</w:t>
            </w:r>
            <w:r w:rsidRPr="00D3694D">
              <w:rPr>
                <w:rFonts w:ascii="Calibri" w:eastAsia="Calibri" w:hAnsi="Calibri" w:cs="Calibri"/>
              </w:rPr>
              <w:t xml:space="preserve">: 3-44.   </w:t>
            </w:r>
          </w:p>
        </w:tc>
      </w:tr>
      <w:tr w:rsidR="00D3694D" w:rsidRPr="00D3694D" w14:paraId="04005C48" w14:textId="77777777" w:rsidTr="00600902">
        <w:tc>
          <w:tcPr>
            <w:tcW w:w="568" w:type="dxa"/>
          </w:tcPr>
          <w:p w14:paraId="2696E0C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68.</w:t>
            </w:r>
          </w:p>
        </w:tc>
        <w:tc>
          <w:tcPr>
            <w:tcW w:w="8595" w:type="dxa"/>
          </w:tcPr>
          <w:p w14:paraId="0539586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Johansson H, Harvey NC, McCloskey EV Lorentzon M, Liu E, Vandenput L, McCloskey EV ∙ National Osteoporosis Guideline Group (2021) An assessment of intervention thresholds for very high risk applied to the NOGG guidelines. A report for the National Osteoporosis Guideline Group (NOGG). Osteoporosis International 32:  1951-1960.</w:t>
            </w:r>
          </w:p>
        </w:tc>
      </w:tr>
      <w:tr w:rsidR="00D3694D" w:rsidRPr="00D3694D" w14:paraId="6797A63C" w14:textId="77777777" w:rsidTr="00600902">
        <w:tc>
          <w:tcPr>
            <w:tcW w:w="568" w:type="dxa"/>
          </w:tcPr>
          <w:p w14:paraId="1CE0DDDF"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69.</w:t>
            </w:r>
          </w:p>
        </w:tc>
        <w:tc>
          <w:tcPr>
            <w:tcW w:w="8595" w:type="dxa"/>
          </w:tcPr>
          <w:p w14:paraId="79AC71D3" w14:textId="77777777" w:rsidR="00D3694D" w:rsidRPr="00D3694D" w:rsidRDefault="00D3694D" w:rsidP="00D3694D">
            <w:pPr>
              <w:autoSpaceDE w:val="0"/>
              <w:autoSpaceDN w:val="0"/>
              <w:adjustRightInd w:val="0"/>
              <w:rPr>
                <w:rFonts w:ascii="Calibri" w:eastAsia="Calibri" w:hAnsi="Calibri" w:cs="Calibri"/>
              </w:rPr>
            </w:pPr>
            <w:bookmarkStart w:id="8" w:name="_Hlk105806779"/>
            <w:r w:rsidRPr="00D3694D">
              <w:rPr>
                <w:rFonts w:ascii="Calibri" w:eastAsia="Calibri" w:hAnsi="Calibri" w:cs="Calibri"/>
              </w:rPr>
              <w:t xml:space="preserve">Axelsson </w:t>
            </w:r>
            <w:bookmarkEnd w:id="8"/>
            <w:r w:rsidRPr="00D3694D">
              <w:rPr>
                <w:rFonts w:ascii="Calibri" w:eastAsia="Calibri" w:hAnsi="Calibri" w:cs="Calibri"/>
              </w:rPr>
              <w:t xml:space="preserve">KF, Johansson H, </w:t>
            </w:r>
            <w:proofErr w:type="spellStart"/>
            <w:r w:rsidRPr="00D3694D">
              <w:rPr>
                <w:rFonts w:ascii="Calibri" w:eastAsia="Calibri" w:hAnsi="Calibri" w:cs="Calibri"/>
              </w:rPr>
              <w:t>Lundh</w:t>
            </w:r>
            <w:proofErr w:type="spellEnd"/>
            <w:r w:rsidRPr="00D3694D">
              <w:rPr>
                <w:rFonts w:ascii="Calibri" w:eastAsia="Calibri" w:hAnsi="Calibri" w:cs="Calibri"/>
              </w:rPr>
              <w:t xml:space="preserve"> D, </w:t>
            </w:r>
            <w:proofErr w:type="spellStart"/>
            <w:r w:rsidRPr="00D3694D">
              <w:rPr>
                <w:rFonts w:ascii="Calibri" w:eastAsia="Calibri" w:hAnsi="Calibri" w:cs="Calibri"/>
              </w:rPr>
              <w:t>Möller</w:t>
            </w:r>
            <w:proofErr w:type="spellEnd"/>
            <w:r w:rsidRPr="00D3694D">
              <w:rPr>
                <w:rFonts w:ascii="Calibri" w:eastAsia="Calibri" w:hAnsi="Calibri" w:cs="Calibri"/>
              </w:rPr>
              <w:t xml:space="preserve"> M, Lorentzon M (2020) Association between recurrent fracture risk and implementation of fracture liaison services in four Swedish hospitals: a cohort study. J Bone Miner Res 35:1216–1223</w:t>
            </w:r>
          </w:p>
        </w:tc>
      </w:tr>
      <w:tr w:rsidR="00D3694D" w:rsidRPr="00D3694D" w14:paraId="4C8C2FAB" w14:textId="77777777" w:rsidTr="00600902">
        <w:tc>
          <w:tcPr>
            <w:tcW w:w="568" w:type="dxa"/>
          </w:tcPr>
          <w:p w14:paraId="3FD12BEE"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70.</w:t>
            </w:r>
          </w:p>
        </w:tc>
        <w:tc>
          <w:tcPr>
            <w:tcW w:w="8595" w:type="dxa"/>
          </w:tcPr>
          <w:p w14:paraId="568F2506"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Wu CH, Tu ST, Chang YF, Chan DC, Chien JT, Lin CH, Singh S, </w:t>
            </w:r>
            <w:proofErr w:type="spellStart"/>
            <w:r w:rsidRPr="00D3694D">
              <w:rPr>
                <w:rFonts w:ascii="Calibri" w:eastAsia="Calibri" w:hAnsi="Calibri" w:cs="Calibri"/>
              </w:rPr>
              <w:t>Dasari</w:t>
            </w:r>
            <w:proofErr w:type="spellEnd"/>
            <w:r w:rsidRPr="00D3694D">
              <w:rPr>
                <w:rFonts w:ascii="Calibri" w:eastAsia="Calibri" w:hAnsi="Calibri" w:cs="Calibri"/>
              </w:rPr>
              <w:t xml:space="preserve"> M, Chen JF, Tsai KS (2018) Fracture liaison services improve outcomes of patients with osteoporosis-related fractures: a systematic literature review and meta-analysis. Bone 111:92–100</w:t>
            </w:r>
          </w:p>
        </w:tc>
      </w:tr>
      <w:tr w:rsidR="00D3694D" w:rsidRPr="00D3694D" w14:paraId="42F7750C" w14:textId="77777777" w:rsidTr="00600902">
        <w:tc>
          <w:tcPr>
            <w:tcW w:w="568" w:type="dxa"/>
          </w:tcPr>
          <w:p w14:paraId="390DA0D1"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71.</w:t>
            </w:r>
          </w:p>
        </w:tc>
        <w:tc>
          <w:tcPr>
            <w:tcW w:w="8595" w:type="dxa"/>
          </w:tcPr>
          <w:p w14:paraId="5ADF48C4"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on behalf of the World Health Organization Scientific Group (2007) Assessment of osteoporosis at the primary health-care level. Technical Report. WHO Collaborating Centre, University of Sheffield, UK. Available at </w:t>
            </w:r>
            <w:hyperlink r:id="rId19" w:history="1">
              <w:r w:rsidRPr="00D3694D">
                <w:rPr>
                  <w:rFonts w:ascii="Calibri" w:eastAsia="Calibri" w:hAnsi="Calibri" w:cs="Calibri"/>
                  <w:color w:val="0000FF"/>
                  <w:u w:val="single"/>
                </w:rPr>
                <w:t>http://www.shef.ac.uk/FRAX/index.htm</w:t>
              </w:r>
            </w:hyperlink>
          </w:p>
        </w:tc>
      </w:tr>
      <w:tr w:rsidR="00D3694D" w:rsidRPr="00D3694D" w14:paraId="597B5EF4" w14:textId="77777777" w:rsidTr="00600902">
        <w:tc>
          <w:tcPr>
            <w:tcW w:w="568" w:type="dxa"/>
          </w:tcPr>
          <w:p w14:paraId="2A52322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72.</w:t>
            </w:r>
          </w:p>
        </w:tc>
        <w:tc>
          <w:tcPr>
            <w:tcW w:w="8595" w:type="dxa"/>
          </w:tcPr>
          <w:p w14:paraId="2E5A4E52"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Oden A, Johnell O, Johansson H, De </w:t>
            </w:r>
            <w:proofErr w:type="spellStart"/>
            <w:r w:rsidRPr="00D3694D">
              <w:rPr>
                <w:rFonts w:ascii="Calibri" w:eastAsia="Calibri" w:hAnsi="Calibri" w:cs="Calibri"/>
              </w:rPr>
              <w:t>Laet</w:t>
            </w:r>
            <w:proofErr w:type="spellEnd"/>
            <w:r w:rsidRPr="00D3694D">
              <w:rPr>
                <w:rFonts w:ascii="Calibri" w:eastAsia="Calibri" w:hAnsi="Calibri" w:cs="Calibri"/>
              </w:rPr>
              <w:t xml:space="preserve"> C, Brown J, Burckhardt P, Cooper C, Christiansen C, Cummings S, </w:t>
            </w:r>
            <w:proofErr w:type="spellStart"/>
            <w:r w:rsidRPr="00D3694D">
              <w:rPr>
                <w:rFonts w:ascii="Calibri" w:eastAsia="Calibri" w:hAnsi="Calibri" w:cs="Calibri"/>
              </w:rPr>
              <w:t>Eisman</w:t>
            </w:r>
            <w:proofErr w:type="spellEnd"/>
            <w:r w:rsidRPr="00D3694D">
              <w:rPr>
                <w:rFonts w:ascii="Calibri" w:eastAsia="Calibri" w:hAnsi="Calibri" w:cs="Calibri"/>
              </w:rPr>
              <w:t xml:space="preserve"> JA, Fujiwara S, Gluer C, Goltzman D, Hans D, Krieg MA, La Croix A, McCloskey E, Mellstrom D, Melton LJ 3rd, Pols H, Reeve J, Sanders K, Schott AM, Silman A, Torgerson D, van Staa T, Watts NB, Yoshimura N (2007) The use of clinical risk factors enhances the performance of BMD in the prediction of hip and osteoporotic fractures in men and women. Osteoporos Int 18: 1033-1046</w:t>
            </w:r>
          </w:p>
        </w:tc>
      </w:tr>
      <w:tr w:rsidR="00D3694D" w:rsidRPr="00D3694D" w14:paraId="422FDBA3" w14:textId="77777777" w:rsidTr="00600902">
        <w:tc>
          <w:tcPr>
            <w:tcW w:w="568" w:type="dxa"/>
          </w:tcPr>
          <w:p w14:paraId="6CF6953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73.</w:t>
            </w:r>
          </w:p>
        </w:tc>
        <w:tc>
          <w:tcPr>
            <w:tcW w:w="8595" w:type="dxa"/>
          </w:tcPr>
          <w:p w14:paraId="4AC6A835" w14:textId="473C979E" w:rsidR="00D3694D" w:rsidRPr="00D3694D" w:rsidRDefault="00172510" w:rsidP="00D3694D">
            <w:pPr>
              <w:autoSpaceDE w:val="0"/>
              <w:autoSpaceDN w:val="0"/>
              <w:adjustRightInd w:val="0"/>
              <w:rPr>
                <w:rFonts w:ascii="Calibri" w:eastAsia="Calibri" w:hAnsi="Calibri" w:cs="Calibri"/>
              </w:rPr>
            </w:pPr>
            <w:r w:rsidRPr="00172510">
              <w:rPr>
                <w:rFonts w:ascii="Calibri" w:eastAsia="Calibri" w:hAnsi="Calibri" w:cs="Calibri"/>
                <w:lang w:val="nb-NO"/>
              </w:rPr>
              <w:t>Marques A, Ferreira RJ, Santos E, Loza E, Carmona L, da Silva JA</w:t>
            </w:r>
            <w:r>
              <w:rPr>
                <w:rFonts w:ascii="Calibri" w:eastAsia="Calibri" w:hAnsi="Calibri" w:cs="Calibri"/>
                <w:lang w:val="nb-NO"/>
              </w:rPr>
              <w:t xml:space="preserve"> (2015</w:t>
            </w:r>
            <w:r w:rsidR="00E33706">
              <w:rPr>
                <w:rFonts w:ascii="Calibri" w:eastAsia="Calibri" w:hAnsi="Calibri" w:cs="Calibri"/>
                <w:lang w:val="nb-NO"/>
              </w:rPr>
              <w:t xml:space="preserve">) </w:t>
            </w:r>
            <w:r w:rsidRPr="00172510">
              <w:rPr>
                <w:rFonts w:ascii="Calibri" w:eastAsia="Calibri" w:hAnsi="Calibri" w:cs="Calibri"/>
                <w:lang w:val="nb-NO"/>
              </w:rPr>
              <w:t>The accuracy of osteoporotic fracture risk prediction tools: a systematic review and meta-analysis. Ann Rheum Dis</w:t>
            </w:r>
            <w:r w:rsidR="00E33706">
              <w:rPr>
                <w:rFonts w:ascii="Calibri" w:eastAsia="Calibri" w:hAnsi="Calibri" w:cs="Calibri"/>
                <w:lang w:val="nb-NO"/>
              </w:rPr>
              <w:t xml:space="preserve"> </w:t>
            </w:r>
            <w:r w:rsidRPr="00172510">
              <w:rPr>
                <w:rFonts w:ascii="Calibri" w:eastAsia="Calibri" w:hAnsi="Calibri" w:cs="Calibri"/>
                <w:lang w:val="nb-NO"/>
              </w:rPr>
              <w:t>74(11):</w:t>
            </w:r>
            <w:r w:rsidR="00E33706">
              <w:rPr>
                <w:rFonts w:ascii="Calibri" w:eastAsia="Calibri" w:hAnsi="Calibri" w:cs="Calibri"/>
                <w:lang w:val="nb-NO"/>
              </w:rPr>
              <w:t xml:space="preserve"> </w:t>
            </w:r>
            <w:r w:rsidRPr="00172510">
              <w:rPr>
                <w:rFonts w:ascii="Calibri" w:eastAsia="Calibri" w:hAnsi="Calibri" w:cs="Calibri"/>
                <w:lang w:val="nb-NO"/>
              </w:rPr>
              <w:t>1958-67.</w:t>
            </w:r>
          </w:p>
        </w:tc>
      </w:tr>
      <w:tr w:rsidR="00D3694D" w:rsidRPr="00D3694D" w14:paraId="12CAD230" w14:textId="77777777" w:rsidTr="00600902">
        <w:tc>
          <w:tcPr>
            <w:tcW w:w="568" w:type="dxa"/>
          </w:tcPr>
          <w:p w14:paraId="4109C2A6"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74.</w:t>
            </w:r>
          </w:p>
        </w:tc>
        <w:tc>
          <w:tcPr>
            <w:tcW w:w="8595" w:type="dxa"/>
          </w:tcPr>
          <w:p w14:paraId="2E7D2A41"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Johansson H, Oden A, Cooper C, McCloskey EV and the Epidemiology and Quality of Life Working Group of IOF (2013) Worldwide uptake of FRAX Arch Osteoporos 8:166. DOI 10.1007/s11657-013-0166-8</w:t>
            </w:r>
          </w:p>
        </w:tc>
      </w:tr>
      <w:tr w:rsidR="00D3694D" w:rsidRPr="00D3694D" w14:paraId="18B7B733" w14:textId="77777777" w:rsidTr="00600902">
        <w:tc>
          <w:tcPr>
            <w:tcW w:w="568" w:type="dxa"/>
          </w:tcPr>
          <w:p w14:paraId="09EE355C"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75.</w:t>
            </w:r>
          </w:p>
        </w:tc>
        <w:tc>
          <w:tcPr>
            <w:tcW w:w="8595" w:type="dxa"/>
          </w:tcPr>
          <w:p w14:paraId="1281CD90"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National Institute for Health and Care Excellence (2012) NICE clinical guideline 146. Osteoporosis: assessing the risk of fragility fracture. London, UK. </w:t>
            </w:r>
            <w:hyperlink r:id="rId20" w:history="1">
              <w:r w:rsidRPr="00D3694D">
                <w:rPr>
                  <w:rFonts w:ascii="Calibri" w:eastAsia="Calibri" w:hAnsi="Calibri" w:cs="Calibri"/>
                  <w:color w:val="0000FF"/>
                  <w:u w:val="single"/>
                </w:rPr>
                <w:t>https://www.nice.org.uk/guidance/cg146</w:t>
              </w:r>
            </w:hyperlink>
            <w:r w:rsidRPr="00D3694D">
              <w:rPr>
                <w:rFonts w:ascii="Calibri" w:eastAsia="Calibri" w:hAnsi="Calibri" w:cs="Calibri"/>
              </w:rPr>
              <w:t>, Accessed 2 June 2022</w:t>
            </w:r>
          </w:p>
        </w:tc>
      </w:tr>
      <w:tr w:rsidR="00D3694D" w:rsidRPr="00D3694D" w14:paraId="18B7B598" w14:textId="77777777" w:rsidTr="00600902">
        <w:tc>
          <w:tcPr>
            <w:tcW w:w="568" w:type="dxa"/>
          </w:tcPr>
          <w:p w14:paraId="5AFBE79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76.</w:t>
            </w:r>
          </w:p>
        </w:tc>
        <w:tc>
          <w:tcPr>
            <w:tcW w:w="8595" w:type="dxa"/>
          </w:tcPr>
          <w:p w14:paraId="0CF11B79" w14:textId="77777777" w:rsidR="00D3694D" w:rsidRPr="00D3694D" w:rsidRDefault="00D3694D" w:rsidP="00D3694D">
            <w:pPr>
              <w:autoSpaceDE w:val="0"/>
              <w:autoSpaceDN w:val="0"/>
              <w:adjustRightInd w:val="0"/>
              <w:rPr>
                <w:rFonts w:ascii="Calibri" w:eastAsia="Calibri" w:hAnsi="Calibri" w:cs="Calibri"/>
                <w:highlight w:val="red"/>
                <w:lang w:val="sv-SE"/>
              </w:rPr>
            </w:pPr>
            <w:r w:rsidRPr="00D3694D">
              <w:rPr>
                <w:rFonts w:ascii="Calibri" w:eastAsia="Calibri" w:hAnsi="Calibri" w:cs="Calibri"/>
                <w:lang w:val="sv-SE"/>
              </w:rPr>
              <w:t>Socialstyrelsen. (2010) "Nationella riktlinjer för rörelseorganens sjukdomar 2010 - stöd för styrning och ledning. Preliminär version. ." Artikelnr 2010-11-15.</w:t>
            </w:r>
          </w:p>
        </w:tc>
      </w:tr>
      <w:tr w:rsidR="00D3694D" w:rsidRPr="00D3694D" w14:paraId="78FAE833" w14:textId="77777777" w:rsidTr="00600902">
        <w:tc>
          <w:tcPr>
            <w:tcW w:w="568" w:type="dxa"/>
          </w:tcPr>
          <w:p w14:paraId="5ABE4A61"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 xml:space="preserve">77. </w:t>
            </w:r>
          </w:p>
        </w:tc>
        <w:tc>
          <w:tcPr>
            <w:tcW w:w="8595" w:type="dxa"/>
            <w:shd w:val="clear" w:color="auto" w:fill="auto"/>
          </w:tcPr>
          <w:p w14:paraId="513853FD"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Johansson H, Odén A, McCloskey EV (2012) The distribution of FRAX® based probabilities in women from Japan.  J Bone Miner </w:t>
            </w:r>
            <w:proofErr w:type="gramStart"/>
            <w:r w:rsidRPr="00D3694D">
              <w:rPr>
                <w:rFonts w:ascii="Calibri" w:eastAsia="Calibri" w:hAnsi="Calibri" w:cs="Calibri"/>
              </w:rPr>
              <w:t>Metab  30</w:t>
            </w:r>
            <w:proofErr w:type="gramEnd"/>
            <w:r w:rsidRPr="00D3694D">
              <w:rPr>
                <w:rFonts w:ascii="Calibri" w:eastAsia="Calibri" w:hAnsi="Calibri" w:cs="Calibri"/>
              </w:rPr>
              <w:t>: 700-5.</w:t>
            </w:r>
          </w:p>
        </w:tc>
      </w:tr>
      <w:tr w:rsidR="00D3694D" w:rsidRPr="00D3694D" w14:paraId="46972A75" w14:textId="77777777" w:rsidTr="00600902">
        <w:tc>
          <w:tcPr>
            <w:tcW w:w="568" w:type="dxa"/>
          </w:tcPr>
          <w:p w14:paraId="4CAADDD2"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78.</w:t>
            </w:r>
          </w:p>
        </w:tc>
        <w:tc>
          <w:tcPr>
            <w:tcW w:w="8595" w:type="dxa"/>
            <w:shd w:val="clear" w:color="auto" w:fill="auto"/>
          </w:tcPr>
          <w:p w14:paraId="520C8D57"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Johnell O, Oden A, Johansson H, McCloskey EV (2008) FRAX and the assessment of fracture probability in men and women from the UK.  Osteoporos </w:t>
            </w:r>
            <w:proofErr w:type="gramStart"/>
            <w:r w:rsidRPr="00D3694D">
              <w:rPr>
                <w:rFonts w:ascii="Calibri" w:eastAsia="Calibri" w:hAnsi="Calibri" w:cs="Calibri"/>
              </w:rPr>
              <w:t>Int  19</w:t>
            </w:r>
            <w:proofErr w:type="gramEnd"/>
            <w:r w:rsidRPr="00D3694D">
              <w:rPr>
                <w:rFonts w:ascii="Calibri" w:eastAsia="Calibri" w:hAnsi="Calibri" w:cs="Calibri"/>
              </w:rPr>
              <w:t>: 385-397.</w:t>
            </w:r>
          </w:p>
        </w:tc>
      </w:tr>
      <w:tr w:rsidR="00D3694D" w:rsidRPr="00D3694D" w14:paraId="780E6FBE" w14:textId="77777777" w:rsidTr="00600902">
        <w:tc>
          <w:tcPr>
            <w:tcW w:w="568" w:type="dxa"/>
          </w:tcPr>
          <w:p w14:paraId="30449AE7"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79.</w:t>
            </w:r>
          </w:p>
        </w:tc>
        <w:tc>
          <w:tcPr>
            <w:tcW w:w="8595" w:type="dxa"/>
            <w:shd w:val="clear" w:color="auto" w:fill="auto"/>
          </w:tcPr>
          <w:p w14:paraId="52F765EF" w14:textId="638554DC"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McCloskey EV, Johansson H, Strom O, Borgstrom F, Oden A (2008) Case finding for the management of osteoporosis with FRAX—assessment and intervention thresholds for the UK. Osteoporos </w:t>
            </w:r>
            <w:r w:rsidR="005372F4" w:rsidRPr="00D3694D">
              <w:rPr>
                <w:rFonts w:ascii="Calibri" w:eastAsia="Calibri" w:hAnsi="Calibri" w:cs="Calibri"/>
              </w:rPr>
              <w:t>Int 19:</w:t>
            </w:r>
            <w:r w:rsidR="005372F4">
              <w:rPr>
                <w:rFonts w:ascii="Calibri" w:eastAsia="Calibri" w:hAnsi="Calibri" w:cs="Calibri"/>
              </w:rPr>
              <w:t xml:space="preserve"> </w:t>
            </w:r>
            <w:r w:rsidR="005372F4" w:rsidRPr="00D3694D">
              <w:rPr>
                <w:rFonts w:ascii="Calibri" w:eastAsia="Calibri" w:hAnsi="Calibri" w:cs="Calibri"/>
              </w:rPr>
              <w:t>1395</w:t>
            </w:r>
            <w:r w:rsidRPr="00D3694D">
              <w:rPr>
                <w:rFonts w:ascii="Calibri" w:eastAsia="Calibri" w:hAnsi="Calibri" w:cs="Calibri"/>
              </w:rPr>
              <w:t>–1408.</w:t>
            </w:r>
          </w:p>
        </w:tc>
      </w:tr>
      <w:tr w:rsidR="00D3694D" w:rsidRPr="00D3694D" w14:paraId="5F198C00" w14:textId="77777777" w:rsidTr="00600902">
        <w:tc>
          <w:tcPr>
            <w:tcW w:w="568" w:type="dxa"/>
          </w:tcPr>
          <w:p w14:paraId="5CE1B7C5"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80.</w:t>
            </w:r>
          </w:p>
        </w:tc>
        <w:tc>
          <w:tcPr>
            <w:tcW w:w="8595" w:type="dxa"/>
          </w:tcPr>
          <w:p w14:paraId="5A53E232" w14:textId="1A9EC8AA"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Compston, J., A. Cooper, C. Cooper, R. Francis, J. A. Kanis, D. Marsh, E. V. McCloskey, D. M. Reid, P. Selby, M. </w:t>
            </w:r>
            <w:proofErr w:type="gramStart"/>
            <w:r w:rsidRPr="00D3694D">
              <w:rPr>
                <w:rFonts w:ascii="Calibri" w:eastAsia="Calibri" w:hAnsi="Calibri" w:cs="Calibri"/>
              </w:rPr>
              <w:t>Wilkins</w:t>
            </w:r>
            <w:proofErr w:type="gramEnd"/>
            <w:r w:rsidRPr="00D3694D">
              <w:rPr>
                <w:rFonts w:ascii="Calibri" w:eastAsia="Calibri" w:hAnsi="Calibri" w:cs="Calibri"/>
              </w:rPr>
              <w:t xml:space="preserve"> and G. National Osteoporosis Guideline. (2009) Guidelines for the diagnosis and management of osteoporosis in postmenopausal women and men from the age of 50 years in the UK</w:t>
            </w:r>
            <w:r w:rsidR="005372F4" w:rsidRPr="00D3694D">
              <w:rPr>
                <w:rFonts w:ascii="Calibri" w:eastAsia="Calibri" w:hAnsi="Calibri" w:cs="Calibri"/>
              </w:rPr>
              <w:t xml:space="preserve">.  </w:t>
            </w:r>
            <w:proofErr w:type="spellStart"/>
            <w:r w:rsidR="005372F4" w:rsidRPr="00D3694D">
              <w:rPr>
                <w:rFonts w:ascii="Calibri" w:eastAsia="Calibri" w:hAnsi="Calibri" w:cs="Calibri"/>
              </w:rPr>
              <w:t>Maturitas</w:t>
            </w:r>
            <w:proofErr w:type="spellEnd"/>
            <w:r w:rsidR="005372F4" w:rsidRPr="00D3694D">
              <w:rPr>
                <w:rFonts w:ascii="Calibri" w:eastAsia="Calibri" w:hAnsi="Calibri" w:cs="Calibri"/>
              </w:rPr>
              <w:t xml:space="preserve"> 62</w:t>
            </w:r>
            <w:r w:rsidRPr="00D3694D">
              <w:rPr>
                <w:rFonts w:ascii="Calibri" w:eastAsia="Calibri" w:hAnsi="Calibri" w:cs="Calibri"/>
              </w:rPr>
              <w:t>:</w:t>
            </w:r>
            <w:r w:rsidR="005372F4">
              <w:rPr>
                <w:rFonts w:ascii="Calibri" w:eastAsia="Calibri" w:hAnsi="Calibri" w:cs="Calibri"/>
              </w:rPr>
              <w:t xml:space="preserve"> </w:t>
            </w:r>
            <w:r w:rsidRPr="00D3694D">
              <w:rPr>
                <w:rFonts w:ascii="Calibri" w:eastAsia="Calibri" w:hAnsi="Calibri" w:cs="Calibri"/>
              </w:rPr>
              <w:t>105–108.</w:t>
            </w:r>
          </w:p>
        </w:tc>
      </w:tr>
      <w:tr w:rsidR="00D3694D" w:rsidRPr="00D3694D" w14:paraId="0E00F3FC" w14:textId="77777777" w:rsidTr="00600902">
        <w:tc>
          <w:tcPr>
            <w:tcW w:w="568" w:type="dxa"/>
          </w:tcPr>
          <w:p w14:paraId="721CD528"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81.</w:t>
            </w:r>
          </w:p>
        </w:tc>
        <w:tc>
          <w:tcPr>
            <w:tcW w:w="8595" w:type="dxa"/>
          </w:tcPr>
          <w:p w14:paraId="572A54B8"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Clark P, </w:t>
            </w:r>
            <w:proofErr w:type="spellStart"/>
            <w:r w:rsidRPr="00D3694D">
              <w:rPr>
                <w:rFonts w:ascii="Calibri" w:eastAsia="Calibri" w:hAnsi="Calibri" w:cs="Calibri"/>
              </w:rPr>
              <w:t>Denova</w:t>
            </w:r>
            <w:proofErr w:type="spellEnd"/>
            <w:r w:rsidRPr="00D3694D">
              <w:rPr>
                <w:rFonts w:ascii="Calibri" w:eastAsia="Calibri" w:hAnsi="Calibri" w:cs="Calibri"/>
              </w:rPr>
              <w:t xml:space="preserve">-Gutiérrez E, </w:t>
            </w:r>
            <w:proofErr w:type="spellStart"/>
            <w:r w:rsidRPr="00D3694D">
              <w:rPr>
                <w:rFonts w:ascii="Calibri" w:eastAsia="Calibri" w:hAnsi="Calibri" w:cs="Calibri"/>
              </w:rPr>
              <w:t>Zerbini</w:t>
            </w:r>
            <w:proofErr w:type="spellEnd"/>
            <w:r w:rsidRPr="00D3694D">
              <w:rPr>
                <w:rFonts w:ascii="Calibri" w:eastAsia="Calibri" w:hAnsi="Calibri" w:cs="Calibri"/>
              </w:rPr>
              <w:t xml:space="preserve"> C, Sanchez A, Messina O, </w:t>
            </w:r>
            <w:proofErr w:type="spellStart"/>
            <w:r w:rsidRPr="00D3694D">
              <w:rPr>
                <w:rFonts w:ascii="Calibri" w:eastAsia="Calibri" w:hAnsi="Calibri" w:cs="Calibri"/>
              </w:rPr>
              <w:t>Jaller</w:t>
            </w:r>
            <w:proofErr w:type="spellEnd"/>
            <w:r w:rsidRPr="00D3694D">
              <w:rPr>
                <w:rFonts w:ascii="Calibri" w:eastAsia="Calibri" w:hAnsi="Calibri" w:cs="Calibri"/>
              </w:rPr>
              <w:t xml:space="preserve"> JJ, Campusano C, </w:t>
            </w:r>
            <w:proofErr w:type="spellStart"/>
            <w:r w:rsidRPr="00D3694D">
              <w:rPr>
                <w:rFonts w:ascii="Calibri" w:eastAsia="Calibri" w:hAnsi="Calibri" w:cs="Calibri"/>
              </w:rPr>
              <w:t>Orces</w:t>
            </w:r>
            <w:proofErr w:type="spellEnd"/>
            <w:r w:rsidRPr="00D3694D">
              <w:rPr>
                <w:rFonts w:ascii="Calibri" w:eastAsia="Calibri" w:hAnsi="Calibri" w:cs="Calibri"/>
              </w:rPr>
              <w:t xml:space="preserve"> CH, </w:t>
            </w:r>
            <w:proofErr w:type="spellStart"/>
            <w:r w:rsidRPr="00D3694D">
              <w:rPr>
                <w:rFonts w:ascii="Calibri" w:eastAsia="Calibri" w:hAnsi="Calibri" w:cs="Calibri"/>
              </w:rPr>
              <w:t>Riera</w:t>
            </w:r>
            <w:proofErr w:type="spellEnd"/>
            <w:r w:rsidRPr="00D3694D">
              <w:rPr>
                <w:rFonts w:ascii="Calibri" w:eastAsia="Calibri" w:hAnsi="Calibri" w:cs="Calibri"/>
              </w:rPr>
              <w:t xml:space="preserve"> G, Johansson H, Kanis JA (2018) FRAX-based intervention and assessment thresholds in seven Latin American countries. Osteoporos Int 29: 707-715.</w:t>
            </w:r>
          </w:p>
        </w:tc>
      </w:tr>
      <w:tr w:rsidR="00D3694D" w:rsidRPr="00D3694D" w14:paraId="7D956FF0" w14:textId="77777777" w:rsidTr="00600902">
        <w:tc>
          <w:tcPr>
            <w:tcW w:w="568" w:type="dxa"/>
          </w:tcPr>
          <w:p w14:paraId="559CB58E"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lastRenderedPageBreak/>
              <w:t>82.</w:t>
            </w:r>
          </w:p>
        </w:tc>
        <w:tc>
          <w:tcPr>
            <w:tcW w:w="8595" w:type="dxa"/>
          </w:tcPr>
          <w:p w14:paraId="77EDEC76"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Sund R, Honkanen R, Johansson H, Oden A, McCloskey EV, Kanis JA, Kröger H (2014) Evaluation of the FRAX model for the prediction of hip fractures in Kuopio, Finland. Calcif Tiss Int 95: 39-45.</w:t>
            </w:r>
          </w:p>
        </w:tc>
      </w:tr>
      <w:tr w:rsidR="00D3694D" w:rsidRPr="00D3694D" w14:paraId="73F7A000" w14:textId="77777777" w:rsidTr="00600902">
        <w:tc>
          <w:tcPr>
            <w:tcW w:w="568" w:type="dxa"/>
          </w:tcPr>
          <w:p w14:paraId="68F43ACD"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83.</w:t>
            </w:r>
          </w:p>
        </w:tc>
        <w:tc>
          <w:tcPr>
            <w:tcW w:w="8595" w:type="dxa"/>
          </w:tcPr>
          <w:p w14:paraId="7C80CAF9" w14:textId="77777777" w:rsidR="00D3694D" w:rsidRPr="00D3694D" w:rsidRDefault="00D3694D" w:rsidP="00D3694D">
            <w:pPr>
              <w:autoSpaceDE w:val="0"/>
              <w:autoSpaceDN w:val="0"/>
              <w:adjustRightInd w:val="0"/>
              <w:rPr>
                <w:rFonts w:ascii="Calibri" w:eastAsia="Calibri" w:hAnsi="Calibri" w:cs="Calibri"/>
              </w:rPr>
            </w:pPr>
            <w:proofErr w:type="spellStart"/>
            <w:r w:rsidRPr="00D3694D">
              <w:rPr>
                <w:rFonts w:ascii="Calibri" w:eastAsia="Calibri" w:hAnsi="Calibri" w:cs="Calibri"/>
              </w:rPr>
              <w:t>Grigorie</w:t>
            </w:r>
            <w:proofErr w:type="spellEnd"/>
            <w:r w:rsidRPr="00D3694D">
              <w:rPr>
                <w:rFonts w:ascii="Calibri" w:eastAsia="Calibri" w:hAnsi="Calibri" w:cs="Calibri"/>
              </w:rPr>
              <w:t xml:space="preserve"> D, </w:t>
            </w:r>
            <w:proofErr w:type="spellStart"/>
            <w:r w:rsidRPr="00D3694D">
              <w:rPr>
                <w:rFonts w:ascii="Calibri" w:eastAsia="Calibri" w:hAnsi="Calibri" w:cs="Calibri"/>
              </w:rPr>
              <w:t>Sucaliuc</w:t>
            </w:r>
            <w:proofErr w:type="spellEnd"/>
            <w:r w:rsidRPr="00D3694D">
              <w:rPr>
                <w:rFonts w:ascii="Calibri" w:eastAsia="Calibri" w:hAnsi="Calibri" w:cs="Calibri"/>
              </w:rPr>
              <w:t xml:space="preserve"> A</w:t>
            </w:r>
            <w:proofErr w:type="gramStart"/>
            <w:r w:rsidRPr="00D3694D">
              <w:rPr>
                <w:rFonts w:ascii="Calibri" w:eastAsia="Calibri" w:hAnsi="Calibri" w:cs="Calibri"/>
              </w:rPr>
              <w:t>, ,</w:t>
            </w:r>
            <w:proofErr w:type="gramEnd"/>
            <w:r w:rsidRPr="00D3694D">
              <w:rPr>
                <w:rFonts w:ascii="Calibri" w:eastAsia="Calibri" w:hAnsi="Calibri" w:cs="Calibri"/>
              </w:rPr>
              <w:t xml:space="preserve"> Johansson H,  Kanis JA, McCloskey E (2013) Incidence of hip fracture in Romania and the development of a Romanian FRAX model.  Calcif Tiss Int   92:429-436.</w:t>
            </w:r>
          </w:p>
        </w:tc>
      </w:tr>
      <w:tr w:rsidR="00D3694D" w:rsidRPr="00D3694D" w14:paraId="72387223" w14:textId="77777777" w:rsidTr="00600902">
        <w:tc>
          <w:tcPr>
            <w:tcW w:w="568" w:type="dxa"/>
          </w:tcPr>
          <w:p w14:paraId="7DC20F6A"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eastAsia="Calibri" w:hAnsi="Calibri" w:cs="Calibri"/>
              </w:rPr>
              <w:t>84.</w:t>
            </w:r>
          </w:p>
        </w:tc>
        <w:tc>
          <w:tcPr>
            <w:tcW w:w="8595" w:type="dxa"/>
          </w:tcPr>
          <w:p w14:paraId="18D6599C"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Ferrari S, </w:t>
            </w:r>
            <w:proofErr w:type="spellStart"/>
            <w:r w:rsidRPr="00D3694D">
              <w:rPr>
                <w:rFonts w:ascii="Calibri" w:eastAsia="Calibri" w:hAnsi="Calibri" w:cs="Calibri"/>
              </w:rPr>
              <w:t>Lippuner</w:t>
            </w:r>
            <w:proofErr w:type="spellEnd"/>
            <w:r w:rsidRPr="00D3694D">
              <w:rPr>
                <w:rFonts w:ascii="Calibri" w:eastAsia="Calibri" w:hAnsi="Calibri" w:cs="Calibri"/>
              </w:rPr>
              <w:t xml:space="preserve"> K, Lamy O, Meier C (2020) recommendations for osteoporosis treatment according to fracture risk from the Swiss Association against Osteoporosis (SVGO). Swiss Med Wkly. 2020 Sep 29;</w:t>
            </w:r>
            <w:proofErr w:type="gramStart"/>
            <w:r w:rsidRPr="00D3694D">
              <w:rPr>
                <w:rFonts w:ascii="Calibri" w:eastAsia="Calibri" w:hAnsi="Calibri" w:cs="Calibri"/>
              </w:rPr>
              <w:t>150:w</w:t>
            </w:r>
            <w:proofErr w:type="gramEnd"/>
            <w:r w:rsidRPr="00D3694D">
              <w:rPr>
                <w:rFonts w:ascii="Calibri" w:eastAsia="Calibri" w:hAnsi="Calibri" w:cs="Calibri"/>
              </w:rPr>
              <w:t>20352. doi: 10.4414/smw.2020.20352.</w:t>
            </w:r>
          </w:p>
        </w:tc>
      </w:tr>
      <w:tr w:rsidR="00D3694D" w:rsidRPr="00D3694D" w14:paraId="218A517E" w14:textId="77777777" w:rsidTr="00600902">
        <w:tc>
          <w:tcPr>
            <w:tcW w:w="568" w:type="dxa"/>
          </w:tcPr>
          <w:p w14:paraId="7A7F98F4"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85.</w:t>
            </w:r>
          </w:p>
        </w:tc>
        <w:tc>
          <w:tcPr>
            <w:tcW w:w="8595" w:type="dxa"/>
          </w:tcPr>
          <w:p w14:paraId="0C1BCCBE"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Briot, K., B. Cortet, T. Thomas, M. Audran, H. Blain, V. </w:t>
            </w:r>
            <w:proofErr w:type="spellStart"/>
            <w:r w:rsidRPr="00D3694D">
              <w:rPr>
                <w:rFonts w:ascii="Calibri" w:eastAsia="Calibri" w:hAnsi="Calibri" w:cs="Calibri"/>
              </w:rPr>
              <w:t>Breuil</w:t>
            </w:r>
            <w:proofErr w:type="spellEnd"/>
            <w:r w:rsidRPr="00D3694D">
              <w:rPr>
                <w:rFonts w:ascii="Calibri" w:eastAsia="Calibri" w:hAnsi="Calibri" w:cs="Calibri"/>
              </w:rPr>
              <w:t xml:space="preserve">, L. </w:t>
            </w:r>
            <w:proofErr w:type="spellStart"/>
            <w:r w:rsidRPr="00D3694D">
              <w:rPr>
                <w:rFonts w:ascii="Calibri" w:eastAsia="Calibri" w:hAnsi="Calibri" w:cs="Calibri"/>
              </w:rPr>
              <w:t>Chapuis</w:t>
            </w:r>
            <w:proofErr w:type="spellEnd"/>
            <w:r w:rsidRPr="00D3694D">
              <w:rPr>
                <w:rFonts w:ascii="Calibri" w:eastAsia="Calibri" w:hAnsi="Calibri" w:cs="Calibri"/>
              </w:rPr>
              <w:t xml:space="preserve">, R. Chapurlat, P. </w:t>
            </w:r>
            <w:proofErr w:type="spellStart"/>
            <w:r w:rsidRPr="00D3694D">
              <w:rPr>
                <w:rFonts w:ascii="Calibri" w:eastAsia="Calibri" w:hAnsi="Calibri" w:cs="Calibri"/>
              </w:rPr>
              <w:t>Fardellone</w:t>
            </w:r>
            <w:proofErr w:type="spellEnd"/>
            <w:r w:rsidRPr="00D3694D">
              <w:rPr>
                <w:rFonts w:ascii="Calibri" w:eastAsia="Calibri" w:hAnsi="Calibri" w:cs="Calibri"/>
              </w:rPr>
              <w:t xml:space="preserve">, J. M. </w:t>
            </w:r>
            <w:proofErr w:type="spellStart"/>
            <w:r w:rsidRPr="00D3694D">
              <w:rPr>
                <w:rFonts w:ascii="Calibri" w:eastAsia="Calibri" w:hAnsi="Calibri" w:cs="Calibri"/>
              </w:rPr>
              <w:t>Feron</w:t>
            </w:r>
            <w:proofErr w:type="spellEnd"/>
            <w:r w:rsidRPr="00D3694D">
              <w:rPr>
                <w:rFonts w:ascii="Calibri" w:eastAsia="Calibri" w:hAnsi="Calibri" w:cs="Calibri"/>
              </w:rPr>
              <w:t xml:space="preserve">, J. B. </w:t>
            </w:r>
            <w:proofErr w:type="spellStart"/>
            <w:r w:rsidRPr="00D3694D">
              <w:rPr>
                <w:rFonts w:ascii="Calibri" w:eastAsia="Calibri" w:hAnsi="Calibri" w:cs="Calibri"/>
              </w:rPr>
              <w:t>Gauvain</w:t>
            </w:r>
            <w:proofErr w:type="spellEnd"/>
            <w:r w:rsidRPr="00D3694D">
              <w:rPr>
                <w:rFonts w:ascii="Calibri" w:eastAsia="Calibri" w:hAnsi="Calibri" w:cs="Calibri"/>
              </w:rPr>
              <w:t xml:space="preserve">, P. </w:t>
            </w:r>
            <w:proofErr w:type="spellStart"/>
            <w:r w:rsidRPr="00D3694D">
              <w:rPr>
                <w:rFonts w:ascii="Calibri" w:eastAsia="Calibri" w:hAnsi="Calibri" w:cs="Calibri"/>
              </w:rPr>
              <w:t>Guggenbuhl</w:t>
            </w:r>
            <w:proofErr w:type="spellEnd"/>
            <w:r w:rsidRPr="00D3694D">
              <w:rPr>
                <w:rFonts w:ascii="Calibri" w:eastAsia="Calibri" w:hAnsi="Calibri" w:cs="Calibri"/>
              </w:rPr>
              <w:t xml:space="preserve">, S. </w:t>
            </w:r>
            <w:proofErr w:type="spellStart"/>
            <w:r w:rsidRPr="00D3694D">
              <w:rPr>
                <w:rFonts w:ascii="Calibri" w:eastAsia="Calibri" w:hAnsi="Calibri" w:cs="Calibri"/>
              </w:rPr>
              <w:t>Kolta</w:t>
            </w:r>
            <w:proofErr w:type="spellEnd"/>
            <w:r w:rsidRPr="00D3694D">
              <w:rPr>
                <w:rFonts w:ascii="Calibri" w:eastAsia="Calibri" w:hAnsi="Calibri" w:cs="Calibri"/>
              </w:rPr>
              <w:t xml:space="preserve">, E. </w:t>
            </w:r>
            <w:proofErr w:type="spellStart"/>
            <w:r w:rsidRPr="00D3694D">
              <w:rPr>
                <w:rFonts w:ascii="Calibri" w:eastAsia="Calibri" w:hAnsi="Calibri" w:cs="Calibri"/>
              </w:rPr>
              <w:t>Lespessailles</w:t>
            </w:r>
            <w:proofErr w:type="spellEnd"/>
            <w:r w:rsidRPr="00D3694D">
              <w:rPr>
                <w:rFonts w:ascii="Calibri" w:eastAsia="Calibri" w:hAnsi="Calibri" w:cs="Calibri"/>
              </w:rPr>
              <w:t xml:space="preserve">, B. </w:t>
            </w:r>
            <w:proofErr w:type="spellStart"/>
            <w:r w:rsidRPr="00D3694D">
              <w:rPr>
                <w:rFonts w:ascii="Calibri" w:eastAsia="Calibri" w:hAnsi="Calibri" w:cs="Calibri"/>
              </w:rPr>
              <w:t>Letombe</w:t>
            </w:r>
            <w:proofErr w:type="spellEnd"/>
            <w:r w:rsidRPr="00D3694D">
              <w:rPr>
                <w:rFonts w:ascii="Calibri" w:eastAsia="Calibri" w:hAnsi="Calibri" w:cs="Calibri"/>
              </w:rPr>
              <w:t xml:space="preserve">, C. </w:t>
            </w:r>
            <w:proofErr w:type="spellStart"/>
            <w:r w:rsidRPr="00D3694D">
              <w:rPr>
                <w:rFonts w:ascii="Calibri" w:eastAsia="Calibri" w:hAnsi="Calibri" w:cs="Calibri"/>
              </w:rPr>
              <w:t>Marcelli</w:t>
            </w:r>
            <w:proofErr w:type="spellEnd"/>
            <w:r w:rsidRPr="00D3694D">
              <w:rPr>
                <w:rFonts w:ascii="Calibri" w:eastAsia="Calibri" w:hAnsi="Calibri" w:cs="Calibri"/>
              </w:rPr>
              <w:t xml:space="preserve">, P. </w:t>
            </w:r>
            <w:proofErr w:type="spellStart"/>
            <w:r w:rsidRPr="00D3694D">
              <w:rPr>
                <w:rFonts w:ascii="Calibri" w:eastAsia="Calibri" w:hAnsi="Calibri" w:cs="Calibri"/>
              </w:rPr>
              <w:t>Orcel</w:t>
            </w:r>
            <w:proofErr w:type="spellEnd"/>
            <w:r w:rsidRPr="00D3694D">
              <w:rPr>
                <w:rFonts w:ascii="Calibri" w:eastAsia="Calibri" w:hAnsi="Calibri" w:cs="Calibri"/>
              </w:rPr>
              <w:t xml:space="preserve">, P. </w:t>
            </w:r>
            <w:proofErr w:type="spellStart"/>
            <w:r w:rsidRPr="00D3694D">
              <w:rPr>
                <w:rFonts w:ascii="Calibri" w:eastAsia="Calibri" w:hAnsi="Calibri" w:cs="Calibri"/>
              </w:rPr>
              <w:t>Seret</w:t>
            </w:r>
            <w:proofErr w:type="spellEnd"/>
            <w:r w:rsidRPr="00D3694D">
              <w:rPr>
                <w:rFonts w:ascii="Calibri" w:eastAsia="Calibri" w:hAnsi="Calibri" w:cs="Calibri"/>
              </w:rPr>
              <w:t xml:space="preserve">, F. </w:t>
            </w:r>
            <w:proofErr w:type="spellStart"/>
            <w:r w:rsidRPr="00D3694D">
              <w:rPr>
                <w:rFonts w:ascii="Calibri" w:eastAsia="Calibri" w:hAnsi="Calibri" w:cs="Calibri"/>
              </w:rPr>
              <w:t>Tremollieres</w:t>
            </w:r>
            <w:proofErr w:type="spellEnd"/>
            <w:r w:rsidRPr="00D3694D">
              <w:rPr>
                <w:rFonts w:ascii="Calibri" w:eastAsia="Calibri" w:hAnsi="Calibri" w:cs="Calibri"/>
              </w:rPr>
              <w:t xml:space="preserve"> and C. Roux (2012) 2012 update of French guidelines for the pharmacological treatment of postmenopausal osteoporosis. Joint Bone Spine. 2012; 79:304–313.</w:t>
            </w:r>
          </w:p>
        </w:tc>
      </w:tr>
      <w:tr w:rsidR="00D3694D" w:rsidRPr="00D3694D" w14:paraId="53CA3E6E" w14:textId="77777777" w:rsidTr="00600902">
        <w:tc>
          <w:tcPr>
            <w:tcW w:w="568" w:type="dxa"/>
          </w:tcPr>
          <w:p w14:paraId="526518A7"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86.</w:t>
            </w:r>
          </w:p>
        </w:tc>
        <w:tc>
          <w:tcPr>
            <w:tcW w:w="8595" w:type="dxa"/>
          </w:tcPr>
          <w:p w14:paraId="0B6F9C42" w14:textId="77777777" w:rsidR="00D3694D" w:rsidRPr="00D3694D" w:rsidRDefault="00D3694D" w:rsidP="00D3694D">
            <w:pPr>
              <w:autoSpaceDE w:val="0"/>
              <w:autoSpaceDN w:val="0"/>
              <w:adjustRightInd w:val="0"/>
              <w:rPr>
                <w:rFonts w:ascii="Calibri" w:eastAsia="Calibri" w:hAnsi="Calibri" w:cs="Calibri"/>
                <w:highlight w:val="cyan"/>
              </w:rPr>
            </w:pPr>
            <w:r w:rsidRPr="00D3694D">
              <w:rPr>
                <w:rFonts w:ascii="Calibri" w:eastAsia="Calibri" w:hAnsi="Calibri" w:cs="Calibri"/>
              </w:rPr>
              <w:t xml:space="preserve">Abdulla N, </w:t>
            </w:r>
            <w:proofErr w:type="spellStart"/>
            <w:r w:rsidRPr="00D3694D">
              <w:rPr>
                <w:rFonts w:ascii="Calibri" w:eastAsia="Calibri" w:hAnsi="Calibri" w:cs="Calibri"/>
              </w:rPr>
              <w:t>Alsaed</w:t>
            </w:r>
            <w:proofErr w:type="spellEnd"/>
            <w:r w:rsidRPr="00D3694D">
              <w:rPr>
                <w:rFonts w:ascii="Calibri" w:eastAsia="Calibri" w:hAnsi="Calibri" w:cs="Calibri"/>
              </w:rPr>
              <w:t xml:space="preserve"> OS, </w:t>
            </w:r>
            <w:proofErr w:type="spellStart"/>
            <w:r w:rsidRPr="00D3694D">
              <w:rPr>
                <w:rFonts w:ascii="Calibri" w:eastAsia="Calibri" w:hAnsi="Calibri" w:cs="Calibri"/>
              </w:rPr>
              <w:t>Lutf</w:t>
            </w:r>
            <w:proofErr w:type="spellEnd"/>
            <w:r w:rsidRPr="00D3694D">
              <w:rPr>
                <w:rFonts w:ascii="Calibri" w:eastAsia="Calibri" w:hAnsi="Calibri" w:cs="Calibri"/>
              </w:rPr>
              <w:t xml:space="preserve"> A, Alam F, </w:t>
            </w:r>
            <w:proofErr w:type="spellStart"/>
            <w:r w:rsidRPr="00D3694D">
              <w:rPr>
                <w:rFonts w:ascii="Calibri" w:eastAsia="Calibri" w:hAnsi="Calibri" w:cs="Calibri"/>
              </w:rPr>
              <w:t>Abdulmomen</w:t>
            </w:r>
            <w:proofErr w:type="spellEnd"/>
            <w:r w:rsidRPr="00D3694D">
              <w:rPr>
                <w:rFonts w:ascii="Calibri" w:eastAsia="Calibri" w:hAnsi="Calibri" w:cs="Calibri"/>
              </w:rPr>
              <w:t xml:space="preserve"> I, Al </w:t>
            </w:r>
            <w:proofErr w:type="spellStart"/>
            <w:r w:rsidRPr="00D3694D">
              <w:rPr>
                <w:rFonts w:ascii="Calibri" w:eastAsia="Calibri" w:hAnsi="Calibri" w:cs="Calibri"/>
              </w:rPr>
              <w:t>Emadi</w:t>
            </w:r>
            <w:proofErr w:type="spellEnd"/>
            <w:r w:rsidRPr="00D3694D">
              <w:rPr>
                <w:rFonts w:ascii="Calibri" w:eastAsia="Calibri" w:hAnsi="Calibri" w:cs="Calibri"/>
              </w:rPr>
              <w:t xml:space="preserve"> S, Harvey NC, Liu E, Vandenput L, Lorentzon M, McCloskey E, Kanis JA, Johansson H (2022) Epidemiology of hip fracture in Qatar and development of a country specific FRAX model.  Arch Osteoporos 17 (1):49. doi: 10.1007/s11657-022-01083-z.</w:t>
            </w:r>
          </w:p>
        </w:tc>
      </w:tr>
      <w:tr w:rsidR="00D3694D" w:rsidRPr="00D3694D" w14:paraId="29762F48" w14:textId="77777777" w:rsidTr="00600902">
        <w:tc>
          <w:tcPr>
            <w:tcW w:w="568" w:type="dxa"/>
          </w:tcPr>
          <w:p w14:paraId="10C9F37B"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87.</w:t>
            </w:r>
          </w:p>
        </w:tc>
        <w:tc>
          <w:tcPr>
            <w:tcW w:w="8595" w:type="dxa"/>
          </w:tcPr>
          <w:p w14:paraId="2E8E7047" w14:textId="77777777" w:rsidR="00D3694D" w:rsidRPr="00D3694D" w:rsidRDefault="00D3694D" w:rsidP="00D3694D">
            <w:pPr>
              <w:autoSpaceDE w:val="0"/>
              <w:autoSpaceDN w:val="0"/>
              <w:adjustRightInd w:val="0"/>
              <w:rPr>
                <w:rFonts w:ascii="Calibri" w:eastAsia="Calibri" w:hAnsi="Calibri" w:cs="Calibri"/>
              </w:rPr>
            </w:pPr>
            <w:bookmarkStart w:id="9" w:name="_Hlk105106303"/>
            <w:r w:rsidRPr="00D3694D">
              <w:rPr>
                <w:rFonts w:ascii="Calibri" w:eastAsia="Calibri" w:hAnsi="Calibri" w:cs="Calibri"/>
              </w:rPr>
              <w:t xml:space="preserve">Al-Daghri </w:t>
            </w:r>
            <w:bookmarkEnd w:id="9"/>
            <w:r w:rsidRPr="00D3694D">
              <w:rPr>
                <w:rFonts w:ascii="Calibri" w:eastAsia="Calibri" w:hAnsi="Calibri" w:cs="Calibri"/>
              </w:rPr>
              <w:t xml:space="preserve">NM, </w:t>
            </w:r>
            <w:proofErr w:type="spellStart"/>
            <w:r w:rsidRPr="00D3694D">
              <w:rPr>
                <w:rFonts w:ascii="Calibri" w:eastAsia="Calibri" w:hAnsi="Calibri" w:cs="Calibri"/>
              </w:rPr>
              <w:t>Sabico</w:t>
            </w:r>
            <w:proofErr w:type="spellEnd"/>
            <w:r w:rsidRPr="00D3694D">
              <w:rPr>
                <w:rFonts w:ascii="Calibri" w:eastAsia="Calibri" w:hAnsi="Calibri" w:cs="Calibri"/>
              </w:rPr>
              <w:t xml:space="preserve"> S, Al-Saleh Y, </w:t>
            </w:r>
            <w:proofErr w:type="spellStart"/>
            <w:r w:rsidRPr="00D3694D">
              <w:rPr>
                <w:rFonts w:ascii="Calibri" w:eastAsia="Calibri" w:hAnsi="Calibri" w:cs="Calibri"/>
              </w:rPr>
              <w:t>Sulimani</w:t>
            </w:r>
            <w:proofErr w:type="spellEnd"/>
            <w:r w:rsidRPr="00D3694D">
              <w:rPr>
                <w:rFonts w:ascii="Calibri" w:eastAsia="Calibri" w:hAnsi="Calibri" w:cs="Calibri"/>
              </w:rPr>
              <w:t xml:space="preserve"> R, </w:t>
            </w:r>
            <w:proofErr w:type="spellStart"/>
            <w:r w:rsidRPr="00D3694D">
              <w:rPr>
                <w:rFonts w:ascii="Calibri" w:eastAsia="Calibri" w:hAnsi="Calibri" w:cs="Calibri"/>
              </w:rPr>
              <w:t>Aljohani</w:t>
            </w:r>
            <w:proofErr w:type="spellEnd"/>
            <w:r w:rsidRPr="00D3694D">
              <w:rPr>
                <w:rFonts w:ascii="Calibri" w:eastAsia="Calibri" w:hAnsi="Calibri" w:cs="Calibri"/>
              </w:rPr>
              <w:t xml:space="preserve"> NJ, </w:t>
            </w:r>
            <w:proofErr w:type="spellStart"/>
            <w:r w:rsidRPr="00D3694D">
              <w:rPr>
                <w:rFonts w:ascii="Calibri" w:eastAsia="Calibri" w:hAnsi="Calibri" w:cs="Calibri"/>
              </w:rPr>
              <w:t>Sheshah</w:t>
            </w:r>
            <w:proofErr w:type="spellEnd"/>
            <w:r w:rsidRPr="00D3694D">
              <w:rPr>
                <w:rFonts w:ascii="Calibri" w:eastAsia="Calibri" w:hAnsi="Calibri" w:cs="Calibri"/>
              </w:rPr>
              <w:t xml:space="preserve"> E, </w:t>
            </w:r>
            <w:proofErr w:type="spellStart"/>
            <w:r w:rsidRPr="00D3694D">
              <w:rPr>
                <w:rFonts w:ascii="Calibri" w:eastAsia="Calibri" w:hAnsi="Calibri" w:cs="Calibri"/>
              </w:rPr>
              <w:t>Alodhayani</w:t>
            </w:r>
            <w:proofErr w:type="spellEnd"/>
            <w:r w:rsidRPr="00D3694D">
              <w:rPr>
                <w:rFonts w:ascii="Calibri" w:eastAsia="Calibri" w:hAnsi="Calibri" w:cs="Calibri"/>
              </w:rPr>
              <w:t xml:space="preserve"> A, Harvey NC, Liu E, Lorentzon M, McCloskey EV, Vandenput L, Johansson H, Kanis JA (2021) The application of FRAX in Saudi Arabia. Arch Osteoporos, 16: 166.  doi: 10.1007/s11657-021-01024-2. </w:t>
            </w:r>
          </w:p>
        </w:tc>
      </w:tr>
      <w:tr w:rsidR="00D3694D" w:rsidRPr="00D3694D" w14:paraId="76379439" w14:textId="77777777" w:rsidTr="00600902">
        <w:tc>
          <w:tcPr>
            <w:tcW w:w="568" w:type="dxa"/>
          </w:tcPr>
          <w:p w14:paraId="3600AEAE"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88.</w:t>
            </w:r>
          </w:p>
        </w:tc>
        <w:tc>
          <w:tcPr>
            <w:tcW w:w="8595" w:type="dxa"/>
          </w:tcPr>
          <w:p w14:paraId="533A14AA" w14:textId="5B6AA3D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Kanis JA, McCloskey EV, Johansson H, Cooper C, Rizzoli R, Reginster J-Y   on behalf of the Scientific Advisory Board of the European Society for Clinical and Economic Aspects of Osteoporosis and Osteoarthritis (</w:t>
            </w:r>
            <w:r w:rsidR="00600902" w:rsidRPr="00D3694D">
              <w:rPr>
                <w:rFonts w:ascii="Calibri" w:eastAsia="Calibri" w:hAnsi="Calibri" w:cs="Calibri"/>
              </w:rPr>
              <w:t>ESCEO) and</w:t>
            </w:r>
            <w:r w:rsidRPr="00D3694D">
              <w:rPr>
                <w:rFonts w:ascii="Calibri" w:eastAsia="Calibri" w:hAnsi="Calibri" w:cs="Calibri"/>
              </w:rPr>
              <w:t xml:space="preserve"> the Committee of Scientific Advisors of the International Osteoporosis Foundation </w:t>
            </w:r>
            <w:proofErr w:type="gramStart"/>
            <w:r w:rsidRPr="00D3694D">
              <w:rPr>
                <w:rFonts w:ascii="Calibri" w:eastAsia="Calibri" w:hAnsi="Calibri" w:cs="Calibri"/>
              </w:rPr>
              <w:t>( IOF</w:t>
            </w:r>
            <w:proofErr w:type="gramEnd"/>
            <w:r w:rsidRPr="00D3694D">
              <w:rPr>
                <w:rFonts w:ascii="Calibri" w:eastAsia="Calibri" w:hAnsi="Calibri" w:cs="Calibri"/>
              </w:rPr>
              <w:t xml:space="preserve">) (2013) European guidance for the diagnosis and management of osteoporosis in postmenopausal women.  </w:t>
            </w:r>
            <w:r w:rsidRPr="00D3694D">
              <w:rPr>
                <w:rFonts w:ascii="Calibri" w:eastAsia="Calibri" w:hAnsi="Calibri" w:cs="Calibri"/>
                <w:lang w:val="sv-SE"/>
              </w:rPr>
              <w:t>Osteoporos Int  24: 23-57</w:t>
            </w:r>
          </w:p>
        </w:tc>
      </w:tr>
      <w:tr w:rsidR="00D3694D" w:rsidRPr="00D3694D" w14:paraId="1E668056" w14:textId="77777777" w:rsidTr="00600902">
        <w:tc>
          <w:tcPr>
            <w:tcW w:w="568" w:type="dxa"/>
          </w:tcPr>
          <w:p w14:paraId="4D3E4013"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89.</w:t>
            </w:r>
          </w:p>
        </w:tc>
        <w:tc>
          <w:tcPr>
            <w:tcW w:w="8595" w:type="dxa"/>
          </w:tcPr>
          <w:p w14:paraId="682CEBFF"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Kanis JA, Harvey NC, McCloskey E, Bruyère O, Veronese N, Lorentzon M, Cooper C, Rizzoli R, Adib G, Al-Daghri N, Campusano C, Chandran M, Dawson-Hughes B, Javaid K, F Jiwa F, Johansson H, Lee JK, Liu E, Messina D, Mkinsi O, Pinto D,  Prieto-Alhambra D, Saag K, Xia W, Zakraoui L,  Reginster J-Y (2020) Algorithm for the management of patients at low, high and very high risk of osteoporotic fracture.  Osteoporosis International 31: 1-12.  </w:t>
            </w:r>
          </w:p>
        </w:tc>
      </w:tr>
      <w:tr w:rsidR="00D3694D" w:rsidRPr="00D3694D" w14:paraId="186CB153" w14:textId="77777777" w:rsidTr="00600902">
        <w:tc>
          <w:tcPr>
            <w:tcW w:w="568" w:type="dxa"/>
          </w:tcPr>
          <w:p w14:paraId="5D562FE4" w14:textId="4DBFC08C"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90</w:t>
            </w:r>
            <w:r w:rsidR="00600902">
              <w:rPr>
                <w:rFonts w:ascii="Calibri" w:hAnsi="Calibri" w:cs="Calibri"/>
              </w:rPr>
              <w:t>.</w:t>
            </w:r>
          </w:p>
        </w:tc>
        <w:tc>
          <w:tcPr>
            <w:tcW w:w="8595" w:type="dxa"/>
          </w:tcPr>
          <w:p w14:paraId="4E783710"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McClung MR (2021) Role of bone-forming agents in the management of osteoporosis</w:t>
            </w:r>
          </w:p>
          <w:p w14:paraId="74E5369A"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Aging Clin Exp Res 33: 775-791</w:t>
            </w:r>
          </w:p>
        </w:tc>
      </w:tr>
      <w:tr w:rsidR="00D3694D" w:rsidRPr="00D3694D" w14:paraId="3484F41D" w14:textId="77777777" w:rsidTr="00600902">
        <w:tc>
          <w:tcPr>
            <w:tcW w:w="568" w:type="dxa"/>
          </w:tcPr>
          <w:p w14:paraId="1CDB8EE7"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91.</w:t>
            </w:r>
          </w:p>
        </w:tc>
        <w:tc>
          <w:tcPr>
            <w:tcW w:w="8595" w:type="dxa"/>
          </w:tcPr>
          <w:p w14:paraId="2E05EDEA"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Curtis EM, Reginster JY, Al-Daghri N, Biver E, Brandi ML, Cavalier E, Hadji P, Halbout P, Harvey NC, Hiligsmann M, Javaid MK, Kanis JA, Kaufman JM, Lamy O, Matijevic R, Perez AD, </w:t>
            </w:r>
            <w:proofErr w:type="spellStart"/>
            <w:r w:rsidRPr="00D3694D">
              <w:rPr>
                <w:rFonts w:ascii="Calibri" w:eastAsia="Calibri" w:hAnsi="Calibri" w:cs="Calibri"/>
              </w:rPr>
              <w:t>Radermecker</w:t>
            </w:r>
            <w:proofErr w:type="spellEnd"/>
            <w:r w:rsidRPr="00D3694D">
              <w:rPr>
                <w:rFonts w:ascii="Calibri" w:eastAsia="Calibri" w:hAnsi="Calibri" w:cs="Calibri"/>
              </w:rPr>
              <w:t xml:space="preserve"> RP, Rosa MM, Thomas T, Thomasius F, Vlaskovska M, Rizzoli R, Cooper C (2022) Management of patients at very high risk of osteoporotic fractures through sequential treatments. Aging Clin Exp Res 34:695–714.</w:t>
            </w:r>
          </w:p>
        </w:tc>
      </w:tr>
      <w:tr w:rsidR="00D3694D" w:rsidRPr="00D3694D" w14:paraId="6B090C55" w14:textId="77777777" w:rsidTr="00600902">
        <w:tc>
          <w:tcPr>
            <w:tcW w:w="568" w:type="dxa"/>
          </w:tcPr>
          <w:p w14:paraId="6B95C8A9"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92.</w:t>
            </w:r>
          </w:p>
        </w:tc>
        <w:tc>
          <w:tcPr>
            <w:tcW w:w="8595" w:type="dxa"/>
          </w:tcPr>
          <w:p w14:paraId="6C3FEA36"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Camacho PM, </w:t>
            </w:r>
            <w:proofErr w:type="spellStart"/>
            <w:r w:rsidRPr="00D3694D">
              <w:rPr>
                <w:rFonts w:ascii="Calibri" w:eastAsia="Calibri" w:hAnsi="Calibri" w:cs="Calibri"/>
              </w:rPr>
              <w:t>Petak</w:t>
            </w:r>
            <w:proofErr w:type="spellEnd"/>
            <w:r w:rsidRPr="00D3694D">
              <w:rPr>
                <w:rFonts w:ascii="Calibri" w:eastAsia="Calibri" w:hAnsi="Calibri" w:cs="Calibri"/>
              </w:rPr>
              <w:t xml:space="preserve"> SM, Binkley N, Diab DL, </w:t>
            </w:r>
            <w:proofErr w:type="spellStart"/>
            <w:r w:rsidRPr="00D3694D">
              <w:rPr>
                <w:rFonts w:ascii="Calibri" w:eastAsia="Calibri" w:hAnsi="Calibri" w:cs="Calibri"/>
              </w:rPr>
              <w:t>Eldeiry</w:t>
            </w:r>
            <w:proofErr w:type="spellEnd"/>
            <w:r w:rsidRPr="00D3694D">
              <w:rPr>
                <w:rFonts w:ascii="Calibri" w:eastAsia="Calibri" w:hAnsi="Calibri" w:cs="Calibri"/>
              </w:rPr>
              <w:t xml:space="preserve"> LS, </w:t>
            </w:r>
            <w:proofErr w:type="spellStart"/>
            <w:r w:rsidRPr="00D3694D">
              <w:rPr>
                <w:rFonts w:ascii="Calibri" w:eastAsia="Calibri" w:hAnsi="Calibri" w:cs="Calibri"/>
              </w:rPr>
              <w:t>Farooki</w:t>
            </w:r>
            <w:proofErr w:type="spellEnd"/>
            <w:r w:rsidRPr="00D3694D">
              <w:rPr>
                <w:rFonts w:ascii="Calibri" w:eastAsia="Calibri" w:hAnsi="Calibri" w:cs="Calibri"/>
              </w:rPr>
              <w:t xml:space="preserve"> A, Harris ST, Hurley DL, Kelly J, </w:t>
            </w:r>
            <w:proofErr w:type="spellStart"/>
            <w:r w:rsidRPr="00D3694D">
              <w:rPr>
                <w:rFonts w:ascii="Calibri" w:eastAsia="Calibri" w:hAnsi="Calibri" w:cs="Calibri"/>
              </w:rPr>
              <w:t>Lewiecki</w:t>
            </w:r>
            <w:proofErr w:type="spellEnd"/>
            <w:r w:rsidRPr="00D3694D">
              <w:rPr>
                <w:rFonts w:ascii="Calibri" w:eastAsia="Calibri" w:hAnsi="Calibri" w:cs="Calibri"/>
              </w:rPr>
              <w:t xml:space="preserve"> EM, </w:t>
            </w:r>
            <w:proofErr w:type="spellStart"/>
            <w:r w:rsidRPr="00D3694D">
              <w:rPr>
                <w:rFonts w:ascii="Calibri" w:eastAsia="Calibri" w:hAnsi="Calibri" w:cs="Calibri"/>
              </w:rPr>
              <w:t>Pessah</w:t>
            </w:r>
            <w:proofErr w:type="spellEnd"/>
            <w:r w:rsidRPr="00D3694D">
              <w:rPr>
                <w:rFonts w:ascii="Calibri" w:eastAsia="Calibri" w:hAnsi="Calibri" w:cs="Calibri"/>
              </w:rPr>
              <w:t xml:space="preserve">-Pollack R, McClung M, </w:t>
            </w:r>
            <w:proofErr w:type="spellStart"/>
            <w:r w:rsidRPr="00D3694D">
              <w:rPr>
                <w:rFonts w:ascii="Calibri" w:eastAsia="Calibri" w:hAnsi="Calibri" w:cs="Calibri"/>
              </w:rPr>
              <w:t>Wimalawansa</w:t>
            </w:r>
            <w:proofErr w:type="spellEnd"/>
            <w:r w:rsidRPr="00D3694D">
              <w:rPr>
                <w:rFonts w:ascii="Calibri" w:eastAsia="Calibri" w:hAnsi="Calibri" w:cs="Calibri"/>
              </w:rPr>
              <w:t xml:space="preserve"> SJ, Watts NB (2020) American Association of </w:t>
            </w:r>
            <w:proofErr w:type="spellStart"/>
            <w:r w:rsidRPr="00D3694D">
              <w:rPr>
                <w:rFonts w:ascii="Calibri" w:eastAsia="Calibri" w:hAnsi="Calibri" w:cs="Calibri"/>
              </w:rPr>
              <w:t>Cinical</w:t>
            </w:r>
            <w:proofErr w:type="spellEnd"/>
            <w:r w:rsidRPr="00D3694D">
              <w:rPr>
                <w:rFonts w:ascii="Calibri" w:eastAsia="Calibri" w:hAnsi="Calibri" w:cs="Calibri"/>
              </w:rPr>
              <w:t xml:space="preserve"> Endocrinologists/American College of Endocrinology clinical practice guidelines for the diagnosis and treatment of postmenopausal osteoporosis-2020 update. </w:t>
            </w:r>
            <w:proofErr w:type="spellStart"/>
            <w:r w:rsidRPr="00D3694D">
              <w:rPr>
                <w:rFonts w:ascii="Calibri" w:eastAsia="Calibri" w:hAnsi="Calibri" w:cs="Calibri"/>
              </w:rPr>
              <w:t>Endocr</w:t>
            </w:r>
            <w:proofErr w:type="spellEnd"/>
            <w:r w:rsidRPr="00D3694D">
              <w:rPr>
                <w:rFonts w:ascii="Calibri" w:eastAsia="Calibri" w:hAnsi="Calibri" w:cs="Calibri"/>
              </w:rPr>
              <w:t xml:space="preserve"> </w:t>
            </w:r>
            <w:proofErr w:type="spellStart"/>
            <w:r w:rsidRPr="00D3694D">
              <w:rPr>
                <w:rFonts w:ascii="Calibri" w:eastAsia="Calibri" w:hAnsi="Calibri" w:cs="Calibri"/>
              </w:rPr>
              <w:t>Pract</w:t>
            </w:r>
            <w:proofErr w:type="spellEnd"/>
            <w:r w:rsidRPr="00D3694D">
              <w:rPr>
                <w:rFonts w:ascii="Calibri" w:eastAsia="Calibri" w:hAnsi="Calibri" w:cs="Calibri"/>
              </w:rPr>
              <w:t xml:space="preserve"> 26(Suppl 1):1-46.</w:t>
            </w:r>
          </w:p>
        </w:tc>
      </w:tr>
      <w:tr w:rsidR="00D3694D" w:rsidRPr="00D3694D" w14:paraId="463DB1F7" w14:textId="77777777" w:rsidTr="00600902">
        <w:tc>
          <w:tcPr>
            <w:tcW w:w="568" w:type="dxa"/>
          </w:tcPr>
          <w:p w14:paraId="552AF650"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93.</w:t>
            </w:r>
          </w:p>
        </w:tc>
        <w:tc>
          <w:tcPr>
            <w:tcW w:w="8595" w:type="dxa"/>
          </w:tcPr>
          <w:p w14:paraId="6C384861" w14:textId="77777777" w:rsidR="00D3694D" w:rsidRPr="00D3694D" w:rsidRDefault="00D3694D" w:rsidP="00D3694D">
            <w:pPr>
              <w:autoSpaceDE w:val="0"/>
              <w:autoSpaceDN w:val="0"/>
              <w:adjustRightInd w:val="0"/>
              <w:rPr>
                <w:rFonts w:ascii="Calibri" w:eastAsia="Calibri" w:hAnsi="Calibri" w:cs="Calibri"/>
                <w:highlight w:val="cyan"/>
              </w:rPr>
            </w:pPr>
            <w:r w:rsidRPr="00D3694D">
              <w:rPr>
                <w:rFonts w:ascii="Calibri" w:eastAsia="Calibri" w:hAnsi="Calibri" w:cs="Calibri"/>
              </w:rPr>
              <w:t>Kanis JA, McCloskey EV, Harvey NC, Johansson H, Leslie WD (2015) Intervention thresholds and the diagnosis of osteoporosis. J Bone Miner Res 30: 1747-1753</w:t>
            </w:r>
          </w:p>
        </w:tc>
      </w:tr>
      <w:tr w:rsidR="00D3694D" w:rsidRPr="00D3694D" w14:paraId="67C80001" w14:textId="77777777" w:rsidTr="00600902">
        <w:tc>
          <w:tcPr>
            <w:tcW w:w="568" w:type="dxa"/>
          </w:tcPr>
          <w:p w14:paraId="47E12CF8" w14:textId="77777777" w:rsidR="00D3694D" w:rsidRPr="00D3694D" w:rsidRDefault="00D3694D" w:rsidP="00D3694D">
            <w:pPr>
              <w:autoSpaceDE w:val="0"/>
              <w:autoSpaceDN w:val="0"/>
              <w:adjustRightInd w:val="0"/>
              <w:jc w:val="right"/>
              <w:rPr>
                <w:rFonts w:ascii="Calibri" w:eastAsia="Calibri" w:hAnsi="Calibri" w:cs="Calibri"/>
              </w:rPr>
            </w:pPr>
            <w:r w:rsidRPr="00D3694D">
              <w:rPr>
                <w:rFonts w:ascii="Calibri" w:hAnsi="Calibri" w:cs="Calibri"/>
              </w:rPr>
              <w:t>94.</w:t>
            </w:r>
          </w:p>
        </w:tc>
        <w:tc>
          <w:tcPr>
            <w:tcW w:w="8595" w:type="dxa"/>
          </w:tcPr>
          <w:p w14:paraId="2486F093" w14:textId="77777777" w:rsidR="00D3694D" w:rsidRPr="00D3694D" w:rsidRDefault="00D3694D" w:rsidP="00D3694D">
            <w:pPr>
              <w:autoSpaceDE w:val="0"/>
              <w:autoSpaceDN w:val="0"/>
              <w:adjustRightInd w:val="0"/>
              <w:rPr>
                <w:rFonts w:ascii="Calibri" w:eastAsia="Calibri" w:hAnsi="Calibri" w:cs="Calibri"/>
              </w:rPr>
            </w:pPr>
            <w:r w:rsidRPr="00D3694D">
              <w:rPr>
                <w:rFonts w:ascii="Calibri" w:eastAsia="Calibri" w:hAnsi="Calibri" w:cs="Calibri"/>
              </w:rPr>
              <w:t xml:space="preserve">Cooney MT, </w:t>
            </w:r>
            <w:proofErr w:type="spellStart"/>
            <w:r w:rsidRPr="00D3694D">
              <w:rPr>
                <w:rFonts w:ascii="Calibri" w:eastAsia="Calibri" w:hAnsi="Calibri" w:cs="Calibri"/>
              </w:rPr>
              <w:t>Dudina</w:t>
            </w:r>
            <w:proofErr w:type="spellEnd"/>
            <w:r w:rsidRPr="00D3694D">
              <w:rPr>
                <w:rFonts w:ascii="Calibri" w:eastAsia="Calibri" w:hAnsi="Calibri" w:cs="Calibri"/>
              </w:rPr>
              <w:t xml:space="preserve"> AL, Graham IM (2009) Value and limitations of existing scores for the assessment of cardiovascular risk. J Am Coll </w:t>
            </w:r>
            <w:proofErr w:type="spellStart"/>
            <w:r w:rsidRPr="00D3694D">
              <w:rPr>
                <w:rFonts w:ascii="Calibri" w:eastAsia="Calibri" w:hAnsi="Calibri" w:cs="Calibri"/>
              </w:rPr>
              <w:t>Cardiol</w:t>
            </w:r>
            <w:proofErr w:type="spellEnd"/>
            <w:r w:rsidRPr="00D3694D">
              <w:rPr>
                <w:rFonts w:ascii="Calibri" w:eastAsia="Calibri" w:hAnsi="Calibri" w:cs="Calibri"/>
              </w:rPr>
              <w:t xml:space="preserve"> 54:1209–27.</w:t>
            </w:r>
          </w:p>
        </w:tc>
      </w:tr>
    </w:tbl>
    <w:p w14:paraId="12490D79" w14:textId="77777777" w:rsidR="007154DA" w:rsidRPr="007E05CC" w:rsidRDefault="007154DA" w:rsidP="00AB476B">
      <w:pPr>
        <w:autoSpaceDE w:val="0"/>
        <w:autoSpaceDN w:val="0"/>
        <w:adjustRightInd w:val="0"/>
        <w:spacing w:after="0" w:line="240" w:lineRule="auto"/>
        <w:rPr>
          <w:rFonts w:cs="OneGulliverA"/>
          <w:sz w:val="20"/>
          <w:szCs w:val="20"/>
          <w:highlight w:val="yellow"/>
        </w:rPr>
      </w:pPr>
    </w:p>
    <w:p w14:paraId="7F3507D5" w14:textId="307A7B27" w:rsidR="00DD0046" w:rsidRDefault="00DD0046" w:rsidP="00EC2376">
      <w:pPr>
        <w:autoSpaceDE w:val="0"/>
        <w:autoSpaceDN w:val="0"/>
        <w:adjustRightInd w:val="0"/>
        <w:spacing w:line="240" w:lineRule="auto"/>
        <w:ind w:left="567" w:hanging="567"/>
        <w:rPr>
          <w:rFonts w:ascii="Calibri" w:hAnsi="Calibri"/>
          <w:sz w:val="20"/>
          <w:szCs w:val="20"/>
        </w:rPr>
      </w:pPr>
    </w:p>
    <w:p w14:paraId="1F2D6A4E" w14:textId="77777777" w:rsidR="009C6C4E" w:rsidRDefault="009C6C4E" w:rsidP="00107E26">
      <w:pPr>
        <w:autoSpaceDE w:val="0"/>
        <w:autoSpaceDN w:val="0"/>
        <w:adjustRightInd w:val="0"/>
        <w:spacing w:line="240" w:lineRule="auto"/>
        <w:ind w:left="567" w:hanging="567"/>
        <w:rPr>
          <w:rFonts w:ascii="Calibri" w:hAnsi="Calibri"/>
          <w:sz w:val="20"/>
          <w:szCs w:val="20"/>
        </w:rPr>
      </w:pPr>
    </w:p>
    <w:sectPr w:rsidR="009C6C4E" w:rsidSect="00A8668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2C7FB" w14:textId="77777777" w:rsidR="00FF7F02" w:rsidRDefault="00FF7F02" w:rsidP="00541824">
      <w:pPr>
        <w:spacing w:after="0" w:line="240" w:lineRule="auto"/>
      </w:pPr>
      <w:r>
        <w:separator/>
      </w:r>
    </w:p>
  </w:endnote>
  <w:endnote w:type="continuationSeparator" w:id="0">
    <w:p w14:paraId="53D4C0F7" w14:textId="77777777" w:rsidR="00FF7F02" w:rsidRDefault="00FF7F02" w:rsidP="00541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 w:name="OneGullive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223908"/>
      <w:docPartObj>
        <w:docPartGallery w:val="Page Numbers (Bottom of Page)"/>
        <w:docPartUnique/>
      </w:docPartObj>
    </w:sdtPr>
    <w:sdtEndPr>
      <w:rPr>
        <w:noProof/>
      </w:rPr>
    </w:sdtEndPr>
    <w:sdtContent>
      <w:p w14:paraId="12A86DB2" w14:textId="5E3A3E55" w:rsidR="0071076C" w:rsidRDefault="0071076C">
        <w:pPr>
          <w:pStyle w:val="Footer"/>
          <w:jc w:val="right"/>
        </w:pPr>
        <w:r>
          <w:fldChar w:fldCharType="begin"/>
        </w:r>
        <w:r>
          <w:instrText xml:space="preserve"> PAGE   \* MERGEFORMAT </w:instrText>
        </w:r>
        <w:r>
          <w:fldChar w:fldCharType="separate"/>
        </w:r>
        <w:r w:rsidR="000F2CAE">
          <w:rPr>
            <w:noProof/>
          </w:rPr>
          <w:t>3</w:t>
        </w:r>
        <w:r>
          <w:rPr>
            <w:noProof/>
          </w:rPr>
          <w:fldChar w:fldCharType="end"/>
        </w:r>
      </w:p>
    </w:sdtContent>
  </w:sdt>
  <w:p w14:paraId="6284F46B" w14:textId="77777777" w:rsidR="0071076C" w:rsidRDefault="0071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09A3" w14:textId="77777777" w:rsidR="00FF7F02" w:rsidRDefault="00FF7F02" w:rsidP="00541824">
      <w:pPr>
        <w:spacing w:after="0" w:line="240" w:lineRule="auto"/>
      </w:pPr>
      <w:r>
        <w:separator/>
      </w:r>
    </w:p>
  </w:footnote>
  <w:footnote w:type="continuationSeparator" w:id="0">
    <w:p w14:paraId="15CA5AEF" w14:textId="77777777" w:rsidR="00FF7F02" w:rsidRDefault="00FF7F02" w:rsidP="005418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1BBDC1-8AF8-485D-97D4-0F48C2A7F506}"/>
    <w:docVar w:name="dgnword-eventsink" w:val="1510885258096"/>
  </w:docVars>
  <w:rsids>
    <w:rsidRoot w:val="00E06D42"/>
    <w:rsid w:val="0000143F"/>
    <w:rsid w:val="000139B2"/>
    <w:rsid w:val="000142E8"/>
    <w:rsid w:val="00014527"/>
    <w:rsid w:val="00014B1D"/>
    <w:rsid w:val="00014D44"/>
    <w:rsid w:val="00015738"/>
    <w:rsid w:val="000202B9"/>
    <w:rsid w:val="00023273"/>
    <w:rsid w:val="00024256"/>
    <w:rsid w:val="0002479F"/>
    <w:rsid w:val="000304E4"/>
    <w:rsid w:val="00030AEA"/>
    <w:rsid w:val="00031203"/>
    <w:rsid w:val="00031A29"/>
    <w:rsid w:val="00032D7D"/>
    <w:rsid w:val="00033091"/>
    <w:rsid w:val="00034079"/>
    <w:rsid w:val="0003510C"/>
    <w:rsid w:val="00035FD3"/>
    <w:rsid w:val="00037D09"/>
    <w:rsid w:val="00040C7B"/>
    <w:rsid w:val="00041513"/>
    <w:rsid w:val="00042DB5"/>
    <w:rsid w:val="00044381"/>
    <w:rsid w:val="00045690"/>
    <w:rsid w:val="00050563"/>
    <w:rsid w:val="0005209D"/>
    <w:rsid w:val="00054A87"/>
    <w:rsid w:val="00056787"/>
    <w:rsid w:val="0006521A"/>
    <w:rsid w:val="000726A7"/>
    <w:rsid w:val="00075362"/>
    <w:rsid w:val="00075B34"/>
    <w:rsid w:val="000806C4"/>
    <w:rsid w:val="00084C7D"/>
    <w:rsid w:val="0008696E"/>
    <w:rsid w:val="00087F44"/>
    <w:rsid w:val="0009157F"/>
    <w:rsid w:val="00092600"/>
    <w:rsid w:val="0009299F"/>
    <w:rsid w:val="0009345A"/>
    <w:rsid w:val="00094FFF"/>
    <w:rsid w:val="00095505"/>
    <w:rsid w:val="00095CE6"/>
    <w:rsid w:val="00097146"/>
    <w:rsid w:val="000A276C"/>
    <w:rsid w:val="000A281E"/>
    <w:rsid w:val="000A3034"/>
    <w:rsid w:val="000A3D2D"/>
    <w:rsid w:val="000A76D8"/>
    <w:rsid w:val="000B01F6"/>
    <w:rsid w:val="000B2B4F"/>
    <w:rsid w:val="000B4272"/>
    <w:rsid w:val="000B781E"/>
    <w:rsid w:val="000C13AA"/>
    <w:rsid w:val="000C7562"/>
    <w:rsid w:val="000C7F49"/>
    <w:rsid w:val="000D3A83"/>
    <w:rsid w:val="000D4966"/>
    <w:rsid w:val="000D7BF7"/>
    <w:rsid w:val="000D7DA6"/>
    <w:rsid w:val="000E0387"/>
    <w:rsid w:val="000E03A0"/>
    <w:rsid w:val="000E0856"/>
    <w:rsid w:val="000E0EA3"/>
    <w:rsid w:val="000E10A8"/>
    <w:rsid w:val="000E2129"/>
    <w:rsid w:val="000E22C6"/>
    <w:rsid w:val="000E32A4"/>
    <w:rsid w:val="000F03C8"/>
    <w:rsid w:val="000F16E6"/>
    <w:rsid w:val="000F1848"/>
    <w:rsid w:val="000F1AE5"/>
    <w:rsid w:val="000F2CAE"/>
    <w:rsid w:val="000F4EF0"/>
    <w:rsid w:val="000F5B9B"/>
    <w:rsid w:val="000F6B8A"/>
    <w:rsid w:val="000F7808"/>
    <w:rsid w:val="00100C7D"/>
    <w:rsid w:val="001015F1"/>
    <w:rsid w:val="00101D63"/>
    <w:rsid w:val="00103457"/>
    <w:rsid w:val="0010444A"/>
    <w:rsid w:val="00104581"/>
    <w:rsid w:val="00104A40"/>
    <w:rsid w:val="0010553B"/>
    <w:rsid w:val="0010565A"/>
    <w:rsid w:val="001072CB"/>
    <w:rsid w:val="00107AD9"/>
    <w:rsid w:val="00107E26"/>
    <w:rsid w:val="001136A7"/>
    <w:rsid w:val="00114CE4"/>
    <w:rsid w:val="001150D4"/>
    <w:rsid w:val="00115C70"/>
    <w:rsid w:val="00115D86"/>
    <w:rsid w:val="00122EF1"/>
    <w:rsid w:val="0012438D"/>
    <w:rsid w:val="00125BDA"/>
    <w:rsid w:val="00125CFC"/>
    <w:rsid w:val="00126FAF"/>
    <w:rsid w:val="0013070E"/>
    <w:rsid w:val="00130F60"/>
    <w:rsid w:val="00133C8B"/>
    <w:rsid w:val="001353E9"/>
    <w:rsid w:val="001362EF"/>
    <w:rsid w:val="00136918"/>
    <w:rsid w:val="00143236"/>
    <w:rsid w:val="00147930"/>
    <w:rsid w:val="00150ED8"/>
    <w:rsid w:val="00151383"/>
    <w:rsid w:val="00152843"/>
    <w:rsid w:val="00152C81"/>
    <w:rsid w:val="0015428F"/>
    <w:rsid w:val="00155D57"/>
    <w:rsid w:val="00156967"/>
    <w:rsid w:val="00157E19"/>
    <w:rsid w:val="0016122B"/>
    <w:rsid w:val="00161BDD"/>
    <w:rsid w:val="001621DF"/>
    <w:rsid w:val="00171AE6"/>
    <w:rsid w:val="00171C1C"/>
    <w:rsid w:val="00172510"/>
    <w:rsid w:val="0017253B"/>
    <w:rsid w:val="00172DEF"/>
    <w:rsid w:val="001731DB"/>
    <w:rsid w:val="00174397"/>
    <w:rsid w:val="001755E6"/>
    <w:rsid w:val="00183F6E"/>
    <w:rsid w:val="0018617F"/>
    <w:rsid w:val="00190688"/>
    <w:rsid w:val="00190F5B"/>
    <w:rsid w:val="001917D7"/>
    <w:rsid w:val="0019329C"/>
    <w:rsid w:val="001959F2"/>
    <w:rsid w:val="00196115"/>
    <w:rsid w:val="001971C5"/>
    <w:rsid w:val="001974A3"/>
    <w:rsid w:val="001A11B4"/>
    <w:rsid w:val="001A1CA5"/>
    <w:rsid w:val="001A1D72"/>
    <w:rsid w:val="001A2E14"/>
    <w:rsid w:val="001B00AA"/>
    <w:rsid w:val="001B0E1C"/>
    <w:rsid w:val="001B1154"/>
    <w:rsid w:val="001B1C32"/>
    <w:rsid w:val="001B23F9"/>
    <w:rsid w:val="001B33B1"/>
    <w:rsid w:val="001B3539"/>
    <w:rsid w:val="001B69B2"/>
    <w:rsid w:val="001B76C4"/>
    <w:rsid w:val="001C1B3C"/>
    <w:rsid w:val="001C1FC7"/>
    <w:rsid w:val="001C3CB8"/>
    <w:rsid w:val="001C4AD9"/>
    <w:rsid w:val="001C4D79"/>
    <w:rsid w:val="001C5176"/>
    <w:rsid w:val="001C7E09"/>
    <w:rsid w:val="001D101F"/>
    <w:rsid w:val="001D1F96"/>
    <w:rsid w:val="001D4102"/>
    <w:rsid w:val="001D4A40"/>
    <w:rsid w:val="001D6F18"/>
    <w:rsid w:val="001D6F25"/>
    <w:rsid w:val="001D77D5"/>
    <w:rsid w:val="001E0154"/>
    <w:rsid w:val="001E10CC"/>
    <w:rsid w:val="001E1F64"/>
    <w:rsid w:val="001E3AA9"/>
    <w:rsid w:val="001E4180"/>
    <w:rsid w:val="001E5735"/>
    <w:rsid w:val="001E6E2F"/>
    <w:rsid w:val="001E754F"/>
    <w:rsid w:val="001E7EDB"/>
    <w:rsid w:val="001F119D"/>
    <w:rsid w:val="001F4B30"/>
    <w:rsid w:val="001F4F40"/>
    <w:rsid w:val="001F52A3"/>
    <w:rsid w:val="001F7283"/>
    <w:rsid w:val="0020142C"/>
    <w:rsid w:val="00201822"/>
    <w:rsid w:val="00203053"/>
    <w:rsid w:val="00203125"/>
    <w:rsid w:val="00203389"/>
    <w:rsid w:val="00203BB0"/>
    <w:rsid w:val="00204E10"/>
    <w:rsid w:val="00206947"/>
    <w:rsid w:val="00206D91"/>
    <w:rsid w:val="00207102"/>
    <w:rsid w:val="002109C8"/>
    <w:rsid w:val="002122AA"/>
    <w:rsid w:val="00213096"/>
    <w:rsid w:val="00213B1B"/>
    <w:rsid w:val="002142D3"/>
    <w:rsid w:val="00217572"/>
    <w:rsid w:val="00220838"/>
    <w:rsid w:val="0022113F"/>
    <w:rsid w:val="002222B0"/>
    <w:rsid w:val="00223245"/>
    <w:rsid w:val="00224569"/>
    <w:rsid w:val="00225823"/>
    <w:rsid w:val="00225F36"/>
    <w:rsid w:val="002306B1"/>
    <w:rsid w:val="00231638"/>
    <w:rsid w:val="00231978"/>
    <w:rsid w:val="00231CD4"/>
    <w:rsid w:val="00231CD9"/>
    <w:rsid w:val="0023457D"/>
    <w:rsid w:val="00234C43"/>
    <w:rsid w:val="00236503"/>
    <w:rsid w:val="00243369"/>
    <w:rsid w:val="0024364F"/>
    <w:rsid w:val="00243897"/>
    <w:rsid w:val="00243C0A"/>
    <w:rsid w:val="002476F9"/>
    <w:rsid w:val="00250B6B"/>
    <w:rsid w:val="00254D5B"/>
    <w:rsid w:val="00254E01"/>
    <w:rsid w:val="0026014E"/>
    <w:rsid w:val="002639D0"/>
    <w:rsid w:val="00263F8F"/>
    <w:rsid w:val="00264163"/>
    <w:rsid w:val="00264E4A"/>
    <w:rsid w:val="00265BAC"/>
    <w:rsid w:val="00266C0C"/>
    <w:rsid w:val="00271AFF"/>
    <w:rsid w:val="0027625F"/>
    <w:rsid w:val="00283759"/>
    <w:rsid w:val="00284AA4"/>
    <w:rsid w:val="002853EE"/>
    <w:rsid w:val="00286F03"/>
    <w:rsid w:val="00287A15"/>
    <w:rsid w:val="00292E66"/>
    <w:rsid w:val="0029488A"/>
    <w:rsid w:val="002A17F2"/>
    <w:rsid w:val="002A1956"/>
    <w:rsid w:val="002A1B87"/>
    <w:rsid w:val="002A2A23"/>
    <w:rsid w:val="002A3056"/>
    <w:rsid w:val="002A318D"/>
    <w:rsid w:val="002A429D"/>
    <w:rsid w:val="002A47B4"/>
    <w:rsid w:val="002A4F83"/>
    <w:rsid w:val="002A59F8"/>
    <w:rsid w:val="002A6022"/>
    <w:rsid w:val="002A6B40"/>
    <w:rsid w:val="002A6F16"/>
    <w:rsid w:val="002A7239"/>
    <w:rsid w:val="002B13F1"/>
    <w:rsid w:val="002B2AD9"/>
    <w:rsid w:val="002B3422"/>
    <w:rsid w:val="002B367D"/>
    <w:rsid w:val="002B36E0"/>
    <w:rsid w:val="002B3A44"/>
    <w:rsid w:val="002B6679"/>
    <w:rsid w:val="002B6F81"/>
    <w:rsid w:val="002C2DEE"/>
    <w:rsid w:val="002C6801"/>
    <w:rsid w:val="002C7D0A"/>
    <w:rsid w:val="002D2930"/>
    <w:rsid w:val="002D51EE"/>
    <w:rsid w:val="002D6AE2"/>
    <w:rsid w:val="002D71C4"/>
    <w:rsid w:val="002E1AB2"/>
    <w:rsid w:val="002E1CD8"/>
    <w:rsid w:val="002E2BC7"/>
    <w:rsid w:val="002E7132"/>
    <w:rsid w:val="002F0029"/>
    <w:rsid w:val="002F0138"/>
    <w:rsid w:val="002F0A91"/>
    <w:rsid w:val="002F0BB4"/>
    <w:rsid w:val="002F13B5"/>
    <w:rsid w:val="002F186F"/>
    <w:rsid w:val="002F1B26"/>
    <w:rsid w:val="002F246A"/>
    <w:rsid w:val="002F2566"/>
    <w:rsid w:val="002F3E85"/>
    <w:rsid w:val="002F478A"/>
    <w:rsid w:val="002F6CEC"/>
    <w:rsid w:val="0030024D"/>
    <w:rsid w:val="00300B3C"/>
    <w:rsid w:val="00300C09"/>
    <w:rsid w:val="003044F6"/>
    <w:rsid w:val="00305852"/>
    <w:rsid w:val="003078B9"/>
    <w:rsid w:val="003079B2"/>
    <w:rsid w:val="00310C17"/>
    <w:rsid w:val="00311465"/>
    <w:rsid w:val="0031368C"/>
    <w:rsid w:val="00313ACC"/>
    <w:rsid w:val="00316034"/>
    <w:rsid w:val="0031653D"/>
    <w:rsid w:val="003166B6"/>
    <w:rsid w:val="0031745F"/>
    <w:rsid w:val="0031789C"/>
    <w:rsid w:val="00321ABC"/>
    <w:rsid w:val="00325D5D"/>
    <w:rsid w:val="00326114"/>
    <w:rsid w:val="0032751D"/>
    <w:rsid w:val="00327F2F"/>
    <w:rsid w:val="00330C9C"/>
    <w:rsid w:val="00331275"/>
    <w:rsid w:val="00334669"/>
    <w:rsid w:val="00341939"/>
    <w:rsid w:val="00342E86"/>
    <w:rsid w:val="00344FD4"/>
    <w:rsid w:val="003460B6"/>
    <w:rsid w:val="0034769F"/>
    <w:rsid w:val="00350E0D"/>
    <w:rsid w:val="00351842"/>
    <w:rsid w:val="00351EAD"/>
    <w:rsid w:val="00353D27"/>
    <w:rsid w:val="003628F1"/>
    <w:rsid w:val="00366259"/>
    <w:rsid w:val="0036793B"/>
    <w:rsid w:val="00370E1F"/>
    <w:rsid w:val="003749FD"/>
    <w:rsid w:val="00375643"/>
    <w:rsid w:val="0037584D"/>
    <w:rsid w:val="003759D0"/>
    <w:rsid w:val="003777B1"/>
    <w:rsid w:val="003817ED"/>
    <w:rsid w:val="003821E2"/>
    <w:rsid w:val="0038315B"/>
    <w:rsid w:val="003873B5"/>
    <w:rsid w:val="003913CF"/>
    <w:rsid w:val="00393165"/>
    <w:rsid w:val="00395B3C"/>
    <w:rsid w:val="003A05FF"/>
    <w:rsid w:val="003A6C9E"/>
    <w:rsid w:val="003A6EA9"/>
    <w:rsid w:val="003B1F1B"/>
    <w:rsid w:val="003B2041"/>
    <w:rsid w:val="003B3B82"/>
    <w:rsid w:val="003B4AC9"/>
    <w:rsid w:val="003B6E59"/>
    <w:rsid w:val="003B703D"/>
    <w:rsid w:val="003B79CC"/>
    <w:rsid w:val="003C18A0"/>
    <w:rsid w:val="003C1A71"/>
    <w:rsid w:val="003C1F45"/>
    <w:rsid w:val="003C46A6"/>
    <w:rsid w:val="003C6618"/>
    <w:rsid w:val="003D2F47"/>
    <w:rsid w:val="003D36C7"/>
    <w:rsid w:val="003D51BF"/>
    <w:rsid w:val="003D7343"/>
    <w:rsid w:val="003D7726"/>
    <w:rsid w:val="003E1B9C"/>
    <w:rsid w:val="003E333A"/>
    <w:rsid w:val="003E4B04"/>
    <w:rsid w:val="003E4B23"/>
    <w:rsid w:val="003E5DCD"/>
    <w:rsid w:val="003F0016"/>
    <w:rsid w:val="003F100E"/>
    <w:rsid w:val="003F1EC9"/>
    <w:rsid w:val="003F34A5"/>
    <w:rsid w:val="00400B97"/>
    <w:rsid w:val="00401183"/>
    <w:rsid w:val="00402B8F"/>
    <w:rsid w:val="00406762"/>
    <w:rsid w:val="004072E0"/>
    <w:rsid w:val="00407D61"/>
    <w:rsid w:val="00411B76"/>
    <w:rsid w:val="0041208B"/>
    <w:rsid w:val="00412B33"/>
    <w:rsid w:val="00412E32"/>
    <w:rsid w:val="004139BF"/>
    <w:rsid w:val="004151EF"/>
    <w:rsid w:val="00415AE6"/>
    <w:rsid w:val="004167A0"/>
    <w:rsid w:val="00416974"/>
    <w:rsid w:val="00424C26"/>
    <w:rsid w:val="00425289"/>
    <w:rsid w:val="00426721"/>
    <w:rsid w:val="00426976"/>
    <w:rsid w:val="00430886"/>
    <w:rsid w:val="0043282B"/>
    <w:rsid w:val="0043306B"/>
    <w:rsid w:val="00433C81"/>
    <w:rsid w:val="00436585"/>
    <w:rsid w:val="00440106"/>
    <w:rsid w:val="00442D4C"/>
    <w:rsid w:val="00443AB6"/>
    <w:rsid w:val="00445209"/>
    <w:rsid w:val="00445A2A"/>
    <w:rsid w:val="00451526"/>
    <w:rsid w:val="00451F0E"/>
    <w:rsid w:val="00452404"/>
    <w:rsid w:val="00455B6F"/>
    <w:rsid w:val="00456FFB"/>
    <w:rsid w:val="0046124C"/>
    <w:rsid w:val="004613DA"/>
    <w:rsid w:val="00462001"/>
    <w:rsid w:val="0046269B"/>
    <w:rsid w:val="00463897"/>
    <w:rsid w:val="00463AFB"/>
    <w:rsid w:val="0046538B"/>
    <w:rsid w:val="004655BA"/>
    <w:rsid w:val="00465717"/>
    <w:rsid w:val="00465A13"/>
    <w:rsid w:val="004705AB"/>
    <w:rsid w:val="00470D6C"/>
    <w:rsid w:val="004712C5"/>
    <w:rsid w:val="00472131"/>
    <w:rsid w:val="00472383"/>
    <w:rsid w:val="0047283C"/>
    <w:rsid w:val="004754CE"/>
    <w:rsid w:val="0047578E"/>
    <w:rsid w:val="0047641A"/>
    <w:rsid w:val="00480D44"/>
    <w:rsid w:val="004817C3"/>
    <w:rsid w:val="004842DC"/>
    <w:rsid w:val="00485E57"/>
    <w:rsid w:val="004860B1"/>
    <w:rsid w:val="00486130"/>
    <w:rsid w:val="00486475"/>
    <w:rsid w:val="0049032F"/>
    <w:rsid w:val="00490841"/>
    <w:rsid w:val="00491FF9"/>
    <w:rsid w:val="0049285D"/>
    <w:rsid w:val="00493B87"/>
    <w:rsid w:val="00495179"/>
    <w:rsid w:val="004957E4"/>
    <w:rsid w:val="004979F6"/>
    <w:rsid w:val="004A0841"/>
    <w:rsid w:val="004A1AF8"/>
    <w:rsid w:val="004A24CF"/>
    <w:rsid w:val="004A489A"/>
    <w:rsid w:val="004A4935"/>
    <w:rsid w:val="004A6825"/>
    <w:rsid w:val="004A6C58"/>
    <w:rsid w:val="004B0A1D"/>
    <w:rsid w:val="004B0E79"/>
    <w:rsid w:val="004B1158"/>
    <w:rsid w:val="004B79BD"/>
    <w:rsid w:val="004B7E19"/>
    <w:rsid w:val="004C06C6"/>
    <w:rsid w:val="004C2D3C"/>
    <w:rsid w:val="004C55BA"/>
    <w:rsid w:val="004C5B60"/>
    <w:rsid w:val="004C6A4E"/>
    <w:rsid w:val="004C7A4B"/>
    <w:rsid w:val="004D011D"/>
    <w:rsid w:val="004D03CC"/>
    <w:rsid w:val="004D1C2A"/>
    <w:rsid w:val="004D4208"/>
    <w:rsid w:val="004D446E"/>
    <w:rsid w:val="004D6A3D"/>
    <w:rsid w:val="004E097A"/>
    <w:rsid w:val="004E0F05"/>
    <w:rsid w:val="004E13CC"/>
    <w:rsid w:val="004E2890"/>
    <w:rsid w:val="004E46B2"/>
    <w:rsid w:val="004E4F46"/>
    <w:rsid w:val="004E7F76"/>
    <w:rsid w:val="004F24A9"/>
    <w:rsid w:val="004F2716"/>
    <w:rsid w:val="004F2EC5"/>
    <w:rsid w:val="004F46C9"/>
    <w:rsid w:val="004F4E78"/>
    <w:rsid w:val="004F6583"/>
    <w:rsid w:val="005010B2"/>
    <w:rsid w:val="005018CD"/>
    <w:rsid w:val="00502C0C"/>
    <w:rsid w:val="00502E3F"/>
    <w:rsid w:val="005064A1"/>
    <w:rsid w:val="00514E25"/>
    <w:rsid w:val="005176FB"/>
    <w:rsid w:val="00517A26"/>
    <w:rsid w:val="00524C0F"/>
    <w:rsid w:val="00524C31"/>
    <w:rsid w:val="00525737"/>
    <w:rsid w:val="00530A99"/>
    <w:rsid w:val="005365B6"/>
    <w:rsid w:val="005372F4"/>
    <w:rsid w:val="00537D61"/>
    <w:rsid w:val="00541824"/>
    <w:rsid w:val="00542CE1"/>
    <w:rsid w:val="00544B26"/>
    <w:rsid w:val="005459A1"/>
    <w:rsid w:val="00546AAE"/>
    <w:rsid w:val="0055093E"/>
    <w:rsid w:val="0055102A"/>
    <w:rsid w:val="00551100"/>
    <w:rsid w:val="00553209"/>
    <w:rsid w:val="00554631"/>
    <w:rsid w:val="0055600C"/>
    <w:rsid w:val="0055603A"/>
    <w:rsid w:val="00557D23"/>
    <w:rsid w:val="005616B8"/>
    <w:rsid w:val="00562660"/>
    <w:rsid w:val="00563863"/>
    <w:rsid w:val="00566844"/>
    <w:rsid w:val="005669A4"/>
    <w:rsid w:val="00567C89"/>
    <w:rsid w:val="00567F39"/>
    <w:rsid w:val="00574D14"/>
    <w:rsid w:val="00575534"/>
    <w:rsid w:val="00575619"/>
    <w:rsid w:val="005770DA"/>
    <w:rsid w:val="00577A54"/>
    <w:rsid w:val="00582CB8"/>
    <w:rsid w:val="00583864"/>
    <w:rsid w:val="00586942"/>
    <w:rsid w:val="00586BD9"/>
    <w:rsid w:val="00586C67"/>
    <w:rsid w:val="00586D6A"/>
    <w:rsid w:val="00587EA3"/>
    <w:rsid w:val="00590855"/>
    <w:rsid w:val="005922FE"/>
    <w:rsid w:val="005958DB"/>
    <w:rsid w:val="00595912"/>
    <w:rsid w:val="00597A1C"/>
    <w:rsid w:val="005A09A9"/>
    <w:rsid w:val="005A1730"/>
    <w:rsid w:val="005A36F6"/>
    <w:rsid w:val="005A41D5"/>
    <w:rsid w:val="005A46E9"/>
    <w:rsid w:val="005A4B35"/>
    <w:rsid w:val="005A4B6D"/>
    <w:rsid w:val="005A7325"/>
    <w:rsid w:val="005B0E84"/>
    <w:rsid w:val="005B30B6"/>
    <w:rsid w:val="005B6280"/>
    <w:rsid w:val="005B705C"/>
    <w:rsid w:val="005B7C96"/>
    <w:rsid w:val="005C01BE"/>
    <w:rsid w:val="005C01F2"/>
    <w:rsid w:val="005C3C44"/>
    <w:rsid w:val="005C6875"/>
    <w:rsid w:val="005C69B2"/>
    <w:rsid w:val="005C70B0"/>
    <w:rsid w:val="005D1B15"/>
    <w:rsid w:val="005D2EA3"/>
    <w:rsid w:val="005D50CF"/>
    <w:rsid w:val="005D6165"/>
    <w:rsid w:val="005D6211"/>
    <w:rsid w:val="005D67B1"/>
    <w:rsid w:val="005D77E7"/>
    <w:rsid w:val="005E16CF"/>
    <w:rsid w:val="005E388B"/>
    <w:rsid w:val="005E58C8"/>
    <w:rsid w:val="005E7572"/>
    <w:rsid w:val="005F007F"/>
    <w:rsid w:val="005F0FEC"/>
    <w:rsid w:val="005F2E1D"/>
    <w:rsid w:val="005F319A"/>
    <w:rsid w:val="005F51D8"/>
    <w:rsid w:val="005F724C"/>
    <w:rsid w:val="00600902"/>
    <w:rsid w:val="00603C7B"/>
    <w:rsid w:val="006058DA"/>
    <w:rsid w:val="00606F8B"/>
    <w:rsid w:val="00606FC2"/>
    <w:rsid w:val="00611F90"/>
    <w:rsid w:val="00612B44"/>
    <w:rsid w:val="00612D98"/>
    <w:rsid w:val="006145BF"/>
    <w:rsid w:val="00615D35"/>
    <w:rsid w:val="00621DA8"/>
    <w:rsid w:val="00623D3C"/>
    <w:rsid w:val="00624A20"/>
    <w:rsid w:val="006253A5"/>
    <w:rsid w:val="00627C2C"/>
    <w:rsid w:val="00631406"/>
    <w:rsid w:val="00631ECA"/>
    <w:rsid w:val="00631F31"/>
    <w:rsid w:val="00632904"/>
    <w:rsid w:val="00633109"/>
    <w:rsid w:val="006332F6"/>
    <w:rsid w:val="006339DE"/>
    <w:rsid w:val="00634574"/>
    <w:rsid w:val="00635205"/>
    <w:rsid w:val="006365B5"/>
    <w:rsid w:val="00641181"/>
    <w:rsid w:val="0064152E"/>
    <w:rsid w:val="00644A9D"/>
    <w:rsid w:val="00645065"/>
    <w:rsid w:val="00645EE3"/>
    <w:rsid w:val="006505A8"/>
    <w:rsid w:val="00650ED1"/>
    <w:rsid w:val="00653320"/>
    <w:rsid w:val="0065726B"/>
    <w:rsid w:val="00664F3A"/>
    <w:rsid w:val="00665096"/>
    <w:rsid w:val="0066516B"/>
    <w:rsid w:val="006655C7"/>
    <w:rsid w:val="006662DF"/>
    <w:rsid w:val="00667727"/>
    <w:rsid w:val="0066780C"/>
    <w:rsid w:val="006709EC"/>
    <w:rsid w:val="00670FE8"/>
    <w:rsid w:val="00671BED"/>
    <w:rsid w:val="00671D39"/>
    <w:rsid w:val="00673640"/>
    <w:rsid w:val="00674093"/>
    <w:rsid w:val="00677D1C"/>
    <w:rsid w:val="00680901"/>
    <w:rsid w:val="0068175A"/>
    <w:rsid w:val="00683A9C"/>
    <w:rsid w:val="00685A30"/>
    <w:rsid w:val="00686068"/>
    <w:rsid w:val="00690FA5"/>
    <w:rsid w:val="006918A1"/>
    <w:rsid w:val="0069317B"/>
    <w:rsid w:val="006962CD"/>
    <w:rsid w:val="00696434"/>
    <w:rsid w:val="00696981"/>
    <w:rsid w:val="00696D6F"/>
    <w:rsid w:val="00697729"/>
    <w:rsid w:val="00697EB6"/>
    <w:rsid w:val="00697F93"/>
    <w:rsid w:val="006A04D9"/>
    <w:rsid w:val="006A2903"/>
    <w:rsid w:val="006A2CB2"/>
    <w:rsid w:val="006A73D5"/>
    <w:rsid w:val="006A752E"/>
    <w:rsid w:val="006B07A7"/>
    <w:rsid w:val="006B4132"/>
    <w:rsid w:val="006B5B9F"/>
    <w:rsid w:val="006B7A9E"/>
    <w:rsid w:val="006B7EC7"/>
    <w:rsid w:val="006C1B66"/>
    <w:rsid w:val="006C2EB2"/>
    <w:rsid w:val="006C30E4"/>
    <w:rsid w:val="006D13BA"/>
    <w:rsid w:val="006D1F1E"/>
    <w:rsid w:val="006D33F3"/>
    <w:rsid w:val="006D4C0B"/>
    <w:rsid w:val="006D5D7A"/>
    <w:rsid w:val="006D5F15"/>
    <w:rsid w:val="006D6546"/>
    <w:rsid w:val="006D7C51"/>
    <w:rsid w:val="006E061F"/>
    <w:rsid w:val="006E0F65"/>
    <w:rsid w:val="006E2F43"/>
    <w:rsid w:val="006E3A6F"/>
    <w:rsid w:val="006E40CB"/>
    <w:rsid w:val="006E531F"/>
    <w:rsid w:val="006F21AD"/>
    <w:rsid w:val="006F222F"/>
    <w:rsid w:val="006F3E1D"/>
    <w:rsid w:val="006F47EE"/>
    <w:rsid w:val="006F6C37"/>
    <w:rsid w:val="006F6F1D"/>
    <w:rsid w:val="006F724A"/>
    <w:rsid w:val="006F7495"/>
    <w:rsid w:val="00701C0C"/>
    <w:rsid w:val="007020C4"/>
    <w:rsid w:val="00702603"/>
    <w:rsid w:val="00704309"/>
    <w:rsid w:val="007069E5"/>
    <w:rsid w:val="007074D8"/>
    <w:rsid w:val="00710269"/>
    <w:rsid w:val="0071076C"/>
    <w:rsid w:val="00711F7E"/>
    <w:rsid w:val="00712114"/>
    <w:rsid w:val="00712AE0"/>
    <w:rsid w:val="00713651"/>
    <w:rsid w:val="00713DC8"/>
    <w:rsid w:val="007154DA"/>
    <w:rsid w:val="00715793"/>
    <w:rsid w:val="00716D49"/>
    <w:rsid w:val="00717714"/>
    <w:rsid w:val="00720D4F"/>
    <w:rsid w:val="00721498"/>
    <w:rsid w:val="00722464"/>
    <w:rsid w:val="00723D74"/>
    <w:rsid w:val="00724592"/>
    <w:rsid w:val="00725132"/>
    <w:rsid w:val="00725D8D"/>
    <w:rsid w:val="00726714"/>
    <w:rsid w:val="00727265"/>
    <w:rsid w:val="007273BF"/>
    <w:rsid w:val="00730690"/>
    <w:rsid w:val="007311DE"/>
    <w:rsid w:val="00735A07"/>
    <w:rsid w:val="00735F2C"/>
    <w:rsid w:val="00737DE9"/>
    <w:rsid w:val="00741BB7"/>
    <w:rsid w:val="00742077"/>
    <w:rsid w:val="00742658"/>
    <w:rsid w:val="00742E0C"/>
    <w:rsid w:val="00742FFC"/>
    <w:rsid w:val="00750935"/>
    <w:rsid w:val="00750E7F"/>
    <w:rsid w:val="00751781"/>
    <w:rsid w:val="00751FDC"/>
    <w:rsid w:val="00754C1B"/>
    <w:rsid w:val="00755633"/>
    <w:rsid w:val="007556CA"/>
    <w:rsid w:val="00755802"/>
    <w:rsid w:val="007602A3"/>
    <w:rsid w:val="0076115B"/>
    <w:rsid w:val="00762486"/>
    <w:rsid w:val="00762D7D"/>
    <w:rsid w:val="00765205"/>
    <w:rsid w:val="00765A6B"/>
    <w:rsid w:val="00771568"/>
    <w:rsid w:val="007715E4"/>
    <w:rsid w:val="0077442D"/>
    <w:rsid w:val="00774A21"/>
    <w:rsid w:val="007759FF"/>
    <w:rsid w:val="007771B5"/>
    <w:rsid w:val="0077764C"/>
    <w:rsid w:val="00777959"/>
    <w:rsid w:val="007812FD"/>
    <w:rsid w:val="00783209"/>
    <w:rsid w:val="00783D29"/>
    <w:rsid w:val="007848CB"/>
    <w:rsid w:val="00785F12"/>
    <w:rsid w:val="007913F9"/>
    <w:rsid w:val="007914A6"/>
    <w:rsid w:val="0079204F"/>
    <w:rsid w:val="007A0EA3"/>
    <w:rsid w:val="007A12CB"/>
    <w:rsid w:val="007A24B5"/>
    <w:rsid w:val="007A2EF8"/>
    <w:rsid w:val="007A34A8"/>
    <w:rsid w:val="007A4178"/>
    <w:rsid w:val="007A4D0D"/>
    <w:rsid w:val="007A4D4D"/>
    <w:rsid w:val="007A703E"/>
    <w:rsid w:val="007A7812"/>
    <w:rsid w:val="007B00E6"/>
    <w:rsid w:val="007B2572"/>
    <w:rsid w:val="007B4D5E"/>
    <w:rsid w:val="007B6D4A"/>
    <w:rsid w:val="007B6DFE"/>
    <w:rsid w:val="007B740B"/>
    <w:rsid w:val="007B750B"/>
    <w:rsid w:val="007B781A"/>
    <w:rsid w:val="007C0202"/>
    <w:rsid w:val="007C130F"/>
    <w:rsid w:val="007C25E4"/>
    <w:rsid w:val="007C25E5"/>
    <w:rsid w:val="007C31BC"/>
    <w:rsid w:val="007C31EA"/>
    <w:rsid w:val="007C479A"/>
    <w:rsid w:val="007C67BC"/>
    <w:rsid w:val="007C6A18"/>
    <w:rsid w:val="007D0922"/>
    <w:rsid w:val="007D13C6"/>
    <w:rsid w:val="007D1678"/>
    <w:rsid w:val="007D2A1A"/>
    <w:rsid w:val="007D3E34"/>
    <w:rsid w:val="007D4441"/>
    <w:rsid w:val="007D576C"/>
    <w:rsid w:val="007D7817"/>
    <w:rsid w:val="007D7ABC"/>
    <w:rsid w:val="007E05CC"/>
    <w:rsid w:val="007E1731"/>
    <w:rsid w:val="007E66E2"/>
    <w:rsid w:val="007E74E0"/>
    <w:rsid w:val="007F127B"/>
    <w:rsid w:val="007F2728"/>
    <w:rsid w:val="007F3B37"/>
    <w:rsid w:val="007F5F25"/>
    <w:rsid w:val="007F7FCF"/>
    <w:rsid w:val="0080032C"/>
    <w:rsid w:val="00801551"/>
    <w:rsid w:val="00801825"/>
    <w:rsid w:val="008030E0"/>
    <w:rsid w:val="008115CC"/>
    <w:rsid w:val="00811821"/>
    <w:rsid w:val="008134CD"/>
    <w:rsid w:val="008145E5"/>
    <w:rsid w:val="0081586E"/>
    <w:rsid w:val="00815BEC"/>
    <w:rsid w:val="008174A2"/>
    <w:rsid w:val="00821B2D"/>
    <w:rsid w:val="00821C80"/>
    <w:rsid w:val="00822176"/>
    <w:rsid w:val="008246E8"/>
    <w:rsid w:val="00824D28"/>
    <w:rsid w:val="008258D1"/>
    <w:rsid w:val="00826AD2"/>
    <w:rsid w:val="008274B2"/>
    <w:rsid w:val="0082777C"/>
    <w:rsid w:val="00830C77"/>
    <w:rsid w:val="00832807"/>
    <w:rsid w:val="00834DBC"/>
    <w:rsid w:val="00837486"/>
    <w:rsid w:val="008379A0"/>
    <w:rsid w:val="0084123A"/>
    <w:rsid w:val="00842472"/>
    <w:rsid w:val="00843270"/>
    <w:rsid w:val="00846DD3"/>
    <w:rsid w:val="00847E5E"/>
    <w:rsid w:val="008502BC"/>
    <w:rsid w:val="008508D2"/>
    <w:rsid w:val="00851EC1"/>
    <w:rsid w:val="008524E7"/>
    <w:rsid w:val="0085254E"/>
    <w:rsid w:val="00854F48"/>
    <w:rsid w:val="00854F9D"/>
    <w:rsid w:val="008560E7"/>
    <w:rsid w:val="0086036E"/>
    <w:rsid w:val="00861643"/>
    <w:rsid w:val="0086347E"/>
    <w:rsid w:val="00864929"/>
    <w:rsid w:val="00865FDE"/>
    <w:rsid w:val="008661E5"/>
    <w:rsid w:val="00866615"/>
    <w:rsid w:val="00866F6E"/>
    <w:rsid w:val="0087103B"/>
    <w:rsid w:val="00871B50"/>
    <w:rsid w:val="00873074"/>
    <w:rsid w:val="0087492F"/>
    <w:rsid w:val="00874E47"/>
    <w:rsid w:val="0087537A"/>
    <w:rsid w:val="00880D56"/>
    <w:rsid w:val="008901AC"/>
    <w:rsid w:val="00890E44"/>
    <w:rsid w:val="00891FCA"/>
    <w:rsid w:val="008921E1"/>
    <w:rsid w:val="00892306"/>
    <w:rsid w:val="00892653"/>
    <w:rsid w:val="0089266B"/>
    <w:rsid w:val="0089269B"/>
    <w:rsid w:val="0089377D"/>
    <w:rsid w:val="00893E82"/>
    <w:rsid w:val="0089434F"/>
    <w:rsid w:val="00894684"/>
    <w:rsid w:val="00894F92"/>
    <w:rsid w:val="0089505E"/>
    <w:rsid w:val="00895397"/>
    <w:rsid w:val="00896DF0"/>
    <w:rsid w:val="008A0DC1"/>
    <w:rsid w:val="008A176D"/>
    <w:rsid w:val="008A1EFD"/>
    <w:rsid w:val="008A32DE"/>
    <w:rsid w:val="008A332A"/>
    <w:rsid w:val="008A62F9"/>
    <w:rsid w:val="008B2477"/>
    <w:rsid w:val="008B43AD"/>
    <w:rsid w:val="008B6205"/>
    <w:rsid w:val="008B722E"/>
    <w:rsid w:val="008B7330"/>
    <w:rsid w:val="008C0267"/>
    <w:rsid w:val="008C08B0"/>
    <w:rsid w:val="008C24DB"/>
    <w:rsid w:val="008C2689"/>
    <w:rsid w:val="008D03C0"/>
    <w:rsid w:val="008E1D1C"/>
    <w:rsid w:val="008E280E"/>
    <w:rsid w:val="008E2DCB"/>
    <w:rsid w:val="008E4DDD"/>
    <w:rsid w:val="008E527A"/>
    <w:rsid w:val="008E5E40"/>
    <w:rsid w:val="008F044D"/>
    <w:rsid w:val="008F1FC3"/>
    <w:rsid w:val="008F26CE"/>
    <w:rsid w:val="008F5F53"/>
    <w:rsid w:val="008F74C1"/>
    <w:rsid w:val="008F75EE"/>
    <w:rsid w:val="0090261C"/>
    <w:rsid w:val="009029E6"/>
    <w:rsid w:val="0090502A"/>
    <w:rsid w:val="00905E6F"/>
    <w:rsid w:val="0090733D"/>
    <w:rsid w:val="00911509"/>
    <w:rsid w:val="009124D6"/>
    <w:rsid w:val="009125B7"/>
    <w:rsid w:val="00912C8B"/>
    <w:rsid w:val="00913174"/>
    <w:rsid w:val="009140DB"/>
    <w:rsid w:val="00915010"/>
    <w:rsid w:val="009169CA"/>
    <w:rsid w:val="0091721C"/>
    <w:rsid w:val="00917BA7"/>
    <w:rsid w:val="00923020"/>
    <w:rsid w:val="00923DF3"/>
    <w:rsid w:val="00925049"/>
    <w:rsid w:val="00926D58"/>
    <w:rsid w:val="00927247"/>
    <w:rsid w:val="009318B4"/>
    <w:rsid w:val="00933476"/>
    <w:rsid w:val="00934955"/>
    <w:rsid w:val="00935445"/>
    <w:rsid w:val="00935B1F"/>
    <w:rsid w:val="0094084D"/>
    <w:rsid w:val="00940A22"/>
    <w:rsid w:val="00941090"/>
    <w:rsid w:val="0094126F"/>
    <w:rsid w:val="0094280D"/>
    <w:rsid w:val="00943708"/>
    <w:rsid w:val="00944B8E"/>
    <w:rsid w:val="009453D3"/>
    <w:rsid w:val="00950240"/>
    <w:rsid w:val="00950424"/>
    <w:rsid w:val="009541EB"/>
    <w:rsid w:val="00955E20"/>
    <w:rsid w:val="009612AC"/>
    <w:rsid w:val="009623D5"/>
    <w:rsid w:val="0097165C"/>
    <w:rsid w:val="009717CA"/>
    <w:rsid w:val="00972519"/>
    <w:rsid w:val="00972F35"/>
    <w:rsid w:val="00973394"/>
    <w:rsid w:val="00973B0D"/>
    <w:rsid w:val="009742EE"/>
    <w:rsid w:val="0097561A"/>
    <w:rsid w:val="00975728"/>
    <w:rsid w:val="00975F3F"/>
    <w:rsid w:val="00976117"/>
    <w:rsid w:val="009765CA"/>
    <w:rsid w:val="0098049A"/>
    <w:rsid w:val="00982A0C"/>
    <w:rsid w:val="0098356A"/>
    <w:rsid w:val="00983881"/>
    <w:rsid w:val="00984BA5"/>
    <w:rsid w:val="00985ABD"/>
    <w:rsid w:val="00987424"/>
    <w:rsid w:val="009877B5"/>
    <w:rsid w:val="00987FB7"/>
    <w:rsid w:val="00990EC5"/>
    <w:rsid w:val="00991E0D"/>
    <w:rsid w:val="00992788"/>
    <w:rsid w:val="00996CBC"/>
    <w:rsid w:val="009A032A"/>
    <w:rsid w:val="009A0760"/>
    <w:rsid w:val="009A3A66"/>
    <w:rsid w:val="009A4034"/>
    <w:rsid w:val="009A4DC9"/>
    <w:rsid w:val="009A6190"/>
    <w:rsid w:val="009A7CF1"/>
    <w:rsid w:val="009B15AD"/>
    <w:rsid w:val="009B1687"/>
    <w:rsid w:val="009B18F8"/>
    <w:rsid w:val="009B304E"/>
    <w:rsid w:val="009B5F0F"/>
    <w:rsid w:val="009B7896"/>
    <w:rsid w:val="009B79A0"/>
    <w:rsid w:val="009B7D0C"/>
    <w:rsid w:val="009B7D18"/>
    <w:rsid w:val="009C5D63"/>
    <w:rsid w:val="009C665A"/>
    <w:rsid w:val="009C6C4E"/>
    <w:rsid w:val="009D26A0"/>
    <w:rsid w:val="009D2A1E"/>
    <w:rsid w:val="009D39F1"/>
    <w:rsid w:val="009D5982"/>
    <w:rsid w:val="009E0A07"/>
    <w:rsid w:val="009E1DC5"/>
    <w:rsid w:val="009E298C"/>
    <w:rsid w:val="009E4EB1"/>
    <w:rsid w:val="009E5DB5"/>
    <w:rsid w:val="009F0F31"/>
    <w:rsid w:val="009F1632"/>
    <w:rsid w:val="009F2229"/>
    <w:rsid w:val="009F3CC0"/>
    <w:rsid w:val="009F4D05"/>
    <w:rsid w:val="009F65BF"/>
    <w:rsid w:val="009F7005"/>
    <w:rsid w:val="00A007A7"/>
    <w:rsid w:val="00A01894"/>
    <w:rsid w:val="00A01D2C"/>
    <w:rsid w:val="00A027BE"/>
    <w:rsid w:val="00A04927"/>
    <w:rsid w:val="00A059D3"/>
    <w:rsid w:val="00A0662E"/>
    <w:rsid w:val="00A07E4B"/>
    <w:rsid w:val="00A11374"/>
    <w:rsid w:val="00A116D5"/>
    <w:rsid w:val="00A12B3D"/>
    <w:rsid w:val="00A132E7"/>
    <w:rsid w:val="00A2117D"/>
    <w:rsid w:val="00A2141D"/>
    <w:rsid w:val="00A235F6"/>
    <w:rsid w:val="00A23D58"/>
    <w:rsid w:val="00A23F5A"/>
    <w:rsid w:val="00A24991"/>
    <w:rsid w:val="00A24DC7"/>
    <w:rsid w:val="00A269A5"/>
    <w:rsid w:val="00A26A40"/>
    <w:rsid w:val="00A275D7"/>
    <w:rsid w:val="00A30316"/>
    <w:rsid w:val="00A317EC"/>
    <w:rsid w:val="00A31E57"/>
    <w:rsid w:val="00A31F72"/>
    <w:rsid w:val="00A33C12"/>
    <w:rsid w:val="00A34EED"/>
    <w:rsid w:val="00A365B1"/>
    <w:rsid w:val="00A37366"/>
    <w:rsid w:val="00A40438"/>
    <w:rsid w:val="00A43556"/>
    <w:rsid w:val="00A43761"/>
    <w:rsid w:val="00A445CA"/>
    <w:rsid w:val="00A45897"/>
    <w:rsid w:val="00A45FCE"/>
    <w:rsid w:val="00A47307"/>
    <w:rsid w:val="00A51D44"/>
    <w:rsid w:val="00A52F7B"/>
    <w:rsid w:val="00A52FE7"/>
    <w:rsid w:val="00A54455"/>
    <w:rsid w:val="00A5477B"/>
    <w:rsid w:val="00A62F61"/>
    <w:rsid w:val="00A6493B"/>
    <w:rsid w:val="00A665D4"/>
    <w:rsid w:val="00A70AEA"/>
    <w:rsid w:val="00A728B7"/>
    <w:rsid w:val="00A7449B"/>
    <w:rsid w:val="00A7503B"/>
    <w:rsid w:val="00A757AA"/>
    <w:rsid w:val="00A8193C"/>
    <w:rsid w:val="00A8398A"/>
    <w:rsid w:val="00A8478D"/>
    <w:rsid w:val="00A85B13"/>
    <w:rsid w:val="00A85E78"/>
    <w:rsid w:val="00A86682"/>
    <w:rsid w:val="00A87231"/>
    <w:rsid w:val="00A8752C"/>
    <w:rsid w:val="00A9016D"/>
    <w:rsid w:val="00A90C7B"/>
    <w:rsid w:val="00A90CFC"/>
    <w:rsid w:val="00A91221"/>
    <w:rsid w:val="00A93D43"/>
    <w:rsid w:val="00A942E1"/>
    <w:rsid w:val="00A95C28"/>
    <w:rsid w:val="00AA0A86"/>
    <w:rsid w:val="00AA1831"/>
    <w:rsid w:val="00AA2DBD"/>
    <w:rsid w:val="00AA6BA2"/>
    <w:rsid w:val="00AA7C8C"/>
    <w:rsid w:val="00AB0E8C"/>
    <w:rsid w:val="00AB1168"/>
    <w:rsid w:val="00AB13FB"/>
    <w:rsid w:val="00AB476B"/>
    <w:rsid w:val="00AB5DA0"/>
    <w:rsid w:val="00AC00DF"/>
    <w:rsid w:val="00AC0CBB"/>
    <w:rsid w:val="00AC124D"/>
    <w:rsid w:val="00AC2DD4"/>
    <w:rsid w:val="00AC461B"/>
    <w:rsid w:val="00AC6EDA"/>
    <w:rsid w:val="00AD21D3"/>
    <w:rsid w:val="00AD3879"/>
    <w:rsid w:val="00AD3C3B"/>
    <w:rsid w:val="00AE0702"/>
    <w:rsid w:val="00AE0B13"/>
    <w:rsid w:val="00AE6880"/>
    <w:rsid w:val="00AE765C"/>
    <w:rsid w:val="00AF0DC9"/>
    <w:rsid w:val="00AF116A"/>
    <w:rsid w:val="00AF1736"/>
    <w:rsid w:val="00AF2C5C"/>
    <w:rsid w:val="00AF3839"/>
    <w:rsid w:val="00AF448B"/>
    <w:rsid w:val="00AF59B9"/>
    <w:rsid w:val="00AF647C"/>
    <w:rsid w:val="00AF74D9"/>
    <w:rsid w:val="00B006BE"/>
    <w:rsid w:val="00B01247"/>
    <w:rsid w:val="00B01365"/>
    <w:rsid w:val="00B015A1"/>
    <w:rsid w:val="00B0162E"/>
    <w:rsid w:val="00B034A6"/>
    <w:rsid w:val="00B04342"/>
    <w:rsid w:val="00B04928"/>
    <w:rsid w:val="00B05BD4"/>
    <w:rsid w:val="00B06829"/>
    <w:rsid w:val="00B06D52"/>
    <w:rsid w:val="00B0754E"/>
    <w:rsid w:val="00B104D9"/>
    <w:rsid w:val="00B10C7C"/>
    <w:rsid w:val="00B11461"/>
    <w:rsid w:val="00B1194F"/>
    <w:rsid w:val="00B12118"/>
    <w:rsid w:val="00B128A3"/>
    <w:rsid w:val="00B13905"/>
    <w:rsid w:val="00B14380"/>
    <w:rsid w:val="00B14B33"/>
    <w:rsid w:val="00B205E4"/>
    <w:rsid w:val="00B212B8"/>
    <w:rsid w:val="00B257BB"/>
    <w:rsid w:val="00B27079"/>
    <w:rsid w:val="00B27DA3"/>
    <w:rsid w:val="00B316C8"/>
    <w:rsid w:val="00B3255C"/>
    <w:rsid w:val="00B3287F"/>
    <w:rsid w:val="00B33018"/>
    <w:rsid w:val="00B347A3"/>
    <w:rsid w:val="00B36308"/>
    <w:rsid w:val="00B37E96"/>
    <w:rsid w:val="00B40CD9"/>
    <w:rsid w:val="00B4138B"/>
    <w:rsid w:val="00B42F0C"/>
    <w:rsid w:val="00B44F38"/>
    <w:rsid w:val="00B454F5"/>
    <w:rsid w:val="00B517D4"/>
    <w:rsid w:val="00B5366A"/>
    <w:rsid w:val="00B53A6D"/>
    <w:rsid w:val="00B55A71"/>
    <w:rsid w:val="00B57821"/>
    <w:rsid w:val="00B606EC"/>
    <w:rsid w:val="00B61808"/>
    <w:rsid w:val="00B61B39"/>
    <w:rsid w:val="00B62B87"/>
    <w:rsid w:val="00B63187"/>
    <w:rsid w:val="00B63228"/>
    <w:rsid w:val="00B648D1"/>
    <w:rsid w:val="00B655C1"/>
    <w:rsid w:val="00B65746"/>
    <w:rsid w:val="00B6767F"/>
    <w:rsid w:val="00B71697"/>
    <w:rsid w:val="00B7189E"/>
    <w:rsid w:val="00B72C48"/>
    <w:rsid w:val="00B735EB"/>
    <w:rsid w:val="00B73C4A"/>
    <w:rsid w:val="00B744F2"/>
    <w:rsid w:val="00B746AA"/>
    <w:rsid w:val="00B74905"/>
    <w:rsid w:val="00B74EDA"/>
    <w:rsid w:val="00B758B4"/>
    <w:rsid w:val="00B8043F"/>
    <w:rsid w:val="00B80D30"/>
    <w:rsid w:val="00B81072"/>
    <w:rsid w:val="00B842A9"/>
    <w:rsid w:val="00B84950"/>
    <w:rsid w:val="00B8517C"/>
    <w:rsid w:val="00B859C6"/>
    <w:rsid w:val="00B8636A"/>
    <w:rsid w:val="00B8672D"/>
    <w:rsid w:val="00B87AC5"/>
    <w:rsid w:val="00B90527"/>
    <w:rsid w:val="00B9122C"/>
    <w:rsid w:val="00B91309"/>
    <w:rsid w:val="00B92BC1"/>
    <w:rsid w:val="00B9381C"/>
    <w:rsid w:val="00B9585B"/>
    <w:rsid w:val="00B95AD1"/>
    <w:rsid w:val="00B95B59"/>
    <w:rsid w:val="00B95F62"/>
    <w:rsid w:val="00B96856"/>
    <w:rsid w:val="00BA0EC3"/>
    <w:rsid w:val="00BA580F"/>
    <w:rsid w:val="00BA5B24"/>
    <w:rsid w:val="00BA6B11"/>
    <w:rsid w:val="00BB150B"/>
    <w:rsid w:val="00BB2572"/>
    <w:rsid w:val="00BB28FB"/>
    <w:rsid w:val="00BB5FD5"/>
    <w:rsid w:val="00BC0522"/>
    <w:rsid w:val="00BC467D"/>
    <w:rsid w:val="00BC50B1"/>
    <w:rsid w:val="00BD2410"/>
    <w:rsid w:val="00BD32AF"/>
    <w:rsid w:val="00BD491A"/>
    <w:rsid w:val="00BD5907"/>
    <w:rsid w:val="00BE0115"/>
    <w:rsid w:val="00BE01B1"/>
    <w:rsid w:val="00BE1C8D"/>
    <w:rsid w:val="00BE2F0F"/>
    <w:rsid w:val="00BE3884"/>
    <w:rsid w:val="00BE390C"/>
    <w:rsid w:val="00BE5B2B"/>
    <w:rsid w:val="00BE7AC6"/>
    <w:rsid w:val="00BF2C72"/>
    <w:rsid w:val="00C00154"/>
    <w:rsid w:val="00C042AF"/>
    <w:rsid w:val="00C04692"/>
    <w:rsid w:val="00C052D1"/>
    <w:rsid w:val="00C05682"/>
    <w:rsid w:val="00C0626B"/>
    <w:rsid w:val="00C07D31"/>
    <w:rsid w:val="00C10B1B"/>
    <w:rsid w:val="00C1299C"/>
    <w:rsid w:val="00C14BA8"/>
    <w:rsid w:val="00C15997"/>
    <w:rsid w:val="00C17CA3"/>
    <w:rsid w:val="00C17D8E"/>
    <w:rsid w:val="00C20C18"/>
    <w:rsid w:val="00C212D4"/>
    <w:rsid w:val="00C21E65"/>
    <w:rsid w:val="00C22063"/>
    <w:rsid w:val="00C229F0"/>
    <w:rsid w:val="00C22E2F"/>
    <w:rsid w:val="00C270C9"/>
    <w:rsid w:val="00C311D0"/>
    <w:rsid w:val="00C3140C"/>
    <w:rsid w:val="00C31562"/>
    <w:rsid w:val="00C34F92"/>
    <w:rsid w:val="00C358E6"/>
    <w:rsid w:val="00C35C33"/>
    <w:rsid w:val="00C35FFE"/>
    <w:rsid w:val="00C3669F"/>
    <w:rsid w:val="00C37972"/>
    <w:rsid w:val="00C44E94"/>
    <w:rsid w:val="00C469D4"/>
    <w:rsid w:val="00C46B19"/>
    <w:rsid w:val="00C508F9"/>
    <w:rsid w:val="00C50EE9"/>
    <w:rsid w:val="00C51AF9"/>
    <w:rsid w:val="00C51BF9"/>
    <w:rsid w:val="00C53625"/>
    <w:rsid w:val="00C56C6B"/>
    <w:rsid w:val="00C57FD9"/>
    <w:rsid w:val="00C61447"/>
    <w:rsid w:val="00C61630"/>
    <w:rsid w:val="00C64FC3"/>
    <w:rsid w:val="00C66532"/>
    <w:rsid w:val="00C67E82"/>
    <w:rsid w:val="00C72CA7"/>
    <w:rsid w:val="00C736CA"/>
    <w:rsid w:val="00C74B47"/>
    <w:rsid w:val="00C771F2"/>
    <w:rsid w:val="00C8048A"/>
    <w:rsid w:val="00C81664"/>
    <w:rsid w:val="00C8233F"/>
    <w:rsid w:val="00C85600"/>
    <w:rsid w:val="00C85E92"/>
    <w:rsid w:val="00C86D1C"/>
    <w:rsid w:val="00C87A26"/>
    <w:rsid w:val="00C87A5E"/>
    <w:rsid w:val="00C920CA"/>
    <w:rsid w:val="00C9229D"/>
    <w:rsid w:val="00C9495E"/>
    <w:rsid w:val="00C97169"/>
    <w:rsid w:val="00C97205"/>
    <w:rsid w:val="00CA0E84"/>
    <w:rsid w:val="00CB0939"/>
    <w:rsid w:val="00CB0E5F"/>
    <w:rsid w:val="00CB14CB"/>
    <w:rsid w:val="00CB2A94"/>
    <w:rsid w:val="00CB2F7F"/>
    <w:rsid w:val="00CB3348"/>
    <w:rsid w:val="00CB3B64"/>
    <w:rsid w:val="00CB3C72"/>
    <w:rsid w:val="00CB4801"/>
    <w:rsid w:val="00CB5BB9"/>
    <w:rsid w:val="00CB6A0F"/>
    <w:rsid w:val="00CB7574"/>
    <w:rsid w:val="00CB75F5"/>
    <w:rsid w:val="00CB76AA"/>
    <w:rsid w:val="00CC0230"/>
    <w:rsid w:val="00CC1AC8"/>
    <w:rsid w:val="00CC2F59"/>
    <w:rsid w:val="00CC5120"/>
    <w:rsid w:val="00CD03D1"/>
    <w:rsid w:val="00CD23A1"/>
    <w:rsid w:val="00CD34C2"/>
    <w:rsid w:val="00CD4513"/>
    <w:rsid w:val="00CD517C"/>
    <w:rsid w:val="00CD73C6"/>
    <w:rsid w:val="00CE029F"/>
    <w:rsid w:val="00CE076A"/>
    <w:rsid w:val="00CE0C89"/>
    <w:rsid w:val="00CE25FF"/>
    <w:rsid w:val="00CE2D30"/>
    <w:rsid w:val="00CE3068"/>
    <w:rsid w:val="00CE35E9"/>
    <w:rsid w:val="00CE4619"/>
    <w:rsid w:val="00CE56D0"/>
    <w:rsid w:val="00CE5EE1"/>
    <w:rsid w:val="00CE634B"/>
    <w:rsid w:val="00CF3C4A"/>
    <w:rsid w:val="00CF3DDD"/>
    <w:rsid w:val="00CF7A75"/>
    <w:rsid w:val="00D02920"/>
    <w:rsid w:val="00D040E6"/>
    <w:rsid w:val="00D0473A"/>
    <w:rsid w:val="00D04A15"/>
    <w:rsid w:val="00D0743D"/>
    <w:rsid w:val="00D11DFF"/>
    <w:rsid w:val="00D12D1E"/>
    <w:rsid w:val="00D135E7"/>
    <w:rsid w:val="00D1372D"/>
    <w:rsid w:val="00D13C8F"/>
    <w:rsid w:val="00D144E6"/>
    <w:rsid w:val="00D14DF1"/>
    <w:rsid w:val="00D2008E"/>
    <w:rsid w:val="00D203A0"/>
    <w:rsid w:val="00D205B7"/>
    <w:rsid w:val="00D2215F"/>
    <w:rsid w:val="00D23E1E"/>
    <w:rsid w:val="00D26851"/>
    <w:rsid w:val="00D26970"/>
    <w:rsid w:val="00D31301"/>
    <w:rsid w:val="00D32113"/>
    <w:rsid w:val="00D32840"/>
    <w:rsid w:val="00D3373E"/>
    <w:rsid w:val="00D337D6"/>
    <w:rsid w:val="00D3419A"/>
    <w:rsid w:val="00D34678"/>
    <w:rsid w:val="00D34AD6"/>
    <w:rsid w:val="00D35204"/>
    <w:rsid w:val="00D3694D"/>
    <w:rsid w:val="00D404AE"/>
    <w:rsid w:val="00D43F77"/>
    <w:rsid w:val="00D44C65"/>
    <w:rsid w:val="00D45F29"/>
    <w:rsid w:val="00D4786B"/>
    <w:rsid w:val="00D53CB3"/>
    <w:rsid w:val="00D54BCB"/>
    <w:rsid w:val="00D57B18"/>
    <w:rsid w:val="00D617A0"/>
    <w:rsid w:val="00D624CA"/>
    <w:rsid w:val="00D62883"/>
    <w:rsid w:val="00D62B75"/>
    <w:rsid w:val="00D62C5B"/>
    <w:rsid w:val="00D642B9"/>
    <w:rsid w:val="00D64C68"/>
    <w:rsid w:val="00D64FE0"/>
    <w:rsid w:val="00D6591B"/>
    <w:rsid w:val="00D7024E"/>
    <w:rsid w:val="00D706C3"/>
    <w:rsid w:val="00D71A9C"/>
    <w:rsid w:val="00D7306E"/>
    <w:rsid w:val="00D742A7"/>
    <w:rsid w:val="00D7544D"/>
    <w:rsid w:val="00D75577"/>
    <w:rsid w:val="00D7682A"/>
    <w:rsid w:val="00D81821"/>
    <w:rsid w:val="00D81AA9"/>
    <w:rsid w:val="00D823A6"/>
    <w:rsid w:val="00D827F9"/>
    <w:rsid w:val="00D83899"/>
    <w:rsid w:val="00D83A87"/>
    <w:rsid w:val="00D85F87"/>
    <w:rsid w:val="00D868C3"/>
    <w:rsid w:val="00D92779"/>
    <w:rsid w:val="00D928E9"/>
    <w:rsid w:val="00D92970"/>
    <w:rsid w:val="00D9341B"/>
    <w:rsid w:val="00D9387A"/>
    <w:rsid w:val="00D9391E"/>
    <w:rsid w:val="00D9450E"/>
    <w:rsid w:val="00D95DF6"/>
    <w:rsid w:val="00D97CDF"/>
    <w:rsid w:val="00DA1521"/>
    <w:rsid w:val="00DA44A8"/>
    <w:rsid w:val="00DA5DDE"/>
    <w:rsid w:val="00DA69FE"/>
    <w:rsid w:val="00DB1C64"/>
    <w:rsid w:val="00DB2298"/>
    <w:rsid w:val="00DB3A8F"/>
    <w:rsid w:val="00DB3F18"/>
    <w:rsid w:val="00DB5030"/>
    <w:rsid w:val="00DB54A5"/>
    <w:rsid w:val="00DB7025"/>
    <w:rsid w:val="00DB732C"/>
    <w:rsid w:val="00DB761F"/>
    <w:rsid w:val="00DB7DCC"/>
    <w:rsid w:val="00DC0265"/>
    <w:rsid w:val="00DC1D3C"/>
    <w:rsid w:val="00DC2A95"/>
    <w:rsid w:val="00DC3772"/>
    <w:rsid w:val="00DC5C05"/>
    <w:rsid w:val="00DC7DD3"/>
    <w:rsid w:val="00DC7EAB"/>
    <w:rsid w:val="00DC7F01"/>
    <w:rsid w:val="00DD0046"/>
    <w:rsid w:val="00DD16D1"/>
    <w:rsid w:val="00DD380F"/>
    <w:rsid w:val="00DD45D3"/>
    <w:rsid w:val="00DD49E4"/>
    <w:rsid w:val="00DD5A1B"/>
    <w:rsid w:val="00DD7191"/>
    <w:rsid w:val="00DD7361"/>
    <w:rsid w:val="00DD7D17"/>
    <w:rsid w:val="00DE042C"/>
    <w:rsid w:val="00DE0AB6"/>
    <w:rsid w:val="00DE1EB6"/>
    <w:rsid w:val="00DE53EE"/>
    <w:rsid w:val="00DF600C"/>
    <w:rsid w:val="00DF6298"/>
    <w:rsid w:val="00DF6A6E"/>
    <w:rsid w:val="00DF7765"/>
    <w:rsid w:val="00E018BA"/>
    <w:rsid w:val="00E01B43"/>
    <w:rsid w:val="00E05B3A"/>
    <w:rsid w:val="00E05D44"/>
    <w:rsid w:val="00E064E8"/>
    <w:rsid w:val="00E06D42"/>
    <w:rsid w:val="00E074CE"/>
    <w:rsid w:val="00E11897"/>
    <w:rsid w:val="00E12845"/>
    <w:rsid w:val="00E12868"/>
    <w:rsid w:val="00E12C1B"/>
    <w:rsid w:val="00E13530"/>
    <w:rsid w:val="00E15DC6"/>
    <w:rsid w:val="00E17A73"/>
    <w:rsid w:val="00E22CB7"/>
    <w:rsid w:val="00E22F5B"/>
    <w:rsid w:val="00E26F45"/>
    <w:rsid w:val="00E31B8F"/>
    <w:rsid w:val="00E33706"/>
    <w:rsid w:val="00E352B8"/>
    <w:rsid w:val="00E36504"/>
    <w:rsid w:val="00E429D8"/>
    <w:rsid w:val="00E43848"/>
    <w:rsid w:val="00E43A7D"/>
    <w:rsid w:val="00E447CC"/>
    <w:rsid w:val="00E44931"/>
    <w:rsid w:val="00E45894"/>
    <w:rsid w:val="00E464DD"/>
    <w:rsid w:val="00E47B87"/>
    <w:rsid w:val="00E50065"/>
    <w:rsid w:val="00E52469"/>
    <w:rsid w:val="00E5252F"/>
    <w:rsid w:val="00E530D6"/>
    <w:rsid w:val="00E53FD4"/>
    <w:rsid w:val="00E54891"/>
    <w:rsid w:val="00E54A78"/>
    <w:rsid w:val="00E5551F"/>
    <w:rsid w:val="00E5554D"/>
    <w:rsid w:val="00E56A0E"/>
    <w:rsid w:val="00E57917"/>
    <w:rsid w:val="00E57A0D"/>
    <w:rsid w:val="00E62954"/>
    <w:rsid w:val="00E64800"/>
    <w:rsid w:val="00E65B87"/>
    <w:rsid w:val="00E66A7F"/>
    <w:rsid w:val="00E6789D"/>
    <w:rsid w:val="00E708FE"/>
    <w:rsid w:val="00E70904"/>
    <w:rsid w:val="00E70CC6"/>
    <w:rsid w:val="00E71EA5"/>
    <w:rsid w:val="00E724A1"/>
    <w:rsid w:val="00E72EA1"/>
    <w:rsid w:val="00E736E1"/>
    <w:rsid w:val="00E75F08"/>
    <w:rsid w:val="00E77EE6"/>
    <w:rsid w:val="00E8166C"/>
    <w:rsid w:val="00E81802"/>
    <w:rsid w:val="00E82861"/>
    <w:rsid w:val="00E82B96"/>
    <w:rsid w:val="00E832DB"/>
    <w:rsid w:val="00E83A65"/>
    <w:rsid w:val="00E8569E"/>
    <w:rsid w:val="00E86266"/>
    <w:rsid w:val="00E872FB"/>
    <w:rsid w:val="00E9026C"/>
    <w:rsid w:val="00E90937"/>
    <w:rsid w:val="00E92C65"/>
    <w:rsid w:val="00E93329"/>
    <w:rsid w:val="00E935DB"/>
    <w:rsid w:val="00E93B75"/>
    <w:rsid w:val="00E93D31"/>
    <w:rsid w:val="00E95154"/>
    <w:rsid w:val="00EA174A"/>
    <w:rsid w:val="00EA4A39"/>
    <w:rsid w:val="00EA586E"/>
    <w:rsid w:val="00EA5989"/>
    <w:rsid w:val="00EA5C19"/>
    <w:rsid w:val="00EA5EFF"/>
    <w:rsid w:val="00EB1F45"/>
    <w:rsid w:val="00EB2701"/>
    <w:rsid w:val="00EB3322"/>
    <w:rsid w:val="00EB3951"/>
    <w:rsid w:val="00EB637B"/>
    <w:rsid w:val="00EB6F31"/>
    <w:rsid w:val="00EC0320"/>
    <w:rsid w:val="00EC0612"/>
    <w:rsid w:val="00EC228B"/>
    <w:rsid w:val="00EC2376"/>
    <w:rsid w:val="00EC29B6"/>
    <w:rsid w:val="00EC2D8E"/>
    <w:rsid w:val="00EC4C43"/>
    <w:rsid w:val="00EC64A4"/>
    <w:rsid w:val="00ED0112"/>
    <w:rsid w:val="00ED022A"/>
    <w:rsid w:val="00ED0624"/>
    <w:rsid w:val="00ED0D36"/>
    <w:rsid w:val="00ED1651"/>
    <w:rsid w:val="00ED1F0C"/>
    <w:rsid w:val="00ED209B"/>
    <w:rsid w:val="00ED2315"/>
    <w:rsid w:val="00ED300F"/>
    <w:rsid w:val="00ED3D08"/>
    <w:rsid w:val="00ED5DF4"/>
    <w:rsid w:val="00ED7E0F"/>
    <w:rsid w:val="00ED7FC3"/>
    <w:rsid w:val="00EE0973"/>
    <w:rsid w:val="00EE1D63"/>
    <w:rsid w:val="00EE2C17"/>
    <w:rsid w:val="00EE2DBC"/>
    <w:rsid w:val="00EE2F99"/>
    <w:rsid w:val="00EE63FD"/>
    <w:rsid w:val="00EF1DD7"/>
    <w:rsid w:val="00EF1DE7"/>
    <w:rsid w:val="00EF215A"/>
    <w:rsid w:val="00F01A76"/>
    <w:rsid w:val="00F01C68"/>
    <w:rsid w:val="00F022F4"/>
    <w:rsid w:val="00F04BA4"/>
    <w:rsid w:val="00F04E65"/>
    <w:rsid w:val="00F0677F"/>
    <w:rsid w:val="00F07292"/>
    <w:rsid w:val="00F0799D"/>
    <w:rsid w:val="00F07A51"/>
    <w:rsid w:val="00F1370F"/>
    <w:rsid w:val="00F13E36"/>
    <w:rsid w:val="00F145BD"/>
    <w:rsid w:val="00F17BE6"/>
    <w:rsid w:val="00F17E02"/>
    <w:rsid w:val="00F21189"/>
    <w:rsid w:val="00F2181A"/>
    <w:rsid w:val="00F21D65"/>
    <w:rsid w:val="00F24700"/>
    <w:rsid w:val="00F251B6"/>
    <w:rsid w:val="00F26EF3"/>
    <w:rsid w:val="00F27160"/>
    <w:rsid w:val="00F307FB"/>
    <w:rsid w:val="00F31AF5"/>
    <w:rsid w:val="00F3251C"/>
    <w:rsid w:val="00F35DEC"/>
    <w:rsid w:val="00F36A4E"/>
    <w:rsid w:val="00F42A09"/>
    <w:rsid w:val="00F42B12"/>
    <w:rsid w:val="00F42CD4"/>
    <w:rsid w:val="00F475E5"/>
    <w:rsid w:val="00F503A7"/>
    <w:rsid w:val="00F506B1"/>
    <w:rsid w:val="00F5196E"/>
    <w:rsid w:val="00F554CC"/>
    <w:rsid w:val="00F562BE"/>
    <w:rsid w:val="00F626A8"/>
    <w:rsid w:val="00F62B05"/>
    <w:rsid w:val="00F63A69"/>
    <w:rsid w:val="00F67057"/>
    <w:rsid w:val="00F67368"/>
    <w:rsid w:val="00F677A1"/>
    <w:rsid w:val="00F70649"/>
    <w:rsid w:val="00F74322"/>
    <w:rsid w:val="00F74B81"/>
    <w:rsid w:val="00F76DEA"/>
    <w:rsid w:val="00F771E1"/>
    <w:rsid w:val="00F77F0E"/>
    <w:rsid w:val="00F80285"/>
    <w:rsid w:val="00F812C0"/>
    <w:rsid w:val="00F83CB6"/>
    <w:rsid w:val="00F8415D"/>
    <w:rsid w:val="00F92305"/>
    <w:rsid w:val="00F9313A"/>
    <w:rsid w:val="00F93DAE"/>
    <w:rsid w:val="00F9712C"/>
    <w:rsid w:val="00F97469"/>
    <w:rsid w:val="00F97862"/>
    <w:rsid w:val="00FA3613"/>
    <w:rsid w:val="00FA7404"/>
    <w:rsid w:val="00FB1B04"/>
    <w:rsid w:val="00FB2341"/>
    <w:rsid w:val="00FB2B1A"/>
    <w:rsid w:val="00FB2EF0"/>
    <w:rsid w:val="00FB578B"/>
    <w:rsid w:val="00FC1CF4"/>
    <w:rsid w:val="00FC1DF9"/>
    <w:rsid w:val="00FC37D3"/>
    <w:rsid w:val="00FC462B"/>
    <w:rsid w:val="00FC6428"/>
    <w:rsid w:val="00FC6C22"/>
    <w:rsid w:val="00FC7E58"/>
    <w:rsid w:val="00FD04B8"/>
    <w:rsid w:val="00FD0F4B"/>
    <w:rsid w:val="00FD48F3"/>
    <w:rsid w:val="00FD600D"/>
    <w:rsid w:val="00FD67DB"/>
    <w:rsid w:val="00FD67F9"/>
    <w:rsid w:val="00FD76E3"/>
    <w:rsid w:val="00FE381B"/>
    <w:rsid w:val="00FE3B98"/>
    <w:rsid w:val="00FE5C5C"/>
    <w:rsid w:val="00FE7CE5"/>
    <w:rsid w:val="00FF040E"/>
    <w:rsid w:val="00FF0C47"/>
    <w:rsid w:val="00FF1AC4"/>
    <w:rsid w:val="00FF4184"/>
    <w:rsid w:val="00FF6F85"/>
    <w:rsid w:val="00FF7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46CE"/>
  <w15:docId w15:val="{B6585478-3C7C-46CB-97E8-5832155E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40"/>
  </w:style>
  <w:style w:type="paragraph" w:styleId="Heading1">
    <w:name w:val="heading 1"/>
    <w:basedOn w:val="Normal"/>
    <w:next w:val="Normal"/>
    <w:link w:val="Heading1Char"/>
    <w:qFormat/>
    <w:rsid w:val="001B1C32"/>
    <w:pPr>
      <w:keepNext/>
      <w:spacing w:after="0" w:line="240" w:lineRule="auto"/>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Address"/>
    <w:basedOn w:val="Normal"/>
    <w:rsid w:val="00E06D42"/>
    <w:pPr>
      <w:spacing w:before="480" w:after="0" w:line="240" w:lineRule="auto"/>
    </w:pPr>
    <w:rPr>
      <w:rFonts w:ascii="Times New Roman" w:eastAsia="Times New Roman" w:hAnsi="Times New Roman" w:cs="Times New Roman"/>
      <w:sz w:val="20"/>
      <w:szCs w:val="20"/>
      <w:lang w:val="en-US"/>
    </w:rPr>
  </w:style>
  <w:style w:type="character" w:styleId="Hyperlink">
    <w:name w:val="Hyperlink"/>
    <w:rsid w:val="00E06D42"/>
    <w:rPr>
      <w:color w:val="0000FF"/>
      <w:u w:val="single"/>
    </w:rPr>
  </w:style>
  <w:style w:type="paragraph" w:styleId="BodyText2">
    <w:name w:val="Body Text 2"/>
    <w:basedOn w:val="Normal"/>
    <w:link w:val="BodyText2Char"/>
    <w:rsid w:val="00B0162E"/>
    <w:pPr>
      <w:spacing w:after="120" w:line="360" w:lineRule="auto"/>
      <w:ind w:left="720" w:hanging="720"/>
    </w:pPr>
    <w:rPr>
      <w:rFonts w:ascii="Times New Roman" w:eastAsia="Times New Roman" w:hAnsi="Times New Roman" w:cs="Times New Roman"/>
      <w:spacing w:val="-3"/>
      <w:sz w:val="24"/>
      <w:szCs w:val="20"/>
    </w:rPr>
  </w:style>
  <w:style w:type="character" w:customStyle="1" w:styleId="BodyText2Char">
    <w:name w:val="Body Text 2 Char"/>
    <w:basedOn w:val="DefaultParagraphFont"/>
    <w:link w:val="BodyText2"/>
    <w:rsid w:val="00B0162E"/>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31368C"/>
    <w:rPr>
      <w:sz w:val="16"/>
      <w:szCs w:val="16"/>
    </w:rPr>
  </w:style>
  <w:style w:type="paragraph" w:styleId="CommentText">
    <w:name w:val="annotation text"/>
    <w:basedOn w:val="Normal"/>
    <w:link w:val="CommentTextChar"/>
    <w:uiPriority w:val="99"/>
    <w:unhideWhenUsed/>
    <w:rsid w:val="0031368C"/>
    <w:pPr>
      <w:spacing w:line="240" w:lineRule="auto"/>
    </w:pPr>
    <w:rPr>
      <w:sz w:val="20"/>
      <w:szCs w:val="20"/>
    </w:rPr>
  </w:style>
  <w:style w:type="character" w:customStyle="1" w:styleId="CommentTextChar">
    <w:name w:val="Comment Text Char"/>
    <w:basedOn w:val="DefaultParagraphFont"/>
    <w:link w:val="CommentText"/>
    <w:uiPriority w:val="99"/>
    <w:rsid w:val="0031368C"/>
    <w:rPr>
      <w:sz w:val="20"/>
      <w:szCs w:val="20"/>
    </w:rPr>
  </w:style>
  <w:style w:type="paragraph" w:styleId="CommentSubject">
    <w:name w:val="annotation subject"/>
    <w:basedOn w:val="CommentText"/>
    <w:next w:val="CommentText"/>
    <w:link w:val="CommentSubjectChar"/>
    <w:uiPriority w:val="99"/>
    <w:semiHidden/>
    <w:unhideWhenUsed/>
    <w:rsid w:val="0031368C"/>
    <w:rPr>
      <w:b/>
      <w:bCs/>
    </w:rPr>
  </w:style>
  <w:style w:type="character" w:customStyle="1" w:styleId="CommentSubjectChar">
    <w:name w:val="Comment Subject Char"/>
    <w:basedOn w:val="CommentTextChar"/>
    <w:link w:val="CommentSubject"/>
    <w:uiPriority w:val="99"/>
    <w:semiHidden/>
    <w:rsid w:val="0031368C"/>
    <w:rPr>
      <w:b/>
      <w:bCs/>
      <w:sz w:val="20"/>
      <w:szCs w:val="20"/>
    </w:rPr>
  </w:style>
  <w:style w:type="paragraph" w:styleId="BalloonText">
    <w:name w:val="Balloon Text"/>
    <w:basedOn w:val="Normal"/>
    <w:link w:val="BalloonTextChar"/>
    <w:uiPriority w:val="99"/>
    <w:semiHidden/>
    <w:unhideWhenUsed/>
    <w:rsid w:val="00313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8C"/>
    <w:rPr>
      <w:rFonts w:ascii="Segoe UI" w:hAnsi="Segoe UI" w:cs="Segoe UI"/>
      <w:sz w:val="18"/>
      <w:szCs w:val="18"/>
    </w:rPr>
  </w:style>
  <w:style w:type="paragraph" w:styleId="BodyText">
    <w:name w:val="Body Text"/>
    <w:basedOn w:val="Normal"/>
    <w:link w:val="BodyTextChar"/>
    <w:uiPriority w:val="99"/>
    <w:semiHidden/>
    <w:unhideWhenUsed/>
    <w:rsid w:val="00854F48"/>
    <w:pPr>
      <w:spacing w:after="120"/>
    </w:pPr>
  </w:style>
  <w:style w:type="character" w:customStyle="1" w:styleId="BodyTextChar">
    <w:name w:val="Body Text Char"/>
    <w:basedOn w:val="DefaultParagraphFont"/>
    <w:link w:val="BodyText"/>
    <w:uiPriority w:val="99"/>
    <w:semiHidden/>
    <w:rsid w:val="00854F48"/>
  </w:style>
  <w:style w:type="table" w:styleId="TableGrid">
    <w:name w:val="Table Grid"/>
    <w:basedOn w:val="TableNormal"/>
    <w:uiPriority w:val="39"/>
    <w:rsid w:val="0088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824"/>
  </w:style>
  <w:style w:type="paragraph" w:styleId="Footer">
    <w:name w:val="footer"/>
    <w:basedOn w:val="Normal"/>
    <w:link w:val="FooterChar"/>
    <w:uiPriority w:val="99"/>
    <w:unhideWhenUsed/>
    <w:rsid w:val="00541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824"/>
  </w:style>
  <w:style w:type="character" w:customStyle="1" w:styleId="Heading1Char">
    <w:name w:val="Heading 1 Char"/>
    <w:basedOn w:val="DefaultParagraphFont"/>
    <w:link w:val="Heading1"/>
    <w:rsid w:val="001B1C32"/>
    <w:rPr>
      <w:rFonts w:ascii="Times New Roman" w:eastAsia="Times New Roman" w:hAnsi="Times New Roman" w:cs="Times New Roman"/>
      <w:i/>
      <w:iCs/>
      <w:sz w:val="24"/>
      <w:szCs w:val="24"/>
    </w:rPr>
  </w:style>
  <w:style w:type="paragraph" w:styleId="PlainText">
    <w:name w:val="Plain Text"/>
    <w:basedOn w:val="Normal"/>
    <w:link w:val="PlainTextChar"/>
    <w:rsid w:val="001B1C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1C32"/>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E05CC"/>
    <w:rPr>
      <w:color w:val="954F72" w:themeColor="followedHyperlink"/>
      <w:u w:val="single"/>
    </w:rPr>
  </w:style>
  <w:style w:type="paragraph" w:styleId="Title">
    <w:name w:val="Title"/>
    <w:basedOn w:val="Normal"/>
    <w:next w:val="Normal"/>
    <w:link w:val="TitleChar"/>
    <w:uiPriority w:val="10"/>
    <w:qFormat/>
    <w:rsid w:val="009250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049"/>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894684"/>
    <w:rPr>
      <w:color w:val="605E5C"/>
      <w:shd w:val="clear" w:color="auto" w:fill="E1DFDD"/>
    </w:rPr>
  </w:style>
  <w:style w:type="paragraph" w:styleId="Revision">
    <w:name w:val="Revision"/>
    <w:hidden/>
    <w:uiPriority w:val="99"/>
    <w:semiHidden/>
    <w:rsid w:val="00975728"/>
    <w:pPr>
      <w:spacing w:after="0" w:line="240" w:lineRule="auto"/>
    </w:pPr>
  </w:style>
  <w:style w:type="character" w:styleId="UnresolvedMention">
    <w:name w:val="Unresolved Mention"/>
    <w:basedOn w:val="DefaultParagraphFont"/>
    <w:uiPriority w:val="99"/>
    <w:semiHidden/>
    <w:unhideWhenUsed/>
    <w:rsid w:val="008A176D"/>
    <w:rPr>
      <w:color w:val="605E5C"/>
      <w:shd w:val="clear" w:color="auto" w:fill="E1DFDD"/>
    </w:rPr>
  </w:style>
  <w:style w:type="character" w:customStyle="1" w:styleId="cf01">
    <w:name w:val="cf01"/>
    <w:basedOn w:val="DefaultParagraphFont"/>
    <w:rsid w:val="00375643"/>
    <w:rPr>
      <w:rFonts w:ascii="Segoe UI" w:hAnsi="Segoe UI" w:cs="Segoe UI" w:hint="default"/>
      <w:i/>
      <w:iCs/>
      <w:sz w:val="18"/>
      <w:szCs w:val="18"/>
      <w:shd w:val="clear" w:color="auto" w:fill="FFFF00"/>
    </w:rPr>
  </w:style>
  <w:style w:type="character" w:customStyle="1" w:styleId="cf11">
    <w:name w:val="cf11"/>
    <w:basedOn w:val="DefaultParagraphFont"/>
    <w:rsid w:val="0037564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mccloskey@sheffield.ac.uk" TargetMode="External"/><Relationship Id="rId13" Type="http://schemas.openxmlformats.org/officeDocument/2006/relationships/hyperlink" Target="mailto:stefania.maggi@in.cnr.it" TargetMode="External"/><Relationship Id="rId18" Type="http://schemas.openxmlformats.org/officeDocument/2006/relationships/hyperlink" Target="https://ss.pmda.go.jp/en_all/search.x?q=osteoporosis&amp;ie=utf8&amp;cat=0&amp;pagemax=10&amp;imgsize=1&amp;pdf=ok&amp;zoom=1&amp;suggest=1&amp;counsel=1&amp;ref=www.pmda.go.jp&amp;pid=Fp8oj1XtsOnvzmF1SMqOwQ..&amp;qid=YlyMtLtewUXjdTr9eaLGkxC7j2s5IqGL&amp;page=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w.j.pontefract@sheff.ac.uk" TargetMode="External"/><Relationship Id="rId12" Type="http://schemas.openxmlformats.org/officeDocument/2006/relationships/hyperlink" Target="mailto:bess.dawson-hughes@tufts.edu" TargetMode="External"/><Relationship Id="rId17" Type="http://schemas.openxmlformats.org/officeDocument/2006/relationships/hyperlink" Target="http://www.shef.ac.uk/FRAX/index.htm" TargetMode="External"/><Relationship Id="rId2" Type="http://schemas.openxmlformats.org/officeDocument/2006/relationships/styles" Target="styles.xml"/><Relationship Id="rId16" Type="http://schemas.openxmlformats.org/officeDocument/2006/relationships/image" Target="media/image2.svg"/><Relationship Id="rId20" Type="http://schemas.openxmlformats.org/officeDocument/2006/relationships/hyperlink" Target="https://www.nice.org.uk/guidance/cg1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ne.rizzoli@unige.ch"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cc@mrc.soton.ac.uk" TargetMode="External"/><Relationship Id="rId19" Type="http://schemas.openxmlformats.org/officeDocument/2006/relationships/hyperlink" Target="http://www.shef.ac.uk/FRAX/index.htm" TargetMode="External"/><Relationship Id="rId4" Type="http://schemas.openxmlformats.org/officeDocument/2006/relationships/webSettings" Target="webSettings.xml"/><Relationship Id="rId9" Type="http://schemas.openxmlformats.org/officeDocument/2006/relationships/hyperlink" Target="mailto:nch@mrc.soton.ac.uk" TargetMode="External"/><Relationship Id="rId14" Type="http://schemas.openxmlformats.org/officeDocument/2006/relationships/hyperlink" Target="mailto:jyr.ch@bluewin.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348A0-91E2-4C25-A751-876456B6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7606</Words>
  <Characters>43360</Characters>
  <Application>Microsoft Office Word</Application>
  <DocSecurity>0</DocSecurity>
  <Lines>361</Lines>
  <Paragraphs>101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2022-06-06T17:13:00Z</cp:lastPrinted>
  <dcterms:created xsi:type="dcterms:W3CDTF">2022-12-22T10:07:00Z</dcterms:created>
  <dcterms:modified xsi:type="dcterms:W3CDTF">2022-12-22T10:07:00Z</dcterms:modified>
</cp:coreProperties>
</file>