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FBC9D" w14:textId="4702D962" w:rsidR="00BD7422" w:rsidRPr="00E97B9A" w:rsidRDefault="00E97B9A" w:rsidP="00E97B9A">
      <w:pPr>
        <w:jc w:val="right"/>
        <w:rPr>
          <w:i/>
          <w:iCs/>
          <w:sz w:val="18"/>
          <w:szCs w:val="18"/>
        </w:rPr>
      </w:pPr>
      <w:r w:rsidRPr="00E97B9A">
        <w:rPr>
          <w:i/>
          <w:iCs/>
          <w:sz w:val="18"/>
          <w:szCs w:val="18"/>
        </w:rPr>
        <w:t>HP</w:t>
      </w:r>
      <w:r w:rsidR="004C7ED3">
        <w:rPr>
          <w:i/>
          <w:iCs/>
          <w:sz w:val="18"/>
          <w:szCs w:val="18"/>
        </w:rPr>
        <w:t>TH</w:t>
      </w:r>
      <w:r w:rsidR="00BD7422" w:rsidRPr="00E97B9A">
        <w:rPr>
          <w:i/>
          <w:iCs/>
          <w:sz w:val="18"/>
          <w:szCs w:val="18"/>
        </w:rPr>
        <w:t xml:space="preserve"> and fracture probability </w:t>
      </w:r>
      <w:r w:rsidR="00FC5FBB" w:rsidRPr="00E97B9A">
        <w:rPr>
          <w:i/>
          <w:iCs/>
          <w:sz w:val="18"/>
          <w:szCs w:val="18"/>
        </w:rPr>
        <w:t>V</w:t>
      </w:r>
      <w:r w:rsidR="00E95426">
        <w:rPr>
          <w:i/>
          <w:iCs/>
          <w:sz w:val="18"/>
          <w:szCs w:val="18"/>
        </w:rPr>
        <w:t>9</w:t>
      </w:r>
    </w:p>
    <w:p w14:paraId="43205A0F" w14:textId="059C8CBA" w:rsidR="00050045" w:rsidRDefault="002940BD">
      <w:pPr>
        <w:rPr>
          <w:b/>
          <w:bCs/>
          <w:sz w:val="32"/>
          <w:szCs w:val="32"/>
        </w:rPr>
      </w:pPr>
      <w:bookmarkStart w:id="0" w:name="_Hlk85800531"/>
      <w:r>
        <w:rPr>
          <w:b/>
          <w:bCs/>
          <w:sz w:val="32"/>
          <w:szCs w:val="32"/>
        </w:rPr>
        <w:t>Primary h</w:t>
      </w:r>
      <w:r w:rsidR="00B22F71" w:rsidRPr="00F04CE7">
        <w:rPr>
          <w:b/>
          <w:bCs/>
          <w:sz w:val="32"/>
          <w:szCs w:val="32"/>
        </w:rPr>
        <w:t xml:space="preserve">yperparathyroidism and </w:t>
      </w:r>
      <w:r w:rsidR="006D4F8F" w:rsidRPr="00F04CE7">
        <w:rPr>
          <w:b/>
          <w:bCs/>
          <w:sz w:val="32"/>
          <w:szCs w:val="32"/>
        </w:rPr>
        <w:t>fracture probability</w:t>
      </w:r>
    </w:p>
    <w:p w14:paraId="57167E2D" w14:textId="16C64E93" w:rsidR="005069E8" w:rsidRDefault="009E4953">
      <w:pPr>
        <w:rPr>
          <w:rFonts w:ascii="Calibri" w:eastAsia="Times New Roman" w:hAnsi="Calibri" w:cs="Calibri"/>
          <w:sz w:val="24"/>
          <w:szCs w:val="24"/>
          <w:lang w:val="en-US" w:eastAsia="ru-RU"/>
        </w:rPr>
      </w:pPr>
      <w:r w:rsidRPr="002C07E6">
        <w:rPr>
          <w:rFonts w:ascii="Calibri" w:eastAsia="Times New Roman" w:hAnsi="Calibri" w:cs="Calibri"/>
          <w:sz w:val="24"/>
          <w:szCs w:val="24"/>
          <w:lang w:val="en-US" w:eastAsia="ru-RU"/>
        </w:rPr>
        <w:t>John A Kanis</w:t>
      </w:r>
      <w:r>
        <w:rPr>
          <w:rFonts w:ascii="Calibri" w:eastAsia="Times New Roman" w:hAnsi="Calibri" w:cs="Calibri"/>
          <w:sz w:val="24"/>
          <w:szCs w:val="24"/>
          <w:lang w:val="en-US" w:eastAsia="ru-RU"/>
        </w:rPr>
        <w:t xml:space="preserve"> </w:t>
      </w:r>
      <w:r w:rsidRPr="009E4953">
        <w:rPr>
          <w:rFonts w:ascii="Calibri" w:eastAsia="Times New Roman" w:hAnsi="Calibri" w:cs="Calibri"/>
          <w:sz w:val="24"/>
          <w:szCs w:val="24"/>
          <w:lang w:val="en-US" w:eastAsia="ru-RU"/>
        </w:rPr>
        <w:t>· Nicholas C Harvey ·</w:t>
      </w:r>
      <w:r w:rsidRPr="009E4953">
        <w:t xml:space="preserve"> </w:t>
      </w:r>
      <w:bookmarkStart w:id="1" w:name="_Hlk95386674"/>
      <w:r w:rsidRPr="009E4953">
        <w:rPr>
          <w:rFonts w:ascii="Calibri" w:eastAsia="Times New Roman" w:hAnsi="Calibri" w:cs="Calibri"/>
          <w:sz w:val="24"/>
          <w:szCs w:val="24"/>
          <w:lang w:val="en-US" w:eastAsia="ru-RU"/>
        </w:rPr>
        <w:t>Enwu Liu ·</w:t>
      </w:r>
      <w:r w:rsidRPr="009E4953">
        <w:t xml:space="preserve"> </w:t>
      </w:r>
      <w:r w:rsidRPr="009E4953">
        <w:rPr>
          <w:rFonts w:ascii="Calibri" w:eastAsia="Times New Roman" w:hAnsi="Calibri" w:cs="Calibri"/>
          <w:sz w:val="24"/>
          <w:szCs w:val="24"/>
          <w:lang w:val="en-US" w:eastAsia="ru-RU"/>
        </w:rPr>
        <w:t xml:space="preserve">Liesbeth Vandenput </w:t>
      </w:r>
      <w:bookmarkEnd w:id="1"/>
      <w:r w:rsidRPr="009E4953">
        <w:rPr>
          <w:rFonts w:ascii="Calibri" w:eastAsia="Times New Roman" w:hAnsi="Calibri" w:cs="Calibri"/>
          <w:sz w:val="24"/>
          <w:szCs w:val="24"/>
          <w:lang w:val="en-US" w:eastAsia="ru-RU"/>
        </w:rPr>
        <w:t>·</w:t>
      </w:r>
      <w:r>
        <w:rPr>
          <w:rFonts w:ascii="Calibri" w:eastAsia="Times New Roman" w:hAnsi="Calibri" w:cs="Calibri"/>
          <w:sz w:val="24"/>
          <w:szCs w:val="24"/>
          <w:lang w:val="en-US" w:eastAsia="ru-RU"/>
        </w:rPr>
        <w:t xml:space="preserve"> </w:t>
      </w:r>
      <w:r w:rsidRPr="009E4953">
        <w:rPr>
          <w:rFonts w:ascii="Calibri" w:eastAsia="Times New Roman" w:hAnsi="Calibri" w:cs="Calibri"/>
          <w:sz w:val="24"/>
          <w:szCs w:val="24"/>
          <w:lang w:val="en-US" w:eastAsia="ru-RU"/>
        </w:rPr>
        <w:t>Mattias Lorentzon ·</w:t>
      </w:r>
      <w:r w:rsidRPr="009E4953">
        <w:t xml:space="preserve"> </w:t>
      </w:r>
      <w:r w:rsidRPr="009E4953">
        <w:rPr>
          <w:rFonts w:ascii="Calibri" w:eastAsia="Times New Roman" w:hAnsi="Calibri" w:cs="Calibri"/>
          <w:sz w:val="24"/>
          <w:szCs w:val="24"/>
          <w:lang w:val="en-US" w:eastAsia="ru-RU"/>
        </w:rPr>
        <w:t xml:space="preserve">Eugene V </w:t>
      </w:r>
      <w:r w:rsidRPr="00D62A78">
        <w:rPr>
          <w:rFonts w:ascii="Calibri" w:eastAsia="Times New Roman" w:hAnsi="Calibri" w:cs="Calibri"/>
          <w:sz w:val="24"/>
          <w:szCs w:val="24"/>
          <w:lang w:val="en-US" w:eastAsia="ru-RU"/>
        </w:rPr>
        <w:t>McCloskey ·</w:t>
      </w:r>
      <w:r w:rsidR="007D08F8" w:rsidRPr="00D62A78">
        <w:rPr>
          <w:sz w:val="24"/>
          <w:szCs w:val="24"/>
        </w:rPr>
        <w:t xml:space="preserve"> </w:t>
      </w:r>
      <w:r w:rsidR="00D62A78" w:rsidRPr="00D62A78">
        <w:rPr>
          <w:sz w:val="24"/>
          <w:szCs w:val="24"/>
        </w:rPr>
        <w:t>R</w:t>
      </w:r>
      <w:r w:rsidR="00865D2D" w:rsidRPr="00D62A78">
        <w:rPr>
          <w:sz w:val="24"/>
          <w:szCs w:val="24"/>
        </w:rPr>
        <w:t>oger</w:t>
      </w:r>
      <w:r w:rsidR="00D62A78" w:rsidRPr="00D62A78">
        <w:rPr>
          <w:sz w:val="24"/>
          <w:szCs w:val="24"/>
        </w:rPr>
        <w:t xml:space="preserve"> </w:t>
      </w:r>
      <w:r w:rsidR="001046C3" w:rsidRPr="00D62A78">
        <w:rPr>
          <w:sz w:val="24"/>
          <w:szCs w:val="24"/>
        </w:rPr>
        <w:t xml:space="preserve">Bouillon </w:t>
      </w:r>
      <w:r w:rsidR="001046C3" w:rsidRPr="00D62A78">
        <w:rPr>
          <w:rFonts w:ascii="Calibri" w:eastAsia="Times New Roman" w:hAnsi="Calibri" w:cs="Calibri"/>
          <w:sz w:val="24"/>
          <w:szCs w:val="24"/>
          <w:lang w:val="en-US" w:eastAsia="ru-RU"/>
        </w:rPr>
        <w:t>·</w:t>
      </w:r>
      <w:r w:rsidR="00D62A78" w:rsidRPr="00D62A78">
        <w:rPr>
          <w:rFonts w:ascii="Calibri" w:eastAsia="Times New Roman" w:hAnsi="Calibri" w:cs="Calibri"/>
          <w:sz w:val="24"/>
          <w:szCs w:val="24"/>
          <w:lang w:val="en-US" w:eastAsia="ru-RU"/>
        </w:rPr>
        <w:t xml:space="preserve"> </w:t>
      </w:r>
      <w:r w:rsidR="007D08F8" w:rsidRPr="00D62A78">
        <w:rPr>
          <w:rFonts w:ascii="Calibri" w:eastAsia="Times New Roman" w:hAnsi="Calibri" w:cs="Calibri"/>
          <w:sz w:val="24"/>
          <w:szCs w:val="24"/>
          <w:lang w:val="en-US" w:eastAsia="ru-RU"/>
        </w:rPr>
        <w:t>Bo Abrahamsen</w:t>
      </w:r>
      <w:bookmarkStart w:id="2" w:name="_Hlk97038548"/>
      <w:r w:rsidR="007D08F8" w:rsidRPr="007D08F8">
        <w:rPr>
          <w:rFonts w:ascii="Calibri" w:eastAsia="Times New Roman" w:hAnsi="Calibri" w:cs="Calibri"/>
          <w:sz w:val="24"/>
          <w:szCs w:val="24"/>
          <w:lang w:val="en-US" w:eastAsia="ru-RU"/>
        </w:rPr>
        <w:t xml:space="preserve"> · </w:t>
      </w:r>
      <w:bookmarkEnd w:id="2"/>
      <w:r w:rsidR="007D08F8" w:rsidRPr="007D08F8">
        <w:rPr>
          <w:rFonts w:ascii="Calibri" w:eastAsia="Times New Roman" w:hAnsi="Calibri" w:cs="Calibri"/>
          <w:sz w:val="24"/>
          <w:szCs w:val="24"/>
          <w:lang w:val="en-US" w:eastAsia="ru-RU"/>
        </w:rPr>
        <w:t>Lars Rejnmark</w:t>
      </w:r>
      <w:r w:rsidR="002A7EC4">
        <w:t xml:space="preserve"> </w:t>
      </w:r>
      <w:r w:rsidR="002A7EC4" w:rsidRPr="002A7EC4">
        <w:t xml:space="preserve">· </w:t>
      </w:r>
      <w:r w:rsidR="002A7EC4" w:rsidRPr="002A7EC4">
        <w:rPr>
          <w:rFonts w:ascii="Calibri" w:eastAsia="Times New Roman" w:hAnsi="Calibri" w:cs="Calibri"/>
          <w:sz w:val="24"/>
          <w:szCs w:val="24"/>
          <w:lang w:val="en-US" w:eastAsia="ru-RU"/>
        </w:rPr>
        <w:t>Helena Johansson and the Danish primary hyperparathyroidism study group*</w:t>
      </w:r>
    </w:p>
    <w:bookmarkEnd w:id="0"/>
    <w:p w14:paraId="120E3C73" w14:textId="77777777" w:rsidR="002C07E6" w:rsidRPr="002C07E6" w:rsidRDefault="002C07E6" w:rsidP="002C07E6">
      <w:pPr>
        <w:spacing w:after="0" w:line="360" w:lineRule="auto"/>
        <w:ind w:right="708"/>
        <w:jc w:val="both"/>
        <w:rPr>
          <w:rFonts w:ascii="Calibri" w:eastAsia="Times New Roman" w:hAnsi="Calibri" w:cs="Calibri"/>
          <w:sz w:val="24"/>
          <w:szCs w:val="24"/>
          <w:lang w:val="en-US" w:eastAsia="ru-RU"/>
        </w:rPr>
      </w:pPr>
    </w:p>
    <w:tbl>
      <w:tblPr>
        <w:tblStyle w:val="TableGrid4"/>
        <w:tblW w:w="9017" w:type="dxa"/>
        <w:tblLayout w:type="fixed"/>
        <w:tblLook w:val="04A0" w:firstRow="1" w:lastRow="0" w:firstColumn="1" w:lastColumn="0" w:noHBand="0" w:noVBand="1"/>
      </w:tblPr>
      <w:tblGrid>
        <w:gridCol w:w="1980"/>
        <w:gridCol w:w="4111"/>
        <w:gridCol w:w="2926"/>
      </w:tblGrid>
      <w:tr w:rsidR="005069E8" w:rsidRPr="002C07E6" w14:paraId="37D72A3F" w14:textId="77777777" w:rsidTr="005069E8">
        <w:trPr>
          <w:trHeight w:val="563"/>
        </w:trPr>
        <w:tc>
          <w:tcPr>
            <w:tcW w:w="1980" w:type="dxa"/>
            <w:vMerge w:val="restart"/>
          </w:tcPr>
          <w:p w14:paraId="3C4AF3C3" w14:textId="044E8E44" w:rsidR="005069E8" w:rsidRPr="002C07E6" w:rsidRDefault="005069E8" w:rsidP="009C2A60">
            <w:pPr>
              <w:spacing w:after="200" w:line="276" w:lineRule="auto"/>
              <w:rPr>
                <w:rFonts w:eastAsia="Times New Roman" w:cs="Calibri"/>
                <w:sz w:val="20"/>
                <w:szCs w:val="20"/>
                <w:highlight w:val="yellow"/>
                <w:lang w:eastAsia="ru-RU"/>
              </w:rPr>
            </w:pPr>
            <w:r w:rsidRPr="00C3488F">
              <w:t>John A Kanis</w:t>
            </w:r>
          </w:p>
        </w:tc>
        <w:tc>
          <w:tcPr>
            <w:tcW w:w="4111" w:type="dxa"/>
          </w:tcPr>
          <w:p w14:paraId="2276412E" w14:textId="27FA0854" w:rsidR="005069E8" w:rsidRPr="002C07E6" w:rsidRDefault="005069E8" w:rsidP="009C2A60">
            <w:pPr>
              <w:spacing w:after="200" w:line="276" w:lineRule="auto"/>
              <w:rPr>
                <w:rFonts w:eastAsia="Times New Roman" w:cs="Calibri"/>
                <w:sz w:val="20"/>
                <w:szCs w:val="20"/>
                <w:highlight w:val="yellow"/>
                <w:lang w:val="en-AU" w:eastAsia="en-GB"/>
              </w:rPr>
            </w:pPr>
            <w:r w:rsidRPr="00C3488F">
              <w:t>Mary McKillop Institute for Health Research, Australian Catholic University, Melbourne, Australia</w:t>
            </w:r>
          </w:p>
        </w:tc>
        <w:tc>
          <w:tcPr>
            <w:tcW w:w="2926" w:type="dxa"/>
            <w:vMerge w:val="restart"/>
          </w:tcPr>
          <w:p w14:paraId="2DAF442C" w14:textId="2A702C6B" w:rsidR="005069E8" w:rsidRPr="002C07E6" w:rsidRDefault="005069E8" w:rsidP="009C2A60">
            <w:pPr>
              <w:spacing w:after="200" w:line="276" w:lineRule="auto"/>
              <w:rPr>
                <w:rFonts w:eastAsia="Times New Roman" w:cs="Calibri"/>
                <w:sz w:val="20"/>
                <w:szCs w:val="20"/>
                <w:highlight w:val="yellow"/>
                <w:lang w:val="en-AU" w:eastAsia="en-GB"/>
              </w:rPr>
            </w:pPr>
            <w:r w:rsidRPr="00C3488F">
              <w:t>w.j.pontefract@shef.ac.uk</w:t>
            </w:r>
          </w:p>
        </w:tc>
      </w:tr>
      <w:tr w:rsidR="005069E8" w:rsidRPr="002C07E6" w14:paraId="5A5B5334" w14:textId="77777777" w:rsidTr="002C07E6">
        <w:trPr>
          <w:trHeight w:val="562"/>
        </w:trPr>
        <w:tc>
          <w:tcPr>
            <w:tcW w:w="1980" w:type="dxa"/>
            <w:vMerge/>
          </w:tcPr>
          <w:p w14:paraId="09155D04" w14:textId="77777777" w:rsidR="005069E8" w:rsidRPr="00C3488F" w:rsidRDefault="005069E8" w:rsidP="009C2A60">
            <w:pPr>
              <w:spacing w:after="200" w:line="276" w:lineRule="auto"/>
            </w:pPr>
          </w:p>
        </w:tc>
        <w:tc>
          <w:tcPr>
            <w:tcW w:w="4111" w:type="dxa"/>
          </w:tcPr>
          <w:p w14:paraId="139E0D64" w14:textId="36FBFB2B" w:rsidR="005069E8" w:rsidRPr="00C3488F" w:rsidRDefault="005069E8" w:rsidP="009C2A60">
            <w:pPr>
              <w:spacing w:after="200" w:line="276" w:lineRule="auto"/>
            </w:pPr>
            <w:r w:rsidRPr="002C07E6">
              <w:rPr>
                <w:rFonts w:eastAsia="MS Mincho" w:cs="Calibri"/>
                <w:sz w:val="20"/>
                <w:szCs w:val="20"/>
                <w:lang w:val="en-AU" w:eastAsia="ja-JP"/>
              </w:rPr>
              <w:t>Centre for Metabolic Bone Diseases, University of Sheffield, Sheffield, UK</w:t>
            </w:r>
          </w:p>
        </w:tc>
        <w:tc>
          <w:tcPr>
            <w:tcW w:w="2926" w:type="dxa"/>
            <w:vMerge/>
          </w:tcPr>
          <w:p w14:paraId="31746BE1" w14:textId="77777777" w:rsidR="005069E8" w:rsidRPr="00C3488F" w:rsidRDefault="005069E8" w:rsidP="009C2A60">
            <w:pPr>
              <w:spacing w:after="200" w:line="276" w:lineRule="auto"/>
            </w:pPr>
          </w:p>
        </w:tc>
      </w:tr>
      <w:tr w:rsidR="009C2DD2" w:rsidRPr="002C07E6" w14:paraId="16F872F8" w14:textId="77777777" w:rsidTr="001A053C">
        <w:trPr>
          <w:trHeight w:val="240"/>
        </w:trPr>
        <w:tc>
          <w:tcPr>
            <w:tcW w:w="1980" w:type="dxa"/>
            <w:vMerge w:val="restart"/>
          </w:tcPr>
          <w:p w14:paraId="7F27B50E" w14:textId="77777777" w:rsidR="009C2DD2" w:rsidRPr="002C07E6" w:rsidRDefault="009C2DD2" w:rsidP="009C2DD2">
            <w:pPr>
              <w:spacing w:after="200" w:line="276" w:lineRule="auto"/>
              <w:rPr>
                <w:rFonts w:eastAsia="Times New Roman" w:cs="Calibri"/>
                <w:sz w:val="20"/>
                <w:szCs w:val="20"/>
                <w:lang w:eastAsia="ru-RU"/>
              </w:rPr>
            </w:pPr>
            <w:r w:rsidRPr="003168E1">
              <w:t>Nicholas C Harvey</w:t>
            </w:r>
          </w:p>
          <w:p w14:paraId="547C79B1" w14:textId="784EB94D" w:rsidR="009C2DD2" w:rsidRPr="002C07E6" w:rsidRDefault="009C2DD2" w:rsidP="009C2DD2">
            <w:pPr>
              <w:spacing w:after="200" w:line="276" w:lineRule="auto"/>
              <w:rPr>
                <w:rFonts w:eastAsia="Times New Roman" w:cs="Calibri"/>
                <w:sz w:val="20"/>
                <w:szCs w:val="20"/>
                <w:lang w:eastAsia="ru-RU"/>
              </w:rPr>
            </w:pPr>
          </w:p>
        </w:tc>
        <w:tc>
          <w:tcPr>
            <w:tcW w:w="4111" w:type="dxa"/>
          </w:tcPr>
          <w:p w14:paraId="566D4CAF" w14:textId="59A7753A" w:rsidR="009C2DD2" w:rsidRPr="002C07E6" w:rsidRDefault="009C2DD2" w:rsidP="009C2DD2">
            <w:pPr>
              <w:spacing w:after="200" w:line="276" w:lineRule="auto"/>
              <w:rPr>
                <w:rFonts w:eastAsia="Times New Roman" w:cs="Calibri"/>
                <w:sz w:val="20"/>
                <w:szCs w:val="20"/>
                <w:lang w:val="en-AU" w:eastAsia="en-GB"/>
              </w:rPr>
            </w:pPr>
            <w:r w:rsidRPr="003168E1">
              <w:t xml:space="preserve">MRC Lifecourse Epidemiology Centre, University of Southampton, Southampton, UK </w:t>
            </w:r>
          </w:p>
        </w:tc>
        <w:tc>
          <w:tcPr>
            <w:tcW w:w="2926" w:type="dxa"/>
            <w:vMerge w:val="restart"/>
          </w:tcPr>
          <w:p w14:paraId="502AB3FA" w14:textId="77777777" w:rsidR="009C2DD2" w:rsidRPr="002C07E6" w:rsidRDefault="009C2DD2" w:rsidP="009C2DD2">
            <w:pPr>
              <w:spacing w:after="200" w:line="276" w:lineRule="auto"/>
              <w:rPr>
                <w:rFonts w:eastAsia="Times New Roman" w:cs="Calibri"/>
                <w:sz w:val="20"/>
                <w:szCs w:val="20"/>
                <w:lang w:val="en-AU" w:eastAsia="en-GB"/>
              </w:rPr>
            </w:pPr>
            <w:r w:rsidRPr="003168E1">
              <w:t>nch@mrc.soton.ac.uk</w:t>
            </w:r>
          </w:p>
          <w:p w14:paraId="074C58D4" w14:textId="609F090A" w:rsidR="009C2DD2" w:rsidRPr="002C07E6" w:rsidRDefault="009C2DD2" w:rsidP="009C2DD2">
            <w:pPr>
              <w:spacing w:after="200" w:line="276" w:lineRule="auto"/>
              <w:rPr>
                <w:rFonts w:eastAsia="Times New Roman" w:cs="Calibri"/>
                <w:sz w:val="20"/>
                <w:szCs w:val="20"/>
                <w:lang w:val="en-AU" w:eastAsia="en-GB"/>
              </w:rPr>
            </w:pPr>
          </w:p>
        </w:tc>
      </w:tr>
      <w:tr w:rsidR="009C2DD2" w:rsidRPr="002C07E6" w14:paraId="6FDAF3C1" w14:textId="77777777" w:rsidTr="002C07E6">
        <w:trPr>
          <w:trHeight w:val="240"/>
        </w:trPr>
        <w:tc>
          <w:tcPr>
            <w:tcW w:w="1980" w:type="dxa"/>
            <w:vMerge/>
          </w:tcPr>
          <w:p w14:paraId="23B03A9D" w14:textId="77777777" w:rsidR="009C2DD2" w:rsidRPr="002C07E6" w:rsidRDefault="009C2DD2" w:rsidP="009C2DD2">
            <w:pPr>
              <w:spacing w:after="200" w:line="276" w:lineRule="auto"/>
              <w:rPr>
                <w:rFonts w:eastAsia="Times New Roman" w:cs="Calibri"/>
                <w:sz w:val="20"/>
                <w:szCs w:val="20"/>
                <w:lang w:eastAsia="ru-RU"/>
              </w:rPr>
            </w:pPr>
          </w:p>
        </w:tc>
        <w:tc>
          <w:tcPr>
            <w:tcW w:w="4111" w:type="dxa"/>
          </w:tcPr>
          <w:p w14:paraId="3AC5605E" w14:textId="3159E47B" w:rsidR="009C2DD2" w:rsidRPr="002C07E6" w:rsidRDefault="009C2DD2" w:rsidP="009C2DD2">
            <w:pPr>
              <w:spacing w:after="200" w:line="276" w:lineRule="auto"/>
              <w:rPr>
                <w:rFonts w:eastAsia="Times New Roman" w:cs="Calibri"/>
                <w:sz w:val="20"/>
                <w:szCs w:val="20"/>
                <w:lang w:val="en-AU" w:eastAsia="en-GB"/>
              </w:rPr>
            </w:pPr>
            <w:r w:rsidRPr="003168E1">
              <w:t>NIHR Southampton Biomedical Research Centre, University of Southampton and University Hospital Southampton NHS Foundation Trust, Southampton, UK</w:t>
            </w:r>
          </w:p>
        </w:tc>
        <w:tc>
          <w:tcPr>
            <w:tcW w:w="2926" w:type="dxa"/>
            <w:vMerge/>
          </w:tcPr>
          <w:p w14:paraId="410ECCFE" w14:textId="77777777" w:rsidR="009C2DD2" w:rsidRPr="002C07E6" w:rsidRDefault="009C2DD2" w:rsidP="009C2DD2">
            <w:pPr>
              <w:spacing w:after="200" w:line="276" w:lineRule="auto"/>
              <w:rPr>
                <w:rFonts w:eastAsia="Times New Roman" w:cs="Calibri"/>
                <w:sz w:val="20"/>
                <w:szCs w:val="20"/>
                <w:lang w:val="en-AU" w:eastAsia="en-GB"/>
              </w:rPr>
            </w:pPr>
          </w:p>
        </w:tc>
      </w:tr>
      <w:tr w:rsidR="000B0A4C" w:rsidRPr="002C07E6" w14:paraId="7C9F29A5" w14:textId="77777777" w:rsidTr="002C07E6">
        <w:tc>
          <w:tcPr>
            <w:tcW w:w="1980" w:type="dxa"/>
          </w:tcPr>
          <w:p w14:paraId="65078C32" w14:textId="5845875A" w:rsidR="000B0A4C" w:rsidRPr="002C07E6" w:rsidRDefault="000B0A4C" w:rsidP="000B0A4C">
            <w:pPr>
              <w:spacing w:after="200" w:line="276" w:lineRule="auto"/>
              <w:rPr>
                <w:rFonts w:eastAsia="Times New Roman" w:cs="Calibri"/>
                <w:sz w:val="20"/>
                <w:szCs w:val="20"/>
                <w:lang w:eastAsia="ru-RU"/>
              </w:rPr>
            </w:pPr>
            <w:r w:rsidRPr="006E1D96">
              <w:t>Enwu Liu</w:t>
            </w:r>
          </w:p>
        </w:tc>
        <w:tc>
          <w:tcPr>
            <w:tcW w:w="4111" w:type="dxa"/>
          </w:tcPr>
          <w:p w14:paraId="6D9A34C0" w14:textId="7E666D98" w:rsidR="000B0A4C" w:rsidRPr="002C07E6" w:rsidRDefault="000B0A4C" w:rsidP="000B0A4C">
            <w:pPr>
              <w:shd w:val="clear" w:color="auto" w:fill="FFFFFF"/>
              <w:spacing w:line="235" w:lineRule="atLeast"/>
              <w:rPr>
                <w:rFonts w:eastAsia="Times New Roman" w:cs="Calibri"/>
                <w:sz w:val="20"/>
                <w:szCs w:val="20"/>
                <w:lang w:val="en-AU" w:eastAsia="en-GB"/>
              </w:rPr>
            </w:pPr>
            <w:r w:rsidRPr="006E1D96">
              <w:t>Mary McKillop Institute for Health Research, Australian Catholic University, Melbourne, Australia</w:t>
            </w:r>
          </w:p>
        </w:tc>
        <w:tc>
          <w:tcPr>
            <w:tcW w:w="2926" w:type="dxa"/>
          </w:tcPr>
          <w:p w14:paraId="5CCB4190" w14:textId="3A87619F" w:rsidR="000B0A4C" w:rsidRPr="002C07E6" w:rsidRDefault="000B0A4C" w:rsidP="000B0A4C">
            <w:pPr>
              <w:spacing w:after="200" w:line="276" w:lineRule="auto"/>
              <w:rPr>
                <w:rFonts w:eastAsia="Times New Roman" w:cs="Calibri"/>
                <w:sz w:val="20"/>
                <w:szCs w:val="20"/>
                <w:lang w:val="en-AU" w:eastAsia="en-GB"/>
              </w:rPr>
            </w:pPr>
            <w:r w:rsidRPr="006E1D96">
              <w:t>enwu.liu@acu.edu.au</w:t>
            </w:r>
          </w:p>
        </w:tc>
      </w:tr>
      <w:tr w:rsidR="002C07E6" w:rsidRPr="002C07E6" w14:paraId="7405F71B" w14:textId="77777777" w:rsidTr="002C07E6">
        <w:trPr>
          <w:trHeight w:val="439"/>
        </w:trPr>
        <w:tc>
          <w:tcPr>
            <w:tcW w:w="1980" w:type="dxa"/>
            <w:vMerge w:val="restart"/>
          </w:tcPr>
          <w:p w14:paraId="010D9435" w14:textId="77777777" w:rsidR="002C07E6" w:rsidRPr="002C07E6" w:rsidRDefault="002C07E6" w:rsidP="002C07E6">
            <w:pPr>
              <w:spacing w:after="200" w:line="276" w:lineRule="auto"/>
              <w:rPr>
                <w:rFonts w:eastAsia="Times New Roman" w:cs="Calibri"/>
                <w:sz w:val="20"/>
                <w:szCs w:val="20"/>
                <w:lang w:eastAsia="ru-RU"/>
              </w:rPr>
            </w:pPr>
            <w:r w:rsidRPr="002C07E6">
              <w:rPr>
                <w:rFonts w:eastAsia="Calibri" w:cs="Calibri"/>
                <w:sz w:val="20"/>
                <w:szCs w:val="20"/>
                <w:lang w:val="en-AU" w:eastAsia="en-GB"/>
              </w:rPr>
              <w:t>Liesbeth Vandenput</w:t>
            </w:r>
          </w:p>
        </w:tc>
        <w:tc>
          <w:tcPr>
            <w:tcW w:w="4111" w:type="dxa"/>
          </w:tcPr>
          <w:p w14:paraId="00FB7313" w14:textId="77777777" w:rsidR="002C07E6" w:rsidRPr="002C07E6" w:rsidRDefault="002C07E6" w:rsidP="002C07E6">
            <w:pPr>
              <w:spacing w:after="200" w:line="276" w:lineRule="auto"/>
              <w:rPr>
                <w:rFonts w:eastAsia="Times New Roman" w:cs="Calibri"/>
                <w:sz w:val="20"/>
                <w:szCs w:val="20"/>
                <w:lang w:val="en-AU" w:eastAsia="en-GB"/>
              </w:rPr>
            </w:pPr>
            <w:r w:rsidRPr="002C07E6">
              <w:rPr>
                <w:rFonts w:eastAsia="Calibri" w:cs="Calibri"/>
                <w:sz w:val="20"/>
                <w:szCs w:val="20"/>
                <w:lang w:val="en-AU" w:eastAsia="en-GB"/>
              </w:rPr>
              <w:t>Mary McKillop Institute for Health Research, Australian Catholic University, Melbourne, Australia</w:t>
            </w:r>
          </w:p>
        </w:tc>
        <w:tc>
          <w:tcPr>
            <w:tcW w:w="2926" w:type="dxa"/>
            <w:vMerge w:val="restart"/>
          </w:tcPr>
          <w:p w14:paraId="497A4DC2" w14:textId="77777777" w:rsidR="002C07E6" w:rsidRPr="002C07E6" w:rsidRDefault="002C07E6" w:rsidP="002C07E6">
            <w:pPr>
              <w:spacing w:after="200" w:line="276" w:lineRule="auto"/>
              <w:rPr>
                <w:rFonts w:eastAsia="Times New Roman" w:cs="Calibri"/>
                <w:sz w:val="20"/>
                <w:szCs w:val="20"/>
                <w:lang w:val="en-AU" w:eastAsia="en-GB"/>
              </w:rPr>
            </w:pPr>
            <w:r w:rsidRPr="002C07E6">
              <w:rPr>
                <w:rFonts w:eastAsia="Times New Roman" w:cs="Calibri"/>
                <w:sz w:val="20"/>
                <w:szCs w:val="20"/>
                <w:lang w:val="en-AU" w:eastAsia="en-GB"/>
              </w:rPr>
              <w:t>liesbeth.vandenput@acu.edu.au</w:t>
            </w:r>
          </w:p>
        </w:tc>
      </w:tr>
      <w:tr w:rsidR="002C07E6" w:rsidRPr="002C07E6" w14:paraId="04A84EB6" w14:textId="77777777" w:rsidTr="002C07E6">
        <w:trPr>
          <w:trHeight w:val="439"/>
        </w:trPr>
        <w:tc>
          <w:tcPr>
            <w:tcW w:w="1980" w:type="dxa"/>
            <w:vMerge/>
          </w:tcPr>
          <w:p w14:paraId="23E5C06B" w14:textId="77777777" w:rsidR="002C07E6" w:rsidRPr="002C07E6" w:rsidRDefault="002C07E6" w:rsidP="002C07E6">
            <w:pPr>
              <w:spacing w:after="200" w:line="276" w:lineRule="auto"/>
              <w:rPr>
                <w:rFonts w:eastAsia="Calibri" w:cs="Calibri"/>
                <w:sz w:val="20"/>
                <w:szCs w:val="20"/>
                <w:lang w:val="en-AU" w:eastAsia="en-GB"/>
              </w:rPr>
            </w:pPr>
          </w:p>
        </w:tc>
        <w:tc>
          <w:tcPr>
            <w:tcW w:w="4111" w:type="dxa"/>
          </w:tcPr>
          <w:p w14:paraId="40139B38" w14:textId="77777777" w:rsidR="002C07E6" w:rsidRPr="002C07E6" w:rsidRDefault="002C07E6" w:rsidP="002C07E6">
            <w:pPr>
              <w:spacing w:after="200" w:line="276" w:lineRule="auto"/>
              <w:rPr>
                <w:rFonts w:eastAsia="Times New Roman" w:cs="Calibri"/>
                <w:sz w:val="20"/>
                <w:szCs w:val="20"/>
                <w:lang w:val="en-AU" w:eastAsia="en-GB"/>
              </w:rPr>
            </w:pPr>
            <w:proofErr w:type="spellStart"/>
            <w:r w:rsidRPr="002C07E6">
              <w:rPr>
                <w:rFonts w:eastAsia="Times New Roman" w:cs="Calibri"/>
                <w:sz w:val="20"/>
                <w:szCs w:val="20"/>
                <w:lang w:val="en-AU" w:eastAsia="en-GB"/>
              </w:rPr>
              <w:t>Sahlgrenska</w:t>
            </w:r>
            <w:proofErr w:type="spellEnd"/>
            <w:r w:rsidRPr="002C07E6">
              <w:rPr>
                <w:rFonts w:eastAsia="Times New Roman" w:cs="Calibri"/>
                <w:sz w:val="20"/>
                <w:szCs w:val="20"/>
                <w:lang w:val="en-AU" w:eastAsia="en-GB"/>
              </w:rPr>
              <w:t xml:space="preserve"> Osteoporosis Centre, Department of Internal Medicine and Clinical Nutrition, Institute of Medicine, </w:t>
            </w:r>
            <w:proofErr w:type="spellStart"/>
            <w:r w:rsidRPr="002C07E6">
              <w:rPr>
                <w:rFonts w:eastAsia="Times New Roman" w:cs="Calibri"/>
                <w:sz w:val="20"/>
                <w:szCs w:val="20"/>
                <w:lang w:val="en-AU" w:eastAsia="en-GB"/>
              </w:rPr>
              <w:t>Sahlgrenska</w:t>
            </w:r>
            <w:proofErr w:type="spellEnd"/>
            <w:r w:rsidRPr="002C07E6">
              <w:rPr>
                <w:rFonts w:eastAsia="Times New Roman" w:cs="Calibri"/>
                <w:sz w:val="20"/>
                <w:szCs w:val="20"/>
                <w:lang w:val="en-AU" w:eastAsia="en-GB"/>
              </w:rPr>
              <w:t xml:space="preserve"> Academy, University of Gothenburg, Gothenburg, Sweden</w:t>
            </w:r>
          </w:p>
        </w:tc>
        <w:tc>
          <w:tcPr>
            <w:tcW w:w="2926" w:type="dxa"/>
            <w:vMerge/>
          </w:tcPr>
          <w:p w14:paraId="4B367EB9" w14:textId="77777777" w:rsidR="002C07E6" w:rsidRPr="002C07E6" w:rsidRDefault="002C07E6" w:rsidP="002C07E6">
            <w:pPr>
              <w:spacing w:after="200" w:line="276" w:lineRule="auto"/>
              <w:rPr>
                <w:rFonts w:eastAsia="Times New Roman" w:cs="Calibri"/>
                <w:sz w:val="20"/>
                <w:szCs w:val="20"/>
                <w:lang w:val="en-AU" w:eastAsia="en-GB"/>
              </w:rPr>
            </w:pPr>
          </w:p>
        </w:tc>
      </w:tr>
      <w:tr w:rsidR="002C07E6" w:rsidRPr="002C07E6" w14:paraId="22A9331F" w14:textId="77777777" w:rsidTr="002C07E6">
        <w:trPr>
          <w:trHeight w:val="180"/>
        </w:trPr>
        <w:tc>
          <w:tcPr>
            <w:tcW w:w="1980" w:type="dxa"/>
            <w:vMerge w:val="restart"/>
          </w:tcPr>
          <w:p w14:paraId="59A33B07" w14:textId="77777777" w:rsidR="002C07E6" w:rsidRPr="002C07E6" w:rsidRDefault="002C07E6" w:rsidP="002C07E6">
            <w:pPr>
              <w:spacing w:after="200" w:line="276" w:lineRule="auto"/>
              <w:rPr>
                <w:rFonts w:eastAsia="Times New Roman" w:cs="Calibri"/>
                <w:sz w:val="20"/>
                <w:szCs w:val="20"/>
                <w:lang w:val="en-AU" w:eastAsia="en-GB"/>
              </w:rPr>
            </w:pPr>
            <w:r w:rsidRPr="002C07E6">
              <w:rPr>
                <w:rFonts w:eastAsia="Times New Roman" w:cs="Calibri"/>
                <w:sz w:val="20"/>
                <w:szCs w:val="20"/>
                <w:lang w:val="en-AU" w:eastAsia="en-GB"/>
              </w:rPr>
              <w:t>Mattias Lorentzon</w:t>
            </w:r>
          </w:p>
        </w:tc>
        <w:tc>
          <w:tcPr>
            <w:tcW w:w="4111" w:type="dxa"/>
          </w:tcPr>
          <w:p w14:paraId="661C5D66" w14:textId="77777777" w:rsidR="002C07E6" w:rsidRPr="002C07E6" w:rsidRDefault="002C07E6" w:rsidP="002C07E6">
            <w:pPr>
              <w:spacing w:after="200" w:line="276" w:lineRule="auto"/>
              <w:rPr>
                <w:rFonts w:eastAsia="Times New Roman" w:cs="Calibri"/>
                <w:sz w:val="20"/>
                <w:szCs w:val="20"/>
                <w:lang w:val="en-AU" w:eastAsia="en-GB"/>
              </w:rPr>
            </w:pPr>
            <w:r w:rsidRPr="002C07E6">
              <w:rPr>
                <w:rFonts w:eastAsia="Times New Roman" w:cs="Calibri"/>
                <w:sz w:val="20"/>
                <w:szCs w:val="20"/>
                <w:lang w:val="en-AU" w:eastAsia="en-GB"/>
              </w:rPr>
              <w:t>Mary McKillop Institute for Health Research, Australian Catholic University, Melbourne, Australia</w:t>
            </w:r>
          </w:p>
        </w:tc>
        <w:tc>
          <w:tcPr>
            <w:tcW w:w="2926" w:type="dxa"/>
            <w:vMerge w:val="restart"/>
          </w:tcPr>
          <w:p w14:paraId="6937F46F" w14:textId="77777777" w:rsidR="002C07E6" w:rsidRPr="002C07E6" w:rsidRDefault="002C07E6" w:rsidP="002C07E6">
            <w:pPr>
              <w:spacing w:after="200" w:line="276" w:lineRule="auto"/>
              <w:rPr>
                <w:rFonts w:eastAsia="Times New Roman" w:cs="Calibri"/>
                <w:sz w:val="20"/>
                <w:szCs w:val="20"/>
                <w:lang w:val="en-AU" w:eastAsia="en-GB"/>
              </w:rPr>
            </w:pPr>
            <w:r w:rsidRPr="002C07E6">
              <w:rPr>
                <w:rFonts w:eastAsia="Times New Roman" w:cs="Calibri"/>
                <w:sz w:val="20"/>
                <w:szCs w:val="20"/>
                <w:lang w:val="en-AU" w:eastAsia="en-GB"/>
              </w:rPr>
              <w:t>mattias.lorentzon@medic.gu.se</w:t>
            </w:r>
          </w:p>
        </w:tc>
      </w:tr>
      <w:tr w:rsidR="002C07E6" w:rsidRPr="002C07E6" w14:paraId="0F8D4F59" w14:textId="77777777" w:rsidTr="002C07E6">
        <w:trPr>
          <w:trHeight w:val="180"/>
        </w:trPr>
        <w:tc>
          <w:tcPr>
            <w:tcW w:w="1980" w:type="dxa"/>
            <w:vMerge/>
          </w:tcPr>
          <w:p w14:paraId="501AFC36" w14:textId="77777777" w:rsidR="002C07E6" w:rsidRPr="002C07E6" w:rsidRDefault="002C07E6" w:rsidP="002C07E6">
            <w:pPr>
              <w:spacing w:after="200" w:line="276" w:lineRule="auto"/>
              <w:rPr>
                <w:rFonts w:eastAsia="Times New Roman" w:cs="Calibri"/>
                <w:sz w:val="20"/>
                <w:szCs w:val="20"/>
                <w:lang w:val="en-AU" w:eastAsia="en-GB"/>
              </w:rPr>
            </w:pPr>
          </w:p>
        </w:tc>
        <w:tc>
          <w:tcPr>
            <w:tcW w:w="4111" w:type="dxa"/>
          </w:tcPr>
          <w:p w14:paraId="364A7630" w14:textId="77777777" w:rsidR="002C07E6" w:rsidRPr="002C07E6" w:rsidRDefault="002C07E6" w:rsidP="002C07E6">
            <w:pPr>
              <w:spacing w:after="200" w:line="276" w:lineRule="auto"/>
              <w:rPr>
                <w:rFonts w:eastAsia="Times New Roman" w:cs="Calibri"/>
                <w:sz w:val="20"/>
                <w:szCs w:val="20"/>
                <w:lang w:val="en-AU" w:eastAsia="en-GB"/>
              </w:rPr>
            </w:pPr>
            <w:proofErr w:type="spellStart"/>
            <w:r w:rsidRPr="002C07E6">
              <w:rPr>
                <w:rFonts w:eastAsia="Times New Roman" w:cs="Calibri"/>
                <w:sz w:val="20"/>
                <w:szCs w:val="20"/>
                <w:lang w:val="en-AU" w:eastAsia="en-GB"/>
              </w:rPr>
              <w:t>Sahlgrenska</w:t>
            </w:r>
            <w:proofErr w:type="spellEnd"/>
            <w:r w:rsidRPr="002C07E6">
              <w:rPr>
                <w:rFonts w:eastAsia="Times New Roman" w:cs="Calibri"/>
                <w:sz w:val="20"/>
                <w:szCs w:val="20"/>
                <w:lang w:val="en-AU" w:eastAsia="en-GB"/>
              </w:rPr>
              <w:t xml:space="preserve"> Osteoporosis Centre, Institute of Medicine, University of Gothenburg, Sweden</w:t>
            </w:r>
          </w:p>
        </w:tc>
        <w:tc>
          <w:tcPr>
            <w:tcW w:w="2926" w:type="dxa"/>
            <w:vMerge/>
          </w:tcPr>
          <w:p w14:paraId="61A4EFB8" w14:textId="77777777" w:rsidR="002C07E6" w:rsidRPr="002C07E6" w:rsidRDefault="002C07E6" w:rsidP="002C07E6">
            <w:pPr>
              <w:spacing w:after="200" w:line="276" w:lineRule="auto"/>
              <w:rPr>
                <w:rFonts w:eastAsia="Times New Roman" w:cs="Calibri"/>
                <w:sz w:val="20"/>
                <w:szCs w:val="20"/>
                <w:lang w:val="en-AU" w:eastAsia="en-GB"/>
              </w:rPr>
            </w:pPr>
          </w:p>
        </w:tc>
      </w:tr>
      <w:tr w:rsidR="002C07E6" w:rsidRPr="002C07E6" w14:paraId="45F489B0" w14:textId="77777777" w:rsidTr="002C07E6">
        <w:trPr>
          <w:trHeight w:val="180"/>
        </w:trPr>
        <w:tc>
          <w:tcPr>
            <w:tcW w:w="1980" w:type="dxa"/>
            <w:vMerge/>
          </w:tcPr>
          <w:p w14:paraId="3B29B338" w14:textId="77777777" w:rsidR="002C07E6" w:rsidRPr="002C07E6" w:rsidRDefault="002C07E6" w:rsidP="002C07E6">
            <w:pPr>
              <w:spacing w:after="200" w:line="276" w:lineRule="auto"/>
              <w:rPr>
                <w:rFonts w:eastAsia="Times New Roman" w:cs="Calibri"/>
                <w:sz w:val="20"/>
                <w:szCs w:val="20"/>
                <w:lang w:val="en-AU" w:eastAsia="en-GB"/>
              </w:rPr>
            </w:pPr>
          </w:p>
        </w:tc>
        <w:tc>
          <w:tcPr>
            <w:tcW w:w="4111" w:type="dxa"/>
          </w:tcPr>
          <w:p w14:paraId="49CD336D" w14:textId="77777777" w:rsidR="002C07E6" w:rsidRPr="002C07E6" w:rsidRDefault="002C07E6" w:rsidP="002C07E6">
            <w:pPr>
              <w:spacing w:after="200" w:line="276" w:lineRule="auto"/>
              <w:rPr>
                <w:rFonts w:eastAsia="Times New Roman" w:cs="Calibri"/>
                <w:sz w:val="20"/>
                <w:szCs w:val="20"/>
                <w:lang w:val="en-AU" w:eastAsia="en-GB"/>
              </w:rPr>
            </w:pPr>
            <w:r w:rsidRPr="002C07E6">
              <w:rPr>
                <w:rFonts w:eastAsia="Times New Roman" w:cs="Calibri"/>
                <w:sz w:val="20"/>
                <w:szCs w:val="20"/>
                <w:lang w:eastAsia="en-GB"/>
              </w:rPr>
              <w:t xml:space="preserve">Region </w:t>
            </w:r>
            <w:proofErr w:type="spellStart"/>
            <w:r w:rsidRPr="002C07E6">
              <w:rPr>
                <w:rFonts w:eastAsia="Times New Roman" w:cs="Calibri"/>
                <w:sz w:val="20"/>
                <w:szCs w:val="20"/>
                <w:lang w:eastAsia="en-GB"/>
              </w:rPr>
              <w:t>Västra</w:t>
            </w:r>
            <w:proofErr w:type="spellEnd"/>
            <w:r w:rsidRPr="002C07E6">
              <w:rPr>
                <w:rFonts w:eastAsia="Times New Roman" w:cs="Calibri"/>
                <w:sz w:val="20"/>
                <w:szCs w:val="20"/>
                <w:lang w:eastAsia="en-GB"/>
              </w:rPr>
              <w:t xml:space="preserve"> </w:t>
            </w:r>
            <w:proofErr w:type="spellStart"/>
            <w:r w:rsidRPr="002C07E6">
              <w:rPr>
                <w:rFonts w:eastAsia="Times New Roman" w:cs="Calibri"/>
                <w:sz w:val="20"/>
                <w:szCs w:val="20"/>
                <w:lang w:eastAsia="en-GB"/>
              </w:rPr>
              <w:t>Götaland</w:t>
            </w:r>
            <w:proofErr w:type="spellEnd"/>
            <w:r w:rsidRPr="002C07E6">
              <w:rPr>
                <w:rFonts w:eastAsia="Times New Roman" w:cs="Calibri"/>
                <w:sz w:val="20"/>
                <w:szCs w:val="20"/>
                <w:lang w:eastAsia="en-GB"/>
              </w:rPr>
              <w:t xml:space="preserve">, Geriatric Medicine, </w:t>
            </w:r>
            <w:proofErr w:type="spellStart"/>
            <w:r w:rsidRPr="002C07E6">
              <w:rPr>
                <w:rFonts w:eastAsia="Times New Roman" w:cs="Calibri"/>
                <w:sz w:val="20"/>
                <w:szCs w:val="20"/>
                <w:lang w:eastAsia="en-GB"/>
              </w:rPr>
              <w:t>Sahlgrenska</w:t>
            </w:r>
            <w:proofErr w:type="spellEnd"/>
            <w:r w:rsidRPr="002C07E6">
              <w:rPr>
                <w:rFonts w:eastAsia="Times New Roman" w:cs="Calibri"/>
                <w:sz w:val="20"/>
                <w:szCs w:val="20"/>
                <w:lang w:eastAsia="en-GB"/>
              </w:rPr>
              <w:t xml:space="preserve"> University Hospital, </w:t>
            </w:r>
            <w:proofErr w:type="spellStart"/>
            <w:r w:rsidRPr="002C07E6">
              <w:rPr>
                <w:rFonts w:eastAsia="Times New Roman" w:cs="Calibri"/>
                <w:sz w:val="20"/>
                <w:szCs w:val="20"/>
                <w:lang w:eastAsia="en-GB"/>
              </w:rPr>
              <w:t>Mölndal</w:t>
            </w:r>
            <w:proofErr w:type="spellEnd"/>
            <w:r w:rsidRPr="002C07E6">
              <w:rPr>
                <w:rFonts w:eastAsia="Times New Roman" w:cs="Calibri"/>
                <w:sz w:val="20"/>
                <w:szCs w:val="20"/>
                <w:lang w:eastAsia="en-GB"/>
              </w:rPr>
              <w:t>, Sweden</w:t>
            </w:r>
          </w:p>
        </w:tc>
        <w:tc>
          <w:tcPr>
            <w:tcW w:w="2926" w:type="dxa"/>
            <w:vMerge/>
          </w:tcPr>
          <w:p w14:paraId="603AAC65" w14:textId="77777777" w:rsidR="002C07E6" w:rsidRPr="002C07E6" w:rsidRDefault="002C07E6" w:rsidP="002C07E6">
            <w:pPr>
              <w:spacing w:after="200" w:line="276" w:lineRule="auto"/>
              <w:rPr>
                <w:rFonts w:eastAsia="Times New Roman" w:cs="Calibri"/>
                <w:sz w:val="20"/>
                <w:szCs w:val="20"/>
                <w:lang w:val="en-AU" w:eastAsia="en-GB"/>
              </w:rPr>
            </w:pPr>
          </w:p>
        </w:tc>
      </w:tr>
      <w:tr w:rsidR="002C07E6" w:rsidRPr="002C07E6" w14:paraId="5BD4233E" w14:textId="77777777" w:rsidTr="002C07E6">
        <w:tc>
          <w:tcPr>
            <w:tcW w:w="1980" w:type="dxa"/>
            <w:vMerge w:val="restart"/>
          </w:tcPr>
          <w:p w14:paraId="35EA1ADC" w14:textId="77777777" w:rsidR="002C07E6" w:rsidRPr="002C07E6" w:rsidRDefault="002C07E6" w:rsidP="002C07E6">
            <w:pPr>
              <w:spacing w:after="200" w:line="276" w:lineRule="auto"/>
              <w:rPr>
                <w:rFonts w:eastAsia="Times New Roman" w:cs="Calibri"/>
                <w:sz w:val="20"/>
                <w:szCs w:val="20"/>
                <w:lang w:val="en-AU" w:eastAsia="en-GB"/>
              </w:rPr>
            </w:pPr>
            <w:bookmarkStart w:id="3" w:name="_Hlk59704582"/>
            <w:r w:rsidRPr="002C07E6">
              <w:rPr>
                <w:rFonts w:eastAsia="Times New Roman" w:cs="Calibri"/>
                <w:sz w:val="20"/>
                <w:szCs w:val="20"/>
                <w:lang w:val="en-AU" w:eastAsia="en-GB"/>
              </w:rPr>
              <w:t>Eugene V McCloskey</w:t>
            </w:r>
            <w:bookmarkEnd w:id="3"/>
          </w:p>
        </w:tc>
        <w:tc>
          <w:tcPr>
            <w:tcW w:w="4111" w:type="dxa"/>
          </w:tcPr>
          <w:p w14:paraId="7115312D" w14:textId="77777777" w:rsidR="002C07E6" w:rsidRPr="002C07E6" w:rsidRDefault="002C07E6" w:rsidP="002C07E6">
            <w:pPr>
              <w:spacing w:after="200" w:line="276" w:lineRule="auto"/>
              <w:rPr>
                <w:rFonts w:eastAsia="Times New Roman" w:cs="Calibri"/>
                <w:sz w:val="20"/>
                <w:szCs w:val="20"/>
                <w:lang w:val="en-AU" w:eastAsia="en-GB"/>
              </w:rPr>
            </w:pPr>
            <w:r w:rsidRPr="002C07E6">
              <w:rPr>
                <w:rFonts w:eastAsia="Times New Roman" w:cs="Calibri"/>
                <w:sz w:val="20"/>
                <w:szCs w:val="20"/>
                <w:lang w:val="en-AU" w:eastAsia="en-GB"/>
              </w:rPr>
              <w:t>Centre for Metabolic Bone Diseases, University of Sheffield, Sheffield, UK</w:t>
            </w:r>
          </w:p>
        </w:tc>
        <w:tc>
          <w:tcPr>
            <w:tcW w:w="2926" w:type="dxa"/>
            <w:vMerge w:val="restart"/>
          </w:tcPr>
          <w:p w14:paraId="550C8195" w14:textId="77777777" w:rsidR="002C07E6" w:rsidRPr="002C07E6" w:rsidRDefault="002C07E6" w:rsidP="002C07E6">
            <w:pPr>
              <w:spacing w:after="200" w:line="276" w:lineRule="auto"/>
              <w:rPr>
                <w:rFonts w:eastAsia="Times New Roman" w:cs="Calibri"/>
                <w:sz w:val="20"/>
                <w:szCs w:val="20"/>
                <w:lang w:val="en-AU" w:eastAsia="en-GB"/>
              </w:rPr>
            </w:pPr>
            <w:r w:rsidRPr="002C07E6">
              <w:rPr>
                <w:rFonts w:eastAsia="Times New Roman" w:cs="Calibri"/>
                <w:sz w:val="20"/>
                <w:szCs w:val="20"/>
                <w:lang w:val="en-AU" w:eastAsia="en-GB"/>
              </w:rPr>
              <w:t>e.v.mccloskey@sheffield.ac.uk</w:t>
            </w:r>
          </w:p>
        </w:tc>
      </w:tr>
      <w:tr w:rsidR="002C07E6" w:rsidRPr="002C07E6" w14:paraId="676E7E97" w14:textId="77777777" w:rsidTr="002C07E6">
        <w:tc>
          <w:tcPr>
            <w:tcW w:w="1980" w:type="dxa"/>
            <w:vMerge/>
          </w:tcPr>
          <w:p w14:paraId="7458F3DC" w14:textId="77777777" w:rsidR="002C07E6" w:rsidRPr="002C07E6" w:rsidRDefault="002C07E6" w:rsidP="002C07E6">
            <w:pPr>
              <w:spacing w:after="200" w:line="276" w:lineRule="auto"/>
              <w:rPr>
                <w:rFonts w:eastAsia="Times New Roman" w:cs="Calibri"/>
                <w:sz w:val="20"/>
                <w:szCs w:val="20"/>
                <w:lang w:val="en-AU" w:eastAsia="en-GB"/>
              </w:rPr>
            </w:pPr>
          </w:p>
        </w:tc>
        <w:tc>
          <w:tcPr>
            <w:tcW w:w="4111" w:type="dxa"/>
          </w:tcPr>
          <w:p w14:paraId="1390462C" w14:textId="77777777" w:rsidR="002C07E6" w:rsidRPr="002C07E6" w:rsidRDefault="002C07E6" w:rsidP="002C07E6">
            <w:pPr>
              <w:spacing w:after="200" w:line="276" w:lineRule="auto"/>
              <w:rPr>
                <w:rFonts w:eastAsia="Times New Roman" w:cs="Calibri"/>
                <w:sz w:val="20"/>
                <w:szCs w:val="20"/>
                <w:lang w:val="en-AU" w:eastAsia="en-GB"/>
              </w:rPr>
            </w:pPr>
            <w:proofErr w:type="spellStart"/>
            <w:r w:rsidRPr="002C07E6">
              <w:rPr>
                <w:rFonts w:eastAsia="Times New Roman" w:cs="Calibri"/>
                <w:sz w:val="20"/>
                <w:szCs w:val="20"/>
                <w:lang w:val="en-AU" w:eastAsia="en-GB"/>
              </w:rPr>
              <w:t>Mellanby</w:t>
            </w:r>
            <w:proofErr w:type="spellEnd"/>
            <w:r w:rsidRPr="002C07E6">
              <w:rPr>
                <w:rFonts w:eastAsia="Times New Roman" w:cs="Calibri"/>
                <w:sz w:val="20"/>
                <w:szCs w:val="20"/>
                <w:lang w:val="en-AU" w:eastAsia="en-GB"/>
              </w:rPr>
              <w:t xml:space="preserve"> Centre for Musculoskeletal Research, Department of Oncology and Metabolism, University of Sheffield, Sheffield, UK</w:t>
            </w:r>
          </w:p>
        </w:tc>
        <w:tc>
          <w:tcPr>
            <w:tcW w:w="2926" w:type="dxa"/>
            <w:vMerge/>
          </w:tcPr>
          <w:p w14:paraId="20E0B438" w14:textId="77777777" w:rsidR="002C07E6" w:rsidRPr="002C07E6" w:rsidRDefault="002C07E6" w:rsidP="002C07E6">
            <w:pPr>
              <w:spacing w:after="200" w:line="276" w:lineRule="auto"/>
              <w:rPr>
                <w:rFonts w:eastAsia="Times New Roman" w:cs="Calibri"/>
                <w:sz w:val="20"/>
                <w:szCs w:val="20"/>
                <w:lang w:val="en-AU" w:eastAsia="en-GB"/>
              </w:rPr>
            </w:pPr>
          </w:p>
        </w:tc>
      </w:tr>
      <w:tr w:rsidR="001046C3" w:rsidRPr="002C07E6" w14:paraId="39FBAFF5" w14:textId="77777777" w:rsidTr="002C07E6">
        <w:tc>
          <w:tcPr>
            <w:tcW w:w="1980" w:type="dxa"/>
          </w:tcPr>
          <w:p w14:paraId="6BD0BB64" w14:textId="42AE1ADE" w:rsidR="001046C3" w:rsidRPr="002C07E6" w:rsidRDefault="001046C3" w:rsidP="002C07E6">
            <w:pPr>
              <w:spacing w:after="200" w:line="276" w:lineRule="auto"/>
              <w:rPr>
                <w:rFonts w:eastAsia="Times New Roman" w:cs="Calibri"/>
                <w:sz w:val="20"/>
                <w:szCs w:val="20"/>
                <w:lang w:val="en-AU" w:eastAsia="en-GB"/>
              </w:rPr>
            </w:pPr>
            <w:r w:rsidRPr="001046C3">
              <w:rPr>
                <w:rFonts w:eastAsia="Times New Roman" w:cs="Calibri"/>
                <w:sz w:val="20"/>
                <w:szCs w:val="20"/>
                <w:lang w:val="en-AU" w:eastAsia="en-GB"/>
              </w:rPr>
              <w:t>Roger Bouillon</w:t>
            </w:r>
          </w:p>
        </w:tc>
        <w:tc>
          <w:tcPr>
            <w:tcW w:w="4111" w:type="dxa"/>
          </w:tcPr>
          <w:p w14:paraId="41B1DCD8" w14:textId="44E3B147" w:rsidR="001046C3" w:rsidRPr="002C07E6" w:rsidRDefault="001046C3" w:rsidP="002C07E6">
            <w:pPr>
              <w:spacing w:after="200" w:line="276" w:lineRule="auto"/>
              <w:rPr>
                <w:rFonts w:eastAsia="Times New Roman" w:cs="Calibri"/>
                <w:sz w:val="20"/>
                <w:szCs w:val="20"/>
                <w:lang w:val="en-AU" w:eastAsia="en-GB"/>
              </w:rPr>
            </w:pPr>
            <w:r w:rsidRPr="001046C3">
              <w:rPr>
                <w:rFonts w:eastAsia="Times New Roman" w:cs="Calibri"/>
                <w:sz w:val="20"/>
                <w:szCs w:val="20"/>
                <w:lang w:val="en-AU" w:eastAsia="en-GB"/>
              </w:rPr>
              <w:t xml:space="preserve">Clinical and Experimental Endocrinology, Department of Chronic Diseases and Metabolism, </w:t>
            </w:r>
            <w:proofErr w:type="spellStart"/>
            <w:r w:rsidRPr="001046C3">
              <w:rPr>
                <w:rFonts w:eastAsia="Times New Roman" w:cs="Calibri"/>
                <w:sz w:val="20"/>
                <w:szCs w:val="20"/>
                <w:lang w:val="en-AU" w:eastAsia="en-GB"/>
              </w:rPr>
              <w:t>KULeuven</w:t>
            </w:r>
            <w:proofErr w:type="spellEnd"/>
            <w:r w:rsidRPr="001046C3">
              <w:rPr>
                <w:rFonts w:eastAsia="Times New Roman" w:cs="Calibri"/>
                <w:sz w:val="20"/>
                <w:szCs w:val="20"/>
                <w:lang w:val="en-AU" w:eastAsia="en-GB"/>
              </w:rPr>
              <w:t xml:space="preserve">, Leuven, Belgium. </w:t>
            </w:r>
          </w:p>
        </w:tc>
        <w:tc>
          <w:tcPr>
            <w:tcW w:w="2926" w:type="dxa"/>
          </w:tcPr>
          <w:p w14:paraId="5F722B80" w14:textId="4554A59B" w:rsidR="001046C3" w:rsidRPr="002C07E6" w:rsidRDefault="001046C3" w:rsidP="002C07E6">
            <w:pPr>
              <w:spacing w:after="200" w:line="276" w:lineRule="auto"/>
              <w:rPr>
                <w:rFonts w:eastAsia="Times New Roman" w:cs="Calibri"/>
                <w:sz w:val="20"/>
                <w:szCs w:val="20"/>
                <w:lang w:val="en-AU" w:eastAsia="en-GB"/>
              </w:rPr>
            </w:pPr>
            <w:r w:rsidRPr="001046C3">
              <w:rPr>
                <w:rFonts w:eastAsia="Times New Roman" w:cs="Calibri"/>
                <w:sz w:val="20"/>
                <w:szCs w:val="20"/>
                <w:lang w:val="en-AU" w:eastAsia="en-GB"/>
              </w:rPr>
              <w:t>roger.bouillon@kuleuven.be</w:t>
            </w:r>
          </w:p>
        </w:tc>
      </w:tr>
      <w:tr w:rsidR="00412638" w:rsidRPr="002C07E6" w14:paraId="068E29A4" w14:textId="77777777" w:rsidTr="0065118C">
        <w:trPr>
          <w:trHeight w:val="904"/>
        </w:trPr>
        <w:tc>
          <w:tcPr>
            <w:tcW w:w="1980" w:type="dxa"/>
            <w:vMerge w:val="restart"/>
          </w:tcPr>
          <w:p w14:paraId="2C3DB2BC" w14:textId="328422FA" w:rsidR="00412638" w:rsidRPr="002C07E6" w:rsidRDefault="00412638" w:rsidP="002C07E6">
            <w:pPr>
              <w:spacing w:after="200" w:line="276" w:lineRule="auto"/>
              <w:rPr>
                <w:rFonts w:eastAsia="Times New Roman" w:cs="Calibri"/>
                <w:sz w:val="20"/>
                <w:szCs w:val="20"/>
                <w:lang w:val="en-AU" w:eastAsia="en-GB"/>
              </w:rPr>
            </w:pPr>
            <w:r w:rsidRPr="00B416FE">
              <w:rPr>
                <w:rFonts w:eastAsia="Times New Roman" w:cs="Calibri"/>
                <w:sz w:val="20"/>
                <w:szCs w:val="20"/>
                <w:lang w:val="en-AU" w:eastAsia="en-GB"/>
              </w:rPr>
              <w:t xml:space="preserve">Bo Abrahamsen </w:t>
            </w:r>
          </w:p>
        </w:tc>
        <w:tc>
          <w:tcPr>
            <w:tcW w:w="4111" w:type="dxa"/>
          </w:tcPr>
          <w:p w14:paraId="55FE91CA" w14:textId="727E761D" w:rsidR="00412638" w:rsidRPr="002C07E6" w:rsidRDefault="00412638" w:rsidP="0065118C">
            <w:pPr>
              <w:spacing w:after="200" w:line="276" w:lineRule="auto"/>
              <w:rPr>
                <w:rFonts w:eastAsia="Times New Roman" w:cs="Calibri"/>
                <w:sz w:val="20"/>
                <w:szCs w:val="20"/>
                <w:lang w:val="en-AU" w:eastAsia="en-GB"/>
              </w:rPr>
            </w:pPr>
            <w:r w:rsidRPr="006D57AD">
              <w:rPr>
                <w:rFonts w:eastAsia="Times New Roman" w:cs="Calibri"/>
                <w:sz w:val="20"/>
                <w:szCs w:val="20"/>
                <w:lang w:val="en-AU" w:eastAsia="en-GB"/>
              </w:rPr>
              <w:t>Department of Clinical Research, University of Southern Denmark and Odense University Hospital, Odense C, Denmark.</w:t>
            </w:r>
          </w:p>
        </w:tc>
        <w:tc>
          <w:tcPr>
            <w:tcW w:w="2926" w:type="dxa"/>
            <w:vMerge w:val="restart"/>
          </w:tcPr>
          <w:p w14:paraId="222BD4C4" w14:textId="6CB6EC54" w:rsidR="00412638" w:rsidRPr="002C07E6" w:rsidRDefault="00412638" w:rsidP="002C07E6">
            <w:pPr>
              <w:spacing w:after="200" w:line="276" w:lineRule="auto"/>
              <w:rPr>
                <w:rFonts w:eastAsia="Times New Roman" w:cs="Calibri"/>
                <w:sz w:val="20"/>
                <w:szCs w:val="20"/>
                <w:lang w:val="en-AU" w:eastAsia="en-GB"/>
              </w:rPr>
            </w:pPr>
            <w:r w:rsidRPr="00970C1A">
              <w:rPr>
                <w:rFonts w:eastAsia="Times New Roman" w:cs="Calibri"/>
                <w:sz w:val="20"/>
                <w:szCs w:val="20"/>
                <w:lang w:val="en-AU" w:eastAsia="en-GB"/>
              </w:rPr>
              <w:t>b.abrahamsen@physician.dk</w:t>
            </w:r>
          </w:p>
        </w:tc>
      </w:tr>
      <w:tr w:rsidR="00412638" w:rsidRPr="002C07E6" w14:paraId="1FC25CE0" w14:textId="77777777" w:rsidTr="002C07E6">
        <w:trPr>
          <w:trHeight w:val="904"/>
        </w:trPr>
        <w:tc>
          <w:tcPr>
            <w:tcW w:w="1980" w:type="dxa"/>
            <w:vMerge/>
          </w:tcPr>
          <w:p w14:paraId="555B7DA1" w14:textId="77777777" w:rsidR="00412638" w:rsidRPr="00B416FE" w:rsidRDefault="00412638" w:rsidP="002C07E6">
            <w:pPr>
              <w:spacing w:after="200" w:line="276" w:lineRule="auto"/>
              <w:rPr>
                <w:rFonts w:eastAsia="Times New Roman" w:cs="Calibri"/>
                <w:sz w:val="20"/>
                <w:szCs w:val="20"/>
                <w:lang w:val="en-AU" w:eastAsia="en-GB"/>
              </w:rPr>
            </w:pPr>
          </w:p>
        </w:tc>
        <w:tc>
          <w:tcPr>
            <w:tcW w:w="4111" w:type="dxa"/>
          </w:tcPr>
          <w:p w14:paraId="31EF7CA7" w14:textId="63A55C1B" w:rsidR="00412638" w:rsidRPr="006D57AD" w:rsidRDefault="00412638" w:rsidP="006D57AD">
            <w:pPr>
              <w:spacing w:after="200" w:line="276" w:lineRule="auto"/>
              <w:rPr>
                <w:rFonts w:eastAsia="Times New Roman" w:cs="Calibri"/>
                <w:sz w:val="20"/>
                <w:szCs w:val="20"/>
                <w:lang w:val="en-AU" w:eastAsia="en-GB"/>
              </w:rPr>
            </w:pPr>
            <w:proofErr w:type="spellStart"/>
            <w:r w:rsidRPr="006D57AD">
              <w:rPr>
                <w:rFonts w:eastAsia="Times New Roman" w:cs="Calibri"/>
                <w:sz w:val="20"/>
                <w:szCs w:val="20"/>
                <w:lang w:val="en-AU" w:eastAsia="en-GB"/>
              </w:rPr>
              <w:t>Holbæk</w:t>
            </w:r>
            <w:proofErr w:type="spellEnd"/>
            <w:r w:rsidRPr="006D57AD">
              <w:rPr>
                <w:rFonts w:eastAsia="Times New Roman" w:cs="Calibri"/>
                <w:sz w:val="20"/>
                <w:szCs w:val="20"/>
                <w:lang w:val="en-AU" w:eastAsia="en-GB"/>
              </w:rPr>
              <w:t xml:space="preserve"> Hospital, Department of Medicine, </w:t>
            </w:r>
            <w:proofErr w:type="spellStart"/>
            <w:r w:rsidRPr="006D57AD">
              <w:rPr>
                <w:rFonts w:eastAsia="Times New Roman" w:cs="Calibri"/>
                <w:sz w:val="20"/>
                <w:szCs w:val="20"/>
                <w:lang w:val="en-AU" w:eastAsia="en-GB"/>
              </w:rPr>
              <w:t>Holbæk</w:t>
            </w:r>
            <w:proofErr w:type="spellEnd"/>
            <w:r w:rsidRPr="006D57AD">
              <w:rPr>
                <w:rFonts w:eastAsia="Times New Roman" w:cs="Calibri"/>
                <w:sz w:val="20"/>
                <w:szCs w:val="20"/>
                <w:lang w:val="en-AU" w:eastAsia="en-GB"/>
              </w:rPr>
              <w:t>, Denmark.</w:t>
            </w:r>
          </w:p>
        </w:tc>
        <w:tc>
          <w:tcPr>
            <w:tcW w:w="2926" w:type="dxa"/>
            <w:vMerge/>
          </w:tcPr>
          <w:p w14:paraId="4B8DF37A" w14:textId="77777777" w:rsidR="00412638" w:rsidRPr="002C07E6" w:rsidRDefault="00412638" w:rsidP="002C07E6">
            <w:pPr>
              <w:spacing w:after="200" w:line="276" w:lineRule="auto"/>
              <w:rPr>
                <w:rFonts w:eastAsia="Times New Roman" w:cs="Calibri"/>
                <w:sz w:val="20"/>
                <w:szCs w:val="20"/>
                <w:lang w:val="en-AU" w:eastAsia="en-GB"/>
              </w:rPr>
            </w:pPr>
          </w:p>
        </w:tc>
      </w:tr>
      <w:tr w:rsidR="00412638" w:rsidRPr="002C07E6" w14:paraId="709BE6E6" w14:textId="77777777" w:rsidTr="002C07E6">
        <w:trPr>
          <w:trHeight w:val="904"/>
        </w:trPr>
        <w:tc>
          <w:tcPr>
            <w:tcW w:w="1980" w:type="dxa"/>
            <w:vMerge/>
          </w:tcPr>
          <w:p w14:paraId="71F5004B" w14:textId="77777777" w:rsidR="00412638" w:rsidRPr="009C01CC" w:rsidRDefault="00412638" w:rsidP="002C07E6">
            <w:pPr>
              <w:spacing w:after="200" w:line="276" w:lineRule="auto"/>
              <w:rPr>
                <w:rFonts w:eastAsia="Times New Roman" w:cs="Calibri"/>
                <w:sz w:val="20"/>
                <w:szCs w:val="20"/>
                <w:lang w:val="en-GB" w:eastAsia="en-GB"/>
              </w:rPr>
            </w:pPr>
          </w:p>
        </w:tc>
        <w:tc>
          <w:tcPr>
            <w:tcW w:w="4111" w:type="dxa"/>
          </w:tcPr>
          <w:p w14:paraId="5F1924DF" w14:textId="795F78C8" w:rsidR="00412638" w:rsidRPr="006D57AD" w:rsidRDefault="00E93482" w:rsidP="006D57AD">
            <w:pPr>
              <w:spacing w:after="200" w:line="276" w:lineRule="auto"/>
              <w:rPr>
                <w:rFonts w:eastAsia="Times New Roman" w:cs="Calibri"/>
                <w:sz w:val="20"/>
                <w:szCs w:val="20"/>
                <w:lang w:val="en-AU" w:eastAsia="en-GB"/>
              </w:rPr>
            </w:pPr>
            <w:r w:rsidRPr="00E93482">
              <w:rPr>
                <w:rFonts w:eastAsia="Times New Roman" w:cs="Calibri"/>
                <w:sz w:val="20"/>
                <w:szCs w:val="20"/>
                <w:lang w:val="en-AU" w:eastAsia="en-GB"/>
              </w:rPr>
              <w:t>Nuffield Department of Orthopaedics, Rheumatology and Musculoskeletal Sciences, Oxford University, Windmill Road, Oxford OX3 7LD, UK</w:t>
            </w:r>
          </w:p>
        </w:tc>
        <w:tc>
          <w:tcPr>
            <w:tcW w:w="2926" w:type="dxa"/>
            <w:vMerge/>
          </w:tcPr>
          <w:p w14:paraId="62A860F1" w14:textId="77777777" w:rsidR="00412638" w:rsidRPr="002C07E6" w:rsidRDefault="00412638" w:rsidP="002C07E6">
            <w:pPr>
              <w:spacing w:after="200" w:line="276" w:lineRule="auto"/>
              <w:rPr>
                <w:rFonts w:eastAsia="Times New Roman" w:cs="Calibri"/>
                <w:sz w:val="20"/>
                <w:szCs w:val="20"/>
                <w:lang w:val="en-AU" w:eastAsia="en-GB"/>
              </w:rPr>
            </w:pPr>
          </w:p>
        </w:tc>
      </w:tr>
      <w:tr w:rsidR="0065118C" w:rsidRPr="002C07E6" w14:paraId="2015A160" w14:textId="77777777" w:rsidTr="0065118C">
        <w:trPr>
          <w:trHeight w:val="240"/>
        </w:trPr>
        <w:tc>
          <w:tcPr>
            <w:tcW w:w="1980" w:type="dxa"/>
            <w:vMerge w:val="restart"/>
          </w:tcPr>
          <w:p w14:paraId="2F29AD1C" w14:textId="6B5B8EDA" w:rsidR="0065118C" w:rsidRPr="002C07E6" w:rsidRDefault="0065118C" w:rsidP="002C07E6">
            <w:pPr>
              <w:spacing w:after="200" w:line="276" w:lineRule="auto"/>
              <w:rPr>
                <w:rFonts w:eastAsia="Times New Roman" w:cs="Calibri"/>
                <w:sz w:val="20"/>
                <w:szCs w:val="20"/>
                <w:lang w:val="en-AU" w:eastAsia="en-GB"/>
              </w:rPr>
            </w:pPr>
            <w:r w:rsidRPr="00B416FE">
              <w:rPr>
                <w:rFonts w:eastAsia="Times New Roman" w:cs="Calibri"/>
                <w:sz w:val="20"/>
                <w:szCs w:val="20"/>
                <w:lang w:val="en-AU" w:eastAsia="en-GB"/>
              </w:rPr>
              <w:t>Lars Rejnmark</w:t>
            </w:r>
          </w:p>
        </w:tc>
        <w:tc>
          <w:tcPr>
            <w:tcW w:w="4111" w:type="dxa"/>
          </w:tcPr>
          <w:p w14:paraId="6CE2DB6B" w14:textId="4B547B55" w:rsidR="0065118C" w:rsidRPr="002C07E6" w:rsidRDefault="0049192E" w:rsidP="002C07E6">
            <w:pPr>
              <w:spacing w:after="200" w:line="276" w:lineRule="auto"/>
              <w:rPr>
                <w:rFonts w:eastAsia="Times New Roman" w:cs="Calibri"/>
                <w:sz w:val="20"/>
                <w:szCs w:val="20"/>
                <w:lang w:val="en-AU" w:eastAsia="en-GB"/>
              </w:rPr>
            </w:pPr>
            <w:r w:rsidRPr="0049192E">
              <w:rPr>
                <w:rFonts w:eastAsia="Times New Roman" w:cs="Calibri"/>
                <w:sz w:val="20"/>
                <w:szCs w:val="20"/>
                <w:lang w:val="en-AU" w:eastAsia="en-GB"/>
              </w:rPr>
              <w:t>Department of Endocrinology and Internal Medicine, Aarhus University Hospital, Aarhus, Denmark</w:t>
            </w:r>
          </w:p>
        </w:tc>
        <w:tc>
          <w:tcPr>
            <w:tcW w:w="2926" w:type="dxa"/>
            <w:vMerge w:val="restart"/>
          </w:tcPr>
          <w:p w14:paraId="56088650" w14:textId="26047870" w:rsidR="0065118C" w:rsidRPr="002C07E6" w:rsidRDefault="0065118C" w:rsidP="002C07E6">
            <w:pPr>
              <w:spacing w:after="200" w:line="276" w:lineRule="auto"/>
              <w:rPr>
                <w:rFonts w:eastAsia="Times New Roman" w:cs="Calibri"/>
                <w:sz w:val="20"/>
                <w:szCs w:val="20"/>
                <w:lang w:val="en-AU" w:eastAsia="en-GB"/>
              </w:rPr>
            </w:pPr>
            <w:r w:rsidRPr="00020FD7">
              <w:rPr>
                <w:rFonts w:eastAsia="Times New Roman" w:cs="Calibri"/>
                <w:sz w:val="20"/>
                <w:szCs w:val="20"/>
                <w:lang w:val="en-AU" w:eastAsia="en-GB"/>
              </w:rPr>
              <w:t>rejnmark@clin.au.dk</w:t>
            </w:r>
          </w:p>
        </w:tc>
      </w:tr>
      <w:tr w:rsidR="0065118C" w:rsidRPr="002C07E6" w14:paraId="2640E05A" w14:textId="77777777" w:rsidTr="002C07E6">
        <w:trPr>
          <w:trHeight w:val="240"/>
        </w:trPr>
        <w:tc>
          <w:tcPr>
            <w:tcW w:w="1980" w:type="dxa"/>
            <w:vMerge/>
          </w:tcPr>
          <w:p w14:paraId="6559C716" w14:textId="77777777" w:rsidR="0065118C" w:rsidRPr="00B416FE" w:rsidRDefault="0065118C" w:rsidP="002C07E6">
            <w:pPr>
              <w:spacing w:after="200" w:line="276" w:lineRule="auto"/>
              <w:rPr>
                <w:rFonts w:eastAsia="Times New Roman" w:cs="Calibri"/>
                <w:sz w:val="20"/>
                <w:szCs w:val="20"/>
                <w:lang w:val="en-AU" w:eastAsia="en-GB"/>
              </w:rPr>
            </w:pPr>
          </w:p>
        </w:tc>
        <w:tc>
          <w:tcPr>
            <w:tcW w:w="4111" w:type="dxa"/>
          </w:tcPr>
          <w:p w14:paraId="40379240" w14:textId="3BAD12BC" w:rsidR="0065118C" w:rsidRPr="002C07E6" w:rsidRDefault="00A0123E" w:rsidP="002C07E6">
            <w:pPr>
              <w:spacing w:after="200" w:line="276" w:lineRule="auto"/>
              <w:rPr>
                <w:rFonts w:eastAsia="Times New Roman" w:cs="Calibri"/>
                <w:sz w:val="20"/>
                <w:szCs w:val="20"/>
                <w:lang w:val="en-AU" w:eastAsia="en-GB"/>
              </w:rPr>
            </w:pPr>
            <w:r w:rsidRPr="00A0123E">
              <w:rPr>
                <w:rFonts w:eastAsia="Times New Roman" w:cs="Calibri"/>
                <w:sz w:val="20"/>
                <w:szCs w:val="20"/>
                <w:lang w:val="en-AU" w:eastAsia="en-GB"/>
              </w:rPr>
              <w:t>Institute of Clinical Medicine, Aarhus University, Aarhus, Denmark.</w:t>
            </w:r>
          </w:p>
        </w:tc>
        <w:tc>
          <w:tcPr>
            <w:tcW w:w="2926" w:type="dxa"/>
            <w:vMerge/>
          </w:tcPr>
          <w:p w14:paraId="2EF2735F" w14:textId="77777777" w:rsidR="0065118C" w:rsidRPr="00020FD7" w:rsidRDefault="0065118C" w:rsidP="002C07E6">
            <w:pPr>
              <w:spacing w:after="200" w:line="276" w:lineRule="auto"/>
              <w:rPr>
                <w:rFonts w:eastAsia="Times New Roman" w:cs="Calibri"/>
                <w:sz w:val="20"/>
                <w:szCs w:val="20"/>
                <w:lang w:val="en-AU" w:eastAsia="en-GB"/>
              </w:rPr>
            </w:pPr>
          </w:p>
        </w:tc>
      </w:tr>
      <w:tr w:rsidR="002C07E6" w:rsidRPr="002C07E6" w14:paraId="0DD803CD" w14:textId="77777777" w:rsidTr="002C07E6">
        <w:trPr>
          <w:trHeight w:val="404"/>
        </w:trPr>
        <w:tc>
          <w:tcPr>
            <w:tcW w:w="1980" w:type="dxa"/>
            <w:vMerge w:val="restart"/>
          </w:tcPr>
          <w:p w14:paraId="14FB542E" w14:textId="77777777" w:rsidR="002C07E6" w:rsidRPr="002C07E6" w:rsidRDefault="002C07E6" w:rsidP="002C07E6">
            <w:pPr>
              <w:spacing w:after="200" w:line="276" w:lineRule="auto"/>
              <w:rPr>
                <w:rFonts w:eastAsia="Times New Roman" w:cs="Calibri"/>
                <w:sz w:val="20"/>
                <w:szCs w:val="20"/>
                <w:lang w:val="en-AU" w:eastAsia="en-GB"/>
              </w:rPr>
            </w:pPr>
            <w:r w:rsidRPr="002C07E6">
              <w:rPr>
                <w:rFonts w:eastAsia="Times New Roman" w:cs="Calibri"/>
                <w:sz w:val="20"/>
                <w:szCs w:val="20"/>
                <w:lang w:val="en-AU" w:eastAsia="en-GB"/>
              </w:rPr>
              <w:t>Helena Johansson</w:t>
            </w:r>
          </w:p>
        </w:tc>
        <w:tc>
          <w:tcPr>
            <w:tcW w:w="4111" w:type="dxa"/>
          </w:tcPr>
          <w:p w14:paraId="08D91CB7" w14:textId="77777777" w:rsidR="002C07E6" w:rsidRPr="002C07E6" w:rsidRDefault="002C07E6" w:rsidP="002C07E6">
            <w:pPr>
              <w:spacing w:after="200" w:line="276" w:lineRule="auto"/>
              <w:rPr>
                <w:rFonts w:eastAsia="Times New Roman" w:cs="Calibri"/>
                <w:sz w:val="20"/>
                <w:szCs w:val="20"/>
                <w:lang w:val="en-AU" w:eastAsia="en-GB"/>
              </w:rPr>
            </w:pPr>
            <w:r w:rsidRPr="002C07E6">
              <w:rPr>
                <w:rFonts w:eastAsia="Times New Roman" w:cs="Calibri"/>
                <w:sz w:val="20"/>
                <w:szCs w:val="20"/>
                <w:lang w:val="en-AU" w:eastAsia="en-GB"/>
              </w:rPr>
              <w:t>Mary McKillop Institute for Health Research, Australian Catholic University, Melbourne, Australia</w:t>
            </w:r>
          </w:p>
        </w:tc>
        <w:tc>
          <w:tcPr>
            <w:tcW w:w="2926" w:type="dxa"/>
            <w:vMerge w:val="restart"/>
          </w:tcPr>
          <w:p w14:paraId="0C2F4E35" w14:textId="77777777" w:rsidR="002C07E6" w:rsidRPr="002C07E6" w:rsidRDefault="002C07E6" w:rsidP="002C07E6">
            <w:pPr>
              <w:spacing w:after="200" w:line="276" w:lineRule="auto"/>
              <w:rPr>
                <w:rFonts w:eastAsia="Times New Roman" w:cs="Calibri"/>
                <w:sz w:val="20"/>
                <w:szCs w:val="20"/>
                <w:lang w:val="en-AU" w:eastAsia="en-GB"/>
              </w:rPr>
            </w:pPr>
            <w:r w:rsidRPr="002C07E6">
              <w:rPr>
                <w:rFonts w:eastAsia="Times New Roman" w:cs="Calibri"/>
                <w:sz w:val="20"/>
                <w:szCs w:val="20"/>
                <w:lang w:val="en-AU" w:eastAsia="en-GB"/>
              </w:rPr>
              <w:t>helena@statiq.se</w:t>
            </w:r>
          </w:p>
        </w:tc>
      </w:tr>
      <w:tr w:rsidR="002C07E6" w:rsidRPr="002C07E6" w14:paraId="326F0A04" w14:textId="77777777" w:rsidTr="002C07E6">
        <w:trPr>
          <w:trHeight w:val="402"/>
        </w:trPr>
        <w:tc>
          <w:tcPr>
            <w:tcW w:w="1980" w:type="dxa"/>
            <w:vMerge/>
          </w:tcPr>
          <w:p w14:paraId="331679F5" w14:textId="77777777" w:rsidR="002C07E6" w:rsidRPr="002C07E6" w:rsidRDefault="002C07E6" w:rsidP="002C07E6">
            <w:pPr>
              <w:spacing w:after="200" w:line="276" w:lineRule="auto"/>
              <w:rPr>
                <w:rFonts w:eastAsia="Times New Roman" w:cs="Calibri"/>
                <w:sz w:val="20"/>
                <w:szCs w:val="20"/>
                <w:lang w:val="en-AU" w:eastAsia="en-GB"/>
              </w:rPr>
            </w:pPr>
          </w:p>
        </w:tc>
        <w:tc>
          <w:tcPr>
            <w:tcW w:w="4111" w:type="dxa"/>
          </w:tcPr>
          <w:p w14:paraId="00518579" w14:textId="77777777" w:rsidR="002C07E6" w:rsidRPr="002C07E6" w:rsidRDefault="002C07E6" w:rsidP="002C07E6">
            <w:pPr>
              <w:spacing w:after="200" w:line="276" w:lineRule="auto"/>
              <w:rPr>
                <w:rFonts w:eastAsia="Times New Roman" w:cs="Calibri"/>
                <w:sz w:val="20"/>
                <w:szCs w:val="20"/>
                <w:lang w:val="en-AU" w:eastAsia="en-GB"/>
              </w:rPr>
            </w:pPr>
            <w:r w:rsidRPr="002C07E6">
              <w:rPr>
                <w:rFonts w:eastAsia="MS Mincho" w:cs="Calibri"/>
                <w:sz w:val="20"/>
                <w:szCs w:val="20"/>
                <w:lang w:val="en-AU" w:eastAsia="ja-JP"/>
              </w:rPr>
              <w:t>Centre for Metabolic Bone Diseases, University of Sheffield, Sheffield, UK</w:t>
            </w:r>
          </w:p>
        </w:tc>
        <w:tc>
          <w:tcPr>
            <w:tcW w:w="2926" w:type="dxa"/>
            <w:vMerge/>
          </w:tcPr>
          <w:p w14:paraId="527A21C9" w14:textId="77777777" w:rsidR="002C07E6" w:rsidRPr="002C07E6" w:rsidRDefault="002C07E6" w:rsidP="002C07E6">
            <w:pPr>
              <w:spacing w:after="200" w:line="276" w:lineRule="auto"/>
              <w:rPr>
                <w:rFonts w:eastAsia="Times New Roman" w:cs="Calibri"/>
                <w:sz w:val="20"/>
                <w:szCs w:val="20"/>
                <w:lang w:val="en-AU" w:eastAsia="en-GB"/>
              </w:rPr>
            </w:pPr>
          </w:p>
        </w:tc>
      </w:tr>
      <w:tr w:rsidR="002C07E6" w:rsidRPr="002C07E6" w14:paraId="2B950093" w14:textId="77777777" w:rsidTr="002C07E6">
        <w:trPr>
          <w:trHeight w:val="402"/>
        </w:trPr>
        <w:tc>
          <w:tcPr>
            <w:tcW w:w="1980" w:type="dxa"/>
            <w:vMerge/>
          </w:tcPr>
          <w:p w14:paraId="68E01630" w14:textId="77777777" w:rsidR="002C07E6" w:rsidRPr="002C07E6" w:rsidRDefault="002C07E6" w:rsidP="002C07E6">
            <w:pPr>
              <w:spacing w:after="200" w:line="276" w:lineRule="auto"/>
              <w:rPr>
                <w:rFonts w:eastAsia="Times New Roman" w:cs="Calibri"/>
                <w:sz w:val="20"/>
                <w:szCs w:val="20"/>
                <w:lang w:val="en-AU" w:eastAsia="en-GB"/>
              </w:rPr>
            </w:pPr>
          </w:p>
        </w:tc>
        <w:tc>
          <w:tcPr>
            <w:tcW w:w="4111" w:type="dxa"/>
          </w:tcPr>
          <w:p w14:paraId="77C02E5D" w14:textId="77777777" w:rsidR="002C07E6" w:rsidRPr="002C07E6" w:rsidRDefault="002C07E6" w:rsidP="002C07E6">
            <w:pPr>
              <w:spacing w:after="200" w:line="276" w:lineRule="auto"/>
              <w:rPr>
                <w:rFonts w:eastAsia="Times New Roman" w:cs="Calibri"/>
                <w:sz w:val="20"/>
                <w:szCs w:val="20"/>
                <w:lang w:val="en-AU" w:eastAsia="en-GB"/>
              </w:rPr>
            </w:pPr>
            <w:proofErr w:type="spellStart"/>
            <w:r w:rsidRPr="002C07E6">
              <w:rPr>
                <w:rFonts w:eastAsia="MS Mincho" w:cs="Calibri"/>
                <w:sz w:val="20"/>
                <w:szCs w:val="20"/>
                <w:lang w:val="en-AU" w:eastAsia="ja-JP"/>
              </w:rPr>
              <w:t>Sahlgrenska</w:t>
            </w:r>
            <w:proofErr w:type="spellEnd"/>
            <w:r w:rsidRPr="002C07E6">
              <w:rPr>
                <w:rFonts w:eastAsia="MS Mincho" w:cs="Calibri"/>
                <w:sz w:val="20"/>
                <w:szCs w:val="20"/>
                <w:lang w:val="en-AU" w:eastAsia="ja-JP"/>
              </w:rPr>
              <w:t xml:space="preserve"> Osteoporosis Centre, Department of Internal Medicine and Clinical Nutrition, Institute of Medicine, </w:t>
            </w:r>
            <w:proofErr w:type="spellStart"/>
            <w:r w:rsidRPr="002C07E6">
              <w:rPr>
                <w:rFonts w:eastAsia="MS Mincho" w:cs="Calibri"/>
                <w:sz w:val="20"/>
                <w:szCs w:val="20"/>
                <w:lang w:val="en-AU" w:eastAsia="ja-JP"/>
              </w:rPr>
              <w:t>Sahlgrenska</w:t>
            </w:r>
            <w:proofErr w:type="spellEnd"/>
            <w:r w:rsidRPr="002C07E6">
              <w:rPr>
                <w:rFonts w:eastAsia="MS Mincho" w:cs="Calibri"/>
                <w:sz w:val="20"/>
                <w:szCs w:val="20"/>
                <w:lang w:val="en-AU" w:eastAsia="ja-JP"/>
              </w:rPr>
              <w:t xml:space="preserve"> Academy, University of Gothenburg, Gothenburg, Sweden</w:t>
            </w:r>
          </w:p>
        </w:tc>
        <w:tc>
          <w:tcPr>
            <w:tcW w:w="2926" w:type="dxa"/>
            <w:vMerge/>
          </w:tcPr>
          <w:p w14:paraId="22BF9A73" w14:textId="77777777" w:rsidR="002C07E6" w:rsidRPr="002C07E6" w:rsidRDefault="002C07E6" w:rsidP="002C07E6">
            <w:pPr>
              <w:spacing w:after="200" w:line="276" w:lineRule="auto"/>
              <w:rPr>
                <w:rFonts w:eastAsia="Times New Roman" w:cs="Calibri"/>
                <w:sz w:val="20"/>
                <w:szCs w:val="20"/>
                <w:lang w:val="en-AU" w:eastAsia="en-GB"/>
              </w:rPr>
            </w:pPr>
          </w:p>
        </w:tc>
      </w:tr>
    </w:tbl>
    <w:p w14:paraId="50F2D0A7" w14:textId="77777777" w:rsidR="00D05D7F" w:rsidRDefault="00D05D7F" w:rsidP="002C07E6">
      <w:pPr>
        <w:spacing w:after="0" w:line="360" w:lineRule="auto"/>
        <w:ind w:right="708"/>
        <w:jc w:val="both"/>
        <w:rPr>
          <w:rFonts w:ascii="Calibri" w:eastAsia="Times New Roman" w:hAnsi="Calibri" w:cs="Calibri"/>
          <w:sz w:val="24"/>
          <w:szCs w:val="24"/>
          <w:lang w:val="en-US" w:eastAsia="ru-RU"/>
        </w:rPr>
      </w:pPr>
    </w:p>
    <w:p w14:paraId="1C155D58" w14:textId="77777777" w:rsidR="00D05D7F" w:rsidRDefault="00D05D7F" w:rsidP="002C07E6">
      <w:pPr>
        <w:spacing w:after="0" w:line="360" w:lineRule="auto"/>
        <w:ind w:right="708"/>
        <w:jc w:val="both"/>
        <w:rPr>
          <w:rFonts w:ascii="Calibri" w:eastAsia="Times New Roman" w:hAnsi="Calibri" w:cs="Calibri"/>
          <w:sz w:val="24"/>
          <w:szCs w:val="24"/>
          <w:lang w:val="en-US" w:eastAsia="ru-RU"/>
        </w:rPr>
      </w:pPr>
    </w:p>
    <w:p w14:paraId="45F69602" w14:textId="0E3B82CB" w:rsidR="002C07E6" w:rsidRPr="002C07E6" w:rsidRDefault="002C07E6" w:rsidP="002C07E6">
      <w:pPr>
        <w:spacing w:after="0" w:line="360" w:lineRule="auto"/>
        <w:ind w:right="708"/>
        <w:jc w:val="both"/>
        <w:rPr>
          <w:rFonts w:ascii="Calibri" w:eastAsia="Times New Roman" w:hAnsi="Calibri" w:cs="Calibri"/>
          <w:sz w:val="24"/>
          <w:szCs w:val="24"/>
          <w:lang w:val="en-US" w:eastAsia="ru-RU"/>
        </w:rPr>
      </w:pPr>
      <w:r w:rsidRPr="002C07E6">
        <w:rPr>
          <w:rFonts w:ascii="Calibri" w:eastAsia="Times New Roman" w:hAnsi="Calibri" w:cs="Calibri"/>
          <w:sz w:val="24"/>
          <w:szCs w:val="24"/>
          <w:lang w:val="en-US" w:eastAsia="ru-RU"/>
        </w:rPr>
        <w:t xml:space="preserve">Correspondence: John A Kanis </w:t>
      </w:r>
    </w:p>
    <w:p w14:paraId="1FE5B534" w14:textId="77777777" w:rsidR="002C07E6" w:rsidRPr="002C07E6" w:rsidRDefault="002C07E6" w:rsidP="002C07E6">
      <w:pPr>
        <w:spacing w:after="0" w:line="360" w:lineRule="auto"/>
        <w:ind w:right="708"/>
        <w:jc w:val="both"/>
        <w:rPr>
          <w:rFonts w:ascii="Calibri" w:eastAsia="Times New Roman" w:hAnsi="Calibri" w:cs="Calibri"/>
          <w:sz w:val="24"/>
          <w:szCs w:val="24"/>
          <w:lang w:eastAsia="ru-RU"/>
        </w:rPr>
      </w:pPr>
      <w:r w:rsidRPr="002C07E6">
        <w:rPr>
          <w:rFonts w:ascii="Calibri" w:eastAsia="Times New Roman" w:hAnsi="Calibri" w:cs="Calibri"/>
          <w:sz w:val="24"/>
          <w:szCs w:val="24"/>
          <w:lang w:eastAsia="ru-RU"/>
        </w:rPr>
        <w:t xml:space="preserve">e-mail: </w:t>
      </w:r>
      <w:hyperlink r:id="rId7" w:history="1">
        <w:r w:rsidRPr="002C07E6">
          <w:rPr>
            <w:rFonts w:ascii="Calibri" w:eastAsia="Times New Roman" w:hAnsi="Calibri" w:cs="Calibri"/>
            <w:color w:val="0563C1"/>
            <w:sz w:val="24"/>
            <w:szCs w:val="24"/>
            <w:u w:val="single"/>
            <w:lang w:eastAsia="ru-RU"/>
          </w:rPr>
          <w:t>w.j.pontefract@sheffield.ac.uk</w:t>
        </w:r>
      </w:hyperlink>
      <w:r w:rsidRPr="002C07E6">
        <w:rPr>
          <w:rFonts w:ascii="Calibri" w:eastAsia="Times New Roman" w:hAnsi="Calibri" w:cs="Calibri"/>
          <w:sz w:val="24"/>
          <w:szCs w:val="24"/>
          <w:lang w:eastAsia="ru-RU"/>
        </w:rPr>
        <w:t xml:space="preserve"> </w:t>
      </w:r>
    </w:p>
    <w:p w14:paraId="4A6543A3" w14:textId="77777777" w:rsidR="002C07E6" w:rsidRPr="002C07E6" w:rsidRDefault="002C07E6" w:rsidP="002C07E6">
      <w:pPr>
        <w:spacing w:after="0" w:line="360" w:lineRule="auto"/>
        <w:ind w:right="708"/>
        <w:jc w:val="both"/>
        <w:rPr>
          <w:rFonts w:ascii="Calibri" w:eastAsia="Times New Roman" w:hAnsi="Calibri" w:cs="Calibri"/>
          <w:sz w:val="24"/>
          <w:szCs w:val="24"/>
          <w:lang w:eastAsia="ru-RU"/>
        </w:rPr>
      </w:pPr>
    </w:p>
    <w:p w14:paraId="78A410A1" w14:textId="77777777" w:rsidR="00D6365B" w:rsidRDefault="00D6365B" w:rsidP="002C07E6">
      <w:pPr>
        <w:spacing w:after="0" w:line="360" w:lineRule="auto"/>
        <w:ind w:right="708"/>
        <w:jc w:val="both"/>
        <w:rPr>
          <w:rFonts w:ascii="Calibri" w:eastAsia="Times New Roman" w:hAnsi="Calibri" w:cs="Calibri"/>
          <w:sz w:val="24"/>
          <w:szCs w:val="24"/>
          <w:lang w:eastAsia="ru-RU"/>
        </w:rPr>
      </w:pPr>
    </w:p>
    <w:p w14:paraId="44353A57" w14:textId="77777777" w:rsidR="00D6365B" w:rsidRDefault="00D6365B" w:rsidP="002C07E6">
      <w:pPr>
        <w:spacing w:after="0" w:line="360" w:lineRule="auto"/>
        <w:ind w:right="708"/>
        <w:jc w:val="both"/>
        <w:rPr>
          <w:rFonts w:ascii="Calibri" w:eastAsia="Times New Roman" w:hAnsi="Calibri" w:cs="Calibri"/>
          <w:sz w:val="24"/>
          <w:szCs w:val="24"/>
          <w:lang w:eastAsia="ru-RU"/>
        </w:rPr>
      </w:pPr>
    </w:p>
    <w:p w14:paraId="6994D670" w14:textId="77777777" w:rsidR="00D6365B" w:rsidRDefault="00D6365B" w:rsidP="002C07E6">
      <w:pPr>
        <w:spacing w:after="0" w:line="360" w:lineRule="auto"/>
        <w:ind w:right="708"/>
        <w:jc w:val="both"/>
        <w:rPr>
          <w:rFonts w:ascii="Calibri" w:eastAsia="Times New Roman" w:hAnsi="Calibri" w:cs="Calibri"/>
          <w:sz w:val="24"/>
          <w:szCs w:val="24"/>
          <w:lang w:eastAsia="ru-RU"/>
        </w:rPr>
      </w:pPr>
    </w:p>
    <w:p w14:paraId="52095052" w14:textId="77777777" w:rsidR="00D6365B" w:rsidRDefault="00D6365B" w:rsidP="002C07E6">
      <w:pPr>
        <w:spacing w:after="0" w:line="360" w:lineRule="auto"/>
        <w:ind w:right="708"/>
        <w:jc w:val="both"/>
        <w:rPr>
          <w:rFonts w:ascii="Calibri" w:eastAsia="Times New Roman" w:hAnsi="Calibri" w:cs="Calibri"/>
          <w:sz w:val="24"/>
          <w:szCs w:val="24"/>
          <w:lang w:eastAsia="ru-RU"/>
        </w:rPr>
      </w:pPr>
    </w:p>
    <w:p w14:paraId="26D2E4EE" w14:textId="77777777" w:rsidR="00D6365B" w:rsidRDefault="00D6365B" w:rsidP="002C07E6">
      <w:pPr>
        <w:spacing w:after="0" w:line="360" w:lineRule="auto"/>
        <w:ind w:right="708"/>
        <w:jc w:val="both"/>
        <w:rPr>
          <w:rFonts w:ascii="Calibri" w:eastAsia="Times New Roman" w:hAnsi="Calibri" w:cs="Calibri"/>
          <w:sz w:val="24"/>
          <w:szCs w:val="24"/>
          <w:lang w:eastAsia="ru-RU"/>
        </w:rPr>
      </w:pPr>
    </w:p>
    <w:p w14:paraId="77DD834A" w14:textId="77777777" w:rsidR="00D6365B" w:rsidRDefault="00D6365B" w:rsidP="002C07E6">
      <w:pPr>
        <w:spacing w:after="0" w:line="360" w:lineRule="auto"/>
        <w:ind w:right="708"/>
        <w:jc w:val="both"/>
        <w:rPr>
          <w:rFonts w:ascii="Calibri" w:eastAsia="Times New Roman" w:hAnsi="Calibri" w:cs="Calibri"/>
          <w:sz w:val="24"/>
          <w:szCs w:val="24"/>
          <w:lang w:eastAsia="ru-RU"/>
        </w:rPr>
      </w:pPr>
    </w:p>
    <w:p w14:paraId="69C93491" w14:textId="77777777" w:rsidR="00D6365B" w:rsidRDefault="00D6365B" w:rsidP="002C07E6">
      <w:pPr>
        <w:spacing w:after="0" w:line="360" w:lineRule="auto"/>
        <w:ind w:right="708"/>
        <w:jc w:val="both"/>
        <w:rPr>
          <w:rFonts w:ascii="Calibri" w:eastAsia="Times New Roman" w:hAnsi="Calibri" w:cs="Calibri"/>
          <w:sz w:val="24"/>
          <w:szCs w:val="24"/>
          <w:lang w:eastAsia="ru-RU"/>
        </w:rPr>
      </w:pPr>
    </w:p>
    <w:p w14:paraId="0347A09D" w14:textId="77777777" w:rsidR="00D6365B" w:rsidRDefault="00D6365B" w:rsidP="002C07E6">
      <w:pPr>
        <w:spacing w:after="0" w:line="360" w:lineRule="auto"/>
        <w:ind w:right="708"/>
        <w:jc w:val="both"/>
        <w:rPr>
          <w:rFonts w:ascii="Calibri" w:eastAsia="Times New Roman" w:hAnsi="Calibri" w:cs="Calibri"/>
          <w:sz w:val="24"/>
          <w:szCs w:val="24"/>
          <w:lang w:eastAsia="ru-RU"/>
        </w:rPr>
      </w:pPr>
    </w:p>
    <w:p w14:paraId="29E0A373" w14:textId="527296E8" w:rsidR="002C07E6" w:rsidRDefault="002C07E6" w:rsidP="002C07E6">
      <w:pPr>
        <w:spacing w:after="0" w:line="360" w:lineRule="auto"/>
        <w:ind w:right="708"/>
        <w:jc w:val="both"/>
        <w:rPr>
          <w:rFonts w:ascii="Calibri" w:eastAsia="Times New Roman" w:hAnsi="Calibri" w:cs="Calibri"/>
          <w:sz w:val="24"/>
          <w:szCs w:val="24"/>
          <w:lang w:eastAsia="ru-RU"/>
        </w:rPr>
      </w:pPr>
      <w:r w:rsidRPr="002C07E6">
        <w:rPr>
          <w:rFonts w:ascii="Calibri" w:eastAsia="Times New Roman" w:hAnsi="Calibri" w:cs="Calibri"/>
          <w:sz w:val="24"/>
          <w:szCs w:val="24"/>
          <w:lang w:eastAsia="ru-RU"/>
        </w:rPr>
        <w:t>*</w:t>
      </w:r>
      <w:r w:rsidR="00944F99" w:rsidRPr="00944F99">
        <w:t xml:space="preserve"> </w:t>
      </w:r>
      <w:r w:rsidR="000461C6" w:rsidRPr="00944F99">
        <w:rPr>
          <w:rFonts w:ascii="Calibri" w:eastAsia="Times New Roman" w:hAnsi="Calibri" w:cs="Calibri"/>
          <w:sz w:val="24"/>
          <w:szCs w:val="24"/>
          <w:lang w:eastAsia="ru-RU"/>
        </w:rPr>
        <w:t>The</w:t>
      </w:r>
      <w:r w:rsidR="00944F99" w:rsidRPr="00944F99">
        <w:rPr>
          <w:rFonts w:ascii="Calibri" w:eastAsia="Times New Roman" w:hAnsi="Calibri" w:cs="Calibri"/>
          <w:sz w:val="24"/>
          <w:szCs w:val="24"/>
          <w:lang w:eastAsia="ru-RU"/>
        </w:rPr>
        <w:t xml:space="preserve"> Danish primary hyperparathyroidism study group</w:t>
      </w:r>
    </w:p>
    <w:p w14:paraId="29D450F4" w14:textId="77777777" w:rsidR="004C6710" w:rsidRPr="002C07E6" w:rsidRDefault="004C6710" w:rsidP="002C07E6">
      <w:pPr>
        <w:spacing w:after="0" w:line="360" w:lineRule="auto"/>
        <w:ind w:right="708"/>
        <w:jc w:val="both"/>
        <w:rPr>
          <w:rFonts w:ascii="Calibri" w:eastAsia="Times New Roman" w:hAnsi="Calibri" w:cs="Calibri"/>
          <w:sz w:val="24"/>
          <w:szCs w:val="24"/>
          <w:lang w:eastAsia="ru-RU"/>
        </w:rPr>
      </w:pPr>
    </w:p>
    <w:tbl>
      <w:tblPr>
        <w:tblStyle w:val="TableGrid2"/>
        <w:tblW w:w="0" w:type="auto"/>
        <w:tblCellMar>
          <w:right w:w="57" w:type="dxa"/>
        </w:tblCellMar>
        <w:tblLook w:val="04A0" w:firstRow="1" w:lastRow="0" w:firstColumn="1" w:lastColumn="0" w:noHBand="0" w:noVBand="1"/>
      </w:tblPr>
      <w:tblGrid>
        <w:gridCol w:w="1829"/>
        <w:gridCol w:w="3641"/>
        <w:gridCol w:w="3546"/>
      </w:tblGrid>
      <w:tr w:rsidR="004C6710" w:rsidRPr="002C07E6" w14:paraId="7E0BD078" w14:textId="2F2CCDDC" w:rsidTr="00B14AA0">
        <w:tc>
          <w:tcPr>
            <w:tcW w:w="0" w:type="auto"/>
          </w:tcPr>
          <w:p w14:paraId="29EB4773" w14:textId="77777777" w:rsidR="004C6710" w:rsidRPr="002C07E6" w:rsidRDefault="004C6710" w:rsidP="002C07E6">
            <w:pPr>
              <w:spacing w:after="160"/>
              <w:ind w:right="708"/>
              <w:rPr>
                <w:rFonts w:ascii="Calibri" w:hAnsi="Calibri" w:cs="Calibri"/>
                <w:lang w:val="en-GB"/>
              </w:rPr>
            </w:pPr>
            <w:r w:rsidRPr="002C07E6">
              <w:rPr>
                <w:rFonts w:ascii="Calibri" w:hAnsi="Calibri" w:cs="Calibri"/>
                <w:lang w:val="en-GB"/>
              </w:rPr>
              <w:t>Name</w:t>
            </w:r>
          </w:p>
        </w:tc>
        <w:tc>
          <w:tcPr>
            <w:tcW w:w="0" w:type="auto"/>
          </w:tcPr>
          <w:p w14:paraId="4220C3FE" w14:textId="77777777" w:rsidR="004C6710" w:rsidRPr="002C07E6" w:rsidRDefault="004C6710" w:rsidP="00B14AA0">
            <w:pPr>
              <w:spacing w:after="160"/>
              <w:ind w:right="708"/>
              <w:rPr>
                <w:rFonts w:ascii="Calibri" w:hAnsi="Calibri" w:cs="Calibri"/>
                <w:lang w:val="en-GB"/>
              </w:rPr>
            </w:pPr>
            <w:r w:rsidRPr="002C07E6">
              <w:rPr>
                <w:rFonts w:ascii="Calibri" w:hAnsi="Calibri" w:cs="Calibri"/>
                <w:lang w:val="en-GB"/>
              </w:rPr>
              <w:t>Affiliation</w:t>
            </w:r>
          </w:p>
        </w:tc>
        <w:tc>
          <w:tcPr>
            <w:tcW w:w="0" w:type="auto"/>
          </w:tcPr>
          <w:p w14:paraId="64E23E8C" w14:textId="0D0D977F" w:rsidR="004C6710" w:rsidRPr="004C6710" w:rsidRDefault="004C6710" w:rsidP="002C07E6">
            <w:pPr>
              <w:ind w:right="708"/>
              <w:rPr>
                <w:rFonts w:ascii="Calibri" w:hAnsi="Calibri" w:cs="Calibri"/>
                <w:lang w:val="en-GB"/>
              </w:rPr>
            </w:pPr>
            <w:r>
              <w:rPr>
                <w:rFonts w:ascii="Calibri" w:hAnsi="Calibri" w:cs="Calibri"/>
                <w:lang w:val="en-GB"/>
              </w:rPr>
              <w:t>Contact</w:t>
            </w:r>
          </w:p>
        </w:tc>
      </w:tr>
      <w:tr w:rsidR="004C6710" w:rsidRPr="002C07E6" w14:paraId="264CC29B" w14:textId="4222F85C" w:rsidTr="00B14AA0">
        <w:tc>
          <w:tcPr>
            <w:tcW w:w="0" w:type="auto"/>
            <w:tcBorders>
              <w:top w:val="nil"/>
              <w:left w:val="single" w:sz="8" w:space="0" w:color="auto"/>
              <w:bottom w:val="single" w:sz="4" w:space="0" w:color="auto"/>
              <w:right w:val="single" w:sz="8" w:space="0" w:color="auto"/>
            </w:tcBorders>
            <w:shd w:val="clear" w:color="auto" w:fill="auto"/>
          </w:tcPr>
          <w:p w14:paraId="26498CB2" w14:textId="3BB86F46" w:rsidR="004C6710" w:rsidRPr="002C07E6" w:rsidRDefault="004C6710" w:rsidP="002C07E6">
            <w:pPr>
              <w:spacing w:after="160"/>
              <w:ind w:right="708"/>
              <w:rPr>
                <w:rFonts w:ascii="Calibri" w:eastAsia="Calibri" w:hAnsi="Calibri" w:cs="Calibri"/>
                <w:lang w:val="en-GB"/>
              </w:rPr>
            </w:pPr>
            <w:r w:rsidRPr="001947C0">
              <w:rPr>
                <w:rFonts w:ascii="Calibri" w:eastAsia="Calibri" w:hAnsi="Calibri" w:cs="Calibri"/>
                <w:lang w:val="en-GB"/>
              </w:rPr>
              <w:t xml:space="preserve">Tanja </w:t>
            </w:r>
            <w:proofErr w:type="spellStart"/>
            <w:r w:rsidRPr="001947C0">
              <w:rPr>
                <w:rFonts w:ascii="Calibri" w:eastAsia="Calibri" w:hAnsi="Calibri" w:cs="Calibri"/>
                <w:lang w:val="en-GB"/>
              </w:rPr>
              <w:t>Sikjær</w:t>
            </w:r>
            <w:proofErr w:type="spellEnd"/>
          </w:p>
        </w:tc>
        <w:tc>
          <w:tcPr>
            <w:tcW w:w="0" w:type="auto"/>
          </w:tcPr>
          <w:p w14:paraId="6EA7614D" w14:textId="7BC624E9" w:rsidR="004C6710" w:rsidRPr="002C07E6" w:rsidRDefault="00054D0A" w:rsidP="00B14AA0">
            <w:pPr>
              <w:spacing w:after="160"/>
              <w:ind w:right="708"/>
              <w:rPr>
                <w:rFonts w:ascii="Calibri" w:eastAsia="Calibri" w:hAnsi="Calibri" w:cs="Calibri"/>
                <w:lang w:val="en-GB"/>
              </w:rPr>
            </w:pPr>
            <w:r w:rsidRPr="00054D0A">
              <w:rPr>
                <w:rFonts w:ascii="Calibri" w:eastAsia="Calibri" w:hAnsi="Calibri" w:cs="Calibri"/>
                <w:lang w:val="en-GB"/>
              </w:rPr>
              <w:t xml:space="preserve">Department of </w:t>
            </w:r>
            <w:r>
              <w:rPr>
                <w:rFonts w:ascii="Calibri" w:eastAsia="Calibri" w:hAnsi="Calibri" w:cs="Calibri"/>
                <w:lang w:val="en-GB"/>
              </w:rPr>
              <w:t>E</w:t>
            </w:r>
            <w:r w:rsidRPr="00054D0A">
              <w:rPr>
                <w:rFonts w:ascii="Calibri" w:eastAsia="Calibri" w:hAnsi="Calibri" w:cs="Calibri"/>
                <w:lang w:val="en-GB"/>
              </w:rPr>
              <w:t>ndocrinology and Internal Medicine, Aarhus University Hospital, Aarhus, Denmark</w:t>
            </w:r>
          </w:p>
        </w:tc>
        <w:tc>
          <w:tcPr>
            <w:tcW w:w="0" w:type="auto"/>
          </w:tcPr>
          <w:p w14:paraId="529EABD3" w14:textId="35A20744" w:rsidR="004C6710" w:rsidRPr="002C07E6" w:rsidRDefault="004F7828" w:rsidP="002C07E6">
            <w:pPr>
              <w:ind w:right="708"/>
              <w:rPr>
                <w:rFonts w:ascii="Calibri" w:eastAsia="Calibri" w:hAnsi="Calibri" w:cs="Calibri"/>
              </w:rPr>
            </w:pPr>
            <w:r w:rsidRPr="004F7828">
              <w:rPr>
                <w:rFonts w:ascii="Calibri" w:eastAsia="Calibri" w:hAnsi="Calibri" w:cs="Calibri"/>
              </w:rPr>
              <w:t>Tanja.sikjaer@auh.rm.dk</w:t>
            </w:r>
          </w:p>
        </w:tc>
      </w:tr>
      <w:tr w:rsidR="004C6710" w:rsidRPr="002C07E6" w14:paraId="6ABCFEE4" w14:textId="4A63B223" w:rsidTr="00B14AA0">
        <w:tc>
          <w:tcPr>
            <w:tcW w:w="0" w:type="auto"/>
            <w:tcBorders>
              <w:top w:val="nil"/>
              <w:left w:val="single" w:sz="8" w:space="0" w:color="auto"/>
              <w:bottom w:val="single" w:sz="4" w:space="0" w:color="auto"/>
              <w:right w:val="single" w:sz="8" w:space="0" w:color="auto"/>
            </w:tcBorders>
            <w:shd w:val="clear" w:color="auto" w:fill="auto"/>
          </w:tcPr>
          <w:p w14:paraId="69D2830E" w14:textId="191EFD4D" w:rsidR="004C6710" w:rsidRPr="002C07E6" w:rsidRDefault="00693810" w:rsidP="002C07E6">
            <w:pPr>
              <w:spacing w:after="160"/>
              <w:ind w:right="708"/>
              <w:rPr>
                <w:rFonts w:ascii="Calibri" w:eastAsia="Calibri" w:hAnsi="Calibri" w:cs="Calibri"/>
                <w:color w:val="000000"/>
                <w:lang w:val="en-GB"/>
              </w:rPr>
            </w:pPr>
            <w:r w:rsidRPr="00693810">
              <w:rPr>
                <w:rFonts w:ascii="Calibri" w:eastAsia="Calibri" w:hAnsi="Calibri" w:cs="Calibri"/>
                <w:color w:val="000000"/>
                <w:lang w:val="en-GB"/>
              </w:rPr>
              <w:t xml:space="preserve">Lars </w:t>
            </w:r>
            <w:proofErr w:type="spellStart"/>
            <w:r w:rsidRPr="00693810">
              <w:rPr>
                <w:rFonts w:ascii="Calibri" w:eastAsia="Calibri" w:hAnsi="Calibri" w:cs="Calibri"/>
                <w:color w:val="000000"/>
                <w:lang w:val="en-GB"/>
              </w:rPr>
              <w:t>Rolighed</w:t>
            </w:r>
            <w:proofErr w:type="spellEnd"/>
          </w:p>
        </w:tc>
        <w:tc>
          <w:tcPr>
            <w:tcW w:w="0" w:type="auto"/>
          </w:tcPr>
          <w:p w14:paraId="4BFAAC9E" w14:textId="132535BE" w:rsidR="004C6710" w:rsidRPr="002C07E6" w:rsidRDefault="00B728BC" w:rsidP="00B14AA0">
            <w:pPr>
              <w:spacing w:after="160"/>
              <w:ind w:right="708"/>
              <w:rPr>
                <w:rFonts w:ascii="Calibri" w:eastAsia="Calibri" w:hAnsi="Calibri" w:cs="Arial"/>
                <w:lang w:val="en-GB"/>
              </w:rPr>
            </w:pPr>
            <w:r w:rsidRPr="00B728BC">
              <w:rPr>
                <w:rFonts w:ascii="Calibri" w:eastAsia="Calibri" w:hAnsi="Calibri" w:cs="Arial"/>
                <w:lang w:val="en-GB"/>
              </w:rPr>
              <w:t>Department of Otorhinolaryngology, Aarhus University Hospital, Denmark</w:t>
            </w:r>
          </w:p>
        </w:tc>
        <w:tc>
          <w:tcPr>
            <w:tcW w:w="0" w:type="auto"/>
          </w:tcPr>
          <w:p w14:paraId="6DB5D762" w14:textId="33D6D90C" w:rsidR="004C6710" w:rsidRPr="002C07E6" w:rsidRDefault="00D718B6" w:rsidP="002C07E6">
            <w:pPr>
              <w:ind w:right="708"/>
              <w:rPr>
                <w:rFonts w:ascii="Calibri" w:eastAsia="Calibri" w:hAnsi="Calibri" w:cs="Arial"/>
              </w:rPr>
            </w:pPr>
            <w:r w:rsidRPr="00D718B6">
              <w:rPr>
                <w:rFonts w:ascii="Calibri" w:eastAsia="Calibri" w:hAnsi="Calibri" w:cs="Arial"/>
              </w:rPr>
              <w:t>larsroli@rm.dk</w:t>
            </w:r>
          </w:p>
        </w:tc>
      </w:tr>
      <w:tr w:rsidR="00A651ED" w:rsidRPr="002C07E6" w14:paraId="5E62C81B" w14:textId="12A210D2" w:rsidTr="00471B15">
        <w:trPr>
          <w:trHeight w:val="484"/>
        </w:trPr>
        <w:tc>
          <w:tcPr>
            <w:tcW w:w="0" w:type="auto"/>
            <w:vMerge w:val="restart"/>
            <w:tcBorders>
              <w:top w:val="nil"/>
              <w:left w:val="single" w:sz="8" w:space="0" w:color="auto"/>
              <w:right w:val="single" w:sz="8" w:space="0" w:color="auto"/>
            </w:tcBorders>
            <w:shd w:val="clear" w:color="auto" w:fill="auto"/>
          </w:tcPr>
          <w:p w14:paraId="6F8B5455" w14:textId="3E036910" w:rsidR="00A651ED" w:rsidRPr="002C07E6" w:rsidRDefault="00A651ED" w:rsidP="002C07E6">
            <w:pPr>
              <w:spacing w:after="160"/>
              <w:ind w:right="708"/>
              <w:rPr>
                <w:rFonts w:ascii="Calibri" w:hAnsi="Calibri" w:cs="Calibri"/>
                <w:lang w:val="en-GB"/>
              </w:rPr>
            </w:pPr>
            <w:r w:rsidRPr="00404D07">
              <w:rPr>
                <w:rFonts w:ascii="Calibri" w:hAnsi="Calibri" w:cs="Calibri"/>
                <w:lang w:val="en-GB"/>
              </w:rPr>
              <w:t xml:space="preserve">Mette Friberg </w:t>
            </w:r>
            <w:proofErr w:type="spellStart"/>
            <w:r w:rsidRPr="00404D07">
              <w:rPr>
                <w:rFonts w:ascii="Calibri" w:hAnsi="Calibri" w:cs="Calibri"/>
                <w:lang w:val="en-GB"/>
              </w:rPr>
              <w:t>Hitz</w:t>
            </w:r>
            <w:proofErr w:type="spellEnd"/>
          </w:p>
        </w:tc>
        <w:tc>
          <w:tcPr>
            <w:tcW w:w="0" w:type="auto"/>
          </w:tcPr>
          <w:p w14:paraId="4F2F231C" w14:textId="22BAF332" w:rsidR="00A651ED" w:rsidRPr="002C07E6" w:rsidRDefault="004711E1" w:rsidP="00B14AA0">
            <w:pPr>
              <w:spacing w:after="160"/>
              <w:ind w:right="708"/>
              <w:rPr>
                <w:rFonts w:ascii="Calibri" w:hAnsi="Calibri" w:cs="Calibri"/>
                <w:lang w:val="en-GB"/>
              </w:rPr>
            </w:pPr>
            <w:r w:rsidRPr="004711E1">
              <w:rPr>
                <w:rFonts w:ascii="Calibri" w:hAnsi="Calibri" w:cs="Calibri"/>
                <w:lang w:val="en-GB"/>
              </w:rPr>
              <w:t xml:space="preserve">Department of Medical Endocrinology, Zealand University Hospital </w:t>
            </w:r>
            <w:proofErr w:type="spellStart"/>
            <w:r w:rsidRPr="004711E1">
              <w:rPr>
                <w:rFonts w:ascii="Calibri" w:hAnsi="Calibri" w:cs="Calibri"/>
                <w:lang w:val="en-GB"/>
              </w:rPr>
              <w:t>Køge</w:t>
            </w:r>
            <w:proofErr w:type="spellEnd"/>
            <w:r w:rsidRPr="004711E1">
              <w:rPr>
                <w:rFonts w:ascii="Calibri" w:hAnsi="Calibri" w:cs="Calibri"/>
                <w:lang w:val="en-GB"/>
              </w:rPr>
              <w:t>, Denmark</w:t>
            </w:r>
          </w:p>
        </w:tc>
        <w:tc>
          <w:tcPr>
            <w:tcW w:w="0" w:type="auto"/>
            <w:vMerge w:val="restart"/>
          </w:tcPr>
          <w:p w14:paraId="6E6C0714" w14:textId="3C61EAF9" w:rsidR="00A651ED" w:rsidRPr="002C07E6" w:rsidRDefault="00A651ED" w:rsidP="002C07E6">
            <w:pPr>
              <w:ind w:right="708"/>
              <w:rPr>
                <w:rFonts w:ascii="Calibri" w:hAnsi="Calibri" w:cs="Calibri"/>
              </w:rPr>
            </w:pPr>
            <w:r w:rsidRPr="00A651ED">
              <w:rPr>
                <w:rFonts w:ascii="Calibri" w:hAnsi="Calibri" w:cs="Calibri"/>
              </w:rPr>
              <w:t>mefh@regionsjaelland.dk</w:t>
            </w:r>
          </w:p>
        </w:tc>
      </w:tr>
      <w:tr w:rsidR="00A651ED" w:rsidRPr="002C07E6" w14:paraId="7FBE2DCA" w14:textId="77777777" w:rsidTr="00471B15">
        <w:trPr>
          <w:trHeight w:val="484"/>
        </w:trPr>
        <w:tc>
          <w:tcPr>
            <w:tcW w:w="0" w:type="auto"/>
            <w:vMerge/>
            <w:tcBorders>
              <w:left w:val="single" w:sz="8" w:space="0" w:color="auto"/>
              <w:bottom w:val="single" w:sz="4" w:space="0" w:color="auto"/>
              <w:right w:val="single" w:sz="8" w:space="0" w:color="auto"/>
            </w:tcBorders>
            <w:shd w:val="clear" w:color="auto" w:fill="auto"/>
          </w:tcPr>
          <w:p w14:paraId="19646CDE" w14:textId="77777777" w:rsidR="00A651ED" w:rsidRPr="00404D07" w:rsidRDefault="00A651ED" w:rsidP="002C07E6">
            <w:pPr>
              <w:ind w:right="708"/>
              <w:rPr>
                <w:rFonts w:ascii="Calibri" w:hAnsi="Calibri" w:cs="Calibri"/>
              </w:rPr>
            </w:pPr>
          </w:p>
        </w:tc>
        <w:tc>
          <w:tcPr>
            <w:tcW w:w="0" w:type="auto"/>
          </w:tcPr>
          <w:p w14:paraId="3CB13027" w14:textId="3D2358ED" w:rsidR="00A651ED" w:rsidRPr="002C07E6" w:rsidRDefault="00651249" w:rsidP="00B14AA0">
            <w:pPr>
              <w:ind w:right="708"/>
              <w:rPr>
                <w:rFonts w:ascii="Calibri" w:hAnsi="Calibri" w:cs="Calibri"/>
              </w:rPr>
            </w:pPr>
            <w:r>
              <w:rPr>
                <w:rFonts w:ascii="Calibri" w:hAnsi="Calibri" w:cs="Calibri"/>
                <w:lang w:val="en-GB"/>
              </w:rPr>
              <w:t>I</w:t>
            </w:r>
            <w:r w:rsidR="00F22F8E" w:rsidRPr="00F22F8E">
              <w:rPr>
                <w:rFonts w:ascii="Calibri" w:hAnsi="Calibri" w:cs="Calibri"/>
              </w:rPr>
              <w:t>nstitute of Clinical Medicine, University of Copenhagen, Denmark</w:t>
            </w:r>
          </w:p>
        </w:tc>
        <w:tc>
          <w:tcPr>
            <w:tcW w:w="0" w:type="auto"/>
            <w:vMerge/>
          </w:tcPr>
          <w:p w14:paraId="74912826" w14:textId="77777777" w:rsidR="00A651ED" w:rsidRPr="00A651ED" w:rsidRDefault="00A651ED" w:rsidP="002C07E6">
            <w:pPr>
              <w:ind w:right="708"/>
              <w:rPr>
                <w:rFonts w:ascii="Calibri" w:hAnsi="Calibri" w:cs="Calibri"/>
              </w:rPr>
            </w:pPr>
          </w:p>
        </w:tc>
      </w:tr>
      <w:tr w:rsidR="004C6710" w:rsidRPr="002C07E6" w14:paraId="1633B073" w14:textId="4EDFF089" w:rsidTr="00B14AA0">
        <w:tc>
          <w:tcPr>
            <w:tcW w:w="0" w:type="auto"/>
            <w:tcBorders>
              <w:top w:val="nil"/>
              <w:left w:val="single" w:sz="8" w:space="0" w:color="auto"/>
              <w:bottom w:val="single" w:sz="4" w:space="0" w:color="auto"/>
              <w:right w:val="single" w:sz="8" w:space="0" w:color="auto"/>
            </w:tcBorders>
            <w:shd w:val="clear" w:color="auto" w:fill="auto"/>
          </w:tcPr>
          <w:p w14:paraId="0EA392F9" w14:textId="7E27C351" w:rsidR="004C6710" w:rsidRPr="002C07E6" w:rsidRDefault="00BB195A" w:rsidP="002C07E6">
            <w:pPr>
              <w:spacing w:after="160"/>
              <w:ind w:right="708"/>
              <w:rPr>
                <w:rFonts w:ascii="Calibri" w:eastAsia="Calibri" w:hAnsi="Calibri" w:cs="Calibri"/>
                <w:lang w:val="en-GB"/>
              </w:rPr>
            </w:pPr>
            <w:r w:rsidRPr="00BB195A">
              <w:rPr>
                <w:rFonts w:ascii="Calibri" w:eastAsia="Calibri" w:hAnsi="Calibri" w:cs="Calibri"/>
                <w:lang w:val="en-GB"/>
              </w:rPr>
              <w:t xml:space="preserve">Pia </w:t>
            </w:r>
            <w:proofErr w:type="spellStart"/>
            <w:r w:rsidRPr="00BB195A">
              <w:rPr>
                <w:rFonts w:ascii="Calibri" w:eastAsia="Calibri" w:hAnsi="Calibri" w:cs="Calibri"/>
                <w:lang w:val="en-GB"/>
              </w:rPr>
              <w:t>Eiken</w:t>
            </w:r>
            <w:proofErr w:type="spellEnd"/>
          </w:p>
        </w:tc>
        <w:tc>
          <w:tcPr>
            <w:tcW w:w="0" w:type="auto"/>
          </w:tcPr>
          <w:p w14:paraId="344A01CC" w14:textId="6E84DE13" w:rsidR="004C6710" w:rsidRPr="002C07E6" w:rsidRDefault="00197F11" w:rsidP="00B14AA0">
            <w:pPr>
              <w:spacing w:after="160"/>
              <w:ind w:right="708"/>
              <w:rPr>
                <w:rFonts w:ascii="Calibri" w:eastAsia="Calibri" w:hAnsi="Calibri" w:cs="Calibri"/>
                <w:lang w:val="en-GB"/>
              </w:rPr>
            </w:pPr>
            <w:r w:rsidRPr="00197F11">
              <w:rPr>
                <w:rFonts w:ascii="Calibri" w:eastAsia="Calibri" w:hAnsi="Calibri" w:cs="Calibri"/>
                <w:lang w:val="en-GB"/>
              </w:rPr>
              <w:t xml:space="preserve">Department of Endocrinology, </w:t>
            </w:r>
            <w:proofErr w:type="spellStart"/>
            <w:r w:rsidRPr="00197F11">
              <w:rPr>
                <w:rFonts w:ascii="Calibri" w:eastAsia="Calibri" w:hAnsi="Calibri" w:cs="Calibri"/>
                <w:lang w:val="en-GB"/>
              </w:rPr>
              <w:t>Bispebjerg</w:t>
            </w:r>
            <w:proofErr w:type="spellEnd"/>
            <w:r w:rsidRPr="00197F11">
              <w:rPr>
                <w:rFonts w:ascii="Calibri" w:eastAsia="Calibri" w:hAnsi="Calibri" w:cs="Calibri"/>
                <w:lang w:val="en-GB"/>
              </w:rPr>
              <w:t xml:space="preserve"> Frederiksberg Hospital, Copenhagen University Hospital, Copenhagen, Denmark</w:t>
            </w:r>
          </w:p>
        </w:tc>
        <w:tc>
          <w:tcPr>
            <w:tcW w:w="0" w:type="auto"/>
          </w:tcPr>
          <w:p w14:paraId="001B97C2" w14:textId="798041C2" w:rsidR="004C6710" w:rsidRPr="002C07E6" w:rsidRDefault="00126DFE" w:rsidP="002C07E6">
            <w:pPr>
              <w:ind w:right="708"/>
              <w:rPr>
                <w:rFonts w:ascii="Calibri" w:eastAsia="Calibri" w:hAnsi="Calibri" w:cs="Calibri"/>
              </w:rPr>
            </w:pPr>
            <w:r w:rsidRPr="00126DFE">
              <w:rPr>
                <w:rFonts w:ascii="Calibri" w:eastAsia="Calibri" w:hAnsi="Calibri" w:cs="Calibri"/>
              </w:rPr>
              <w:t>pia.eiken.01@regionh.dk</w:t>
            </w:r>
          </w:p>
        </w:tc>
      </w:tr>
      <w:tr w:rsidR="002B61EB" w:rsidRPr="002C07E6" w14:paraId="07FC8E0C" w14:textId="427EB2A9" w:rsidTr="000679AB">
        <w:tc>
          <w:tcPr>
            <w:tcW w:w="0" w:type="auto"/>
            <w:vMerge w:val="restart"/>
            <w:tcBorders>
              <w:top w:val="nil"/>
              <w:left w:val="single" w:sz="8" w:space="0" w:color="auto"/>
              <w:right w:val="single" w:sz="8" w:space="0" w:color="auto"/>
            </w:tcBorders>
            <w:shd w:val="clear" w:color="auto" w:fill="auto"/>
          </w:tcPr>
          <w:p w14:paraId="5804EE3D" w14:textId="15337EF1" w:rsidR="002B61EB" w:rsidRPr="002C07E6" w:rsidRDefault="002B61EB" w:rsidP="002C07E6">
            <w:pPr>
              <w:spacing w:after="160"/>
              <w:ind w:right="708"/>
              <w:rPr>
                <w:rFonts w:ascii="Calibri" w:eastAsia="Calibri" w:hAnsi="Calibri" w:cs="Calibri"/>
                <w:lang w:val="en-GB"/>
              </w:rPr>
            </w:pPr>
            <w:r w:rsidRPr="00CA3D0B">
              <w:rPr>
                <w:rFonts w:ascii="Calibri" w:eastAsia="Calibri" w:hAnsi="Calibri" w:cs="Calibri"/>
                <w:lang w:val="en-GB"/>
              </w:rPr>
              <w:t>Anne Pernille Hermann</w:t>
            </w:r>
          </w:p>
        </w:tc>
        <w:tc>
          <w:tcPr>
            <w:tcW w:w="0" w:type="auto"/>
          </w:tcPr>
          <w:p w14:paraId="5034786B" w14:textId="06C682CA" w:rsidR="002B61EB" w:rsidRPr="002C07E6" w:rsidRDefault="002B61EB" w:rsidP="00B14AA0">
            <w:pPr>
              <w:spacing w:after="160"/>
              <w:ind w:right="708"/>
              <w:rPr>
                <w:rFonts w:ascii="Calibri" w:eastAsia="Calibri" w:hAnsi="Calibri" w:cs="Calibri"/>
                <w:lang w:val="en-GB"/>
              </w:rPr>
            </w:pPr>
            <w:r w:rsidRPr="00923912">
              <w:rPr>
                <w:rFonts w:ascii="Calibri" w:eastAsia="Calibri" w:hAnsi="Calibri" w:cs="Calibri"/>
                <w:lang w:val="en-GB"/>
              </w:rPr>
              <w:t>Department of Endocrinology, Odense University Hospital, Odense, Denmark.</w:t>
            </w:r>
          </w:p>
        </w:tc>
        <w:tc>
          <w:tcPr>
            <w:tcW w:w="0" w:type="auto"/>
            <w:vMerge w:val="restart"/>
          </w:tcPr>
          <w:p w14:paraId="1198D67D" w14:textId="541977D3" w:rsidR="002B61EB" w:rsidRPr="002C07E6" w:rsidRDefault="002B61EB" w:rsidP="002C07E6">
            <w:pPr>
              <w:ind w:right="708"/>
              <w:rPr>
                <w:rFonts w:ascii="Calibri" w:eastAsia="Calibri" w:hAnsi="Calibri" w:cs="Calibri"/>
              </w:rPr>
            </w:pPr>
            <w:r w:rsidRPr="00750E14">
              <w:rPr>
                <w:rFonts w:ascii="Calibri" w:eastAsia="Calibri" w:hAnsi="Calibri" w:cs="Calibri"/>
              </w:rPr>
              <w:t>Pernille.Hermann@rsyd.dk</w:t>
            </w:r>
          </w:p>
        </w:tc>
      </w:tr>
      <w:tr w:rsidR="002B61EB" w:rsidRPr="002C07E6" w14:paraId="20CB81C0" w14:textId="77777777" w:rsidTr="000679AB">
        <w:tc>
          <w:tcPr>
            <w:tcW w:w="0" w:type="auto"/>
            <w:vMerge/>
            <w:tcBorders>
              <w:left w:val="single" w:sz="8" w:space="0" w:color="auto"/>
              <w:bottom w:val="single" w:sz="4" w:space="0" w:color="auto"/>
              <w:right w:val="single" w:sz="8" w:space="0" w:color="auto"/>
            </w:tcBorders>
            <w:shd w:val="clear" w:color="auto" w:fill="auto"/>
          </w:tcPr>
          <w:p w14:paraId="64AF77A6" w14:textId="77777777" w:rsidR="002B61EB" w:rsidRPr="00CA3D0B" w:rsidRDefault="002B61EB" w:rsidP="002C07E6">
            <w:pPr>
              <w:ind w:right="708"/>
              <w:rPr>
                <w:rFonts w:ascii="Calibri" w:eastAsia="Calibri" w:hAnsi="Calibri" w:cs="Calibri"/>
              </w:rPr>
            </w:pPr>
          </w:p>
        </w:tc>
        <w:tc>
          <w:tcPr>
            <w:tcW w:w="0" w:type="auto"/>
          </w:tcPr>
          <w:p w14:paraId="3A8E09D3" w14:textId="32300845" w:rsidR="002B61EB" w:rsidRPr="00923912" w:rsidRDefault="002B61EB" w:rsidP="00B14AA0">
            <w:pPr>
              <w:ind w:right="708"/>
              <w:rPr>
                <w:rFonts w:ascii="Calibri" w:eastAsia="Calibri" w:hAnsi="Calibri" w:cs="Calibri"/>
              </w:rPr>
            </w:pPr>
            <w:r w:rsidRPr="006D57AD">
              <w:rPr>
                <w:rFonts w:cs="Calibri"/>
                <w:sz w:val="20"/>
                <w:szCs w:val="20"/>
                <w:lang w:val="en-AU" w:eastAsia="en-GB"/>
              </w:rPr>
              <w:t>Department of Clinical Research, University of Southern Denmark and Odense University Hospital, Odense C, Denmark.</w:t>
            </w:r>
          </w:p>
        </w:tc>
        <w:tc>
          <w:tcPr>
            <w:tcW w:w="0" w:type="auto"/>
            <w:vMerge/>
          </w:tcPr>
          <w:p w14:paraId="761BBA6B" w14:textId="77777777" w:rsidR="002B61EB" w:rsidRPr="00750E14" w:rsidRDefault="002B61EB" w:rsidP="002C07E6">
            <w:pPr>
              <w:ind w:right="708"/>
              <w:rPr>
                <w:rFonts w:ascii="Calibri" w:eastAsia="Calibri" w:hAnsi="Calibri" w:cs="Calibri"/>
              </w:rPr>
            </w:pPr>
          </w:p>
        </w:tc>
      </w:tr>
      <w:tr w:rsidR="00F139B2" w:rsidRPr="002C07E6" w14:paraId="3CE4A58B" w14:textId="2BC92DBF" w:rsidTr="00650190">
        <w:trPr>
          <w:trHeight w:val="484"/>
        </w:trPr>
        <w:tc>
          <w:tcPr>
            <w:tcW w:w="0" w:type="auto"/>
            <w:vMerge w:val="restart"/>
            <w:tcBorders>
              <w:top w:val="nil"/>
              <w:left w:val="single" w:sz="8" w:space="0" w:color="auto"/>
              <w:right w:val="single" w:sz="8" w:space="0" w:color="auto"/>
            </w:tcBorders>
            <w:shd w:val="clear" w:color="auto" w:fill="auto"/>
          </w:tcPr>
          <w:p w14:paraId="7EE2086B" w14:textId="2267D0AD" w:rsidR="00F139B2" w:rsidRPr="002C07E6" w:rsidRDefault="00F139B2" w:rsidP="00F139B2">
            <w:pPr>
              <w:spacing w:after="160"/>
              <w:ind w:right="708"/>
              <w:rPr>
                <w:rFonts w:ascii="Calibri" w:eastAsia="Calibri" w:hAnsi="Calibri" w:cs="Calibri"/>
                <w:color w:val="000000"/>
                <w:lang w:val="en-GB"/>
              </w:rPr>
            </w:pPr>
            <w:r w:rsidRPr="002E0F96">
              <w:rPr>
                <w:rFonts w:ascii="Calibri" w:eastAsia="Calibri" w:hAnsi="Calibri" w:cs="Calibri"/>
                <w:color w:val="000000"/>
                <w:lang w:val="en-GB"/>
              </w:rPr>
              <w:t>Jens-Erik Beck Jensen</w:t>
            </w:r>
          </w:p>
        </w:tc>
        <w:tc>
          <w:tcPr>
            <w:tcW w:w="0" w:type="auto"/>
          </w:tcPr>
          <w:p w14:paraId="4069FB90" w14:textId="540148AC" w:rsidR="00F139B2" w:rsidRPr="002C07E6" w:rsidRDefault="00F139B2" w:rsidP="00F139B2">
            <w:pPr>
              <w:spacing w:after="160"/>
              <w:ind w:right="708"/>
              <w:rPr>
                <w:rFonts w:ascii="Calibri" w:hAnsi="Calibri" w:cs="Calibri"/>
                <w:lang w:val="en-GB"/>
              </w:rPr>
            </w:pPr>
            <w:r w:rsidRPr="006B5046">
              <w:t>Department of Endocrinology, Copenhagen University Hospital Hvidovre, Hvidovre, Denmark.</w:t>
            </w:r>
          </w:p>
        </w:tc>
        <w:tc>
          <w:tcPr>
            <w:tcW w:w="0" w:type="auto"/>
            <w:vMerge w:val="restart"/>
          </w:tcPr>
          <w:p w14:paraId="5FECC124" w14:textId="268E06F0" w:rsidR="00F139B2" w:rsidRPr="002C07E6" w:rsidRDefault="00F139B2" w:rsidP="00F139B2">
            <w:pPr>
              <w:ind w:right="708"/>
              <w:rPr>
                <w:rFonts w:ascii="Calibri" w:hAnsi="Calibri" w:cs="Calibri"/>
              </w:rPr>
            </w:pPr>
            <w:r w:rsidRPr="00714EDE">
              <w:rPr>
                <w:rFonts w:ascii="Calibri" w:hAnsi="Calibri" w:cs="Calibri"/>
              </w:rPr>
              <w:t>Jens-Erik.Beck.Jensen@regionh.dk</w:t>
            </w:r>
          </w:p>
        </w:tc>
      </w:tr>
      <w:tr w:rsidR="00F139B2" w:rsidRPr="002C07E6" w14:paraId="491038BF" w14:textId="77777777" w:rsidTr="00650190">
        <w:trPr>
          <w:trHeight w:val="484"/>
        </w:trPr>
        <w:tc>
          <w:tcPr>
            <w:tcW w:w="0" w:type="auto"/>
            <w:vMerge/>
            <w:tcBorders>
              <w:left w:val="single" w:sz="8" w:space="0" w:color="auto"/>
              <w:bottom w:val="single" w:sz="4" w:space="0" w:color="auto"/>
              <w:right w:val="single" w:sz="8" w:space="0" w:color="auto"/>
            </w:tcBorders>
            <w:shd w:val="clear" w:color="auto" w:fill="auto"/>
          </w:tcPr>
          <w:p w14:paraId="325A3B40" w14:textId="77777777" w:rsidR="00F139B2" w:rsidRPr="002E0F96" w:rsidRDefault="00F139B2" w:rsidP="00F139B2">
            <w:pPr>
              <w:ind w:right="708"/>
              <w:rPr>
                <w:rFonts w:ascii="Calibri" w:eastAsia="Calibri" w:hAnsi="Calibri" w:cs="Calibri"/>
                <w:color w:val="000000"/>
              </w:rPr>
            </w:pPr>
          </w:p>
        </w:tc>
        <w:tc>
          <w:tcPr>
            <w:tcW w:w="0" w:type="auto"/>
          </w:tcPr>
          <w:p w14:paraId="4A9FE662" w14:textId="504DD3F0" w:rsidR="00F139B2" w:rsidRPr="002C07E6" w:rsidRDefault="00F139B2" w:rsidP="00F139B2">
            <w:pPr>
              <w:ind w:right="708"/>
              <w:rPr>
                <w:rFonts w:ascii="Calibri" w:hAnsi="Calibri" w:cs="Calibri"/>
              </w:rPr>
            </w:pPr>
            <w:r w:rsidRPr="006B5046">
              <w:t>Institute of Clinical Medicine, University of Copenhagen, Denmark</w:t>
            </w:r>
          </w:p>
        </w:tc>
        <w:tc>
          <w:tcPr>
            <w:tcW w:w="0" w:type="auto"/>
            <w:vMerge/>
          </w:tcPr>
          <w:p w14:paraId="73561929" w14:textId="77777777" w:rsidR="00F139B2" w:rsidRPr="00714EDE" w:rsidRDefault="00F139B2" w:rsidP="00F139B2">
            <w:pPr>
              <w:ind w:right="708"/>
              <w:rPr>
                <w:rFonts w:ascii="Calibri" w:hAnsi="Calibri" w:cs="Calibri"/>
              </w:rPr>
            </w:pPr>
          </w:p>
        </w:tc>
      </w:tr>
      <w:tr w:rsidR="004C6710" w:rsidRPr="002C07E6" w14:paraId="6DF2DC12" w14:textId="47E13881" w:rsidTr="00B14AA0">
        <w:tc>
          <w:tcPr>
            <w:tcW w:w="0" w:type="auto"/>
            <w:tcBorders>
              <w:top w:val="nil"/>
              <w:left w:val="single" w:sz="8" w:space="0" w:color="auto"/>
              <w:bottom w:val="single" w:sz="4" w:space="0" w:color="auto"/>
              <w:right w:val="single" w:sz="8" w:space="0" w:color="auto"/>
            </w:tcBorders>
            <w:shd w:val="clear" w:color="auto" w:fill="auto"/>
          </w:tcPr>
          <w:p w14:paraId="2AAFA45B" w14:textId="325BE227" w:rsidR="004C6710" w:rsidRPr="002C07E6" w:rsidRDefault="00AF65CF" w:rsidP="002C07E6">
            <w:pPr>
              <w:spacing w:after="160"/>
              <w:ind w:right="708"/>
              <w:rPr>
                <w:rFonts w:ascii="Calibri" w:eastAsia="Calibri" w:hAnsi="Calibri" w:cs="Calibri"/>
                <w:lang w:val="en-GB"/>
              </w:rPr>
            </w:pPr>
            <w:r w:rsidRPr="00AF65CF">
              <w:rPr>
                <w:rFonts w:ascii="Calibri" w:eastAsia="Calibri" w:hAnsi="Calibri" w:cs="Calibri"/>
                <w:lang w:val="en-GB"/>
              </w:rPr>
              <w:lastRenderedPageBreak/>
              <w:t xml:space="preserve">Lise Sofie </w:t>
            </w:r>
            <w:proofErr w:type="spellStart"/>
            <w:r w:rsidRPr="00AF65CF">
              <w:rPr>
                <w:rFonts w:ascii="Calibri" w:eastAsia="Calibri" w:hAnsi="Calibri" w:cs="Calibri"/>
                <w:lang w:val="en-GB"/>
              </w:rPr>
              <w:t>Bislev</w:t>
            </w:r>
            <w:proofErr w:type="spellEnd"/>
          </w:p>
        </w:tc>
        <w:tc>
          <w:tcPr>
            <w:tcW w:w="0" w:type="auto"/>
          </w:tcPr>
          <w:p w14:paraId="2F410F40" w14:textId="70136022" w:rsidR="004C6710" w:rsidRPr="002C07E6" w:rsidRDefault="0076641E" w:rsidP="00B14AA0">
            <w:pPr>
              <w:spacing w:after="160"/>
              <w:ind w:right="708"/>
              <w:rPr>
                <w:rFonts w:ascii="Calibri" w:eastAsia="Calibri" w:hAnsi="Calibri" w:cs="Calibri"/>
                <w:lang w:val="en-GB"/>
              </w:rPr>
            </w:pPr>
            <w:r w:rsidRPr="0076641E">
              <w:rPr>
                <w:rFonts w:ascii="Calibri" w:eastAsia="Calibri" w:hAnsi="Calibri" w:cs="Calibri"/>
                <w:lang w:val="en-GB"/>
              </w:rPr>
              <w:t>1Department of Endocrinology and Internal Medicine, Aarhus University Hospital, Aarhus, Denmark</w:t>
            </w:r>
          </w:p>
        </w:tc>
        <w:tc>
          <w:tcPr>
            <w:tcW w:w="0" w:type="auto"/>
          </w:tcPr>
          <w:p w14:paraId="264175EC" w14:textId="19E32EFA" w:rsidR="004C6710" w:rsidRPr="002C07E6" w:rsidRDefault="00970AA1" w:rsidP="002C07E6">
            <w:pPr>
              <w:ind w:right="708"/>
              <w:rPr>
                <w:rFonts w:ascii="Calibri" w:eastAsia="Calibri" w:hAnsi="Calibri" w:cs="Calibri"/>
              </w:rPr>
            </w:pPr>
            <w:r w:rsidRPr="00970AA1">
              <w:rPr>
                <w:rFonts w:ascii="Calibri" w:eastAsia="Calibri" w:hAnsi="Calibri" w:cs="Calibri"/>
              </w:rPr>
              <w:t>Lise.Sofie@auh.rm.dk</w:t>
            </w:r>
          </w:p>
        </w:tc>
      </w:tr>
    </w:tbl>
    <w:p w14:paraId="4AE2A81D" w14:textId="2D9D37CA" w:rsidR="00114BCC" w:rsidRPr="00114BCC" w:rsidRDefault="00114BCC" w:rsidP="00114BCC">
      <w:pPr>
        <w:keepNext/>
        <w:keepLines/>
        <w:spacing w:before="240" w:after="0" w:line="360" w:lineRule="auto"/>
        <w:ind w:left="142"/>
        <w:outlineLvl w:val="0"/>
        <w:rPr>
          <w:rFonts w:ascii="Calibri" w:eastAsia="Times New Roman" w:hAnsi="Calibri" w:cs="Calibri"/>
          <w:b/>
          <w:sz w:val="28"/>
          <w:szCs w:val="28"/>
          <w:lang w:val="en-US" w:eastAsia="ru-RU"/>
        </w:rPr>
      </w:pPr>
      <w:r w:rsidRPr="00114BCC">
        <w:rPr>
          <w:rFonts w:ascii="Calibri" w:eastAsia="Times New Roman" w:hAnsi="Calibri" w:cs="Calibri"/>
          <w:b/>
          <w:sz w:val="28"/>
          <w:szCs w:val="28"/>
          <w:lang w:val="en-US" w:eastAsia="ru-RU"/>
        </w:rPr>
        <w:lastRenderedPageBreak/>
        <w:t xml:space="preserve">Mini abstract </w:t>
      </w:r>
    </w:p>
    <w:p w14:paraId="7FA33978" w14:textId="7AB284CA" w:rsidR="00114BCC" w:rsidRPr="00114BCC" w:rsidRDefault="00114BCC" w:rsidP="00114BCC">
      <w:pPr>
        <w:keepNext/>
        <w:keepLines/>
        <w:spacing w:before="240" w:after="0" w:line="360" w:lineRule="auto"/>
        <w:ind w:left="142"/>
        <w:outlineLvl w:val="0"/>
        <w:rPr>
          <w:rFonts w:ascii="Calibri" w:eastAsia="Times New Roman" w:hAnsi="Calibri" w:cs="Calibri"/>
          <w:bCs/>
          <w:sz w:val="24"/>
          <w:szCs w:val="24"/>
          <w:lang w:val="en-US" w:eastAsia="ru-RU"/>
        </w:rPr>
      </w:pPr>
      <w:r w:rsidRPr="00114BCC">
        <w:rPr>
          <w:rFonts w:ascii="Calibri" w:eastAsia="Times New Roman" w:hAnsi="Calibri" w:cs="Calibri"/>
          <w:bCs/>
          <w:sz w:val="24"/>
          <w:szCs w:val="24"/>
          <w:lang w:val="en-US" w:eastAsia="ru-RU"/>
        </w:rPr>
        <w:t xml:space="preserve">The incidence of hip and major osteoporotic fracture was increased </w:t>
      </w:r>
      <w:proofErr w:type="gramStart"/>
      <w:r w:rsidRPr="00114BCC">
        <w:rPr>
          <w:rFonts w:ascii="Calibri" w:eastAsia="Times New Roman" w:hAnsi="Calibri" w:cs="Calibri"/>
          <w:bCs/>
          <w:sz w:val="24"/>
          <w:szCs w:val="24"/>
          <w:lang w:val="en-US" w:eastAsia="ru-RU"/>
        </w:rPr>
        <w:t>In</w:t>
      </w:r>
      <w:proofErr w:type="gramEnd"/>
      <w:r w:rsidRPr="00114BCC">
        <w:rPr>
          <w:rFonts w:ascii="Calibri" w:eastAsia="Times New Roman" w:hAnsi="Calibri" w:cs="Calibri"/>
          <w:bCs/>
          <w:sz w:val="24"/>
          <w:szCs w:val="24"/>
          <w:lang w:val="en-US" w:eastAsia="ru-RU"/>
        </w:rPr>
        <w:t xml:space="preserve"> patients with primary hyperparathyroidism even in patients not referred for parathyroidectomy. The risk of death was also increased which attenuated an effect on fracture probabilities. The findings argue for widening the indications for parathyroidectomy in mild primary hyperparathyroidism.</w:t>
      </w:r>
    </w:p>
    <w:p w14:paraId="4EFC67A5" w14:textId="77777777" w:rsidR="00114BCC" w:rsidRDefault="00114BCC" w:rsidP="00E476D6">
      <w:pPr>
        <w:keepNext/>
        <w:keepLines/>
        <w:spacing w:before="240" w:after="0" w:line="360" w:lineRule="auto"/>
        <w:ind w:left="142"/>
        <w:outlineLvl w:val="0"/>
        <w:rPr>
          <w:rFonts w:ascii="Calibri" w:eastAsia="Times New Roman" w:hAnsi="Calibri" w:cs="Calibri"/>
          <w:b/>
          <w:sz w:val="28"/>
          <w:szCs w:val="28"/>
          <w:lang w:val="en-US" w:eastAsia="ru-RU"/>
        </w:rPr>
      </w:pPr>
    </w:p>
    <w:p w14:paraId="6BE20BDC" w14:textId="33E0B7EA" w:rsidR="002C07E6" w:rsidRPr="002C07E6" w:rsidRDefault="002C07E6" w:rsidP="00E476D6">
      <w:pPr>
        <w:keepNext/>
        <w:keepLines/>
        <w:spacing w:before="240" w:after="0" w:line="360" w:lineRule="auto"/>
        <w:ind w:left="142"/>
        <w:outlineLvl w:val="0"/>
        <w:rPr>
          <w:rFonts w:ascii="Calibri" w:eastAsia="Times New Roman" w:hAnsi="Calibri" w:cs="Calibri"/>
          <w:b/>
          <w:sz w:val="28"/>
          <w:szCs w:val="28"/>
          <w:lang w:val="en-US" w:eastAsia="ru-RU"/>
        </w:rPr>
      </w:pPr>
      <w:r w:rsidRPr="002C07E6">
        <w:rPr>
          <w:rFonts w:ascii="Calibri" w:eastAsia="Times New Roman" w:hAnsi="Calibri" w:cs="Calibri"/>
          <w:b/>
          <w:sz w:val="28"/>
          <w:szCs w:val="28"/>
          <w:lang w:val="en-US" w:eastAsia="ru-RU"/>
        </w:rPr>
        <w:t>Abstract</w:t>
      </w:r>
    </w:p>
    <w:p w14:paraId="59EDE4FE" w14:textId="4BAE8DC1" w:rsidR="002C07E6" w:rsidRPr="002C07E6" w:rsidRDefault="0000505A" w:rsidP="00E476D6">
      <w:pPr>
        <w:keepNext/>
        <w:keepLines/>
        <w:spacing w:before="240" w:after="0" w:line="360" w:lineRule="auto"/>
        <w:ind w:left="142"/>
        <w:outlineLvl w:val="0"/>
        <w:rPr>
          <w:rFonts w:ascii="Calibri" w:eastAsia="Times New Roman" w:hAnsi="Calibri" w:cs="Calibri"/>
          <w:bCs/>
          <w:sz w:val="24"/>
          <w:szCs w:val="24"/>
          <w:lang w:val="en-US" w:eastAsia="ru-RU"/>
        </w:rPr>
      </w:pPr>
      <w:r>
        <w:rPr>
          <w:rFonts w:ascii="Calibri" w:eastAsia="Times New Roman" w:hAnsi="Calibri" w:cs="Calibri"/>
          <w:b/>
          <w:sz w:val="24"/>
          <w:szCs w:val="24"/>
          <w:lang w:val="en-US" w:eastAsia="ru-RU"/>
        </w:rPr>
        <w:t>Introduction</w:t>
      </w:r>
      <w:r w:rsidR="002C07E6" w:rsidRPr="002C07E6">
        <w:rPr>
          <w:rFonts w:ascii="Calibri" w:eastAsia="Times New Roman" w:hAnsi="Calibri" w:cs="Calibri"/>
          <w:bCs/>
          <w:sz w:val="24"/>
          <w:szCs w:val="24"/>
          <w:lang w:val="en-US" w:eastAsia="ru-RU"/>
        </w:rPr>
        <w:t xml:space="preserve"> </w:t>
      </w:r>
      <w:r w:rsidR="00B02A7A">
        <w:rPr>
          <w:rFonts w:ascii="Calibri" w:eastAsia="Times New Roman" w:hAnsi="Calibri" w:cs="Calibri"/>
          <w:bCs/>
          <w:sz w:val="24"/>
          <w:szCs w:val="24"/>
          <w:lang w:val="en-US" w:eastAsia="ru-RU"/>
        </w:rPr>
        <w:t>P</w:t>
      </w:r>
      <w:r w:rsidR="00103BD1" w:rsidRPr="00103BD1">
        <w:rPr>
          <w:rFonts w:ascii="Calibri" w:eastAsia="Times New Roman" w:hAnsi="Calibri" w:cs="Calibri"/>
          <w:bCs/>
          <w:sz w:val="24"/>
          <w:szCs w:val="24"/>
          <w:lang w:val="en-US" w:eastAsia="ru-RU"/>
        </w:rPr>
        <w:t>rimary hyperparathyroidism</w:t>
      </w:r>
      <w:r w:rsidR="009D2EE2">
        <w:rPr>
          <w:rFonts w:ascii="Calibri" w:eastAsia="Times New Roman" w:hAnsi="Calibri" w:cs="Calibri"/>
          <w:bCs/>
          <w:sz w:val="24"/>
          <w:szCs w:val="24"/>
          <w:lang w:val="en-US" w:eastAsia="ru-RU"/>
        </w:rPr>
        <w:t xml:space="preserve"> </w:t>
      </w:r>
      <w:r w:rsidR="000646D2" w:rsidRPr="000646D2">
        <w:rPr>
          <w:rFonts w:ascii="Calibri" w:eastAsia="Times New Roman" w:hAnsi="Calibri" w:cs="Calibri"/>
          <w:bCs/>
          <w:sz w:val="24"/>
          <w:szCs w:val="24"/>
          <w:lang w:val="en-US" w:eastAsia="ru-RU"/>
        </w:rPr>
        <w:t xml:space="preserve">(PHPT) </w:t>
      </w:r>
      <w:r w:rsidR="00B02A7A">
        <w:rPr>
          <w:rFonts w:ascii="Calibri" w:eastAsia="Times New Roman" w:hAnsi="Calibri" w:cs="Calibri"/>
          <w:bCs/>
          <w:sz w:val="24"/>
          <w:szCs w:val="24"/>
          <w:lang w:val="en-US" w:eastAsia="ru-RU"/>
        </w:rPr>
        <w:t xml:space="preserve">is associated with an increase in </w:t>
      </w:r>
      <w:r w:rsidR="00633D11">
        <w:rPr>
          <w:rFonts w:ascii="Calibri" w:eastAsia="Times New Roman" w:hAnsi="Calibri" w:cs="Calibri"/>
          <w:bCs/>
          <w:sz w:val="24"/>
          <w:szCs w:val="24"/>
          <w:lang w:val="en-US" w:eastAsia="ru-RU"/>
        </w:rPr>
        <w:t>the risk of fracture</w:t>
      </w:r>
      <w:r w:rsidR="00F3603F">
        <w:rPr>
          <w:rFonts w:ascii="Calibri" w:eastAsia="Times New Roman" w:hAnsi="Calibri" w:cs="Calibri"/>
          <w:bCs/>
          <w:sz w:val="24"/>
          <w:szCs w:val="24"/>
          <w:lang w:val="en-US" w:eastAsia="ru-RU"/>
        </w:rPr>
        <w:t xml:space="preserve">.  </w:t>
      </w:r>
      <w:r w:rsidR="00985096">
        <w:rPr>
          <w:rFonts w:ascii="Calibri" w:eastAsia="Times New Roman" w:hAnsi="Calibri" w:cs="Calibri"/>
          <w:bCs/>
          <w:sz w:val="24"/>
          <w:szCs w:val="24"/>
          <w:lang w:val="en-US" w:eastAsia="ru-RU"/>
        </w:rPr>
        <w:t xml:space="preserve">In FRAX, the increase in risk is assumed to be mediated by low </w:t>
      </w:r>
      <w:r w:rsidR="007F6E1C">
        <w:rPr>
          <w:rFonts w:ascii="Calibri" w:eastAsia="Times New Roman" w:hAnsi="Calibri" w:cs="Calibri"/>
          <w:bCs/>
          <w:sz w:val="24"/>
          <w:szCs w:val="24"/>
          <w:lang w:val="en-US" w:eastAsia="ru-RU"/>
        </w:rPr>
        <w:t>bone mineral density</w:t>
      </w:r>
      <w:r w:rsidR="00633D11">
        <w:rPr>
          <w:rFonts w:ascii="Calibri" w:eastAsia="Times New Roman" w:hAnsi="Calibri" w:cs="Calibri"/>
          <w:bCs/>
          <w:sz w:val="24"/>
          <w:szCs w:val="24"/>
          <w:lang w:val="en-US" w:eastAsia="ru-RU"/>
        </w:rPr>
        <w:t xml:space="preserve"> </w:t>
      </w:r>
      <w:r w:rsidR="007F6E1C">
        <w:rPr>
          <w:rFonts w:ascii="Calibri" w:eastAsia="Times New Roman" w:hAnsi="Calibri" w:cs="Calibri"/>
          <w:bCs/>
          <w:sz w:val="24"/>
          <w:szCs w:val="24"/>
          <w:lang w:val="en-US" w:eastAsia="ru-RU"/>
        </w:rPr>
        <w:t>(BM</w:t>
      </w:r>
      <w:r w:rsidR="001B270E">
        <w:rPr>
          <w:rFonts w:ascii="Calibri" w:eastAsia="Times New Roman" w:hAnsi="Calibri" w:cs="Calibri"/>
          <w:bCs/>
          <w:sz w:val="24"/>
          <w:szCs w:val="24"/>
          <w:lang w:val="en-US" w:eastAsia="ru-RU"/>
        </w:rPr>
        <w:t>D)</w:t>
      </w:r>
      <w:r w:rsidR="00633D11">
        <w:rPr>
          <w:rFonts w:ascii="Calibri" w:eastAsia="Times New Roman" w:hAnsi="Calibri" w:cs="Calibri"/>
          <w:bCs/>
          <w:sz w:val="24"/>
          <w:szCs w:val="24"/>
          <w:lang w:val="en-US" w:eastAsia="ru-RU"/>
        </w:rPr>
        <w:t xml:space="preserve">.  </w:t>
      </w:r>
      <w:r w:rsidR="001B270E">
        <w:rPr>
          <w:rFonts w:ascii="Calibri" w:eastAsia="Times New Roman" w:hAnsi="Calibri" w:cs="Calibri"/>
          <w:bCs/>
          <w:sz w:val="24"/>
          <w:szCs w:val="24"/>
          <w:lang w:val="en-US" w:eastAsia="ru-RU"/>
        </w:rPr>
        <w:t>However, the risk of death</w:t>
      </w:r>
      <w:r w:rsidR="006F168B">
        <w:rPr>
          <w:rFonts w:ascii="Calibri" w:eastAsia="Times New Roman" w:hAnsi="Calibri" w:cs="Calibri"/>
          <w:bCs/>
          <w:sz w:val="24"/>
          <w:szCs w:val="24"/>
          <w:lang w:val="en-US" w:eastAsia="ru-RU"/>
        </w:rPr>
        <w:t xml:space="preserve"> is also increased and its</w:t>
      </w:r>
      <w:r w:rsidR="00633D11">
        <w:rPr>
          <w:rFonts w:ascii="Calibri" w:eastAsia="Times New Roman" w:hAnsi="Calibri" w:cs="Calibri"/>
          <w:bCs/>
          <w:sz w:val="24"/>
          <w:szCs w:val="24"/>
          <w:lang w:val="en-US" w:eastAsia="ru-RU"/>
        </w:rPr>
        <w:t xml:space="preserve"> effect </w:t>
      </w:r>
      <w:r w:rsidR="009309D5">
        <w:rPr>
          <w:rFonts w:ascii="Calibri" w:eastAsia="Times New Roman" w:hAnsi="Calibri" w:cs="Calibri"/>
          <w:bCs/>
          <w:sz w:val="24"/>
          <w:szCs w:val="24"/>
          <w:lang w:val="en-US" w:eastAsia="ru-RU"/>
        </w:rPr>
        <w:t xml:space="preserve">on fracture probability is not </w:t>
      </w:r>
      <w:r w:rsidR="00F3603F">
        <w:rPr>
          <w:rFonts w:ascii="Calibri" w:eastAsia="Times New Roman" w:hAnsi="Calibri" w:cs="Calibri"/>
          <w:bCs/>
          <w:sz w:val="24"/>
          <w:szCs w:val="24"/>
          <w:lang w:val="en-US" w:eastAsia="ru-RU"/>
        </w:rPr>
        <w:t>known.</w:t>
      </w:r>
    </w:p>
    <w:p w14:paraId="1676B7AC" w14:textId="795A2854" w:rsidR="002C07E6" w:rsidRPr="002C07E6" w:rsidRDefault="002C07E6" w:rsidP="00E476D6">
      <w:pPr>
        <w:keepNext/>
        <w:keepLines/>
        <w:spacing w:before="240" w:after="0" w:line="360" w:lineRule="auto"/>
        <w:ind w:left="142"/>
        <w:outlineLvl w:val="0"/>
        <w:rPr>
          <w:rFonts w:ascii="Calibri" w:eastAsia="Times New Roman" w:hAnsi="Calibri" w:cs="Calibri"/>
          <w:bCs/>
          <w:sz w:val="24"/>
          <w:szCs w:val="24"/>
          <w:lang w:val="en-US" w:eastAsia="ru-RU"/>
        </w:rPr>
      </w:pPr>
      <w:r w:rsidRPr="002C07E6">
        <w:rPr>
          <w:rFonts w:ascii="Calibri" w:eastAsia="Times New Roman" w:hAnsi="Calibri" w:cs="Calibri"/>
          <w:b/>
          <w:sz w:val="24"/>
          <w:szCs w:val="24"/>
          <w:lang w:val="en-US" w:eastAsia="ru-RU"/>
        </w:rPr>
        <w:t>Objective</w:t>
      </w:r>
      <w:r w:rsidRPr="002C07E6">
        <w:rPr>
          <w:rFonts w:ascii="Calibri" w:eastAsia="Times New Roman" w:hAnsi="Calibri" w:cs="Calibri"/>
          <w:bCs/>
          <w:sz w:val="24"/>
          <w:szCs w:val="24"/>
          <w:lang w:val="en-US" w:eastAsia="ru-RU"/>
        </w:rPr>
        <w:t xml:space="preserve"> </w:t>
      </w:r>
      <w:r w:rsidR="00E851C4" w:rsidRPr="00E851C4">
        <w:rPr>
          <w:rFonts w:ascii="Calibri" w:eastAsia="Times New Roman" w:hAnsi="Calibri" w:cs="Calibri"/>
          <w:bCs/>
          <w:sz w:val="24"/>
          <w:szCs w:val="24"/>
          <w:lang w:val="en-US" w:eastAsia="ru-RU"/>
        </w:rPr>
        <w:t xml:space="preserve">The aim of this study was to determine whether </w:t>
      </w:r>
      <w:bookmarkStart w:id="4" w:name="_Hlk95339612"/>
      <w:r w:rsidR="00E851C4" w:rsidRPr="00E851C4">
        <w:rPr>
          <w:rFonts w:ascii="Calibri" w:eastAsia="Times New Roman" w:hAnsi="Calibri" w:cs="Calibri"/>
          <w:bCs/>
          <w:sz w:val="24"/>
          <w:szCs w:val="24"/>
          <w:lang w:val="en-US" w:eastAsia="ru-RU"/>
        </w:rPr>
        <w:t xml:space="preserve">PHPT </w:t>
      </w:r>
      <w:bookmarkEnd w:id="4"/>
      <w:r w:rsidR="00E851C4" w:rsidRPr="00E851C4">
        <w:rPr>
          <w:rFonts w:ascii="Calibri" w:eastAsia="Times New Roman" w:hAnsi="Calibri" w:cs="Calibri"/>
          <w:bCs/>
          <w:sz w:val="24"/>
          <w:szCs w:val="24"/>
          <w:lang w:val="en-US" w:eastAsia="ru-RU"/>
        </w:rPr>
        <w:t xml:space="preserve">affects hip fracture and major osteoporotic fracture risk independently of </w:t>
      </w:r>
      <w:r w:rsidR="00170988" w:rsidRPr="00170988">
        <w:rPr>
          <w:rFonts w:ascii="Calibri" w:eastAsia="Times New Roman" w:hAnsi="Calibri" w:cs="Calibri"/>
          <w:bCs/>
          <w:sz w:val="24"/>
          <w:szCs w:val="24"/>
          <w:lang w:val="en-US" w:eastAsia="ru-RU"/>
        </w:rPr>
        <w:t>bone mineral density (</w:t>
      </w:r>
      <w:r w:rsidR="006E2AA9" w:rsidRPr="00170988">
        <w:rPr>
          <w:rFonts w:ascii="Calibri" w:eastAsia="Times New Roman" w:hAnsi="Calibri" w:cs="Calibri"/>
          <w:bCs/>
          <w:sz w:val="24"/>
          <w:szCs w:val="24"/>
          <w:lang w:val="en-US" w:eastAsia="ru-RU"/>
        </w:rPr>
        <w:t xml:space="preserve">BMD) </w:t>
      </w:r>
      <w:r w:rsidR="006E2AA9" w:rsidRPr="00E851C4">
        <w:rPr>
          <w:rFonts w:ascii="Calibri" w:eastAsia="Times New Roman" w:hAnsi="Calibri" w:cs="Calibri"/>
          <w:bCs/>
          <w:sz w:val="24"/>
          <w:szCs w:val="24"/>
          <w:lang w:val="en-US" w:eastAsia="ru-RU"/>
        </w:rPr>
        <w:t>and</w:t>
      </w:r>
      <w:r w:rsidR="00E851C4" w:rsidRPr="00E851C4">
        <w:rPr>
          <w:rFonts w:ascii="Calibri" w:eastAsia="Times New Roman" w:hAnsi="Calibri" w:cs="Calibri"/>
          <w:bCs/>
          <w:sz w:val="24"/>
          <w:szCs w:val="24"/>
          <w:lang w:val="en-US" w:eastAsia="ru-RU"/>
        </w:rPr>
        <w:t xml:space="preserve"> </w:t>
      </w:r>
      <w:r w:rsidR="00443A24">
        <w:rPr>
          <w:rFonts w:ascii="Calibri" w:eastAsia="Times New Roman" w:hAnsi="Calibri" w:cs="Calibri"/>
          <w:bCs/>
          <w:sz w:val="24"/>
          <w:szCs w:val="24"/>
          <w:lang w:val="en-US" w:eastAsia="ru-RU"/>
        </w:rPr>
        <w:t>whether this and an</w:t>
      </w:r>
      <w:r w:rsidR="00195F1E">
        <w:rPr>
          <w:rFonts w:ascii="Calibri" w:eastAsia="Times New Roman" w:hAnsi="Calibri" w:cs="Calibri"/>
          <w:bCs/>
          <w:sz w:val="24"/>
          <w:szCs w:val="24"/>
          <w:lang w:val="en-US" w:eastAsia="ru-RU"/>
        </w:rPr>
        <w:t>y</w:t>
      </w:r>
      <w:r w:rsidR="00443A24">
        <w:rPr>
          <w:rFonts w:ascii="Calibri" w:eastAsia="Times New Roman" w:hAnsi="Calibri" w:cs="Calibri"/>
          <w:bCs/>
          <w:sz w:val="24"/>
          <w:szCs w:val="24"/>
          <w:lang w:val="en-US" w:eastAsia="ru-RU"/>
        </w:rPr>
        <w:t xml:space="preserve"> increase in </w:t>
      </w:r>
      <w:r w:rsidR="00EB204B">
        <w:rPr>
          <w:rFonts w:ascii="Calibri" w:eastAsia="Times New Roman" w:hAnsi="Calibri" w:cs="Calibri"/>
          <w:bCs/>
          <w:sz w:val="24"/>
          <w:szCs w:val="24"/>
          <w:lang w:val="en-US" w:eastAsia="ru-RU"/>
        </w:rPr>
        <w:t>mortality</w:t>
      </w:r>
      <w:r w:rsidR="00443A24" w:rsidRPr="00E851C4">
        <w:rPr>
          <w:rFonts w:ascii="Calibri" w:eastAsia="Times New Roman" w:hAnsi="Calibri" w:cs="Calibri"/>
          <w:bCs/>
          <w:sz w:val="24"/>
          <w:szCs w:val="24"/>
          <w:lang w:val="en-US" w:eastAsia="ru-RU"/>
        </w:rPr>
        <w:t xml:space="preserve"> </w:t>
      </w:r>
      <w:r w:rsidR="00E851C4" w:rsidRPr="00E851C4">
        <w:rPr>
          <w:rFonts w:ascii="Calibri" w:eastAsia="Times New Roman" w:hAnsi="Calibri" w:cs="Calibri"/>
          <w:bCs/>
          <w:sz w:val="24"/>
          <w:szCs w:val="24"/>
          <w:lang w:val="en-US" w:eastAsia="ru-RU"/>
        </w:rPr>
        <w:t>affects the assessment of fracture probability.</w:t>
      </w:r>
    </w:p>
    <w:p w14:paraId="6FF9EE61" w14:textId="34E4EB56" w:rsidR="00625988" w:rsidRDefault="002C07E6" w:rsidP="00E476D6">
      <w:pPr>
        <w:keepNext/>
        <w:keepLines/>
        <w:spacing w:before="240" w:after="0" w:line="360" w:lineRule="auto"/>
        <w:ind w:left="142"/>
        <w:outlineLvl w:val="0"/>
        <w:rPr>
          <w:rFonts w:ascii="Calibri" w:eastAsia="Times New Roman" w:hAnsi="Calibri" w:cs="Calibri"/>
          <w:bCs/>
          <w:sz w:val="24"/>
          <w:szCs w:val="24"/>
          <w:lang w:val="en-US" w:eastAsia="ru-RU"/>
        </w:rPr>
      </w:pPr>
      <w:r w:rsidRPr="002C07E6">
        <w:rPr>
          <w:rFonts w:ascii="Calibri" w:eastAsia="Times New Roman" w:hAnsi="Calibri" w:cs="Calibri"/>
          <w:b/>
          <w:sz w:val="24"/>
          <w:szCs w:val="24"/>
          <w:lang w:val="en-US" w:eastAsia="ru-RU"/>
        </w:rPr>
        <w:t xml:space="preserve">Methods </w:t>
      </w:r>
      <w:r w:rsidR="00CD4F13" w:rsidRPr="00CD4F13">
        <w:rPr>
          <w:rFonts w:ascii="Calibri" w:eastAsia="Times New Roman" w:hAnsi="Calibri" w:cs="Calibri"/>
          <w:bCs/>
          <w:sz w:val="24"/>
          <w:szCs w:val="24"/>
          <w:lang w:val="en-US" w:eastAsia="ru-RU"/>
        </w:rPr>
        <w:t xml:space="preserve">A register-based survey of patients with PHPT and matched controls in Denmark </w:t>
      </w:r>
      <w:r w:rsidRPr="002C07E6">
        <w:rPr>
          <w:rFonts w:ascii="Calibri" w:eastAsia="Times New Roman" w:hAnsi="Calibri" w:cs="Calibri"/>
          <w:bCs/>
          <w:sz w:val="24"/>
          <w:szCs w:val="24"/>
          <w:lang w:val="en-US" w:eastAsia="ru-RU"/>
        </w:rPr>
        <w:t xml:space="preserve">were identified from hospital registers. </w:t>
      </w:r>
      <w:r w:rsidR="008C550C">
        <w:rPr>
          <w:rFonts w:ascii="Calibri" w:eastAsia="Times New Roman" w:hAnsi="Calibri" w:cs="Calibri"/>
          <w:bCs/>
          <w:sz w:val="24"/>
          <w:szCs w:val="24"/>
          <w:lang w:val="en-US" w:eastAsia="ru-RU"/>
        </w:rPr>
        <w:t xml:space="preserve"> </w:t>
      </w:r>
      <w:r w:rsidRPr="002C07E6">
        <w:rPr>
          <w:rFonts w:ascii="Calibri" w:eastAsia="Times New Roman" w:hAnsi="Calibri" w:cs="Calibri"/>
          <w:bCs/>
          <w:sz w:val="24"/>
          <w:szCs w:val="24"/>
          <w:lang w:val="en-US" w:eastAsia="ru-RU"/>
        </w:rPr>
        <w:t xml:space="preserve">The </w:t>
      </w:r>
      <w:r w:rsidR="00A25683">
        <w:rPr>
          <w:rFonts w:ascii="Calibri" w:eastAsia="Times New Roman" w:hAnsi="Calibri" w:cs="Calibri"/>
          <w:bCs/>
          <w:sz w:val="24"/>
          <w:szCs w:val="24"/>
          <w:lang w:val="en-US" w:eastAsia="ru-RU"/>
        </w:rPr>
        <w:t xml:space="preserve">incidence of </w:t>
      </w:r>
      <w:r w:rsidR="00E37A9D">
        <w:rPr>
          <w:rFonts w:ascii="Calibri" w:eastAsia="Times New Roman" w:hAnsi="Calibri" w:cs="Calibri"/>
          <w:bCs/>
          <w:sz w:val="24"/>
          <w:szCs w:val="24"/>
          <w:lang w:val="en-US" w:eastAsia="ru-RU"/>
        </w:rPr>
        <w:t xml:space="preserve">death, </w:t>
      </w:r>
      <w:r w:rsidR="00A25683">
        <w:rPr>
          <w:rFonts w:ascii="Calibri" w:eastAsia="Times New Roman" w:hAnsi="Calibri" w:cs="Calibri"/>
          <w:bCs/>
          <w:sz w:val="24"/>
          <w:szCs w:val="24"/>
          <w:lang w:val="en-US" w:eastAsia="ru-RU"/>
        </w:rPr>
        <w:t>hip fracture and ma</w:t>
      </w:r>
      <w:r w:rsidR="00D83E50">
        <w:rPr>
          <w:rFonts w:ascii="Calibri" w:eastAsia="Times New Roman" w:hAnsi="Calibri" w:cs="Calibri"/>
          <w:bCs/>
          <w:sz w:val="24"/>
          <w:szCs w:val="24"/>
          <w:lang w:val="en-US" w:eastAsia="ru-RU"/>
        </w:rPr>
        <w:t>jor osteoporotic fracture</w:t>
      </w:r>
      <w:r w:rsidR="00E37A9D">
        <w:rPr>
          <w:rFonts w:ascii="Calibri" w:eastAsia="Times New Roman" w:hAnsi="Calibri" w:cs="Calibri"/>
          <w:bCs/>
          <w:sz w:val="24"/>
          <w:szCs w:val="24"/>
          <w:lang w:val="en-US" w:eastAsia="ru-RU"/>
        </w:rPr>
        <w:t xml:space="preserve"> </w:t>
      </w:r>
      <w:r w:rsidRPr="002C07E6">
        <w:rPr>
          <w:rFonts w:ascii="Calibri" w:eastAsia="Times New Roman" w:hAnsi="Calibri" w:cs="Calibri"/>
          <w:bCs/>
          <w:sz w:val="24"/>
          <w:szCs w:val="24"/>
          <w:lang w:val="en-US" w:eastAsia="ru-RU"/>
        </w:rPr>
        <w:t>were determined</w:t>
      </w:r>
      <w:r w:rsidR="00E237EF">
        <w:rPr>
          <w:rFonts w:ascii="Calibri" w:eastAsia="Times New Roman" w:hAnsi="Calibri" w:cs="Calibri"/>
          <w:bCs/>
          <w:sz w:val="24"/>
          <w:szCs w:val="24"/>
          <w:lang w:val="en-US" w:eastAsia="ru-RU"/>
        </w:rPr>
        <w:t xml:space="preserve"> for computing fracture probabilities</w:t>
      </w:r>
      <w:r w:rsidRPr="002C07E6">
        <w:rPr>
          <w:rFonts w:ascii="Calibri" w:eastAsia="Times New Roman" w:hAnsi="Calibri" w:cs="Calibri"/>
          <w:bCs/>
          <w:sz w:val="24"/>
          <w:szCs w:val="24"/>
          <w:lang w:val="en-US" w:eastAsia="ru-RU"/>
        </w:rPr>
        <w:t xml:space="preserve"> </w:t>
      </w:r>
      <w:r w:rsidR="00207464">
        <w:rPr>
          <w:rFonts w:ascii="Calibri" w:eastAsia="Times New Roman" w:hAnsi="Calibri" w:cs="Calibri"/>
          <w:bCs/>
          <w:sz w:val="24"/>
          <w:szCs w:val="24"/>
          <w:lang w:val="en-US" w:eastAsia="ru-RU"/>
        </w:rPr>
        <w:t xml:space="preserve">excluding time </w:t>
      </w:r>
      <w:r w:rsidR="006C7B5C">
        <w:rPr>
          <w:rFonts w:ascii="Calibri" w:eastAsia="Times New Roman" w:hAnsi="Calibri" w:cs="Calibri"/>
          <w:bCs/>
          <w:sz w:val="24"/>
          <w:szCs w:val="24"/>
          <w:lang w:val="en-US" w:eastAsia="ru-RU"/>
        </w:rPr>
        <w:t>after parathyroidectomy</w:t>
      </w:r>
      <w:r w:rsidRPr="002C07E6">
        <w:rPr>
          <w:rFonts w:ascii="Calibri" w:eastAsia="Times New Roman" w:hAnsi="Calibri" w:cs="Calibri"/>
          <w:bCs/>
          <w:sz w:val="24"/>
          <w:szCs w:val="24"/>
          <w:lang w:val="en-US" w:eastAsia="ru-RU"/>
        </w:rPr>
        <w:t xml:space="preserve">.  </w:t>
      </w:r>
      <w:r w:rsidR="00464372">
        <w:rPr>
          <w:rFonts w:ascii="Calibri" w:eastAsia="Times New Roman" w:hAnsi="Calibri" w:cs="Calibri"/>
          <w:bCs/>
          <w:sz w:val="24"/>
          <w:szCs w:val="24"/>
          <w:lang w:val="en-US" w:eastAsia="ru-RU"/>
        </w:rPr>
        <w:t>The gradient of risk</w:t>
      </w:r>
      <w:r w:rsidR="00625988">
        <w:rPr>
          <w:rFonts w:ascii="Calibri" w:eastAsia="Times New Roman" w:hAnsi="Calibri" w:cs="Calibri"/>
          <w:bCs/>
          <w:sz w:val="24"/>
          <w:szCs w:val="24"/>
          <w:lang w:val="en-US" w:eastAsia="ru-RU"/>
        </w:rPr>
        <w:t xml:space="preserve"> for fracture</w:t>
      </w:r>
      <w:r w:rsidR="00207464">
        <w:rPr>
          <w:rFonts w:ascii="Calibri" w:eastAsia="Times New Roman" w:hAnsi="Calibri" w:cs="Calibri"/>
          <w:bCs/>
          <w:sz w:val="24"/>
          <w:szCs w:val="24"/>
          <w:lang w:val="en-US" w:eastAsia="ru-RU"/>
        </w:rPr>
        <w:t xml:space="preserve"> for </w:t>
      </w:r>
      <w:r w:rsidR="00566A28">
        <w:rPr>
          <w:rFonts w:ascii="Calibri" w:eastAsia="Times New Roman" w:hAnsi="Calibri" w:cs="Calibri"/>
          <w:bCs/>
          <w:sz w:val="24"/>
          <w:szCs w:val="24"/>
          <w:lang w:val="en-US" w:eastAsia="ru-RU"/>
        </w:rPr>
        <w:t>differences</w:t>
      </w:r>
      <w:r w:rsidR="00207464">
        <w:rPr>
          <w:rFonts w:ascii="Calibri" w:eastAsia="Times New Roman" w:hAnsi="Calibri" w:cs="Calibri"/>
          <w:bCs/>
          <w:sz w:val="24"/>
          <w:szCs w:val="24"/>
          <w:lang w:val="en-US" w:eastAsia="ru-RU"/>
        </w:rPr>
        <w:t xml:space="preserve"> in </w:t>
      </w:r>
      <w:r w:rsidR="002E6CA2">
        <w:rPr>
          <w:rFonts w:ascii="Calibri" w:eastAsia="Times New Roman" w:hAnsi="Calibri" w:cs="Calibri"/>
          <w:bCs/>
          <w:sz w:val="24"/>
          <w:szCs w:val="24"/>
          <w:lang w:val="en-US" w:eastAsia="ru-RU"/>
        </w:rPr>
        <w:t xml:space="preserve">BMD </w:t>
      </w:r>
      <w:r w:rsidR="006C7B5C">
        <w:rPr>
          <w:rFonts w:ascii="Calibri" w:eastAsia="Times New Roman" w:hAnsi="Calibri" w:cs="Calibri"/>
          <w:bCs/>
          <w:sz w:val="24"/>
          <w:szCs w:val="24"/>
          <w:lang w:val="en-US" w:eastAsia="ru-RU"/>
        </w:rPr>
        <w:t>was determined</w:t>
      </w:r>
      <w:r w:rsidR="00CA095A">
        <w:rPr>
          <w:rFonts w:ascii="Calibri" w:eastAsia="Times New Roman" w:hAnsi="Calibri" w:cs="Calibri"/>
          <w:bCs/>
          <w:sz w:val="24"/>
          <w:szCs w:val="24"/>
          <w:lang w:val="en-US" w:eastAsia="ru-RU"/>
        </w:rPr>
        <w:t xml:space="preserve"> in a subset of patients</w:t>
      </w:r>
      <w:r w:rsidR="002E6CA2">
        <w:rPr>
          <w:rFonts w:ascii="Calibri" w:eastAsia="Times New Roman" w:hAnsi="Calibri" w:cs="Calibri"/>
          <w:bCs/>
          <w:sz w:val="24"/>
          <w:szCs w:val="24"/>
          <w:lang w:val="en-US" w:eastAsia="ru-RU"/>
        </w:rPr>
        <w:t xml:space="preserve"> and in BMD controls</w:t>
      </w:r>
      <w:r w:rsidR="0076085E">
        <w:rPr>
          <w:rFonts w:ascii="Calibri" w:eastAsia="Times New Roman" w:hAnsi="Calibri" w:cs="Calibri"/>
          <w:bCs/>
          <w:sz w:val="24"/>
          <w:szCs w:val="24"/>
          <w:lang w:val="en-US" w:eastAsia="ru-RU"/>
        </w:rPr>
        <w:t>.</w:t>
      </w:r>
      <w:r w:rsidR="008C550C">
        <w:rPr>
          <w:rFonts w:ascii="Calibri" w:eastAsia="Times New Roman" w:hAnsi="Calibri" w:cs="Calibri"/>
          <w:bCs/>
          <w:sz w:val="24"/>
          <w:szCs w:val="24"/>
          <w:lang w:val="en-US" w:eastAsia="ru-RU"/>
        </w:rPr>
        <w:t xml:space="preserve"> </w:t>
      </w:r>
      <w:r w:rsidR="00625988">
        <w:rPr>
          <w:rFonts w:ascii="Calibri" w:eastAsia="Times New Roman" w:hAnsi="Calibri" w:cs="Calibri"/>
          <w:bCs/>
          <w:sz w:val="24"/>
          <w:szCs w:val="24"/>
          <w:lang w:val="en-US" w:eastAsia="ru-RU"/>
        </w:rPr>
        <w:t xml:space="preserve"> </w:t>
      </w:r>
      <w:r w:rsidR="002D7559" w:rsidRPr="002D7559">
        <w:rPr>
          <w:rFonts w:ascii="Calibri" w:eastAsia="Times New Roman" w:hAnsi="Calibri" w:cs="Calibri"/>
          <w:bCs/>
          <w:sz w:val="24"/>
          <w:szCs w:val="24"/>
          <w:lang w:val="en-US" w:eastAsia="ru-RU"/>
        </w:rPr>
        <w:t>The severity of disease was based on serum calcium</w:t>
      </w:r>
      <w:r w:rsidR="002D7559">
        <w:rPr>
          <w:rFonts w:ascii="Calibri" w:eastAsia="Times New Roman" w:hAnsi="Calibri" w:cs="Calibri"/>
          <w:bCs/>
          <w:sz w:val="24"/>
          <w:szCs w:val="24"/>
          <w:lang w:val="en-US" w:eastAsia="ru-RU"/>
        </w:rPr>
        <w:t xml:space="preserve"> and </w:t>
      </w:r>
      <w:r w:rsidR="00201461">
        <w:rPr>
          <w:rFonts w:ascii="Calibri" w:eastAsia="Times New Roman" w:hAnsi="Calibri" w:cs="Calibri"/>
          <w:bCs/>
          <w:sz w:val="24"/>
          <w:szCs w:val="24"/>
          <w:lang w:val="en-US" w:eastAsia="ru-RU"/>
        </w:rPr>
        <w:t>parathyroid hormone levels.</w:t>
      </w:r>
    </w:p>
    <w:p w14:paraId="0066A80D" w14:textId="0703AEBE" w:rsidR="002C07E6" w:rsidRPr="002C07E6" w:rsidRDefault="002C07E6" w:rsidP="00E476D6">
      <w:pPr>
        <w:keepNext/>
        <w:keepLines/>
        <w:spacing w:before="240" w:after="0" w:line="360" w:lineRule="auto"/>
        <w:ind w:left="142"/>
        <w:outlineLvl w:val="0"/>
        <w:rPr>
          <w:rFonts w:ascii="Calibri" w:eastAsia="Times New Roman" w:hAnsi="Calibri" w:cs="Calibri"/>
          <w:bCs/>
          <w:sz w:val="24"/>
          <w:szCs w:val="24"/>
          <w:lang w:val="en-US" w:eastAsia="ru-RU"/>
        </w:rPr>
      </w:pPr>
      <w:r w:rsidRPr="002C07E6">
        <w:rPr>
          <w:rFonts w:ascii="Calibri" w:eastAsia="Times New Roman" w:hAnsi="Calibri" w:cs="Calibri"/>
          <w:b/>
          <w:sz w:val="24"/>
          <w:szCs w:val="24"/>
          <w:lang w:val="en-US" w:eastAsia="ru-RU"/>
        </w:rPr>
        <w:lastRenderedPageBreak/>
        <w:t>Results.</w:t>
      </w:r>
      <w:r w:rsidRPr="002C07E6">
        <w:rPr>
          <w:rFonts w:ascii="Calibri" w:eastAsia="Times New Roman" w:hAnsi="Calibri" w:cs="Calibri"/>
          <w:bCs/>
          <w:sz w:val="24"/>
          <w:szCs w:val="24"/>
          <w:lang w:val="en-US" w:eastAsia="ru-RU"/>
        </w:rPr>
        <w:t xml:space="preserve"> </w:t>
      </w:r>
      <w:r w:rsidR="00054E70">
        <w:rPr>
          <w:rFonts w:ascii="Calibri" w:eastAsia="Times New Roman" w:hAnsi="Calibri" w:cs="Calibri"/>
          <w:bCs/>
          <w:sz w:val="24"/>
          <w:szCs w:val="24"/>
          <w:lang w:val="en-US" w:eastAsia="ru-RU"/>
        </w:rPr>
        <w:t xml:space="preserve"> </w:t>
      </w:r>
      <w:r w:rsidR="00BF7DBB" w:rsidRPr="00BF7DBB">
        <w:rPr>
          <w:rFonts w:ascii="Calibri" w:eastAsia="Times New Roman" w:hAnsi="Calibri" w:cs="Calibri"/>
          <w:bCs/>
          <w:sz w:val="24"/>
          <w:szCs w:val="24"/>
          <w:lang w:val="en-US" w:eastAsia="ru-RU"/>
        </w:rPr>
        <w:t>We identified 6884 patients with biochemically confirmed PHPT and 68,665 matched population controls.</w:t>
      </w:r>
      <w:r w:rsidR="00320458" w:rsidRPr="00320458">
        <w:t xml:space="preserve"> </w:t>
      </w:r>
      <w:r w:rsidR="009C4EAD">
        <w:t xml:space="preserve"> </w:t>
      </w:r>
      <w:r w:rsidR="00320458" w:rsidRPr="00320458">
        <w:rPr>
          <w:rFonts w:ascii="Calibri" w:eastAsia="Times New Roman" w:hAnsi="Calibri" w:cs="Calibri"/>
          <w:bCs/>
          <w:sz w:val="24"/>
          <w:szCs w:val="24"/>
          <w:lang w:val="en-US" w:eastAsia="ru-RU"/>
        </w:rPr>
        <w:t xml:space="preserve">On follow up, excluding </w:t>
      </w:r>
      <w:r w:rsidR="007637FE">
        <w:rPr>
          <w:rFonts w:ascii="Calibri" w:eastAsia="Times New Roman" w:hAnsi="Calibri" w:cs="Calibri"/>
          <w:bCs/>
          <w:sz w:val="24"/>
          <w:szCs w:val="24"/>
          <w:lang w:val="en-US" w:eastAsia="ru-RU"/>
        </w:rPr>
        <w:t>time</w:t>
      </w:r>
      <w:r w:rsidR="00320458" w:rsidRPr="00320458">
        <w:rPr>
          <w:rFonts w:ascii="Calibri" w:eastAsia="Times New Roman" w:hAnsi="Calibri" w:cs="Calibri"/>
          <w:bCs/>
          <w:sz w:val="24"/>
          <w:szCs w:val="24"/>
          <w:lang w:val="en-US" w:eastAsia="ru-RU"/>
        </w:rPr>
        <w:t xml:space="preserve"> after parathyroidectomy</w:t>
      </w:r>
      <w:r w:rsidR="00654EC6">
        <w:rPr>
          <w:rFonts w:ascii="Calibri" w:eastAsia="Times New Roman" w:hAnsi="Calibri" w:cs="Calibri"/>
          <w:bCs/>
          <w:sz w:val="24"/>
          <w:szCs w:val="24"/>
          <w:lang w:val="en-US" w:eastAsia="ru-RU"/>
        </w:rPr>
        <w:t xml:space="preserve"> in those undergoin</w:t>
      </w:r>
      <w:r w:rsidR="005C7769">
        <w:rPr>
          <w:rFonts w:ascii="Calibri" w:eastAsia="Times New Roman" w:hAnsi="Calibri" w:cs="Calibri"/>
          <w:bCs/>
          <w:sz w:val="24"/>
          <w:szCs w:val="24"/>
          <w:lang w:val="en-US" w:eastAsia="ru-RU"/>
        </w:rPr>
        <w:t>g surgery</w:t>
      </w:r>
      <w:r w:rsidR="00320458" w:rsidRPr="00320458">
        <w:rPr>
          <w:rFonts w:ascii="Calibri" w:eastAsia="Times New Roman" w:hAnsi="Calibri" w:cs="Calibri"/>
          <w:bCs/>
          <w:sz w:val="24"/>
          <w:szCs w:val="24"/>
          <w:lang w:val="en-US" w:eastAsia="ru-RU"/>
        </w:rPr>
        <w:t>, patients with PHPT had a higher risk of death</w:t>
      </w:r>
      <w:r w:rsidR="00D97B52">
        <w:rPr>
          <w:rFonts w:ascii="Calibri" w:eastAsia="Times New Roman" w:hAnsi="Calibri" w:cs="Calibri"/>
          <w:bCs/>
          <w:sz w:val="24"/>
          <w:szCs w:val="24"/>
          <w:lang w:val="en-US" w:eastAsia="ru-RU"/>
        </w:rPr>
        <w:t xml:space="preserve"> (</w:t>
      </w:r>
      <w:r w:rsidR="00ED1857">
        <w:rPr>
          <w:rFonts w:ascii="Calibri" w:eastAsia="Times New Roman" w:hAnsi="Calibri" w:cs="Calibri"/>
          <w:bCs/>
          <w:sz w:val="24"/>
          <w:szCs w:val="24"/>
          <w:lang w:val="en-US" w:eastAsia="ru-RU"/>
        </w:rPr>
        <w:t>+52%)</w:t>
      </w:r>
      <w:r w:rsidR="00FA425A">
        <w:rPr>
          <w:rFonts w:ascii="Calibri" w:eastAsia="Times New Roman" w:hAnsi="Calibri" w:cs="Calibri"/>
          <w:bCs/>
          <w:sz w:val="24"/>
          <w:szCs w:val="24"/>
          <w:lang w:val="en-US" w:eastAsia="ru-RU"/>
        </w:rPr>
        <w:t>, hip fracture</w:t>
      </w:r>
      <w:r w:rsidR="00ED1857">
        <w:rPr>
          <w:rFonts w:ascii="Calibri" w:eastAsia="Times New Roman" w:hAnsi="Calibri" w:cs="Calibri"/>
          <w:bCs/>
          <w:sz w:val="24"/>
          <w:szCs w:val="24"/>
          <w:lang w:val="en-US" w:eastAsia="ru-RU"/>
        </w:rPr>
        <w:t xml:space="preserve"> (+48%)</w:t>
      </w:r>
      <w:r w:rsidR="00320458" w:rsidRPr="00320458">
        <w:rPr>
          <w:rFonts w:ascii="Calibri" w:eastAsia="Times New Roman" w:hAnsi="Calibri" w:cs="Calibri"/>
          <w:bCs/>
          <w:sz w:val="24"/>
          <w:szCs w:val="24"/>
          <w:lang w:val="en-US" w:eastAsia="ru-RU"/>
        </w:rPr>
        <w:t xml:space="preserve"> and major osteoporotic fracture</w:t>
      </w:r>
      <w:r w:rsidR="00F700FC">
        <w:rPr>
          <w:rFonts w:ascii="Calibri" w:eastAsia="Times New Roman" w:hAnsi="Calibri" w:cs="Calibri"/>
          <w:bCs/>
          <w:sz w:val="24"/>
          <w:szCs w:val="24"/>
          <w:lang w:val="en-US" w:eastAsia="ru-RU"/>
        </w:rPr>
        <w:t xml:space="preserve"> (+</w:t>
      </w:r>
      <w:r w:rsidR="00320458" w:rsidRPr="00320458">
        <w:rPr>
          <w:rFonts w:ascii="Calibri" w:eastAsia="Times New Roman" w:hAnsi="Calibri" w:cs="Calibri"/>
          <w:bCs/>
          <w:sz w:val="24"/>
          <w:szCs w:val="24"/>
          <w:lang w:val="en-US" w:eastAsia="ru-RU"/>
        </w:rPr>
        <w:t xml:space="preserve"> </w:t>
      </w:r>
      <w:r w:rsidR="00805478">
        <w:rPr>
          <w:rFonts w:ascii="Calibri" w:eastAsia="Times New Roman" w:hAnsi="Calibri" w:cs="Calibri"/>
          <w:bCs/>
          <w:sz w:val="24"/>
          <w:szCs w:val="24"/>
          <w:lang w:val="en-US" w:eastAsia="ru-RU"/>
        </w:rPr>
        <w:t xml:space="preserve">36%) </w:t>
      </w:r>
      <w:r w:rsidR="00320458" w:rsidRPr="00320458">
        <w:rPr>
          <w:rFonts w:ascii="Calibri" w:eastAsia="Times New Roman" w:hAnsi="Calibri" w:cs="Calibri"/>
          <w:bCs/>
          <w:sz w:val="24"/>
          <w:szCs w:val="24"/>
          <w:lang w:val="en-US" w:eastAsia="ru-RU"/>
        </w:rPr>
        <w:t>than population controls</w:t>
      </w:r>
      <w:r w:rsidR="0023728B" w:rsidRPr="00E81696">
        <w:rPr>
          <w:rFonts w:ascii="Calibri" w:eastAsia="Times New Roman" w:hAnsi="Calibri" w:cs="Calibri"/>
          <w:bCs/>
          <w:sz w:val="24"/>
          <w:szCs w:val="24"/>
          <w:lang w:val="en-US" w:eastAsia="ru-RU"/>
        </w:rPr>
        <w:t xml:space="preserve">.  At any given age, </w:t>
      </w:r>
      <w:r w:rsidR="00E81696">
        <w:rPr>
          <w:rFonts w:ascii="Calibri" w:eastAsia="Times New Roman" w:hAnsi="Calibri" w:cs="Calibri"/>
          <w:bCs/>
          <w:sz w:val="24"/>
          <w:szCs w:val="24"/>
          <w:lang w:val="en-US" w:eastAsia="ru-RU"/>
        </w:rPr>
        <w:t xml:space="preserve">average </w:t>
      </w:r>
      <w:r w:rsidR="00FC7F3E" w:rsidRPr="00E81696">
        <w:rPr>
          <w:rFonts w:ascii="Calibri" w:eastAsia="Times New Roman" w:hAnsi="Calibri" w:cs="Calibri"/>
          <w:bCs/>
          <w:sz w:val="24"/>
          <w:szCs w:val="24"/>
          <w:lang w:val="en-US" w:eastAsia="ru-RU"/>
        </w:rPr>
        <w:t>10-year probabilit</w:t>
      </w:r>
      <w:r w:rsidR="0048248D" w:rsidRPr="00E81696">
        <w:rPr>
          <w:rFonts w:ascii="Calibri" w:eastAsia="Times New Roman" w:hAnsi="Calibri" w:cs="Calibri"/>
          <w:bCs/>
          <w:sz w:val="24"/>
          <w:szCs w:val="24"/>
          <w:lang w:val="en-US" w:eastAsia="ru-RU"/>
        </w:rPr>
        <w:t>ies</w:t>
      </w:r>
      <w:r w:rsidR="00FC7F3E" w:rsidRPr="00E81696">
        <w:rPr>
          <w:rFonts w:ascii="Calibri" w:eastAsia="Times New Roman" w:hAnsi="Calibri" w:cs="Calibri"/>
          <w:bCs/>
          <w:sz w:val="24"/>
          <w:szCs w:val="24"/>
          <w:lang w:val="en-US" w:eastAsia="ru-RU"/>
        </w:rPr>
        <w:t xml:space="preserve"> of</w:t>
      </w:r>
      <w:r w:rsidR="00FC7F3E" w:rsidRPr="00FC7F3E">
        <w:rPr>
          <w:rFonts w:ascii="Calibri" w:eastAsia="Times New Roman" w:hAnsi="Calibri" w:cs="Calibri"/>
          <w:bCs/>
          <w:sz w:val="24"/>
          <w:szCs w:val="24"/>
          <w:lang w:val="en-US" w:eastAsia="ru-RU"/>
        </w:rPr>
        <w:t xml:space="preserve"> fracture</w:t>
      </w:r>
      <w:r w:rsidR="0023728B" w:rsidRPr="0023728B">
        <w:rPr>
          <w:rFonts w:ascii="Calibri" w:eastAsia="Times New Roman" w:hAnsi="Calibri" w:cs="Calibri"/>
          <w:bCs/>
          <w:sz w:val="24"/>
          <w:szCs w:val="24"/>
          <w:lang w:val="en-US" w:eastAsia="ru-RU"/>
        </w:rPr>
        <w:t xml:space="preserve"> were higher in patients with PHPT than population controls</w:t>
      </w:r>
      <w:r w:rsidR="00F406F3">
        <w:rPr>
          <w:rFonts w:ascii="Calibri" w:eastAsia="Times New Roman" w:hAnsi="Calibri" w:cs="Calibri"/>
          <w:bCs/>
          <w:sz w:val="24"/>
          <w:szCs w:val="24"/>
          <w:lang w:val="en-US" w:eastAsia="ru-RU"/>
        </w:rPr>
        <w:t xml:space="preserve">.  </w:t>
      </w:r>
      <w:r w:rsidR="00C67BF4">
        <w:rPr>
          <w:rFonts w:ascii="Calibri" w:eastAsia="Times New Roman" w:hAnsi="Calibri" w:cs="Calibri"/>
          <w:bCs/>
          <w:sz w:val="24"/>
          <w:szCs w:val="24"/>
          <w:lang w:val="en-US" w:eastAsia="ru-RU"/>
        </w:rPr>
        <w:t>The gradien</w:t>
      </w:r>
      <w:r w:rsidR="00DC1339">
        <w:rPr>
          <w:rFonts w:ascii="Calibri" w:eastAsia="Times New Roman" w:hAnsi="Calibri" w:cs="Calibri"/>
          <w:bCs/>
          <w:sz w:val="24"/>
          <w:szCs w:val="24"/>
          <w:lang w:val="en-US" w:eastAsia="ru-RU"/>
        </w:rPr>
        <w:t xml:space="preserve">t of fracture risk with differences in BMD was similar in cases and controls.  </w:t>
      </w:r>
      <w:r w:rsidR="000924CD">
        <w:rPr>
          <w:rFonts w:ascii="Calibri" w:eastAsia="Times New Roman" w:hAnsi="Calibri" w:cs="Calibri"/>
          <w:bCs/>
          <w:sz w:val="24"/>
          <w:szCs w:val="24"/>
          <w:lang w:val="en-US" w:eastAsia="ru-RU"/>
        </w:rPr>
        <w:t>Results were similar when confined to patients not undergoing</w:t>
      </w:r>
      <w:r w:rsidR="00306523">
        <w:rPr>
          <w:rFonts w:ascii="Calibri" w:eastAsia="Times New Roman" w:hAnsi="Calibri" w:cs="Calibri"/>
          <w:bCs/>
          <w:sz w:val="24"/>
          <w:szCs w:val="24"/>
          <w:lang w:val="en-US" w:eastAsia="ru-RU"/>
        </w:rPr>
        <w:t xml:space="preserve"> </w:t>
      </w:r>
      <w:r w:rsidR="00CB0ED9">
        <w:rPr>
          <w:rFonts w:ascii="Calibri" w:eastAsia="Times New Roman" w:hAnsi="Calibri" w:cs="Calibri"/>
          <w:bCs/>
          <w:sz w:val="24"/>
          <w:szCs w:val="24"/>
          <w:lang w:val="en-US" w:eastAsia="ru-RU"/>
        </w:rPr>
        <w:t>parathyroidectomy.</w:t>
      </w:r>
      <w:r w:rsidR="00D62D4C" w:rsidRPr="00D62D4C">
        <w:t xml:space="preserve"> </w:t>
      </w:r>
      <w:r w:rsidR="00CF480B">
        <w:t xml:space="preserve"> </w:t>
      </w:r>
      <w:r w:rsidR="00CF480B">
        <w:rPr>
          <w:rFonts w:ascii="Calibri" w:eastAsia="Times New Roman" w:hAnsi="Calibri" w:cs="Calibri"/>
          <w:bCs/>
          <w:sz w:val="24"/>
          <w:szCs w:val="24"/>
          <w:lang w:val="en-US" w:eastAsia="ru-RU"/>
        </w:rPr>
        <w:t>F</w:t>
      </w:r>
      <w:r w:rsidR="00D62D4C" w:rsidRPr="00D62D4C">
        <w:rPr>
          <w:rFonts w:ascii="Calibri" w:eastAsia="Times New Roman" w:hAnsi="Calibri" w:cs="Calibri"/>
          <w:bCs/>
          <w:sz w:val="24"/>
          <w:szCs w:val="24"/>
          <w:lang w:val="en-US" w:eastAsia="ru-RU"/>
        </w:rPr>
        <w:t>racture probability decreased with the severity of disease</w:t>
      </w:r>
      <w:r w:rsidR="00CF480B">
        <w:rPr>
          <w:rFonts w:ascii="Calibri" w:eastAsia="Times New Roman" w:hAnsi="Calibri" w:cs="Calibri"/>
          <w:bCs/>
          <w:sz w:val="24"/>
          <w:szCs w:val="24"/>
          <w:lang w:val="en-US" w:eastAsia="ru-RU"/>
        </w:rPr>
        <w:t xml:space="preserve"> </w:t>
      </w:r>
      <w:r w:rsidR="00102C4D">
        <w:rPr>
          <w:rFonts w:ascii="Calibri" w:eastAsia="Times New Roman" w:hAnsi="Calibri" w:cs="Calibri"/>
          <w:bCs/>
          <w:sz w:val="24"/>
          <w:szCs w:val="24"/>
          <w:lang w:val="en-US" w:eastAsia="ru-RU"/>
        </w:rPr>
        <w:t>due to an increase in mortality</w:t>
      </w:r>
      <w:r w:rsidR="008C05DC">
        <w:rPr>
          <w:rFonts w:ascii="Calibri" w:eastAsia="Times New Roman" w:hAnsi="Calibri" w:cs="Calibri"/>
          <w:bCs/>
          <w:sz w:val="24"/>
          <w:szCs w:val="24"/>
          <w:lang w:val="en-US" w:eastAsia="ru-RU"/>
        </w:rPr>
        <w:t xml:space="preserve"> </w:t>
      </w:r>
      <w:r w:rsidR="00102C4D">
        <w:rPr>
          <w:rFonts w:ascii="Calibri" w:eastAsia="Times New Roman" w:hAnsi="Calibri" w:cs="Calibri"/>
          <w:bCs/>
          <w:sz w:val="24"/>
          <w:szCs w:val="24"/>
          <w:lang w:val="en-US" w:eastAsia="ru-RU"/>
        </w:rPr>
        <w:t>rather than fracture risk</w:t>
      </w:r>
      <w:r w:rsidR="00FD2484">
        <w:rPr>
          <w:rFonts w:ascii="Calibri" w:eastAsia="Times New Roman" w:hAnsi="Calibri" w:cs="Calibri"/>
          <w:bCs/>
          <w:sz w:val="24"/>
          <w:szCs w:val="24"/>
          <w:lang w:val="en-US" w:eastAsia="ru-RU"/>
        </w:rPr>
        <w:t>.</w:t>
      </w:r>
      <w:r w:rsidR="00D62D4C" w:rsidRPr="00D62D4C">
        <w:rPr>
          <w:rFonts w:ascii="Calibri" w:eastAsia="Times New Roman" w:hAnsi="Calibri" w:cs="Calibri"/>
          <w:bCs/>
          <w:sz w:val="24"/>
          <w:szCs w:val="24"/>
          <w:lang w:val="en-US" w:eastAsia="ru-RU"/>
        </w:rPr>
        <w:t xml:space="preserve">  </w:t>
      </w:r>
    </w:p>
    <w:p w14:paraId="7D49A8BA" w14:textId="72AD75FD" w:rsidR="002C07E6" w:rsidRPr="002C07E6" w:rsidRDefault="002C07E6" w:rsidP="00E476D6">
      <w:pPr>
        <w:keepNext/>
        <w:keepLines/>
        <w:spacing w:before="240" w:after="0" w:line="360" w:lineRule="auto"/>
        <w:ind w:left="142"/>
        <w:outlineLvl w:val="0"/>
        <w:rPr>
          <w:rFonts w:ascii="Calibri" w:eastAsia="Times New Roman" w:hAnsi="Calibri" w:cs="Calibri"/>
          <w:bCs/>
          <w:sz w:val="24"/>
          <w:szCs w:val="24"/>
          <w:lang w:val="en-US" w:eastAsia="ru-RU"/>
        </w:rPr>
      </w:pPr>
      <w:r w:rsidRPr="002C07E6">
        <w:rPr>
          <w:rFonts w:ascii="Calibri" w:eastAsia="Times New Roman" w:hAnsi="Calibri" w:cs="Calibri"/>
          <w:b/>
          <w:sz w:val="24"/>
          <w:szCs w:val="24"/>
          <w:lang w:val="en-US" w:eastAsia="ru-RU"/>
        </w:rPr>
        <w:t xml:space="preserve">Conclusion. </w:t>
      </w:r>
      <w:r w:rsidRPr="002C07E6">
        <w:rPr>
          <w:rFonts w:ascii="Calibri" w:eastAsia="Times New Roman" w:hAnsi="Calibri" w:cs="Calibri"/>
          <w:bCs/>
          <w:sz w:val="24"/>
          <w:szCs w:val="24"/>
          <w:lang w:val="en-US" w:eastAsia="ru-RU"/>
        </w:rPr>
        <w:t xml:space="preserve"> </w:t>
      </w:r>
      <w:r w:rsidR="00ED25FF">
        <w:rPr>
          <w:rFonts w:ascii="Calibri" w:eastAsia="Times New Roman" w:hAnsi="Calibri" w:cs="Calibri"/>
          <w:bCs/>
          <w:sz w:val="24"/>
          <w:szCs w:val="24"/>
          <w:lang w:val="en-US" w:eastAsia="ru-RU"/>
        </w:rPr>
        <w:t>T</w:t>
      </w:r>
      <w:r w:rsidR="00ED25FF" w:rsidRPr="00ED25FF">
        <w:rPr>
          <w:rFonts w:ascii="Calibri" w:eastAsia="Times New Roman" w:hAnsi="Calibri" w:cs="Calibri"/>
          <w:bCs/>
          <w:sz w:val="24"/>
          <w:szCs w:val="24"/>
          <w:lang w:val="en-US" w:eastAsia="ru-RU"/>
        </w:rPr>
        <w:t xml:space="preserve">he risk of hip and other major osteoporotic fracture is increased in PHPT irrespective of the disease severity.  Fracture probability </w:t>
      </w:r>
      <w:r w:rsidR="00813233">
        <w:rPr>
          <w:rFonts w:ascii="Calibri" w:eastAsia="Times New Roman" w:hAnsi="Calibri" w:cs="Calibri"/>
          <w:bCs/>
          <w:sz w:val="24"/>
          <w:szCs w:val="24"/>
          <w:lang w:val="en-US" w:eastAsia="ru-RU"/>
        </w:rPr>
        <w:t xml:space="preserve">was </w:t>
      </w:r>
      <w:r w:rsidR="00391F8E">
        <w:rPr>
          <w:rFonts w:ascii="Calibri" w:eastAsia="Times New Roman" w:hAnsi="Calibri" w:cs="Calibri"/>
          <w:bCs/>
          <w:sz w:val="24"/>
          <w:szCs w:val="24"/>
          <w:lang w:val="en-US" w:eastAsia="ru-RU"/>
        </w:rPr>
        <w:t>attenuated</w:t>
      </w:r>
      <w:r w:rsidR="00ED25FF" w:rsidRPr="00ED25FF">
        <w:rPr>
          <w:rFonts w:ascii="Calibri" w:eastAsia="Times New Roman" w:hAnsi="Calibri" w:cs="Calibri"/>
          <w:bCs/>
          <w:sz w:val="24"/>
          <w:szCs w:val="24"/>
          <w:lang w:val="en-US" w:eastAsia="ru-RU"/>
        </w:rPr>
        <w:t xml:space="preserve"> due to the competing effect of mortality.</w:t>
      </w:r>
      <w:r w:rsidR="00391F8E">
        <w:rPr>
          <w:rFonts w:ascii="Calibri" w:eastAsia="Times New Roman" w:hAnsi="Calibri" w:cs="Calibri"/>
          <w:bCs/>
          <w:sz w:val="24"/>
          <w:szCs w:val="24"/>
          <w:lang w:val="en-US" w:eastAsia="ru-RU"/>
        </w:rPr>
        <w:t xml:space="preserve">  </w:t>
      </w:r>
      <w:r w:rsidR="008348FE">
        <w:rPr>
          <w:rFonts w:ascii="Calibri" w:eastAsia="Times New Roman" w:hAnsi="Calibri" w:cs="Calibri"/>
          <w:bCs/>
          <w:sz w:val="24"/>
          <w:szCs w:val="24"/>
          <w:lang w:val="en-US" w:eastAsia="ru-RU"/>
        </w:rPr>
        <w:t xml:space="preserve">The </w:t>
      </w:r>
      <w:r w:rsidR="00E42673">
        <w:rPr>
          <w:rFonts w:ascii="Calibri" w:eastAsia="Times New Roman" w:hAnsi="Calibri" w:cs="Calibri"/>
          <w:bCs/>
          <w:sz w:val="24"/>
          <w:szCs w:val="24"/>
          <w:lang w:val="en-US" w:eastAsia="ru-RU"/>
        </w:rPr>
        <w:t>increased fracture risk</w:t>
      </w:r>
      <w:r w:rsidR="008348FE">
        <w:rPr>
          <w:rFonts w:ascii="Calibri" w:eastAsia="Times New Roman" w:hAnsi="Calibri" w:cs="Calibri"/>
          <w:bCs/>
          <w:sz w:val="24"/>
          <w:szCs w:val="24"/>
          <w:lang w:val="en-US" w:eastAsia="ru-RU"/>
        </w:rPr>
        <w:t xml:space="preserve"> </w:t>
      </w:r>
      <w:r w:rsidR="00E42673">
        <w:rPr>
          <w:rFonts w:ascii="Calibri" w:eastAsia="Times New Roman" w:hAnsi="Calibri" w:cs="Calibri"/>
          <w:bCs/>
          <w:sz w:val="24"/>
          <w:szCs w:val="24"/>
          <w:lang w:val="en-US" w:eastAsia="ru-RU"/>
        </w:rPr>
        <w:t xml:space="preserve">in patients treated conservatively </w:t>
      </w:r>
      <w:r w:rsidR="008348FE">
        <w:rPr>
          <w:rFonts w:ascii="Calibri" w:eastAsia="Times New Roman" w:hAnsi="Calibri" w:cs="Calibri"/>
          <w:bCs/>
          <w:sz w:val="24"/>
          <w:szCs w:val="24"/>
          <w:lang w:val="en-US" w:eastAsia="ru-RU"/>
        </w:rPr>
        <w:t>argue</w:t>
      </w:r>
      <w:r w:rsidR="000D4417">
        <w:rPr>
          <w:rFonts w:ascii="Calibri" w:eastAsia="Times New Roman" w:hAnsi="Calibri" w:cs="Calibri"/>
          <w:bCs/>
          <w:sz w:val="24"/>
          <w:szCs w:val="24"/>
          <w:lang w:val="en-US" w:eastAsia="ru-RU"/>
        </w:rPr>
        <w:t>s</w:t>
      </w:r>
      <w:r w:rsidR="008348FE">
        <w:rPr>
          <w:rFonts w:ascii="Calibri" w:eastAsia="Times New Roman" w:hAnsi="Calibri" w:cs="Calibri"/>
          <w:bCs/>
          <w:sz w:val="24"/>
          <w:szCs w:val="24"/>
          <w:lang w:val="en-US" w:eastAsia="ru-RU"/>
        </w:rPr>
        <w:t xml:space="preserve"> for </w:t>
      </w:r>
      <w:r w:rsidR="006D631F">
        <w:rPr>
          <w:rFonts w:ascii="Calibri" w:eastAsia="Times New Roman" w:hAnsi="Calibri" w:cs="Calibri"/>
          <w:bCs/>
          <w:sz w:val="24"/>
          <w:szCs w:val="24"/>
          <w:lang w:val="en-US" w:eastAsia="ru-RU"/>
        </w:rPr>
        <w:t xml:space="preserve">widening the indications for </w:t>
      </w:r>
      <w:r w:rsidR="008E5209">
        <w:rPr>
          <w:rFonts w:ascii="Calibri" w:eastAsia="Times New Roman" w:hAnsi="Calibri" w:cs="Calibri"/>
          <w:bCs/>
          <w:sz w:val="24"/>
          <w:szCs w:val="24"/>
          <w:lang w:val="en-US" w:eastAsia="ru-RU"/>
        </w:rPr>
        <w:t xml:space="preserve">parathyroidectomy in mild </w:t>
      </w:r>
      <w:r w:rsidR="00B74133" w:rsidRPr="00B74133">
        <w:rPr>
          <w:rFonts w:ascii="Calibri" w:eastAsia="Times New Roman" w:hAnsi="Calibri" w:cs="Calibri"/>
          <w:bCs/>
          <w:sz w:val="24"/>
          <w:szCs w:val="24"/>
          <w:lang w:val="en-US" w:eastAsia="ru-RU"/>
        </w:rPr>
        <w:t>PHPT</w:t>
      </w:r>
      <w:r w:rsidR="00961051">
        <w:rPr>
          <w:rFonts w:ascii="Calibri" w:eastAsia="Times New Roman" w:hAnsi="Calibri" w:cs="Calibri"/>
          <w:bCs/>
          <w:sz w:val="24"/>
          <w:szCs w:val="24"/>
          <w:lang w:val="en-US" w:eastAsia="ru-RU"/>
        </w:rPr>
        <w:t>.</w:t>
      </w:r>
    </w:p>
    <w:p w14:paraId="1F42D65D" w14:textId="2E28F857" w:rsidR="002C07E6" w:rsidRPr="002C07E6" w:rsidRDefault="002C07E6" w:rsidP="00E476D6">
      <w:pPr>
        <w:keepNext/>
        <w:keepLines/>
        <w:spacing w:before="240" w:after="0" w:line="360" w:lineRule="auto"/>
        <w:ind w:left="142"/>
        <w:outlineLvl w:val="0"/>
        <w:rPr>
          <w:rFonts w:ascii="Calibri" w:eastAsia="Times New Roman" w:hAnsi="Calibri" w:cs="Calibri"/>
          <w:bCs/>
          <w:sz w:val="24"/>
          <w:szCs w:val="24"/>
          <w:lang w:val="en-US" w:eastAsia="ru-RU"/>
        </w:rPr>
      </w:pPr>
      <w:r w:rsidRPr="002C07E6">
        <w:rPr>
          <w:rFonts w:ascii="Calibri" w:eastAsia="Times New Roman" w:hAnsi="Calibri" w:cs="Calibri"/>
          <w:b/>
          <w:sz w:val="24"/>
          <w:szCs w:val="24"/>
          <w:lang w:val="en-US" w:eastAsia="ru-RU"/>
        </w:rPr>
        <w:t>Keywords</w:t>
      </w:r>
      <w:r w:rsidRPr="002C07E6">
        <w:rPr>
          <w:rFonts w:ascii="Calibri" w:eastAsia="Times New Roman" w:hAnsi="Calibri" w:cs="Calibri"/>
          <w:bCs/>
          <w:sz w:val="24"/>
          <w:szCs w:val="24"/>
          <w:lang w:val="en-US" w:eastAsia="ru-RU"/>
        </w:rPr>
        <w:t xml:space="preserve"> · Fracture probability · Hip fracture · </w:t>
      </w:r>
      <w:r w:rsidR="00D05D7F" w:rsidRPr="00D05D7F">
        <w:rPr>
          <w:rFonts w:ascii="Calibri" w:eastAsia="Times New Roman" w:hAnsi="Calibri" w:cs="Calibri"/>
          <w:bCs/>
          <w:sz w:val="24"/>
          <w:szCs w:val="24"/>
          <w:lang w:val="en-US" w:eastAsia="ru-RU"/>
        </w:rPr>
        <w:t xml:space="preserve">Mortality · </w:t>
      </w:r>
      <w:r w:rsidR="007C6F35">
        <w:rPr>
          <w:rFonts w:ascii="Calibri" w:eastAsia="Times New Roman" w:hAnsi="Calibri" w:cs="Calibri"/>
          <w:bCs/>
          <w:sz w:val="24"/>
          <w:szCs w:val="24"/>
          <w:lang w:val="en-US" w:eastAsia="ru-RU"/>
        </w:rPr>
        <w:t xml:space="preserve">Primary </w:t>
      </w:r>
      <w:r w:rsidR="00032587">
        <w:rPr>
          <w:rFonts w:ascii="Calibri" w:eastAsia="Times New Roman" w:hAnsi="Calibri" w:cs="Calibri"/>
          <w:bCs/>
          <w:sz w:val="24"/>
          <w:szCs w:val="24"/>
          <w:lang w:val="en-US" w:eastAsia="ru-RU"/>
        </w:rPr>
        <w:t>hyperparathyroidism</w:t>
      </w:r>
      <w:r w:rsidRPr="002C07E6">
        <w:rPr>
          <w:rFonts w:ascii="Calibri" w:eastAsia="Times New Roman" w:hAnsi="Calibri" w:cs="Calibri"/>
          <w:bCs/>
          <w:sz w:val="24"/>
          <w:szCs w:val="24"/>
          <w:lang w:val="en-US" w:eastAsia="ru-RU"/>
        </w:rPr>
        <w:t xml:space="preserve"> </w:t>
      </w:r>
    </w:p>
    <w:p w14:paraId="622662D5" w14:textId="6860E8F0" w:rsidR="00387EA6" w:rsidRDefault="00387EA6">
      <w:pPr>
        <w:rPr>
          <w:rFonts w:ascii="Calibri" w:eastAsia="Times New Roman" w:hAnsi="Calibri" w:cs="Calibri"/>
          <w:sz w:val="24"/>
          <w:szCs w:val="24"/>
          <w:lang w:val="en-US" w:eastAsia="ru-RU"/>
        </w:rPr>
      </w:pPr>
      <w:r>
        <w:rPr>
          <w:rFonts w:ascii="Calibri" w:eastAsia="Times New Roman" w:hAnsi="Calibri" w:cs="Calibri"/>
          <w:sz w:val="24"/>
          <w:szCs w:val="24"/>
          <w:lang w:val="en-US" w:eastAsia="ru-RU"/>
        </w:rPr>
        <w:br w:type="page"/>
      </w:r>
    </w:p>
    <w:p w14:paraId="3030D875" w14:textId="12067DFD" w:rsidR="00A82DA4" w:rsidRDefault="00A82DA4">
      <w:pPr>
        <w:rPr>
          <w:b/>
          <w:bCs/>
          <w:sz w:val="28"/>
          <w:szCs w:val="28"/>
        </w:rPr>
      </w:pPr>
      <w:r>
        <w:rPr>
          <w:b/>
          <w:bCs/>
          <w:sz w:val="28"/>
          <w:szCs w:val="28"/>
        </w:rPr>
        <w:lastRenderedPageBreak/>
        <w:t>Introduction</w:t>
      </w:r>
    </w:p>
    <w:p w14:paraId="35DF5A15" w14:textId="12D3BB88" w:rsidR="001869FC" w:rsidRDefault="00A82DA4" w:rsidP="004501A7">
      <w:pPr>
        <w:spacing w:line="276" w:lineRule="auto"/>
        <w:rPr>
          <w:rFonts w:ascii="Calibri" w:eastAsia="Times New Roman" w:hAnsi="Calibri" w:cs="Calibri"/>
          <w:sz w:val="24"/>
          <w:szCs w:val="24"/>
          <w:lang w:val="en-US" w:eastAsia="sv-SE"/>
        </w:rPr>
      </w:pPr>
      <w:r w:rsidRPr="00262298">
        <w:rPr>
          <w:rFonts w:ascii="Calibri" w:eastAsia="Times New Roman" w:hAnsi="Calibri" w:cs="Calibri"/>
          <w:sz w:val="24"/>
          <w:szCs w:val="24"/>
          <w:lang w:val="en-US" w:eastAsia="sv-SE"/>
        </w:rPr>
        <w:t xml:space="preserve">Primary hyperparathyroidism </w:t>
      </w:r>
      <w:r w:rsidR="00E048F9">
        <w:rPr>
          <w:rFonts w:ascii="Calibri" w:eastAsia="Times New Roman" w:hAnsi="Calibri" w:cs="Calibri"/>
          <w:sz w:val="24"/>
          <w:szCs w:val="24"/>
          <w:lang w:val="en-US" w:eastAsia="sv-SE"/>
        </w:rPr>
        <w:t xml:space="preserve">(PHPT) </w:t>
      </w:r>
      <w:r w:rsidRPr="00262298">
        <w:rPr>
          <w:rFonts w:ascii="Calibri" w:eastAsia="Times New Roman" w:hAnsi="Calibri" w:cs="Calibri"/>
          <w:sz w:val="24"/>
          <w:szCs w:val="24"/>
          <w:lang w:val="en-US" w:eastAsia="sv-SE"/>
        </w:rPr>
        <w:t>is a common endocrine disorder</w:t>
      </w:r>
      <w:r w:rsidR="00AC61AB" w:rsidRPr="00262298">
        <w:rPr>
          <w:rFonts w:ascii="Calibri" w:eastAsia="Times New Roman" w:hAnsi="Calibri" w:cs="Calibri"/>
          <w:sz w:val="24"/>
          <w:szCs w:val="24"/>
          <w:lang w:val="en-US" w:eastAsia="sv-SE"/>
        </w:rPr>
        <w:t xml:space="preserve">, particularly in postmenopausal women.  </w:t>
      </w:r>
      <w:r w:rsidRPr="00262298">
        <w:rPr>
          <w:rFonts w:ascii="Calibri" w:eastAsia="Times New Roman" w:hAnsi="Calibri" w:cs="Calibri"/>
          <w:sz w:val="24"/>
          <w:szCs w:val="24"/>
          <w:lang w:val="en-US" w:eastAsia="sv-SE"/>
        </w:rPr>
        <w:t xml:space="preserve"> </w:t>
      </w:r>
      <w:r w:rsidR="00AC61AB" w:rsidRPr="00262298">
        <w:rPr>
          <w:rFonts w:ascii="Calibri" w:eastAsia="Times New Roman" w:hAnsi="Calibri" w:cs="Calibri"/>
          <w:sz w:val="24"/>
          <w:szCs w:val="24"/>
          <w:lang w:val="en-US" w:eastAsia="sv-SE"/>
        </w:rPr>
        <w:t xml:space="preserve">It is </w:t>
      </w:r>
      <w:r w:rsidRPr="00262298">
        <w:rPr>
          <w:rFonts w:ascii="Calibri" w:eastAsia="Times New Roman" w:hAnsi="Calibri" w:cs="Calibri"/>
          <w:sz w:val="24"/>
          <w:szCs w:val="24"/>
          <w:lang w:val="en-US" w:eastAsia="sv-SE"/>
        </w:rPr>
        <w:t xml:space="preserve">characterized by elevated serum calcium combined with </w:t>
      </w:r>
      <w:r w:rsidR="0070666C">
        <w:rPr>
          <w:rFonts w:ascii="Calibri" w:eastAsia="Times New Roman" w:hAnsi="Calibri" w:cs="Calibri"/>
          <w:sz w:val="24"/>
          <w:szCs w:val="24"/>
          <w:lang w:val="en-US" w:eastAsia="sv-SE"/>
        </w:rPr>
        <w:t xml:space="preserve">inappropriate </w:t>
      </w:r>
      <w:r w:rsidRPr="00262298">
        <w:rPr>
          <w:rFonts w:ascii="Calibri" w:eastAsia="Times New Roman" w:hAnsi="Calibri" w:cs="Calibri"/>
          <w:sz w:val="24"/>
          <w:szCs w:val="24"/>
          <w:lang w:val="en-US" w:eastAsia="sv-SE"/>
        </w:rPr>
        <w:t xml:space="preserve">normal or high </w:t>
      </w:r>
      <w:r w:rsidR="00FE5584">
        <w:rPr>
          <w:rFonts w:ascii="Calibri" w:eastAsia="Times New Roman" w:hAnsi="Calibri" w:cs="Calibri"/>
          <w:sz w:val="24"/>
          <w:szCs w:val="24"/>
          <w:lang w:val="en-US" w:eastAsia="sv-SE"/>
        </w:rPr>
        <w:t xml:space="preserve">plasma </w:t>
      </w:r>
      <w:r w:rsidRPr="00262298">
        <w:rPr>
          <w:rFonts w:ascii="Calibri" w:eastAsia="Times New Roman" w:hAnsi="Calibri" w:cs="Calibri"/>
          <w:sz w:val="24"/>
          <w:szCs w:val="24"/>
          <w:lang w:val="en-US" w:eastAsia="sv-SE"/>
        </w:rPr>
        <w:t xml:space="preserve">levels of parathyroid </w:t>
      </w:r>
      <w:r w:rsidRPr="00600E40">
        <w:rPr>
          <w:rFonts w:ascii="Calibri" w:eastAsia="Times New Roman" w:hAnsi="Calibri" w:cs="Calibri"/>
          <w:sz w:val="24"/>
          <w:szCs w:val="24"/>
          <w:lang w:val="en-US" w:eastAsia="sv-SE"/>
        </w:rPr>
        <w:t>hormone (PTH</w:t>
      </w:r>
      <w:r w:rsidR="00FE5584" w:rsidRPr="00600E40">
        <w:rPr>
          <w:rFonts w:ascii="Calibri" w:eastAsia="Times New Roman" w:hAnsi="Calibri" w:cs="Calibri"/>
          <w:sz w:val="24"/>
          <w:szCs w:val="24"/>
          <w:lang w:val="en-US" w:eastAsia="sv-SE"/>
        </w:rPr>
        <w:t>)</w:t>
      </w:r>
      <w:r w:rsidRPr="00600E40">
        <w:rPr>
          <w:rFonts w:ascii="Calibri" w:eastAsia="Times New Roman" w:hAnsi="Calibri" w:cs="Calibri"/>
          <w:sz w:val="24"/>
          <w:szCs w:val="24"/>
          <w:lang w:val="en-US" w:eastAsia="sv-SE"/>
        </w:rPr>
        <w:t xml:space="preserve"> [</w:t>
      </w:r>
      <w:r w:rsidR="00263BA6" w:rsidRPr="00600E40">
        <w:rPr>
          <w:rFonts w:ascii="Calibri" w:eastAsia="Times New Roman" w:hAnsi="Calibri" w:cs="Calibri"/>
          <w:sz w:val="24"/>
          <w:szCs w:val="24"/>
          <w:lang w:val="en-US" w:eastAsia="sv-SE"/>
        </w:rPr>
        <w:t>1]</w:t>
      </w:r>
      <w:r w:rsidRPr="00600E40">
        <w:rPr>
          <w:rFonts w:ascii="Calibri" w:eastAsia="Times New Roman" w:hAnsi="Calibri" w:cs="Calibri"/>
          <w:sz w:val="24"/>
          <w:szCs w:val="24"/>
          <w:lang w:val="en-US" w:eastAsia="sv-SE"/>
        </w:rPr>
        <w:t>.</w:t>
      </w:r>
      <w:r w:rsidR="00782D19" w:rsidRPr="00600E40">
        <w:rPr>
          <w:rStyle w:val="CommentReference"/>
          <w:rFonts w:ascii="Calibri" w:hAnsi="Calibri" w:cs="Calibri"/>
          <w:sz w:val="24"/>
          <w:szCs w:val="24"/>
        </w:rPr>
        <w:t xml:space="preserve">  </w:t>
      </w:r>
      <w:r w:rsidR="002174FB" w:rsidRPr="00600E40">
        <w:rPr>
          <w:rFonts w:ascii="Calibri" w:eastAsia="Times New Roman" w:hAnsi="Calibri" w:cs="Calibri"/>
          <w:sz w:val="24"/>
          <w:szCs w:val="24"/>
          <w:lang w:val="en-US" w:eastAsia="sv-SE"/>
        </w:rPr>
        <w:t>A normocalc</w:t>
      </w:r>
      <w:r w:rsidR="00262298" w:rsidRPr="00600E40">
        <w:rPr>
          <w:rFonts w:ascii="Calibri" w:eastAsia="Times New Roman" w:hAnsi="Calibri" w:cs="Calibri"/>
          <w:sz w:val="24"/>
          <w:szCs w:val="24"/>
          <w:lang w:val="en-US" w:eastAsia="sv-SE"/>
        </w:rPr>
        <w:t>a</w:t>
      </w:r>
      <w:r w:rsidR="002174FB" w:rsidRPr="00600E40">
        <w:rPr>
          <w:rFonts w:ascii="Calibri" w:eastAsia="Times New Roman" w:hAnsi="Calibri" w:cs="Calibri"/>
          <w:sz w:val="24"/>
          <w:szCs w:val="24"/>
          <w:lang w:val="en-US" w:eastAsia="sv-SE"/>
        </w:rPr>
        <w:t xml:space="preserve">emic variant of </w:t>
      </w:r>
      <w:r w:rsidR="00E048F9" w:rsidRPr="00600E40">
        <w:rPr>
          <w:rFonts w:ascii="Calibri" w:eastAsia="Times New Roman" w:hAnsi="Calibri" w:cs="Calibri"/>
          <w:sz w:val="24"/>
          <w:szCs w:val="24"/>
          <w:lang w:val="en-US" w:eastAsia="sv-SE"/>
        </w:rPr>
        <w:t xml:space="preserve">PHPT </w:t>
      </w:r>
      <w:r w:rsidR="00AC61AB" w:rsidRPr="00600E40">
        <w:rPr>
          <w:rFonts w:ascii="Calibri" w:eastAsia="Times New Roman" w:hAnsi="Calibri" w:cs="Calibri"/>
          <w:sz w:val="24"/>
          <w:szCs w:val="24"/>
          <w:lang w:val="en-US" w:eastAsia="sv-SE"/>
        </w:rPr>
        <w:t>is also described</w:t>
      </w:r>
      <w:r w:rsidR="002174FB" w:rsidRPr="00600E40">
        <w:rPr>
          <w:rFonts w:ascii="Calibri" w:eastAsia="Times New Roman" w:hAnsi="Calibri" w:cs="Calibri"/>
          <w:sz w:val="24"/>
          <w:szCs w:val="24"/>
          <w:lang w:val="en-US" w:eastAsia="sv-SE"/>
        </w:rPr>
        <w:t xml:space="preserve"> in which the serum total and ionized calcium are consistently normal while the PTH level is elevated. </w:t>
      </w:r>
      <w:r w:rsidR="00F70DEC" w:rsidRPr="00600E40">
        <w:rPr>
          <w:rFonts w:ascii="Calibri" w:eastAsia="Times New Roman" w:hAnsi="Calibri" w:cs="Calibri"/>
          <w:sz w:val="24"/>
          <w:szCs w:val="24"/>
          <w:lang w:val="en-US" w:eastAsia="sv-SE"/>
        </w:rPr>
        <w:t xml:space="preserve"> Its clinical presentation has changed markedly in the last 50 years due to the development of automated serum calcium measurement in the early 1970s that enabled the measurement of serum calcium in routine biochemical screening.   </w:t>
      </w:r>
      <w:r w:rsidR="00803237" w:rsidRPr="00600E40">
        <w:rPr>
          <w:rFonts w:ascii="Calibri" w:eastAsia="Times New Roman" w:hAnsi="Calibri" w:cs="Calibri"/>
          <w:sz w:val="24"/>
          <w:szCs w:val="24"/>
          <w:lang w:val="en-US" w:eastAsia="sv-SE"/>
        </w:rPr>
        <w:t>Thus</w:t>
      </w:r>
      <w:r w:rsidR="00F75FF6" w:rsidRPr="00600E40">
        <w:rPr>
          <w:rFonts w:ascii="Calibri" w:eastAsia="Times New Roman" w:hAnsi="Calibri" w:cs="Calibri"/>
          <w:sz w:val="24"/>
          <w:szCs w:val="24"/>
          <w:lang w:val="en-US" w:eastAsia="sv-SE"/>
        </w:rPr>
        <w:t>,</w:t>
      </w:r>
      <w:r w:rsidR="00F70DEC" w:rsidRPr="00600E40">
        <w:rPr>
          <w:rFonts w:ascii="Calibri" w:eastAsia="Times New Roman" w:hAnsi="Calibri" w:cs="Calibri"/>
          <w:sz w:val="24"/>
          <w:szCs w:val="24"/>
          <w:lang w:val="en-US" w:eastAsia="sv-SE"/>
        </w:rPr>
        <w:t xml:space="preserve"> the disease typically affects elderly women and is</w:t>
      </w:r>
      <w:r w:rsidR="00ED5C03" w:rsidRPr="00600E40">
        <w:rPr>
          <w:rFonts w:ascii="Calibri" w:eastAsia="Times New Roman" w:hAnsi="Calibri" w:cs="Calibri"/>
          <w:sz w:val="24"/>
          <w:szCs w:val="24"/>
          <w:lang w:val="en-US" w:eastAsia="sv-SE"/>
        </w:rPr>
        <w:t xml:space="preserve"> usually</w:t>
      </w:r>
      <w:r w:rsidR="00F70DEC" w:rsidRPr="00600E40">
        <w:rPr>
          <w:rFonts w:ascii="Calibri" w:eastAsia="Times New Roman" w:hAnsi="Calibri" w:cs="Calibri"/>
          <w:sz w:val="24"/>
          <w:szCs w:val="24"/>
          <w:lang w:val="en-US" w:eastAsia="sv-SE"/>
        </w:rPr>
        <w:t xml:space="preserve"> characterized by </w:t>
      </w:r>
      <w:r w:rsidR="00ED5C03" w:rsidRPr="00600E40">
        <w:rPr>
          <w:rFonts w:ascii="Calibri" w:eastAsia="Times New Roman" w:hAnsi="Calibri" w:cs="Calibri"/>
          <w:sz w:val="24"/>
          <w:szCs w:val="24"/>
          <w:lang w:val="en-US" w:eastAsia="sv-SE"/>
        </w:rPr>
        <w:t xml:space="preserve">only </w:t>
      </w:r>
      <w:r w:rsidR="00F70DEC" w:rsidRPr="00600E40">
        <w:rPr>
          <w:rFonts w:ascii="Calibri" w:eastAsia="Times New Roman" w:hAnsi="Calibri" w:cs="Calibri"/>
          <w:sz w:val="24"/>
          <w:szCs w:val="24"/>
          <w:lang w:val="en-US" w:eastAsia="sv-SE"/>
        </w:rPr>
        <w:t xml:space="preserve">mild hypercalcemia and few traditional classic (bone and kidney) manifestations. The change in clinical presentation </w:t>
      </w:r>
      <w:r w:rsidR="00594777" w:rsidRPr="00600E40">
        <w:rPr>
          <w:rFonts w:ascii="Calibri" w:eastAsia="Times New Roman" w:hAnsi="Calibri" w:cs="Calibri"/>
          <w:sz w:val="24"/>
          <w:szCs w:val="24"/>
          <w:lang w:val="en-US" w:eastAsia="sv-SE"/>
        </w:rPr>
        <w:t xml:space="preserve">has meant that not all patients with </w:t>
      </w:r>
      <w:r w:rsidR="007A366C" w:rsidRPr="00600E40">
        <w:rPr>
          <w:rFonts w:ascii="Calibri" w:eastAsia="Times New Roman" w:hAnsi="Calibri" w:cs="Calibri"/>
          <w:sz w:val="24"/>
          <w:szCs w:val="24"/>
          <w:lang w:val="en-US" w:eastAsia="sv-SE"/>
        </w:rPr>
        <w:t>PHPT</w:t>
      </w:r>
      <w:r w:rsidR="007A366C" w:rsidRPr="00600E40" w:rsidDel="007A366C">
        <w:rPr>
          <w:rFonts w:ascii="Calibri" w:eastAsia="Times New Roman" w:hAnsi="Calibri" w:cs="Calibri"/>
          <w:sz w:val="24"/>
          <w:szCs w:val="24"/>
          <w:lang w:val="en-US" w:eastAsia="sv-SE"/>
        </w:rPr>
        <w:t xml:space="preserve"> </w:t>
      </w:r>
      <w:r w:rsidR="00F75FF6" w:rsidRPr="00600E40">
        <w:rPr>
          <w:rFonts w:ascii="Calibri" w:eastAsia="Times New Roman" w:hAnsi="Calibri" w:cs="Calibri"/>
          <w:sz w:val="24"/>
          <w:szCs w:val="24"/>
          <w:lang w:val="en-US" w:eastAsia="sv-SE"/>
        </w:rPr>
        <w:t xml:space="preserve">are </w:t>
      </w:r>
      <w:r w:rsidR="00594777" w:rsidRPr="00600E40">
        <w:rPr>
          <w:rFonts w:ascii="Calibri" w:eastAsia="Times New Roman" w:hAnsi="Calibri" w:cs="Calibri"/>
          <w:sz w:val="24"/>
          <w:szCs w:val="24"/>
          <w:lang w:val="en-US" w:eastAsia="sv-SE"/>
        </w:rPr>
        <w:t>referre</w:t>
      </w:r>
      <w:r w:rsidR="007409D6" w:rsidRPr="00600E40">
        <w:rPr>
          <w:rFonts w:ascii="Calibri" w:eastAsia="Times New Roman" w:hAnsi="Calibri" w:cs="Calibri"/>
          <w:sz w:val="24"/>
          <w:szCs w:val="24"/>
          <w:lang w:val="en-US" w:eastAsia="sv-SE"/>
        </w:rPr>
        <w:t>d</w:t>
      </w:r>
      <w:r w:rsidR="00594777" w:rsidRPr="00600E40">
        <w:rPr>
          <w:rFonts w:ascii="Calibri" w:eastAsia="Times New Roman" w:hAnsi="Calibri" w:cs="Calibri"/>
          <w:sz w:val="24"/>
          <w:szCs w:val="24"/>
          <w:lang w:val="en-US" w:eastAsia="sv-SE"/>
        </w:rPr>
        <w:t xml:space="preserve"> for surge</w:t>
      </w:r>
      <w:r w:rsidR="007409D6" w:rsidRPr="00600E40">
        <w:rPr>
          <w:rFonts w:ascii="Calibri" w:eastAsia="Times New Roman" w:hAnsi="Calibri" w:cs="Calibri"/>
          <w:sz w:val="24"/>
          <w:szCs w:val="24"/>
          <w:lang w:val="en-US" w:eastAsia="sv-SE"/>
        </w:rPr>
        <w:t>ry particularly</w:t>
      </w:r>
      <w:r w:rsidR="00F70DEC" w:rsidRPr="00600E40">
        <w:rPr>
          <w:rFonts w:ascii="Calibri" w:eastAsia="Times New Roman" w:hAnsi="Calibri" w:cs="Calibri"/>
          <w:sz w:val="24"/>
          <w:szCs w:val="24"/>
          <w:lang w:val="en-US" w:eastAsia="sv-SE"/>
        </w:rPr>
        <w:t xml:space="preserve"> "asymptomatic" patients</w:t>
      </w:r>
      <w:r w:rsidR="007409D6" w:rsidRPr="00600E40">
        <w:rPr>
          <w:rFonts w:ascii="Calibri" w:eastAsia="Times New Roman" w:hAnsi="Calibri" w:cs="Calibri"/>
          <w:sz w:val="24"/>
          <w:szCs w:val="24"/>
          <w:lang w:val="en-US" w:eastAsia="sv-SE"/>
        </w:rPr>
        <w:t xml:space="preserve"> </w:t>
      </w:r>
      <w:r w:rsidR="0066514C" w:rsidRPr="00600E40">
        <w:rPr>
          <w:rFonts w:ascii="Calibri" w:eastAsia="Times New Roman" w:hAnsi="Calibri" w:cs="Calibri"/>
          <w:sz w:val="24"/>
          <w:szCs w:val="24"/>
          <w:lang w:val="en-US" w:eastAsia="sv-SE"/>
        </w:rPr>
        <w:t>and those with mild hypercalcaemia</w:t>
      </w:r>
      <w:r w:rsidR="006A6C3D" w:rsidRPr="00600E40">
        <w:t xml:space="preserve"> </w:t>
      </w:r>
      <w:r w:rsidR="006A6C3D" w:rsidRPr="00600E40">
        <w:rPr>
          <w:rFonts w:ascii="Calibri" w:eastAsia="Times New Roman" w:hAnsi="Calibri" w:cs="Calibri"/>
          <w:sz w:val="24"/>
          <w:szCs w:val="24"/>
          <w:lang w:val="en-US" w:eastAsia="sv-SE"/>
        </w:rPr>
        <w:t>without renal or skeletal impairment</w:t>
      </w:r>
      <w:r w:rsidR="0066514C" w:rsidRPr="00600E40">
        <w:rPr>
          <w:rFonts w:ascii="Calibri" w:eastAsia="Times New Roman" w:hAnsi="Calibri" w:cs="Calibri"/>
          <w:sz w:val="24"/>
          <w:szCs w:val="24"/>
          <w:lang w:val="en-US" w:eastAsia="sv-SE"/>
        </w:rPr>
        <w:t xml:space="preserve"> [</w:t>
      </w:r>
      <w:r w:rsidR="00263BA6" w:rsidRPr="00600E40">
        <w:rPr>
          <w:rFonts w:ascii="Calibri" w:eastAsia="Times New Roman" w:hAnsi="Calibri" w:cs="Calibri"/>
          <w:sz w:val="24"/>
          <w:szCs w:val="24"/>
          <w:lang w:val="en-US" w:eastAsia="sv-SE"/>
        </w:rPr>
        <w:t xml:space="preserve">2, </w:t>
      </w:r>
      <w:r w:rsidR="009865B4" w:rsidRPr="00600E40">
        <w:rPr>
          <w:rFonts w:ascii="Calibri" w:eastAsia="Times New Roman" w:hAnsi="Calibri" w:cs="Calibri"/>
          <w:sz w:val="24"/>
          <w:szCs w:val="24"/>
          <w:lang w:val="en-US" w:eastAsia="sv-SE"/>
        </w:rPr>
        <w:t>3,</w:t>
      </w:r>
      <w:r w:rsidR="00756EAE" w:rsidRPr="00600E40">
        <w:rPr>
          <w:rFonts w:ascii="Calibri" w:eastAsia="Times New Roman" w:hAnsi="Calibri" w:cs="Calibri"/>
          <w:sz w:val="24"/>
          <w:szCs w:val="24"/>
          <w:lang w:val="en-US" w:eastAsia="sv-SE"/>
        </w:rPr>
        <w:t xml:space="preserve"> </w:t>
      </w:r>
      <w:r w:rsidR="00491CE3" w:rsidRPr="00600E40">
        <w:rPr>
          <w:rFonts w:ascii="Calibri" w:eastAsia="Times New Roman" w:hAnsi="Calibri" w:cs="Calibri"/>
          <w:sz w:val="24"/>
          <w:szCs w:val="24"/>
          <w:lang w:val="en-US" w:eastAsia="sv-SE"/>
        </w:rPr>
        <w:t>4</w:t>
      </w:r>
      <w:r w:rsidR="00756EAE" w:rsidRPr="00600E40">
        <w:rPr>
          <w:rFonts w:ascii="Calibri" w:eastAsia="Times New Roman" w:hAnsi="Calibri" w:cs="Calibri"/>
          <w:sz w:val="24"/>
          <w:szCs w:val="24"/>
          <w:lang w:val="en-US" w:eastAsia="sv-SE"/>
        </w:rPr>
        <w:t>,</w:t>
      </w:r>
      <w:r w:rsidR="00491CE3" w:rsidRPr="00600E40">
        <w:rPr>
          <w:rFonts w:ascii="Calibri" w:eastAsia="Times New Roman" w:hAnsi="Calibri" w:cs="Calibri"/>
          <w:sz w:val="24"/>
          <w:szCs w:val="24"/>
          <w:lang w:val="en-US" w:eastAsia="sv-SE"/>
        </w:rPr>
        <w:t xml:space="preserve"> </w:t>
      </w:r>
      <w:r w:rsidR="00756EAE" w:rsidRPr="00600E40">
        <w:rPr>
          <w:rFonts w:ascii="Calibri" w:eastAsia="Times New Roman" w:hAnsi="Calibri" w:cs="Calibri"/>
          <w:sz w:val="24"/>
          <w:szCs w:val="24"/>
          <w:lang w:val="en-US" w:eastAsia="sv-SE"/>
        </w:rPr>
        <w:t>5</w:t>
      </w:r>
      <w:r w:rsidR="00A8323E">
        <w:rPr>
          <w:rFonts w:ascii="Calibri" w:eastAsia="Times New Roman" w:hAnsi="Calibri" w:cs="Calibri"/>
          <w:sz w:val="24"/>
          <w:szCs w:val="24"/>
          <w:lang w:val="en-US" w:eastAsia="sv-SE"/>
        </w:rPr>
        <w:t xml:space="preserve">. </w:t>
      </w:r>
      <w:r w:rsidR="00804391">
        <w:rPr>
          <w:rFonts w:ascii="Calibri" w:eastAsia="Times New Roman" w:hAnsi="Calibri" w:cs="Calibri"/>
          <w:sz w:val="24"/>
          <w:szCs w:val="24"/>
          <w:lang w:val="en-US" w:eastAsia="sv-SE"/>
        </w:rPr>
        <w:t>6</w:t>
      </w:r>
      <w:r w:rsidR="00756EAE" w:rsidRPr="00A45FF2">
        <w:rPr>
          <w:rFonts w:ascii="Calibri" w:eastAsia="Times New Roman" w:hAnsi="Calibri" w:cs="Calibri"/>
          <w:sz w:val="24"/>
          <w:szCs w:val="24"/>
          <w:lang w:val="en-US" w:eastAsia="sv-SE"/>
        </w:rPr>
        <w:t>]</w:t>
      </w:r>
      <w:r w:rsidR="00A45FF2" w:rsidRPr="00A45FF2">
        <w:rPr>
          <w:rFonts w:ascii="Calibri" w:eastAsia="Times New Roman" w:hAnsi="Calibri" w:cs="Calibri"/>
          <w:sz w:val="24"/>
          <w:szCs w:val="24"/>
          <w:lang w:val="en-US" w:eastAsia="sv-SE"/>
        </w:rPr>
        <w:t>.</w:t>
      </w:r>
    </w:p>
    <w:p w14:paraId="3DF37003" w14:textId="56D83E1E" w:rsidR="00A82DA4" w:rsidRPr="000619E5" w:rsidRDefault="00A82DA4" w:rsidP="004501A7">
      <w:pPr>
        <w:spacing w:line="276" w:lineRule="auto"/>
        <w:rPr>
          <w:sz w:val="24"/>
          <w:szCs w:val="24"/>
        </w:rPr>
      </w:pPr>
      <w:r w:rsidRPr="000619E5">
        <w:rPr>
          <w:sz w:val="24"/>
          <w:szCs w:val="24"/>
        </w:rPr>
        <w:t>The most widely used approach to patient stratification for</w:t>
      </w:r>
      <w:r w:rsidR="000619E5">
        <w:rPr>
          <w:sz w:val="24"/>
          <w:szCs w:val="24"/>
        </w:rPr>
        <w:t xml:space="preserve"> </w:t>
      </w:r>
      <w:r w:rsidRPr="000619E5">
        <w:rPr>
          <w:sz w:val="24"/>
          <w:szCs w:val="24"/>
        </w:rPr>
        <w:t xml:space="preserve">fracture risk is the FRAX® fracture risk assessment </w:t>
      </w:r>
      <w:r w:rsidR="004E1ED5" w:rsidRPr="000619E5">
        <w:rPr>
          <w:sz w:val="24"/>
          <w:szCs w:val="24"/>
        </w:rPr>
        <w:t>tool, which</w:t>
      </w:r>
      <w:r w:rsidRPr="000619E5">
        <w:rPr>
          <w:sz w:val="24"/>
          <w:szCs w:val="24"/>
        </w:rPr>
        <w:t xml:space="preserve"> combines clinical factors that independently predict</w:t>
      </w:r>
      <w:r w:rsidR="000619E5">
        <w:rPr>
          <w:sz w:val="24"/>
          <w:szCs w:val="24"/>
        </w:rPr>
        <w:t xml:space="preserve"> </w:t>
      </w:r>
      <w:r w:rsidRPr="000619E5">
        <w:rPr>
          <w:sz w:val="24"/>
          <w:szCs w:val="24"/>
        </w:rPr>
        <w:t xml:space="preserve">fracture risk as well as (optionally) </w:t>
      </w:r>
      <w:r w:rsidR="00E12E3C" w:rsidRPr="00E12E3C">
        <w:rPr>
          <w:sz w:val="24"/>
          <w:szCs w:val="24"/>
        </w:rPr>
        <w:t>bone mineral density (</w:t>
      </w:r>
      <w:r w:rsidR="00251465" w:rsidRPr="00E12E3C">
        <w:rPr>
          <w:sz w:val="24"/>
          <w:szCs w:val="24"/>
        </w:rPr>
        <w:t xml:space="preserve">BMD) </w:t>
      </w:r>
      <w:r w:rsidR="00251465" w:rsidRPr="000619E5">
        <w:rPr>
          <w:sz w:val="24"/>
          <w:szCs w:val="24"/>
        </w:rPr>
        <w:t>at</w:t>
      </w:r>
      <w:r w:rsidRPr="000619E5">
        <w:rPr>
          <w:sz w:val="24"/>
          <w:szCs w:val="24"/>
        </w:rPr>
        <w:t xml:space="preserve"> the femoral neck</w:t>
      </w:r>
      <w:r w:rsidR="000619E5">
        <w:rPr>
          <w:sz w:val="24"/>
          <w:szCs w:val="24"/>
        </w:rPr>
        <w:t xml:space="preserve"> </w:t>
      </w:r>
      <w:r w:rsidRPr="000619E5">
        <w:rPr>
          <w:sz w:val="24"/>
          <w:szCs w:val="24"/>
        </w:rPr>
        <w:t>to predict 10-year probability of major osteoporotic fracture</w:t>
      </w:r>
      <w:r w:rsidR="000619E5">
        <w:rPr>
          <w:sz w:val="24"/>
          <w:szCs w:val="24"/>
        </w:rPr>
        <w:t xml:space="preserve"> </w:t>
      </w:r>
      <w:r w:rsidRPr="000619E5">
        <w:rPr>
          <w:sz w:val="24"/>
          <w:szCs w:val="24"/>
        </w:rPr>
        <w:t>(MOF; a composite of hip, clinical vertebral, forearm and</w:t>
      </w:r>
      <w:r w:rsidR="000619E5">
        <w:rPr>
          <w:sz w:val="24"/>
          <w:szCs w:val="24"/>
        </w:rPr>
        <w:t xml:space="preserve"> </w:t>
      </w:r>
      <w:r w:rsidRPr="000619E5">
        <w:rPr>
          <w:sz w:val="24"/>
          <w:szCs w:val="24"/>
        </w:rPr>
        <w:t>humerus fractures) and 10-year probability of hip fracture</w:t>
      </w:r>
      <w:r w:rsidR="000619E5">
        <w:rPr>
          <w:sz w:val="24"/>
          <w:szCs w:val="24"/>
        </w:rPr>
        <w:t xml:space="preserve"> </w:t>
      </w:r>
      <w:r w:rsidRPr="000619E5">
        <w:rPr>
          <w:sz w:val="24"/>
          <w:szCs w:val="24"/>
        </w:rPr>
        <w:t>[</w:t>
      </w:r>
      <w:r w:rsidR="00804391">
        <w:rPr>
          <w:sz w:val="24"/>
          <w:szCs w:val="24"/>
        </w:rPr>
        <w:t>7</w:t>
      </w:r>
      <w:r w:rsidR="007A6CFF">
        <w:rPr>
          <w:sz w:val="24"/>
          <w:szCs w:val="24"/>
        </w:rPr>
        <w:t xml:space="preserve">, </w:t>
      </w:r>
      <w:r w:rsidR="00804391">
        <w:rPr>
          <w:sz w:val="24"/>
          <w:szCs w:val="24"/>
        </w:rPr>
        <w:t>8</w:t>
      </w:r>
      <w:r w:rsidR="007A6CFF">
        <w:rPr>
          <w:sz w:val="24"/>
          <w:szCs w:val="24"/>
        </w:rPr>
        <w:t>]</w:t>
      </w:r>
      <w:r w:rsidR="00A45FF2">
        <w:rPr>
          <w:sz w:val="24"/>
          <w:szCs w:val="24"/>
        </w:rPr>
        <w:t xml:space="preserve">. </w:t>
      </w:r>
      <w:r w:rsidRPr="000619E5">
        <w:rPr>
          <w:sz w:val="24"/>
          <w:szCs w:val="24"/>
        </w:rPr>
        <w:t xml:space="preserve"> The FRAX tool was initially developed for use in general</w:t>
      </w:r>
      <w:r w:rsidR="000619E5">
        <w:rPr>
          <w:sz w:val="24"/>
          <w:szCs w:val="24"/>
        </w:rPr>
        <w:t xml:space="preserve"> </w:t>
      </w:r>
      <w:r w:rsidRPr="000619E5">
        <w:rPr>
          <w:sz w:val="24"/>
          <w:szCs w:val="24"/>
        </w:rPr>
        <w:t>practice. Since its initial development, it has been included in</w:t>
      </w:r>
      <w:r w:rsidR="000619E5">
        <w:rPr>
          <w:sz w:val="24"/>
          <w:szCs w:val="24"/>
        </w:rPr>
        <w:t xml:space="preserve"> </w:t>
      </w:r>
      <w:r w:rsidRPr="000619E5">
        <w:rPr>
          <w:sz w:val="24"/>
          <w:szCs w:val="24"/>
        </w:rPr>
        <w:t>over 100 clinical practice guidelines and is the most widely</w:t>
      </w:r>
      <w:r w:rsidR="000619E5">
        <w:rPr>
          <w:sz w:val="24"/>
          <w:szCs w:val="24"/>
        </w:rPr>
        <w:t xml:space="preserve"> </w:t>
      </w:r>
      <w:r w:rsidRPr="000619E5">
        <w:rPr>
          <w:sz w:val="24"/>
          <w:szCs w:val="24"/>
        </w:rPr>
        <w:t>used fracture prediction tool worldwide</w:t>
      </w:r>
      <w:r w:rsidR="000619E5">
        <w:rPr>
          <w:sz w:val="24"/>
          <w:szCs w:val="24"/>
        </w:rPr>
        <w:t xml:space="preserve"> </w:t>
      </w:r>
      <w:r w:rsidRPr="000619E5">
        <w:rPr>
          <w:sz w:val="24"/>
          <w:szCs w:val="24"/>
        </w:rPr>
        <w:t>[</w:t>
      </w:r>
      <w:r w:rsidR="00804391">
        <w:rPr>
          <w:sz w:val="24"/>
          <w:szCs w:val="24"/>
        </w:rPr>
        <w:t>9</w:t>
      </w:r>
      <w:r w:rsidR="00AC5234">
        <w:rPr>
          <w:sz w:val="24"/>
          <w:szCs w:val="24"/>
        </w:rPr>
        <w:t>]</w:t>
      </w:r>
      <w:r w:rsidR="000619E5">
        <w:rPr>
          <w:sz w:val="24"/>
          <w:szCs w:val="24"/>
        </w:rPr>
        <w:t>.</w:t>
      </w:r>
      <w:r w:rsidRPr="000619E5">
        <w:rPr>
          <w:sz w:val="24"/>
          <w:szCs w:val="24"/>
        </w:rPr>
        <w:t xml:space="preserve"> </w:t>
      </w:r>
      <w:r w:rsidR="000619E5">
        <w:rPr>
          <w:sz w:val="24"/>
          <w:szCs w:val="24"/>
        </w:rPr>
        <w:t xml:space="preserve"> </w:t>
      </w:r>
      <w:r w:rsidR="00EA3E4D">
        <w:rPr>
          <w:sz w:val="24"/>
          <w:szCs w:val="24"/>
        </w:rPr>
        <w:t>PHPT</w:t>
      </w:r>
      <w:r w:rsidRPr="000619E5">
        <w:rPr>
          <w:sz w:val="24"/>
          <w:szCs w:val="24"/>
        </w:rPr>
        <w:t xml:space="preserve"> is not a direct</w:t>
      </w:r>
      <w:r w:rsidR="000619E5">
        <w:rPr>
          <w:sz w:val="24"/>
          <w:szCs w:val="24"/>
        </w:rPr>
        <w:t xml:space="preserve"> </w:t>
      </w:r>
      <w:r w:rsidRPr="000619E5">
        <w:rPr>
          <w:sz w:val="24"/>
          <w:szCs w:val="24"/>
        </w:rPr>
        <w:t>input to FRAX. An input for secondary osteoporosis</w:t>
      </w:r>
      <w:r w:rsidR="000619E5">
        <w:rPr>
          <w:sz w:val="24"/>
          <w:szCs w:val="24"/>
        </w:rPr>
        <w:t xml:space="preserve"> (</w:t>
      </w:r>
      <w:r w:rsidR="00782D19">
        <w:rPr>
          <w:sz w:val="24"/>
          <w:szCs w:val="24"/>
        </w:rPr>
        <w:t xml:space="preserve">including </w:t>
      </w:r>
      <w:r w:rsidR="004E1ED5">
        <w:rPr>
          <w:sz w:val="24"/>
          <w:szCs w:val="24"/>
        </w:rPr>
        <w:t>hyperparathyroidism</w:t>
      </w:r>
      <w:r w:rsidR="00782D19">
        <w:rPr>
          <w:sz w:val="24"/>
          <w:szCs w:val="24"/>
        </w:rPr>
        <w:t xml:space="preserve">) </w:t>
      </w:r>
      <w:r w:rsidRPr="000619E5">
        <w:rPr>
          <w:sz w:val="24"/>
          <w:szCs w:val="24"/>
        </w:rPr>
        <w:t xml:space="preserve">is </w:t>
      </w:r>
      <w:r w:rsidR="00782D19">
        <w:rPr>
          <w:sz w:val="24"/>
          <w:szCs w:val="24"/>
        </w:rPr>
        <w:t>provided</w:t>
      </w:r>
      <w:r w:rsidRPr="000619E5">
        <w:rPr>
          <w:sz w:val="24"/>
          <w:szCs w:val="24"/>
        </w:rPr>
        <w:t xml:space="preserve"> in the FRAX algorithm which</w:t>
      </w:r>
      <w:r w:rsidR="000619E5">
        <w:rPr>
          <w:sz w:val="24"/>
          <w:szCs w:val="24"/>
        </w:rPr>
        <w:t xml:space="preserve"> </w:t>
      </w:r>
      <w:r w:rsidRPr="000619E5">
        <w:rPr>
          <w:sz w:val="24"/>
          <w:szCs w:val="24"/>
        </w:rPr>
        <w:t xml:space="preserve">affects the output when BMD is not </w:t>
      </w:r>
      <w:r w:rsidR="00782D19" w:rsidRPr="000619E5">
        <w:rPr>
          <w:sz w:val="24"/>
          <w:szCs w:val="24"/>
        </w:rPr>
        <w:t>available but</w:t>
      </w:r>
      <w:r w:rsidRPr="000619E5">
        <w:rPr>
          <w:sz w:val="24"/>
          <w:szCs w:val="24"/>
        </w:rPr>
        <w:t xml:space="preserve"> does not</w:t>
      </w:r>
      <w:r w:rsidR="000619E5">
        <w:rPr>
          <w:sz w:val="24"/>
          <w:szCs w:val="24"/>
        </w:rPr>
        <w:t xml:space="preserve"> </w:t>
      </w:r>
      <w:r w:rsidRPr="000619E5">
        <w:rPr>
          <w:sz w:val="24"/>
          <w:szCs w:val="24"/>
        </w:rPr>
        <w:t>affect the risk calculation when BMD is included.</w:t>
      </w:r>
      <w:r w:rsidR="00782D19">
        <w:rPr>
          <w:sz w:val="24"/>
          <w:szCs w:val="24"/>
        </w:rPr>
        <w:t xml:space="preserve">  Thus, FRAX assumes, perhaps conservatively, that any increase in fracture risk is mediated by a decrease in BMD.  </w:t>
      </w:r>
      <w:r w:rsidR="004B18D4" w:rsidRPr="004B18D4">
        <w:rPr>
          <w:sz w:val="24"/>
          <w:szCs w:val="24"/>
        </w:rPr>
        <w:t>An additional consideration relates to the computation of fracture probability.  Many studies including a recent meta-analysis [</w:t>
      </w:r>
      <w:r w:rsidR="00804391">
        <w:rPr>
          <w:sz w:val="24"/>
          <w:szCs w:val="24"/>
        </w:rPr>
        <w:t>10</w:t>
      </w:r>
      <w:r w:rsidR="004B18D4" w:rsidRPr="004B18D4">
        <w:rPr>
          <w:sz w:val="24"/>
          <w:szCs w:val="24"/>
        </w:rPr>
        <w:t>] indicate that PHPT is associated with an increase in the risk of fracture which would be expected to increase fracture probability.  However, there is also evidence that the risk of death is increased [</w:t>
      </w:r>
      <w:bookmarkStart w:id="5" w:name="_Hlk114493257"/>
      <w:r w:rsidR="00804391">
        <w:rPr>
          <w:sz w:val="24"/>
          <w:szCs w:val="24"/>
        </w:rPr>
        <w:t>11, 12, 13, 14]</w:t>
      </w:r>
      <w:bookmarkEnd w:id="5"/>
      <w:r w:rsidR="004B18D4" w:rsidRPr="004B18D4">
        <w:rPr>
          <w:sz w:val="24"/>
          <w:szCs w:val="24"/>
        </w:rPr>
        <w:t>.  The question arises how these impact on fracture probability since the increased risk of death acts as a competing hazard for the calculation of fracture probability.</w:t>
      </w:r>
    </w:p>
    <w:p w14:paraId="56902317" w14:textId="2689EA6D" w:rsidR="00A82DA4" w:rsidRDefault="00A82DA4" w:rsidP="004501A7">
      <w:pPr>
        <w:spacing w:line="276" w:lineRule="auto"/>
        <w:rPr>
          <w:sz w:val="24"/>
          <w:szCs w:val="24"/>
        </w:rPr>
      </w:pPr>
      <w:r w:rsidRPr="000619E5">
        <w:rPr>
          <w:sz w:val="24"/>
          <w:szCs w:val="24"/>
        </w:rPr>
        <w:t xml:space="preserve">The aim of this study was to determine </w:t>
      </w:r>
      <w:r w:rsidR="005B1F89">
        <w:rPr>
          <w:sz w:val="24"/>
          <w:szCs w:val="24"/>
        </w:rPr>
        <w:t>the effect of PHPT</w:t>
      </w:r>
      <w:r w:rsidR="00367F3F">
        <w:rPr>
          <w:sz w:val="24"/>
          <w:szCs w:val="24"/>
        </w:rPr>
        <w:t xml:space="preserve"> on fracture probability and </w:t>
      </w:r>
      <w:r w:rsidRPr="000619E5">
        <w:rPr>
          <w:sz w:val="24"/>
          <w:szCs w:val="24"/>
        </w:rPr>
        <w:t xml:space="preserve">whether </w:t>
      </w:r>
      <w:r w:rsidR="00E048F9">
        <w:rPr>
          <w:sz w:val="24"/>
          <w:szCs w:val="24"/>
        </w:rPr>
        <w:t>PHPT</w:t>
      </w:r>
      <w:r w:rsidR="00F75FF6">
        <w:rPr>
          <w:sz w:val="24"/>
          <w:szCs w:val="24"/>
        </w:rPr>
        <w:t xml:space="preserve"> </w:t>
      </w:r>
      <w:r w:rsidR="00F75FF6" w:rsidRPr="000619E5">
        <w:rPr>
          <w:sz w:val="24"/>
          <w:szCs w:val="24"/>
        </w:rPr>
        <w:t>affects</w:t>
      </w:r>
      <w:r w:rsidR="00F75FF6">
        <w:rPr>
          <w:sz w:val="24"/>
          <w:szCs w:val="24"/>
        </w:rPr>
        <w:t xml:space="preserve"> </w:t>
      </w:r>
      <w:r w:rsidR="00782D19">
        <w:rPr>
          <w:sz w:val="24"/>
          <w:szCs w:val="24"/>
        </w:rPr>
        <w:t xml:space="preserve">hip fracture and </w:t>
      </w:r>
      <w:r w:rsidRPr="000619E5">
        <w:rPr>
          <w:sz w:val="24"/>
          <w:szCs w:val="24"/>
        </w:rPr>
        <w:t>major osteoporotic fracture risk independent</w:t>
      </w:r>
      <w:r w:rsidR="00050355">
        <w:rPr>
          <w:sz w:val="24"/>
          <w:szCs w:val="24"/>
        </w:rPr>
        <w:t>ly</w:t>
      </w:r>
      <w:r w:rsidRPr="000619E5">
        <w:rPr>
          <w:sz w:val="24"/>
          <w:szCs w:val="24"/>
        </w:rPr>
        <w:t xml:space="preserve"> of </w:t>
      </w:r>
      <w:r w:rsidR="00782D19">
        <w:rPr>
          <w:sz w:val="24"/>
          <w:szCs w:val="24"/>
        </w:rPr>
        <w:t xml:space="preserve">BMD and thereby </w:t>
      </w:r>
      <w:r w:rsidR="008F0AD5">
        <w:rPr>
          <w:sz w:val="24"/>
          <w:szCs w:val="24"/>
        </w:rPr>
        <w:t xml:space="preserve">also </w:t>
      </w:r>
      <w:r w:rsidR="00A06730">
        <w:rPr>
          <w:sz w:val="24"/>
          <w:szCs w:val="24"/>
        </w:rPr>
        <w:t xml:space="preserve">affects </w:t>
      </w:r>
      <w:r w:rsidR="00782D19">
        <w:rPr>
          <w:sz w:val="24"/>
          <w:szCs w:val="24"/>
        </w:rPr>
        <w:t>the assessment of fracture probability</w:t>
      </w:r>
      <w:r w:rsidR="006E5153">
        <w:rPr>
          <w:sz w:val="24"/>
          <w:szCs w:val="24"/>
        </w:rPr>
        <w:t>.</w:t>
      </w:r>
      <w:r w:rsidR="00F34F85">
        <w:rPr>
          <w:sz w:val="24"/>
          <w:szCs w:val="24"/>
        </w:rPr>
        <w:t xml:space="preserve">  Where </w:t>
      </w:r>
      <w:r w:rsidR="006819F3">
        <w:rPr>
          <w:sz w:val="24"/>
          <w:szCs w:val="24"/>
        </w:rPr>
        <w:t>effects were found, an additional aim was to e</w:t>
      </w:r>
      <w:r w:rsidR="000D7365">
        <w:rPr>
          <w:sz w:val="24"/>
          <w:szCs w:val="24"/>
        </w:rPr>
        <w:t xml:space="preserve">xamine fracture probabilities in patients </w:t>
      </w:r>
      <w:r w:rsidR="00374E99">
        <w:rPr>
          <w:sz w:val="24"/>
          <w:szCs w:val="24"/>
        </w:rPr>
        <w:t>who</w:t>
      </w:r>
      <w:r w:rsidR="000D7365">
        <w:rPr>
          <w:sz w:val="24"/>
          <w:szCs w:val="24"/>
        </w:rPr>
        <w:t xml:space="preserve"> were managed conservatively.</w:t>
      </w:r>
    </w:p>
    <w:p w14:paraId="019A38F2" w14:textId="77777777" w:rsidR="00F75FF6" w:rsidRDefault="00F75FF6" w:rsidP="00A13B1E">
      <w:pPr>
        <w:rPr>
          <w:b/>
          <w:bCs/>
          <w:sz w:val="28"/>
          <w:szCs w:val="28"/>
        </w:rPr>
      </w:pPr>
    </w:p>
    <w:p w14:paraId="52C0112A" w14:textId="0867FE2E" w:rsidR="00A13B1E" w:rsidRDefault="00A13B1E" w:rsidP="002C24B4">
      <w:pPr>
        <w:spacing w:line="276" w:lineRule="auto"/>
        <w:rPr>
          <w:rFonts w:ascii="Calibri" w:hAnsi="Calibri" w:cs="Calibri"/>
          <w:b/>
          <w:bCs/>
          <w:sz w:val="24"/>
          <w:szCs w:val="24"/>
        </w:rPr>
      </w:pPr>
      <w:r w:rsidRPr="004501A7">
        <w:rPr>
          <w:rFonts w:ascii="Calibri" w:hAnsi="Calibri" w:cs="Calibri"/>
          <w:b/>
          <w:bCs/>
          <w:sz w:val="24"/>
          <w:szCs w:val="24"/>
        </w:rPr>
        <w:t>Methods</w:t>
      </w:r>
    </w:p>
    <w:p w14:paraId="7A682AD7" w14:textId="10454A4B" w:rsidR="00D8460D" w:rsidRPr="009E0A7E" w:rsidRDefault="001E5360" w:rsidP="00B657D2">
      <w:pPr>
        <w:pStyle w:val="NoSpacing"/>
        <w:spacing w:line="276" w:lineRule="auto"/>
        <w:jc w:val="both"/>
        <w:rPr>
          <w:rFonts w:ascii="Arial" w:hAnsi="Arial" w:cs="Arial"/>
          <w:sz w:val="20"/>
          <w:szCs w:val="20"/>
          <w:lang w:val="en-US"/>
        </w:rPr>
      </w:pPr>
      <w:r w:rsidRPr="00B657D2">
        <w:rPr>
          <w:rFonts w:ascii="Calibri" w:hAnsi="Calibri" w:cs="Calibri"/>
          <w:lang w:val="en-US"/>
        </w:rPr>
        <w:lastRenderedPageBreak/>
        <w:t xml:space="preserve">In Denmark, all citizens are assigned a Civil Personal Registration (CPR) number which allows identification of all individuals assigned a specific </w:t>
      </w:r>
      <w:r w:rsidR="00BF5963">
        <w:rPr>
          <w:rFonts w:ascii="Calibri" w:hAnsi="Calibri" w:cs="Calibri"/>
          <w:lang w:val="en-US"/>
        </w:rPr>
        <w:t xml:space="preserve">hospital </w:t>
      </w:r>
      <w:r w:rsidRPr="00B657D2">
        <w:rPr>
          <w:rFonts w:ascii="Calibri" w:hAnsi="Calibri" w:cs="Calibri"/>
          <w:lang w:val="en-US"/>
        </w:rPr>
        <w:t>discharge diagnosis and linkage between different registers</w:t>
      </w:r>
      <w:r>
        <w:rPr>
          <w:rFonts w:ascii="Calibri" w:hAnsi="Calibri" w:cs="Calibri"/>
          <w:lang w:val="en-US"/>
        </w:rPr>
        <w:t>, including dat</w:t>
      </w:r>
      <w:r w:rsidR="00BF5963">
        <w:rPr>
          <w:rFonts w:ascii="Calibri" w:hAnsi="Calibri" w:cs="Calibri"/>
          <w:lang w:val="en-US"/>
        </w:rPr>
        <w:t>a</w:t>
      </w:r>
      <w:r>
        <w:rPr>
          <w:rFonts w:ascii="Calibri" w:hAnsi="Calibri" w:cs="Calibri"/>
          <w:lang w:val="en-US"/>
        </w:rPr>
        <w:t xml:space="preserve"> on </w:t>
      </w:r>
      <w:r w:rsidR="00BF5963">
        <w:rPr>
          <w:rFonts w:ascii="Calibri" w:hAnsi="Calibri" w:cs="Calibri"/>
          <w:lang w:val="en-US"/>
        </w:rPr>
        <w:t>biochemistry</w:t>
      </w:r>
      <w:r>
        <w:rPr>
          <w:rFonts w:ascii="Calibri" w:hAnsi="Calibri" w:cs="Calibri"/>
          <w:lang w:val="en-US"/>
        </w:rPr>
        <w:t xml:space="preserve"> and bone mineral density</w:t>
      </w:r>
      <w:r w:rsidRPr="00B657D2">
        <w:rPr>
          <w:rFonts w:ascii="Calibri" w:hAnsi="Calibri" w:cs="Calibri"/>
          <w:lang w:val="en-US"/>
        </w:rPr>
        <w:t>.</w:t>
      </w:r>
      <w:r w:rsidR="008A508A">
        <w:rPr>
          <w:rFonts w:ascii="Calibri" w:hAnsi="Calibri" w:cs="Calibri"/>
          <w:lang w:val="en-US"/>
        </w:rPr>
        <w:t xml:space="preserve"> Using a r</w:t>
      </w:r>
      <w:r w:rsidR="008A508A" w:rsidRPr="00B657D2">
        <w:rPr>
          <w:rFonts w:ascii="Calibri" w:hAnsi="Calibri" w:cs="Calibri"/>
          <w:lang w:val="en-US"/>
        </w:rPr>
        <w:t>etrospective cohort study</w:t>
      </w:r>
      <w:r w:rsidR="008A508A">
        <w:rPr>
          <w:rFonts w:ascii="Calibri" w:hAnsi="Calibri" w:cs="Calibri"/>
          <w:lang w:val="en-US"/>
        </w:rPr>
        <w:t xml:space="preserve"> design</w:t>
      </w:r>
      <w:r w:rsidR="008A508A" w:rsidRPr="00B657D2">
        <w:rPr>
          <w:rFonts w:ascii="Calibri" w:hAnsi="Calibri" w:cs="Calibri"/>
          <w:lang w:val="en-US"/>
        </w:rPr>
        <w:t xml:space="preserve">, we identified patients diagnosed with PHPT in Denmark between </w:t>
      </w:r>
      <w:r w:rsidR="008A508A" w:rsidRPr="00B657D2">
        <w:rPr>
          <w:rFonts w:cstheme="minorHAnsi"/>
          <w:lang w:val="en-US"/>
        </w:rPr>
        <w:t>1997 and June 2015</w:t>
      </w:r>
      <w:r w:rsidR="00A538A3" w:rsidRPr="00B657D2">
        <w:rPr>
          <w:rFonts w:cstheme="minorHAnsi"/>
          <w:lang w:val="en-US"/>
        </w:rPr>
        <w:t xml:space="preserve"> and compared findings in patients with age, and gender-matched controls. </w:t>
      </w:r>
      <w:r w:rsidR="00D8460D" w:rsidRPr="00B657D2">
        <w:rPr>
          <w:rFonts w:cstheme="minorHAnsi"/>
          <w:lang w:val="en-US"/>
        </w:rPr>
        <w:t>The Danish Data Protection Agency was notified about the database (# 1-16-02-135-15), and the Danish Health and Medicines Authority granted access to retrieve data from hospital charts (# 3-3013-948/1).</w:t>
      </w:r>
    </w:p>
    <w:p w14:paraId="3C7A4389" w14:textId="77777777" w:rsidR="00615EF1" w:rsidRDefault="00615EF1" w:rsidP="002C24B4">
      <w:pPr>
        <w:spacing w:line="276" w:lineRule="auto"/>
        <w:rPr>
          <w:rFonts w:ascii="Calibri" w:hAnsi="Calibri" w:cs="Calibri"/>
          <w:i/>
          <w:iCs/>
          <w:sz w:val="24"/>
          <w:szCs w:val="24"/>
        </w:rPr>
      </w:pPr>
    </w:p>
    <w:p w14:paraId="37407C44" w14:textId="39102C24" w:rsidR="00A62A61" w:rsidRPr="004501A7" w:rsidRDefault="00A62A61" w:rsidP="002C24B4">
      <w:pPr>
        <w:spacing w:line="276" w:lineRule="auto"/>
        <w:rPr>
          <w:rFonts w:ascii="Calibri" w:hAnsi="Calibri" w:cs="Calibri"/>
          <w:i/>
          <w:iCs/>
          <w:sz w:val="24"/>
          <w:szCs w:val="24"/>
        </w:rPr>
      </w:pPr>
      <w:r w:rsidRPr="004501A7">
        <w:rPr>
          <w:rFonts w:ascii="Calibri" w:hAnsi="Calibri" w:cs="Calibri"/>
          <w:i/>
          <w:iCs/>
          <w:sz w:val="24"/>
          <w:szCs w:val="24"/>
        </w:rPr>
        <w:t>Cases</w:t>
      </w:r>
    </w:p>
    <w:p w14:paraId="47073845" w14:textId="7A1E7A01" w:rsidR="005E6D37" w:rsidRDefault="00A538A3" w:rsidP="002C24B4">
      <w:pPr>
        <w:spacing w:line="276" w:lineRule="auto"/>
        <w:rPr>
          <w:rFonts w:ascii="Calibri" w:hAnsi="Calibri" w:cs="Calibri"/>
          <w:sz w:val="24"/>
          <w:szCs w:val="24"/>
        </w:rPr>
      </w:pPr>
      <w:r>
        <w:rPr>
          <w:rFonts w:ascii="Calibri" w:hAnsi="Calibri" w:cs="Calibri"/>
          <w:sz w:val="24"/>
          <w:szCs w:val="24"/>
        </w:rPr>
        <w:t xml:space="preserve">Patients with a diagnosis of PHPT were identified </w:t>
      </w:r>
      <w:r w:rsidR="006713BB">
        <w:rPr>
          <w:rFonts w:ascii="Calibri" w:hAnsi="Calibri" w:cs="Calibri"/>
          <w:sz w:val="24"/>
          <w:szCs w:val="24"/>
        </w:rPr>
        <w:t xml:space="preserve">using </w:t>
      </w:r>
      <w:r w:rsidR="005E6D37">
        <w:rPr>
          <w:rFonts w:ascii="Calibri" w:hAnsi="Calibri" w:cs="Calibri"/>
          <w:sz w:val="24"/>
          <w:szCs w:val="24"/>
        </w:rPr>
        <w:t>the</w:t>
      </w:r>
      <w:r>
        <w:rPr>
          <w:rFonts w:ascii="Calibri" w:hAnsi="Calibri" w:cs="Calibri"/>
          <w:sz w:val="24"/>
          <w:szCs w:val="24"/>
        </w:rPr>
        <w:t xml:space="preserve"> </w:t>
      </w:r>
      <w:r w:rsidR="005E6D37" w:rsidRPr="005E6D37">
        <w:rPr>
          <w:rFonts w:ascii="Calibri" w:hAnsi="Calibri" w:cs="Calibri"/>
          <w:sz w:val="24"/>
          <w:szCs w:val="24"/>
        </w:rPr>
        <w:t>Danish National Patient Register</w:t>
      </w:r>
      <w:r w:rsidR="007A3AC9">
        <w:rPr>
          <w:rFonts w:ascii="Calibri" w:hAnsi="Calibri" w:cs="Calibri"/>
          <w:sz w:val="24"/>
          <w:szCs w:val="24"/>
        </w:rPr>
        <w:t xml:space="preserve"> </w:t>
      </w:r>
      <w:r w:rsidR="002B5627">
        <w:rPr>
          <w:rFonts w:ascii="Calibri" w:hAnsi="Calibri" w:cs="Calibri"/>
          <w:sz w:val="24"/>
          <w:szCs w:val="24"/>
        </w:rPr>
        <w:t>[</w:t>
      </w:r>
      <w:r w:rsidR="00804391">
        <w:rPr>
          <w:rFonts w:ascii="Calibri" w:hAnsi="Calibri" w:cs="Calibri"/>
          <w:sz w:val="24"/>
          <w:szCs w:val="24"/>
        </w:rPr>
        <w:t>15</w:t>
      </w:r>
      <w:r w:rsidR="00D729AB">
        <w:rPr>
          <w:rFonts w:ascii="Calibri" w:hAnsi="Calibri" w:cs="Calibri"/>
          <w:sz w:val="24"/>
          <w:szCs w:val="24"/>
        </w:rPr>
        <w:t>]</w:t>
      </w:r>
      <w:r w:rsidR="005E6D37">
        <w:rPr>
          <w:rFonts w:ascii="Calibri" w:hAnsi="Calibri" w:cs="Calibri"/>
          <w:sz w:val="24"/>
          <w:szCs w:val="24"/>
        </w:rPr>
        <w:t>. The register</w:t>
      </w:r>
      <w:r w:rsidR="008C6812">
        <w:rPr>
          <w:rFonts w:ascii="Calibri" w:hAnsi="Calibri" w:cs="Calibri"/>
          <w:sz w:val="24"/>
          <w:szCs w:val="24"/>
        </w:rPr>
        <w:t xml:space="preserve"> has a nationwide coverage and </w:t>
      </w:r>
      <w:r w:rsidR="005E6D37" w:rsidRPr="00615EF1">
        <w:rPr>
          <w:rFonts w:cstheme="minorHAnsi"/>
          <w:sz w:val="24"/>
          <w:szCs w:val="24"/>
        </w:rPr>
        <w:t xml:space="preserve">includes data on </w:t>
      </w:r>
      <w:r w:rsidR="008C6812" w:rsidRPr="00615EF1">
        <w:rPr>
          <w:rFonts w:cstheme="minorHAnsi"/>
          <w:sz w:val="24"/>
          <w:szCs w:val="24"/>
        </w:rPr>
        <w:t xml:space="preserve">all </w:t>
      </w:r>
      <w:r w:rsidR="005E6D37" w:rsidRPr="00615EF1">
        <w:rPr>
          <w:rFonts w:cstheme="minorHAnsi"/>
          <w:sz w:val="24"/>
          <w:szCs w:val="24"/>
        </w:rPr>
        <w:t>discharge diagnoses of all</w:t>
      </w:r>
      <w:r w:rsidR="001F307D" w:rsidRPr="00615EF1">
        <w:rPr>
          <w:rFonts w:cstheme="minorHAnsi"/>
          <w:sz w:val="24"/>
          <w:szCs w:val="24"/>
        </w:rPr>
        <w:t xml:space="preserve"> hospital admissions </w:t>
      </w:r>
      <w:r w:rsidR="00CE7D2E">
        <w:rPr>
          <w:rFonts w:cstheme="minorHAnsi"/>
          <w:sz w:val="24"/>
          <w:szCs w:val="24"/>
        </w:rPr>
        <w:t>and outpatient visit</w:t>
      </w:r>
      <w:r w:rsidR="004F5DE7">
        <w:rPr>
          <w:rFonts w:cstheme="minorHAnsi"/>
          <w:sz w:val="24"/>
          <w:szCs w:val="24"/>
        </w:rPr>
        <w:t xml:space="preserve">s </w:t>
      </w:r>
      <w:r w:rsidR="001F307D" w:rsidRPr="00615EF1">
        <w:rPr>
          <w:rFonts w:cstheme="minorHAnsi"/>
          <w:sz w:val="24"/>
          <w:szCs w:val="24"/>
        </w:rPr>
        <w:t>since 1977. I</w:t>
      </w:r>
      <w:r w:rsidR="00252F98" w:rsidRPr="00615EF1">
        <w:rPr>
          <w:rFonts w:cstheme="minorHAnsi"/>
          <w:sz w:val="24"/>
          <w:szCs w:val="24"/>
        </w:rPr>
        <w:t>nitially, we</w:t>
      </w:r>
      <w:r w:rsidR="00252F98">
        <w:rPr>
          <w:rFonts w:ascii="Calibri" w:hAnsi="Calibri" w:cs="Calibri"/>
          <w:sz w:val="24"/>
          <w:szCs w:val="24"/>
        </w:rPr>
        <w:t xml:space="preserve"> </w:t>
      </w:r>
      <w:r w:rsidR="00252F98" w:rsidRPr="00252F98">
        <w:rPr>
          <w:rFonts w:ascii="Calibri" w:hAnsi="Calibri" w:cs="Calibri"/>
          <w:sz w:val="24"/>
          <w:szCs w:val="24"/>
        </w:rPr>
        <w:t>identified all patients assigned a hospital discharge code of hyperparathyroidism according to the International Classification of Diseases (ICD) between 1977 and June 2015. We searched for ICD codes according to the ICD-8</w:t>
      </w:r>
      <w:r w:rsidR="00252F98" w:rsidRPr="00615EF1">
        <w:rPr>
          <w:rFonts w:ascii="Calibri" w:hAnsi="Calibri" w:cs="Calibri"/>
          <w:sz w:val="24"/>
          <w:szCs w:val="24"/>
          <w:vertAlign w:val="superscript"/>
        </w:rPr>
        <w:t>th</w:t>
      </w:r>
      <w:r w:rsidR="00252F98">
        <w:rPr>
          <w:rFonts w:ascii="Calibri" w:hAnsi="Calibri" w:cs="Calibri"/>
          <w:sz w:val="24"/>
          <w:szCs w:val="24"/>
        </w:rPr>
        <w:t xml:space="preserve"> </w:t>
      </w:r>
      <w:r w:rsidR="00252F98" w:rsidRPr="00252F98">
        <w:rPr>
          <w:rFonts w:ascii="Calibri" w:hAnsi="Calibri" w:cs="Calibri"/>
          <w:sz w:val="24"/>
          <w:szCs w:val="24"/>
        </w:rPr>
        <w:t>version (codes: 25200 to 25209) which were used in Denmark from 1971 to 1993 and the 10</w:t>
      </w:r>
      <w:r w:rsidR="00252F98" w:rsidRPr="00615EF1">
        <w:rPr>
          <w:rFonts w:ascii="Calibri" w:hAnsi="Calibri" w:cs="Calibri"/>
          <w:sz w:val="24"/>
          <w:szCs w:val="24"/>
          <w:vertAlign w:val="superscript"/>
        </w:rPr>
        <w:t>th</w:t>
      </w:r>
      <w:r w:rsidR="00252F98">
        <w:rPr>
          <w:rFonts w:ascii="Calibri" w:hAnsi="Calibri" w:cs="Calibri"/>
          <w:sz w:val="24"/>
          <w:szCs w:val="24"/>
        </w:rPr>
        <w:t xml:space="preserve"> </w:t>
      </w:r>
      <w:r w:rsidR="00252F98" w:rsidRPr="00252F98">
        <w:rPr>
          <w:rFonts w:ascii="Calibri" w:hAnsi="Calibri" w:cs="Calibri"/>
          <w:sz w:val="24"/>
          <w:szCs w:val="24"/>
        </w:rPr>
        <w:t>version (codes E</w:t>
      </w:r>
      <w:proofErr w:type="gramStart"/>
      <w:r w:rsidR="00252F98" w:rsidRPr="00252F98">
        <w:rPr>
          <w:rFonts w:ascii="Calibri" w:hAnsi="Calibri" w:cs="Calibri"/>
          <w:sz w:val="24"/>
          <w:szCs w:val="24"/>
        </w:rPr>
        <w:t>21.*</w:t>
      </w:r>
      <w:proofErr w:type="gramEnd"/>
      <w:r w:rsidR="00252F98" w:rsidRPr="00252F98">
        <w:rPr>
          <w:rFonts w:ascii="Calibri" w:hAnsi="Calibri" w:cs="Calibri"/>
          <w:sz w:val="24"/>
          <w:szCs w:val="24"/>
        </w:rPr>
        <w:t>) which has been used since 1994. ICD version 9 was never used in Denmark.</w:t>
      </w:r>
      <w:r w:rsidR="007A3AC9">
        <w:rPr>
          <w:rFonts w:ascii="Calibri" w:hAnsi="Calibri" w:cs="Calibri"/>
          <w:sz w:val="24"/>
          <w:szCs w:val="24"/>
        </w:rPr>
        <w:t xml:space="preserve"> </w:t>
      </w:r>
      <w:r w:rsidR="00C179EA">
        <w:rPr>
          <w:rFonts w:ascii="Calibri" w:hAnsi="Calibri" w:cs="Calibri"/>
          <w:sz w:val="24"/>
          <w:szCs w:val="24"/>
        </w:rPr>
        <w:t xml:space="preserve">Initially, we identified </w:t>
      </w:r>
      <w:r w:rsidR="007F1CCD">
        <w:rPr>
          <w:rFonts w:ascii="Calibri" w:hAnsi="Calibri" w:cs="Calibri"/>
          <w:sz w:val="24"/>
          <w:szCs w:val="24"/>
        </w:rPr>
        <w:t>17,025</w:t>
      </w:r>
      <w:r w:rsidR="002956EB" w:rsidRPr="002956EB">
        <w:rPr>
          <w:rFonts w:ascii="Calibri" w:hAnsi="Calibri" w:cs="Calibri"/>
          <w:sz w:val="24"/>
          <w:szCs w:val="24"/>
        </w:rPr>
        <w:t xml:space="preserve"> patients with a diagnosis of hyperparathyroidism</w:t>
      </w:r>
    </w:p>
    <w:p w14:paraId="6D871414" w14:textId="0F983684" w:rsidR="002956EB" w:rsidRPr="00E31248" w:rsidRDefault="002956EB" w:rsidP="002C24B4">
      <w:pPr>
        <w:spacing w:line="276" w:lineRule="auto"/>
        <w:rPr>
          <w:rFonts w:cstheme="minorHAnsi"/>
          <w:i/>
          <w:iCs/>
          <w:sz w:val="24"/>
          <w:szCs w:val="24"/>
        </w:rPr>
      </w:pPr>
      <w:r w:rsidRPr="00E31248">
        <w:rPr>
          <w:rFonts w:ascii="Calibri" w:hAnsi="Calibri" w:cs="Calibri"/>
          <w:i/>
          <w:iCs/>
          <w:sz w:val="24"/>
          <w:szCs w:val="24"/>
        </w:rPr>
        <w:t>Biochemistry</w:t>
      </w:r>
    </w:p>
    <w:p w14:paraId="1828DA65" w14:textId="4945732A" w:rsidR="002956EB" w:rsidRDefault="002956EB" w:rsidP="002C24B4">
      <w:pPr>
        <w:spacing w:line="276" w:lineRule="auto"/>
        <w:rPr>
          <w:rFonts w:ascii="Calibri" w:hAnsi="Calibri" w:cs="Calibri"/>
          <w:sz w:val="24"/>
          <w:szCs w:val="24"/>
        </w:rPr>
      </w:pPr>
      <w:r w:rsidRPr="00E31248">
        <w:rPr>
          <w:rFonts w:cstheme="minorHAnsi"/>
          <w:sz w:val="24"/>
          <w:szCs w:val="24"/>
        </w:rPr>
        <w:t>T</w:t>
      </w:r>
      <w:r w:rsidR="007A3AC9" w:rsidRPr="00E31248">
        <w:rPr>
          <w:rFonts w:cstheme="minorHAnsi"/>
          <w:sz w:val="24"/>
          <w:szCs w:val="24"/>
        </w:rPr>
        <w:t>o</w:t>
      </w:r>
      <w:r w:rsidR="00941450" w:rsidRPr="00E31248">
        <w:rPr>
          <w:rFonts w:cstheme="minorHAnsi"/>
          <w:sz w:val="24"/>
          <w:szCs w:val="24"/>
        </w:rPr>
        <w:t xml:space="preserve"> assure a state of hyperparathyroid hypercalcemia, we also searched for biochemistry </w:t>
      </w:r>
      <w:r w:rsidR="001F307D" w:rsidRPr="00E31248">
        <w:rPr>
          <w:rFonts w:cstheme="minorHAnsi"/>
          <w:sz w:val="24"/>
          <w:szCs w:val="24"/>
        </w:rPr>
        <w:t xml:space="preserve">data </w:t>
      </w:r>
      <w:r w:rsidRPr="00E31248">
        <w:rPr>
          <w:rFonts w:cstheme="minorHAnsi"/>
          <w:sz w:val="24"/>
          <w:szCs w:val="24"/>
        </w:rPr>
        <w:t xml:space="preserve">on </w:t>
      </w:r>
      <w:r w:rsidRPr="00E31248">
        <w:rPr>
          <w:rFonts w:cstheme="minorHAnsi"/>
          <w:color w:val="000000" w:themeColor="text1"/>
          <w:sz w:val="24"/>
          <w:szCs w:val="24"/>
        </w:rPr>
        <w:t xml:space="preserve">measurements of plasma PTH, calcium and creatinine levels </w:t>
      </w:r>
      <w:r w:rsidR="001F307D" w:rsidRPr="00E31248">
        <w:rPr>
          <w:rFonts w:cstheme="minorHAnsi"/>
          <w:sz w:val="24"/>
          <w:szCs w:val="24"/>
        </w:rPr>
        <w:t xml:space="preserve">from </w:t>
      </w:r>
      <w:r w:rsidR="001F307D" w:rsidRPr="00E31248">
        <w:rPr>
          <w:rFonts w:cstheme="minorHAnsi"/>
          <w:color w:val="000000" w:themeColor="text1"/>
          <w:sz w:val="24"/>
          <w:szCs w:val="24"/>
        </w:rPr>
        <w:t xml:space="preserve">major medical laboratories </w:t>
      </w:r>
      <w:r w:rsidR="001F307D" w:rsidRPr="00E31248">
        <w:rPr>
          <w:rFonts w:cstheme="minorHAnsi"/>
          <w:sz w:val="24"/>
          <w:szCs w:val="24"/>
        </w:rPr>
        <w:t>around the country</w:t>
      </w:r>
      <w:r w:rsidR="00923CE9">
        <w:rPr>
          <w:rFonts w:cstheme="minorHAnsi"/>
          <w:sz w:val="24"/>
          <w:szCs w:val="24"/>
        </w:rPr>
        <w:t xml:space="preserve">. </w:t>
      </w:r>
      <w:r w:rsidR="007C5BB8" w:rsidRPr="007C5BB8">
        <w:t xml:space="preserve"> </w:t>
      </w:r>
      <w:r w:rsidR="00923CE9">
        <w:rPr>
          <w:rFonts w:cstheme="minorHAnsi"/>
          <w:sz w:val="24"/>
          <w:szCs w:val="24"/>
        </w:rPr>
        <w:t>T</w:t>
      </w:r>
      <w:r w:rsidR="007C5BB8" w:rsidRPr="007C5BB8">
        <w:rPr>
          <w:rFonts w:cstheme="minorHAnsi"/>
          <w:sz w:val="24"/>
          <w:szCs w:val="24"/>
        </w:rPr>
        <w:t>he search was restricted to those with an ICD code of hyperparathyroidism”</w:t>
      </w:r>
      <w:r w:rsidR="006E1841" w:rsidRPr="00E31248">
        <w:rPr>
          <w:rFonts w:cstheme="minorHAnsi"/>
          <w:sz w:val="24"/>
          <w:szCs w:val="24"/>
        </w:rPr>
        <w:t xml:space="preserve">. A diagnosis of PHPT was considered as </w:t>
      </w:r>
      <w:r w:rsidR="00C179EA">
        <w:rPr>
          <w:rFonts w:cstheme="minorHAnsi"/>
          <w:sz w:val="24"/>
          <w:szCs w:val="24"/>
        </w:rPr>
        <w:t>confirmed</w:t>
      </w:r>
      <w:r w:rsidR="006E1841" w:rsidRPr="00E31248">
        <w:rPr>
          <w:rFonts w:cstheme="minorHAnsi"/>
          <w:sz w:val="24"/>
          <w:szCs w:val="24"/>
        </w:rPr>
        <w:t xml:space="preserve"> if blood tests on two separate occasions showed an average PTH</w:t>
      </w:r>
      <w:r w:rsidR="006E1841" w:rsidRPr="006E1841">
        <w:rPr>
          <w:rFonts w:ascii="Calibri" w:hAnsi="Calibri" w:cs="Calibri"/>
          <w:sz w:val="24"/>
          <w:szCs w:val="24"/>
        </w:rPr>
        <w:t xml:space="preserve"> level in the upper third- or above the upper limit of the reference interval with concomitant hypercalcemia</w:t>
      </w:r>
      <w:r w:rsidR="006E1841">
        <w:rPr>
          <w:rFonts w:ascii="Calibri" w:hAnsi="Calibri" w:cs="Calibri"/>
          <w:sz w:val="24"/>
          <w:szCs w:val="24"/>
        </w:rPr>
        <w:t xml:space="preserve"> </w:t>
      </w:r>
      <w:r w:rsidR="00D30F24">
        <w:rPr>
          <w:rFonts w:ascii="Calibri" w:hAnsi="Calibri" w:cs="Calibri"/>
          <w:sz w:val="24"/>
          <w:szCs w:val="24"/>
        </w:rPr>
        <w:t>[</w:t>
      </w:r>
      <w:r w:rsidR="00D729AB">
        <w:rPr>
          <w:rFonts w:ascii="Calibri" w:hAnsi="Calibri" w:cs="Calibri"/>
          <w:sz w:val="24"/>
          <w:szCs w:val="24"/>
        </w:rPr>
        <w:t>1</w:t>
      </w:r>
      <w:r w:rsidR="00804391">
        <w:rPr>
          <w:rFonts w:ascii="Calibri" w:hAnsi="Calibri" w:cs="Calibri"/>
          <w:sz w:val="24"/>
          <w:szCs w:val="24"/>
        </w:rPr>
        <w:t>6</w:t>
      </w:r>
      <w:r w:rsidR="00D30F24">
        <w:rPr>
          <w:rFonts w:ascii="Calibri" w:hAnsi="Calibri" w:cs="Calibri"/>
          <w:sz w:val="24"/>
          <w:szCs w:val="24"/>
        </w:rPr>
        <w:t>]</w:t>
      </w:r>
      <w:r w:rsidR="006E1841">
        <w:rPr>
          <w:rFonts w:ascii="Calibri" w:hAnsi="Calibri" w:cs="Calibri"/>
          <w:sz w:val="24"/>
          <w:szCs w:val="24"/>
        </w:rPr>
        <w:t xml:space="preserve">. </w:t>
      </w:r>
      <w:r w:rsidR="006E1841" w:rsidRPr="006E1841">
        <w:rPr>
          <w:rFonts w:ascii="Calibri" w:hAnsi="Calibri" w:cs="Calibri"/>
          <w:sz w:val="24"/>
          <w:szCs w:val="24"/>
        </w:rPr>
        <w:t>We used reference ranges from the local laboratories performing the analyses.</w:t>
      </w:r>
      <w:r w:rsidR="00D47DE9" w:rsidRPr="00D47DE9">
        <w:t xml:space="preserve"> </w:t>
      </w:r>
      <w:r w:rsidR="00D47DE9" w:rsidRPr="00D47DE9">
        <w:rPr>
          <w:rFonts w:ascii="Calibri" w:hAnsi="Calibri" w:cs="Calibri"/>
          <w:sz w:val="24"/>
          <w:szCs w:val="24"/>
        </w:rPr>
        <w:t>The first date being assigned a diagnosis of PHPT was considered as the Index date for the patients.</w:t>
      </w:r>
    </w:p>
    <w:p w14:paraId="0A4319BB" w14:textId="5D7020B2" w:rsidR="00B0715B" w:rsidRPr="004E18DB" w:rsidRDefault="00B0715B" w:rsidP="002C24B4">
      <w:pPr>
        <w:spacing w:line="276" w:lineRule="auto"/>
        <w:rPr>
          <w:rFonts w:ascii="Calibri" w:hAnsi="Calibri" w:cs="Calibri"/>
          <w:i/>
          <w:sz w:val="24"/>
          <w:szCs w:val="24"/>
        </w:rPr>
      </w:pPr>
      <w:r w:rsidRPr="004E18DB">
        <w:rPr>
          <w:rFonts w:ascii="Calibri" w:hAnsi="Calibri" w:cs="Calibri"/>
          <w:i/>
          <w:sz w:val="24"/>
          <w:szCs w:val="24"/>
        </w:rPr>
        <w:t xml:space="preserve">Parathyroidectomy </w:t>
      </w:r>
    </w:p>
    <w:p w14:paraId="600C63E4" w14:textId="37BD504F" w:rsidR="00B0715B" w:rsidRDefault="00F83352" w:rsidP="002C24B4">
      <w:pPr>
        <w:spacing w:line="276" w:lineRule="auto"/>
        <w:rPr>
          <w:rFonts w:ascii="Calibri" w:hAnsi="Calibri" w:cs="Calibri"/>
          <w:sz w:val="24"/>
          <w:szCs w:val="24"/>
        </w:rPr>
      </w:pPr>
      <w:r>
        <w:rPr>
          <w:rFonts w:ascii="Calibri" w:hAnsi="Calibri" w:cs="Calibri"/>
          <w:sz w:val="24"/>
          <w:szCs w:val="24"/>
        </w:rPr>
        <w:t>U</w:t>
      </w:r>
      <w:r w:rsidRPr="00F83352">
        <w:rPr>
          <w:rFonts w:ascii="Calibri" w:hAnsi="Calibri" w:cs="Calibri"/>
          <w:sz w:val="24"/>
          <w:szCs w:val="24"/>
        </w:rPr>
        <w:t>s</w:t>
      </w:r>
      <w:r>
        <w:rPr>
          <w:rFonts w:ascii="Calibri" w:hAnsi="Calibri" w:cs="Calibri"/>
          <w:sz w:val="24"/>
          <w:szCs w:val="24"/>
        </w:rPr>
        <w:t xml:space="preserve">ing </w:t>
      </w:r>
      <w:r w:rsidRPr="00F83352">
        <w:rPr>
          <w:rFonts w:ascii="Calibri" w:hAnsi="Calibri" w:cs="Calibri"/>
          <w:sz w:val="24"/>
          <w:szCs w:val="24"/>
        </w:rPr>
        <w:t>the Danish NPR</w:t>
      </w:r>
      <w:r>
        <w:rPr>
          <w:rFonts w:ascii="Calibri" w:hAnsi="Calibri" w:cs="Calibri"/>
          <w:sz w:val="24"/>
          <w:szCs w:val="24"/>
        </w:rPr>
        <w:t xml:space="preserve">, we also identified </w:t>
      </w:r>
      <w:r w:rsidRPr="00F83352">
        <w:rPr>
          <w:rFonts w:ascii="Calibri" w:hAnsi="Calibri" w:cs="Calibri"/>
          <w:sz w:val="24"/>
          <w:szCs w:val="24"/>
        </w:rPr>
        <w:t>patients who had been assigned a procedural ICD-code of parathyroid surgery (</w:t>
      </w:r>
      <w:r w:rsidR="0000517F" w:rsidRPr="0000517F">
        <w:rPr>
          <w:rFonts w:ascii="Calibri" w:hAnsi="Calibri" w:cs="Calibri"/>
          <w:sz w:val="24"/>
          <w:szCs w:val="24"/>
        </w:rPr>
        <w:t>SKS codes before 1994</w:t>
      </w:r>
      <w:r w:rsidRPr="00F83352">
        <w:rPr>
          <w:rFonts w:ascii="Calibri" w:hAnsi="Calibri" w:cs="Calibri"/>
          <w:sz w:val="24"/>
          <w:szCs w:val="24"/>
        </w:rPr>
        <w:t>: 080xx-085xx</w:t>
      </w:r>
      <w:r w:rsidR="00B42A43">
        <w:rPr>
          <w:rFonts w:ascii="Calibri" w:hAnsi="Calibri" w:cs="Calibri"/>
          <w:sz w:val="24"/>
          <w:szCs w:val="24"/>
        </w:rPr>
        <w:t xml:space="preserve"> and after 1994</w:t>
      </w:r>
      <w:r w:rsidRPr="00F83352">
        <w:rPr>
          <w:rFonts w:ascii="Calibri" w:hAnsi="Calibri" w:cs="Calibri"/>
          <w:sz w:val="24"/>
          <w:szCs w:val="24"/>
        </w:rPr>
        <w:t xml:space="preserve">: </w:t>
      </w:r>
      <w:r w:rsidR="00816C2F" w:rsidRPr="00816C2F">
        <w:rPr>
          <w:rFonts w:ascii="Calibri" w:hAnsi="Calibri" w:cs="Calibri"/>
          <w:sz w:val="24"/>
          <w:szCs w:val="24"/>
        </w:rPr>
        <w:t>KBBA00-KBBA99</w:t>
      </w:r>
      <w:r w:rsidRPr="00F83352">
        <w:rPr>
          <w:rFonts w:ascii="Calibri" w:hAnsi="Calibri" w:cs="Calibri"/>
          <w:sz w:val="24"/>
          <w:szCs w:val="24"/>
        </w:rPr>
        <w:t>).</w:t>
      </w:r>
      <w:r w:rsidR="00C55652">
        <w:rPr>
          <w:rFonts w:ascii="Calibri" w:hAnsi="Calibri" w:cs="Calibri"/>
          <w:sz w:val="24"/>
          <w:szCs w:val="24"/>
        </w:rPr>
        <w:t xml:space="preserve"> </w:t>
      </w:r>
      <w:r w:rsidRPr="00F83352">
        <w:rPr>
          <w:rFonts w:ascii="Calibri" w:hAnsi="Calibri" w:cs="Calibri"/>
          <w:sz w:val="24"/>
          <w:szCs w:val="24"/>
        </w:rPr>
        <w:t>Furthermore, to assure correct classification (</w:t>
      </w:r>
      <w:r w:rsidR="00D26F66" w:rsidRPr="00D26F66">
        <w:rPr>
          <w:rFonts w:ascii="Calibri" w:hAnsi="Calibri" w:cs="Calibri"/>
          <w:sz w:val="24"/>
          <w:szCs w:val="24"/>
        </w:rPr>
        <w:t>parathyroidectomy</w:t>
      </w:r>
      <w:r w:rsidRPr="00F83352">
        <w:rPr>
          <w:rFonts w:ascii="Calibri" w:hAnsi="Calibri" w:cs="Calibri"/>
          <w:sz w:val="24"/>
          <w:szCs w:val="24"/>
        </w:rPr>
        <w:t xml:space="preserve"> vs. no surgery) of patients diagnosed with </w:t>
      </w:r>
      <w:r w:rsidR="00457303">
        <w:rPr>
          <w:rFonts w:ascii="Calibri" w:hAnsi="Calibri" w:cs="Calibri"/>
          <w:sz w:val="24"/>
          <w:szCs w:val="24"/>
        </w:rPr>
        <w:t>P</w:t>
      </w:r>
      <w:r w:rsidRPr="00F83352">
        <w:rPr>
          <w:rFonts w:ascii="Calibri" w:hAnsi="Calibri" w:cs="Calibri"/>
          <w:sz w:val="24"/>
          <w:szCs w:val="24"/>
        </w:rPr>
        <w:t xml:space="preserve">HPT just prior to end of our initial search in June 2015, we updated our search in November 2017.  </w:t>
      </w:r>
    </w:p>
    <w:p w14:paraId="20A8EAC0" w14:textId="0B427995" w:rsidR="00990EC7" w:rsidRDefault="00990EC7" w:rsidP="002C24B4">
      <w:pPr>
        <w:spacing w:line="276" w:lineRule="auto"/>
        <w:rPr>
          <w:rFonts w:ascii="Calibri" w:hAnsi="Calibri" w:cs="Calibri"/>
          <w:sz w:val="24"/>
          <w:szCs w:val="24"/>
        </w:rPr>
      </w:pPr>
    </w:p>
    <w:p w14:paraId="103EF497" w14:textId="1491E2DD" w:rsidR="00990EC7" w:rsidRPr="00FF5CBD" w:rsidRDefault="00990EC7" w:rsidP="002C24B4">
      <w:pPr>
        <w:spacing w:line="276" w:lineRule="auto"/>
        <w:rPr>
          <w:rFonts w:ascii="Calibri" w:hAnsi="Calibri" w:cs="Calibri"/>
          <w:i/>
          <w:iCs/>
          <w:sz w:val="24"/>
          <w:szCs w:val="24"/>
        </w:rPr>
      </w:pPr>
      <w:r w:rsidRPr="00FF5CBD">
        <w:rPr>
          <w:rFonts w:ascii="Calibri" w:hAnsi="Calibri" w:cs="Calibri"/>
          <w:i/>
          <w:iCs/>
          <w:sz w:val="24"/>
          <w:szCs w:val="24"/>
        </w:rPr>
        <w:t>Exclusion criteria</w:t>
      </w:r>
    </w:p>
    <w:p w14:paraId="5307BB70" w14:textId="50922F5B" w:rsidR="00EC19FA" w:rsidRDefault="00990EC7" w:rsidP="002C24B4">
      <w:pPr>
        <w:spacing w:line="276" w:lineRule="auto"/>
        <w:rPr>
          <w:rFonts w:ascii="Calibri" w:hAnsi="Calibri" w:cs="Calibri"/>
          <w:sz w:val="24"/>
          <w:szCs w:val="24"/>
        </w:rPr>
      </w:pPr>
      <w:r w:rsidRPr="00990EC7">
        <w:rPr>
          <w:rFonts w:ascii="Calibri" w:hAnsi="Calibri" w:cs="Calibri"/>
          <w:sz w:val="24"/>
          <w:szCs w:val="24"/>
        </w:rPr>
        <w:lastRenderedPageBreak/>
        <w:t xml:space="preserve">In addition to excluding patients </w:t>
      </w:r>
      <w:r w:rsidR="002A0EEE">
        <w:rPr>
          <w:rFonts w:ascii="Calibri" w:hAnsi="Calibri" w:cs="Calibri"/>
          <w:sz w:val="24"/>
          <w:szCs w:val="24"/>
        </w:rPr>
        <w:t xml:space="preserve">in whom it was not possible to biochemically verify </w:t>
      </w:r>
      <w:r w:rsidRPr="00990EC7">
        <w:rPr>
          <w:rFonts w:ascii="Calibri" w:hAnsi="Calibri" w:cs="Calibri"/>
          <w:sz w:val="24"/>
          <w:szCs w:val="24"/>
        </w:rPr>
        <w:t xml:space="preserve">a </w:t>
      </w:r>
      <w:r>
        <w:rPr>
          <w:rFonts w:ascii="Calibri" w:hAnsi="Calibri" w:cs="Calibri"/>
          <w:sz w:val="24"/>
          <w:szCs w:val="24"/>
        </w:rPr>
        <w:t>diagnosis of</w:t>
      </w:r>
      <w:r w:rsidRPr="00990EC7">
        <w:rPr>
          <w:rFonts w:ascii="Calibri" w:hAnsi="Calibri" w:cs="Calibri"/>
          <w:sz w:val="24"/>
          <w:szCs w:val="24"/>
        </w:rPr>
        <w:t xml:space="preserve"> </w:t>
      </w:r>
      <w:r>
        <w:rPr>
          <w:rFonts w:ascii="Calibri" w:hAnsi="Calibri" w:cs="Calibri"/>
          <w:sz w:val="24"/>
          <w:szCs w:val="24"/>
        </w:rPr>
        <w:t>P</w:t>
      </w:r>
      <w:r w:rsidRPr="00990EC7">
        <w:rPr>
          <w:rFonts w:ascii="Calibri" w:hAnsi="Calibri" w:cs="Calibri"/>
          <w:sz w:val="24"/>
          <w:szCs w:val="24"/>
        </w:rPr>
        <w:t xml:space="preserve">HPT, we </w:t>
      </w:r>
      <w:r>
        <w:rPr>
          <w:rFonts w:ascii="Calibri" w:hAnsi="Calibri" w:cs="Calibri"/>
          <w:sz w:val="24"/>
          <w:szCs w:val="24"/>
        </w:rPr>
        <w:t xml:space="preserve">excluded </w:t>
      </w:r>
      <w:r w:rsidRPr="00990EC7">
        <w:rPr>
          <w:rFonts w:ascii="Calibri" w:hAnsi="Calibri" w:cs="Calibri"/>
          <w:sz w:val="24"/>
          <w:szCs w:val="24"/>
        </w:rPr>
        <w:t xml:space="preserve">patients who (ever) had been assigned a diagnosis of familial hypocalciuric hypercalcemia, multiple endocrine </w:t>
      </w:r>
      <w:proofErr w:type="gramStart"/>
      <w:r w:rsidRPr="00990EC7">
        <w:rPr>
          <w:rFonts w:ascii="Calibri" w:hAnsi="Calibri" w:cs="Calibri"/>
          <w:sz w:val="24"/>
          <w:szCs w:val="24"/>
        </w:rPr>
        <w:t>neoplasia</w:t>
      </w:r>
      <w:proofErr w:type="gramEnd"/>
      <w:r w:rsidRPr="00990EC7">
        <w:rPr>
          <w:rFonts w:ascii="Calibri" w:hAnsi="Calibri" w:cs="Calibri"/>
          <w:sz w:val="24"/>
          <w:szCs w:val="24"/>
        </w:rPr>
        <w:t xml:space="preserve"> or parathyroid cancer. Furthermore, we excluded patients with kidney insufficiency diagnosed more than one year prior to the diagnosis of </w:t>
      </w:r>
      <w:r>
        <w:rPr>
          <w:rFonts w:ascii="Calibri" w:hAnsi="Calibri" w:cs="Calibri"/>
          <w:sz w:val="24"/>
          <w:szCs w:val="24"/>
        </w:rPr>
        <w:t>P</w:t>
      </w:r>
      <w:r w:rsidRPr="00990EC7">
        <w:rPr>
          <w:rFonts w:ascii="Calibri" w:hAnsi="Calibri" w:cs="Calibri"/>
          <w:sz w:val="24"/>
          <w:szCs w:val="24"/>
        </w:rPr>
        <w:t>HPT</w:t>
      </w:r>
      <w:r w:rsidR="00867FC5">
        <w:rPr>
          <w:rFonts w:ascii="Calibri" w:hAnsi="Calibri" w:cs="Calibri"/>
          <w:sz w:val="24"/>
          <w:szCs w:val="24"/>
        </w:rPr>
        <w:t xml:space="preserve"> based on ICD codes</w:t>
      </w:r>
      <w:r w:rsidR="000749BB">
        <w:rPr>
          <w:rFonts w:ascii="Calibri" w:hAnsi="Calibri" w:cs="Calibri"/>
          <w:sz w:val="24"/>
          <w:szCs w:val="24"/>
        </w:rPr>
        <w:t>.</w:t>
      </w:r>
      <w:r w:rsidR="00EC19FA">
        <w:rPr>
          <w:rFonts w:ascii="Calibri" w:hAnsi="Calibri" w:cs="Calibri"/>
          <w:sz w:val="24"/>
          <w:szCs w:val="24"/>
        </w:rPr>
        <w:t xml:space="preserve"> </w:t>
      </w:r>
    </w:p>
    <w:p w14:paraId="7EFE0F45" w14:textId="77777777" w:rsidR="00990EC7" w:rsidRDefault="00990EC7" w:rsidP="002C24B4">
      <w:pPr>
        <w:spacing w:line="276" w:lineRule="auto"/>
        <w:rPr>
          <w:rFonts w:ascii="Calibri" w:hAnsi="Calibri" w:cs="Calibri"/>
          <w:sz w:val="24"/>
          <w:szCs w:val="24"/>
        </w:rPr>
      </w:pPr>
    </w:p>
    <w:p w14:paraId="6AE729CA" w14:textId="132FA0D6" w:rsidR="00E048F9" w:rsidRPr="00C542F1" w:rsidRDefault="00E048F9" w:rsidP="002C24B4">
      <w:pPr>
        <w:spacing w:line="276" w:lineRule="auto"/>
        <w:rPr>
          <w:rFonts w:ascii="Calibri" w:hAnsi="Calibri" w:cs="Calibri"/>
          <w:i/>
          <w:sz w:val="24"/>
          <w:szCs w:val="24"/>
        </w:rPr>
      </w:pPr>
      <w:r w:rsidRPr="00C542F1">
        <w:rPr>
          <w:rFonts w:ascii="Calibri" w:hAnsi="Calibri" w:cs="Calibri"/>
          <w:i/>
          <w:sz w:val="24"/>
          <w:szCs w:val="24"/>
        </w:rPr>
        <w:t xml:space="preserve">Severity of disease </w:t>
      </w:r>
    </w:p>
    <w:p w14:paraId="6925E0CE" w14:textId="2932C60E" w:rsidR="00D07E74" w:rsidRPr="004501A7" w:rsidRDefault="00D07E74" w:rsidP="002C24B4">
      <w:pPr>
        <w:spacing w:line="276" w:lineRule="auto"/>
        <w:rPr>
          <w:rFonts w:ascii="Calibri" w:hAnsi="Calibri" w:cs="Calibri"/>
          <w:sz w:val="24"/>
          <w:szCs w:val="24"/>
        </w:rPr>
      </w:pPr>
      <w:r w:rsidRPr="004501A7">
        <w:rPr>
          <w:rFonts w:ascii="Calibri" w:hAnsi="Calibri" w:cs="Calibri"/>
          <w:sz w:val="24"/>
          <w:szCs w:val="24"/>
        </w:rPr>
        <w:t>The severity of disease was assessed in two ways.  The first was based on serum calcium</w:t>
      </w:r>
      <w:r w:rsidR="00B67351" w:rsidRPr="004501A7">
        <w:rPr>
          <w:rFonts w:ascii="Calibri" w:hAnsi="Calibri" w:cs="Calibri"/>
          <w:sz w:val="24"/>
          <w:szCs w:val="24"/>
        </w:rPr>
        <w:t xml:space="preserve"> measured close to the date of diagnosis</w:t>
      </w:r>
      <w:r w:rsidRPr="004501A7">
        <w:rPr>
          <w:rFonts w:ascii="Calibri" w:hAnsi="Calibri" w:cs="Calibri"/>
          <w:sz w:val="24"/>
          <w:szCs w:val="24"/>
        </w:rPr>
        <w:t xml:space="preserve">.  Mild hypercalcaemia was ascribed where the average of two </w:t>
      </w:r>
      <w:r w:rsidR="00B67351" w:rsidRPr="004501A7">
        <w:rPr>
          <w:rFonts w:ascii="Calibri" w:hAnsi="Calibri" w:cs="Calibri"/>
          <w:sz w:val="24"/>
          <w:szCs w:val="24"/>
        </w:rPr>
        <w:t>measurements</w:t>
      </w:r>
      <w:r w:rsidRPr="004501A7">
        <w:rPr>
          <w:rFonts w:ascii="Calibri" w:hAnsi="Calibri" w:cs="Calibri"/>
          <w:sz w:val="24"/>
          <w:szCs w:val="24"/>
        </w:rPr>
        <w:t xml:space="preserve"> of plasma ionised calcium lay between 1.33-1.44 mmol/L.</w:t>
      </w:r>
      <w:r w:rsidR="00B67351" w:rsidRPr="004501A7">
        <w:rPr>
          <w:rFonts w:ascii="Calibri" w:hAnsi="Calibri" w:cs="Calibri"/>
          <w:sz w:val="24"/>
          <w:szCs w:val="24"/>
        </w:rPr>
        <w:t xml:space="preserve">  Moderate and severe hypercalcaemia were characterised in the same way as an average concentration 1.45-1.64 mmol/L and ≥ 1.65 mmol/L, respectively.  If two measurements of ionized calcium were not available, the average of two measurements of total calcium levels (n=793) were taken: upper level of normal to 2.76 mmol/L (mild</w:t>
      </w:r>
      <w:r w:rsidR="006B208E" w:rsidRPr="004501A7">
        <w:rPr>
          <w:rFonts w:ascii="Calibri" w:hAnsi="Calibri" w:cs="Calibri"/>
          <w:sz w:val="24"/>
          <w:szCs w:val="24"/>
        </w:rPr>
        <w:t>); 2.77</w:t>
      </w:r>
      <w:r w:rsidR="00B67351" w:rsidRPr="004501A7">
        <w:rPr>
          <w:rFonts w:ascii="Calibri" w:hAnsi="Calibri" w:cs="Calibri"/>
          <w:sz w:val="24"/>
          <w:szCs w:val="24"/>
        </w:rPr>
        <w:t xml:space="preserve"> </w:t>
      </w:r>
      <w:r w:rsidR="00041F75" w:rsidRPr="004501A7">
        <w:rPr>
          <w:rFonts w:ascii="Calibri" w:hAnsi="Calibri" w:cs="Calibri"/>
          <w:sz w:val="24"/>
          <w:szCs w:val="24"/>
        </w:rPr>
        <w:t>-</w:t>
      </w:r>
      <w:r w:rsidR="00B67351" w:rsidRPr="004501A7">
        <w:rPr>
          <w:rFonts w:ascii="Calibri" w:hAnsi="Calibri" w:cs="Calibri"/>
          <w:sz w:val="24"/>
          <w:szCs w:val="24"/>
        </w:rPr>
        <w:t xml:space="preserve"> 3.02 mmol/L</w:t>
      </w:r>
      <w:r w:rsidR="00041F75" w:rsidRPr="004501A7">
        <w:rPr>
          <w:rFonts w:ascii="Calibri" w:hAnsi="Calibri" w:cs="Calibri"/>
          <w:sz w:val="24"/>
          <w:szCs w:val="24"/>
        </w:rPr>
        <w:t xml:space="preserve"> (moderate</w:t>
      </w:r>
      <w:r w:rsidR="003916EF" w:rsidRPr="004501A7">
        <w:rPr>
          <w:rFonts w:ascii="Calibri" w:hAnsi="Calibri" w:cs="Calibri"/>
          <w:sz w:val="24"/>
          <w:szCs w:val="24"/>
        </w:rPr>
        <w:t>); ≥</w:t>
      </w:r>
      <w:r w:rsidR="00B67351" w:rsidRPr="004501A7">
        <w:rPr>
          <w:rFonts w:ascii="Calibri" w:hAnsi="Calibri" w:cs="Calibri"/>
          <w:sz w:val="24"/>
          <w:szCs w:val="24"/>
        </w:rPr>
        <w:t xml:space="preserve"> 3.03 mmol/L</w:t>
      </w:r>
      <w:r w:rsidR="00041F75" w:rsidRPr="004501A7">
        <w:rPr>
          <w:rFonts w:ascii="Calibri" w:hAnsi="Calibri" w:cs="Calibri"/>
          <w:sz w:val="24"/>
          <w:szCs w:val="24"/>
        </w:rPr>
        <w:t xml:space="preserve"> (s</w:t>
      </w:r>
      <w:r w:rsidR="00B67351" w:rsidRPr="004501A7">
        <w:rPr>
          <w:rFonts w:ascii="Calibri" w:hAnsi="Calibri" w:cs="Calibri"/>
          <w:sz w:val="24"/>
          <w:szCs w:val="24"/>
        </w:rPr>
        <w:t>evere</w:t>
      </w:r>
      <w:r w:rsidR="00041F75" w:rsidRPr="004501A7">
        <w:rPr>
          <w:rFonts w:ascii="Calibri" w:hAnsi="Calibri" w:cs="Calibri"/>
          <w:sz w:val="24"/>
          <w:szCs w:val="24"/>
        </w:rPr>
        <w:t xml:space="preserve"> hypercalcaemia)</w:t>
      </w:r>
      <w:r w:rsidR="00B67351" w:rsidRPr="004501A7">
        <w:rPr>
          <w:rFonts w:ascii="Calibri" w:hAnsi="Calibri" w:cs="Calibri"/>
          <w:sz w:val="24"/>
          <w:szCs w:val="24"/>
        </w:rPr>
        <w:t>.</w:t>
      </w:r>
      <w:r w:rsidR="00041F75" w:rsidRPr="004501A7">
        <w:rPr>
          <w:rFonts w:ascii="Calibri" w:hAnsi="Calibri" w:cs="Calibri"/>
          <w:sz w:val="24"/>
          <w:szCs w:val="24"/>
        </w:rPr>
        <w:t xml:space="preserve"> Patients were additionally graded according to plasma PTH at the time of diagnosis as mild (up to 2-times the upper limit of normal), moderate (2-3 times the upper limit of normal) and severe (&gt; 3 times the upper limit of normal).</w:t>
      </w:r>
      <w:r w:rsidR="001A4D30" w:rsidRPr="004501A7">
        <w:rPr>
          <w:rFonts w:ascii="Calibri" w:hAnsi="Calibri" w:cs="Calibri"/>
          <w:sz w:val="24"/>
          <w:szCs w:val="24"/>
        </w:rPr>
        <w:t xml:space="preserve">  </w:t>
      </w:r>
    </w:p>
    <w:p w14:paraId="3B6FEFAF" w14:textId="6CC8B049" w:rsidR="00A62A61" w:rsidRPr="004501A7" w:rsidRDefault="00091591" w:rsidP="002C24B4">
      <w:pPr>
        <w:spacing w:line="276" w:lineRule="auto"/>
        <w:rPr>
          <w:rFonts w:ascii="Calibri" w:hAnsi="Calibri" w:cs="Calibri"/>
          <w:i/>
          <w:iCs/>
          <w:sz w:val="24"/>
          <w:szCs w:val="24"/>
        </w:rPr>
      </w:pPr>
      <w:r>
        <w:rPr>
          <w:rFonts w:ascii="Calibri" w:hAnsi="Calibri" w:cs="Calibri"/>
          <w:i/>
          <w:iCs/>
          <w:sz w:val="24"/>
          <w:szCs w:val="24"/>
        </w:rPr>
        <w:t>Population c</w:t>
      </w:r>
      <w:r w:rsidR="00A62A61" w:rsidRPr="004501A7">
        <w:rPr>
          <w:rFonts w:ascii="Calibri" w:hAnsi="Calibri" w:cs="Calibri"/>
          <w:i/>
          <w:iCs/>
          <w:sz w:val="24"/>
          <w:szCs w:val="24"/>
        </w:rPr>
        <w:t>ontrols</w:t>
      </w:r>
    </w:p>
    <w:p w14:paraId="65D5A4F5" w14:textId="2030A790" w:rsidR="00455774" w:rsidRDefault="00A62A61" w:rsidP="002C24B4">
      <w:pPr>
        <w:spacing w:line="276" w:lineRule="auto"/>
        <w:rPr>
          <w:rFonts w:ascii="Calibri" w:hAnsi="Calibri" w:cs="Calibri"/>
          <w:sz w:val="24"/>
          <w:szCs w:val="24"/>
        </w:rPr>
      </w:pPr>
      <w:r w:rsidRPr="004501A7">
        <w:rPr>
          <w:rFonts w:ascii="Calibri" w:hAnsi="Calibri" w:cs="Calibri"/>
          <w:sz w:val="24"/>
          <w:szCs w:val="24"/>
        </w:rPr>
        <w:t>For e</w:t>
      </w:r>
      <w:r w:rsidR="00D07E74" w:rsidRPr="004501A7">
        <w:rPr>
          <w:rFonts w:ascii="Calibri" w:hAnsi="Calibri" w:cs="Calibri"/>
          <w:sz w:val="24"/>
          <w:szCs w:val="24"/>
        </w:rPr>
        <w:t xml:space="preserve">ach </w:t>
      </w:r>
      <w:r w:rsidR="004501A7" w:rsidRPr="004501A7">
        <w:rPr>
          <w:rFonts w:ascii="Calibri" w:hAnsi="Calibri" w:cs="Calibri"/>
          <w:sz w:val="24"/>
          <w:szCs w:val="24"/>
        </w:rPr>
        <w:t xml:space="preserve">case of </w:t>
      </w:r>
      <w:r w:rsidR="00EC19FA">
        <w:rPr>
          <w:rFonts w:ascii="Calibri" w:hAnsi="Calibri" w:cs="Calibri"/>
          <w:sz w:val="24"/>
          <w:szCs w:val="24"/>
        </w:rPr>
        <w:t>PHPT</w:t>
      </w:r>
      <w:r w:rsidR="006B208E" w:rsidRPr="004501A7">
        <w:rPr>
          <w:rFonts w:ascii="Calibri" w:hAnsi="Calibri" w:cs="Calibri"/>
          <w:sz w:val="24"/>
          <w:szCs w:val="24"/>
        </w:rPr>
        <w:t>,</w:t>
      </w:r>
      <w:r w:rsidR="00D07E74" w:rsidRPr="004501A7">
        <w:rPr>
          <w:rFonts w:ascii="Calibri" w:hAnsi="Calibri" w:cs="Calibri"/>
          <w:sz w:val="24"/>
          <w:szCs w:val="24"/>
        </w:rPr>
        <w:t xml:space="preserve"> </w:t>
      </w:r>
      <w:r w:rsidR="003A326E">
        <w:rPr>
          <w:rFonts w:ascii="Calibri" w:hAnsi="Calibri" w:cs="Calibri"/>
          <w:sz w:val="24"/>
          <w:szCs w:val="24"/>
        </w:rPr>
        <w:t>up to</w:t>
      </w:r>
      <w:r w:rsidR="00EC19FA">
        <w:rPr>
          <w:rFonts w:ascii="Calibri" w:hAnsi="Calibri" w:cs="Calibri"/>
          <w:sz w:val="24"/>
          <w:szCs w:val="24"/>
        </w:rPr>
        <w:t xml:space="preserve"> </w:t>
      </w:r>
      <w:r w:rsidR="00D07E74" w:rsidRPr="004501A7">
        <w:rPr>
          <w:rFonts w:ascii="Calibri" w:hAnsi="Calibri" w:cs="Calibri"/>
          <w:sz w:val="24"/>
          <w:szCs w:val="24"/>
        </w:rPr>
        <w:t xml:space="preserve">ten population controls </w:t>
      </w:r>
      <w:r w:rsidR="006B208E" w:rsidRPr="004501A7">
        <w:rPr>
          <w:rFonts w:ascii="Calibri" w:hAnsi="Calibri" w:cs="Calibri"/>
          <w:sz w:val="24"/>
          <w:szCs w:val="24"/>
        </w:rPr>
        <w:t xml:space="preserve">were assigned </w:t>
      </w:r>
      <w:r w:rsidR="00D07E74" w:rsidRPr="004501A7">
        <w:rPr>
          <w:rFonts w:ascii="Calibri" w:hAnsi="Calibri" w:cs="Calibri"/>
          <w:sz w:val="24"/>
          <w:szCs w:val="24"/>
        </w:rPr>
        <w:t>matched on sex</w:t>
      </w:r>
      <w:r w:rsidR="006B208E" w:rsidRPr="004501A7">
        <w:rPr>
          <w:rFonts w:ascii="Calibri" w:hAnsi="Calibri" w:cs="Calibri"/>
          <w:sz w:val="24"/>
          <w:szCs w:val="24"/>
        </w:rPr>
        <w:t>,</w:t>
      </w:r>
      <w:r w:rsidR="00D07E74" w:rsidRPr="004501A7">
        <w:rPr>
          <w:rFonts w:ascii="Calibri" w:hAnsi="Calibri" w:cs="Calibri"/>
          <w:sz w:val="24"/>
          <w:szCs w:val="24"/>
        </w:rPr>
        <w:t xml:space="preserve"> </w:t>
      </w:r>
      <w:r w:rsidR="006B208E" w:rsidRPr="004501A7">
        <w:rPr>
          <w:rFonts w:ascii="Calibri" w:hAnsi="Calibri" w:cs="Calibri"/>
          <w:sz w:val="24"/>
          <w:szCs w:val="24"/>
        </w:rPr>
        <w:t xml:space="preserve">age (±2 </w:t>
      </w:r>
      <w:r w:rsidR="00087B91" w:rsidRPr="004501A7">
        <w:rPr>
          <w:rFonts w:ascii="Calibri" w:hAnsi="Calibri" w:cs="Calibri"/>
          <w:sz w:val="24"/>
          <w:szCs w:val="24"/>
        </w:rPr>
        <w:t>years</w:t>
      </w:r>
      <w:r w:rsidR="006B208E" w:rsidRPr="004501A7">
        <w:rPr>
          <w:rFonts w:ascii="Calibri" w:hAnsi="Calibri" w:cs="Calibri"/>
          <w:sz w:val="24"/>
          <w:szCs w:val="24"/>
        </w:rPr>
        <w:t>) and</w:t>
      </w:r>
      <w:r w:rsidR="00EC19FA">
        <w:rPr>
          <w:rFonts w:ascii="Calibri" w:hAnsi="Calibri" w:cs="Calibri"/>
          <w:sz w:val="24"/>
          <w:szCs w:val="24"/>
        </w:rPr>
        <w:t xml:space="preserve"> being alive at </w:t>
      </w:r>
      <w:r w:rsidR="006B208E" w:rsidRPr="004501A7">
        <w:rPr>
          <w:rFonts w:ascii="Calibri" w:hAnsi="Calibri" w:cs="Calibri"/>
          <w:sz w:val="24"/>
          <w:szCs w:val="24"/>
        </w:rPr>
        <w:t xml:space="preserve">index date. </w:t>
      </w:r>
      <w:r w:rsidR="00455774">
        <w:rPr>
          <w:rFonts w:ascii="Calibri" w:hAnsi="Calibri" w:cs="Calibri"/>
          <w:sz w:val="24"/>
          <w:szCs w:val="24"/>
        </w:rPr>
        <w:t>The i</w:t>
      </w:r>
      <w:r w:rsidR="006B208E" w:rsidRPr="004501A7">
        <w:rPr>
          <w:rFonts w:ascii="Calibri" w:hAnsi="Calibri" w:cs="Calibri"/>
          <w:sz w:val="24"/>
          <w:szCs w:val="24"/>
        </w:rPr>
        <w:t xml:space="preserve">ndex date </w:t>
      </w:r>
      <w:r w:rsidR="0043683B" w:rsidRPr="004501A7">
        <w:rPr>
          <w:rFonts w:ascii="Calibri" w:hAnsi="Calibri" w:cs="Calibri"/>
          <w:sz w:val="24"/>
          <w:szCs w:val="24"/>
        </w:rPr>
        <w:t>for each control was</w:t>
      </w:r>
      <w:r w:rsidR="006B208E" w:rsidRPr="004501A7">
        <w:rPr>
          <w:rFonts w:ascii="Calibri" w:hAnsi="Calibri" w:cs="Calibri"/>
          <w:sz w:val="24"/>
          <w:szCs w:val="24"/>
        </w:rPr>
        <w:t xml:space="preserve"> the date when </w:t>
      </w:r>
      <w:r w:rsidR="0043683B" w:rsidRPr="004501A7">
        <w:rPr>
          <w:rFonts w:ascii="Calibri" w:hAnsi="Calibri" w:cs="Calibri"/>
          <w:sz w:val="24"/>
          <w:szCs w:val="24"/>
        </w:rPr>
        <w:t>the corresponding patient</w:t>
      </w:r>
      <w:r w:rsidR="006B208E" w:rsidRPr="004501A7">
        <w:rPr>
          <w:rFonts w:ascii="Calibri" w:hAnsi="Calibri" w:cs="Calibri"/>
          <w:sz w:val="24"/>
          <w:szCs w:val="24"/>
        </w:rPr>
        <w:t xml:space="preserve"> first </w:t>
      </w:r>
      <w:r w:rsidR="0043683B" w:rsidRPr="004501A7">
        <w:rPr>
          <w:rFonts w:ascii="Calibri" w:hAnsi="Calibri" w:cs="Calibri"/>
          <w:sz w:val="24"/>
          <w:szCs w:val="24"/>
        </w:rPr>
        <w:t>received</w:t>
      </w:r>
      <w:r w:rsidR="006B208E" w:rsidRPr="004501A7">
        <w:rPr>
          <w:rFonts w:ascii="Calibri" w:hAnsi="Calibri" w:cs="Calibri"/>
          <w:sz w:val="24"/>
          <w:szCs w:val="24"/>
        </w:rPr>
        <w:t xml:space="preserve"> the ICD 10 code for </w:t>
      </w:r>
      <w:r w:rsidR="002A0EEE">
        <w:rPr>
          <w:rFonts w:ascii="Calibri" w:hAnsi="Calibri" w:cs="Calibri"/>
          <w:sz w:val="24"/>
          <w:szCs w:val="24"/>
        </w:rPr>
        <w:t>PHPT</w:t>
      </w:r>
      <w:r w:rsidR="006B208E" w:rsidRPr="004501A7">
        <w:rPr>
          <w:rFonts w:ascii="Calibri" w:hAnsi="Calibri" w:cs="Calibri"/>
          <w:sz w:val="24"/>
          <w:szCs w:val="24"/>
        </w:rPr>
        <w:t xml:space="preserve">. </w:t>
      </w:r>
      <w:r w:rsidR="0043683B" w:rsidRPr="004501A7">
        <w:rPr>
          <w:rFonts w:ascii="Calibri" w:hAnsi="Calibri" w:cs="Calibri"/>
          <w:sz w:val="24"/>
          <w:szCs w:val="24"/>
        </w:rPr>
        <w:t xml:space="preserve">Controls were excluded if they </w:t>
      </w:r>
      <w:r w:rsidR="00455774">
        <w:rPr>
          <w:rFonts w:ascii="Calibri" w:hAnsi="Calibri" w:cs="Calibri"/>
          <w:sz w:val="24"/>
          <w:szCs w:val="24"/>
        </w:rPr>
        <w:t xml:space="preserve">had </w:t>
      </w:r>
      <w:r w:rsidR="0043683B" w:rsidRPr="004501A7">
        <w:rPr>
          <w:rFonts w:ascii="Calibri" w:hAnsi="Calibri" w:cs="Calibri"/>
          <w:sz w:val="24"/>
          <w:szCs w:val="24"/>
        </w:rPr>
        <w:t xml:space="preserve">ever </w:t>
      </w:r>
      <w:r w:rsidR="00455774">
        <w:rPr>
          <w:rFonts w:ascii="Calibri" w:hAnsi="Calibri" w:cs="Calibri"/>
          <w:sz w:val="24"/>
          <w:szCs w:val="24"/>
        </w:rPr>
        <w:t xml:space="preserve">been </w:t>
      </w:r>
      <w:r w:rsidR="0043683B" w:rsidRPr="004501A7">
        <w:rPr>
          <w:rFonts w:ascii="Calibri" w:hAnsi="Calibri" w:cs="Calibri"/>
          <w:sz w:val="24"/>
          <w:szCs w:val="24"/>
        </w:rPr>
        <w:t xml:space="preserve">assigned a diagnosis of </w:t>
      </w:r>
      <w:r w:rsidR="002A0EEE">
        <w:rPr>
          <w:rFonts w:ascii="Calibri" w:hAnsi="Calibri" w:cs="Calibri"/>
          <w:sz w:val="24"/>
          <w:szCs w:val="24"/>
        </w:rPr>
        <w:t>PHPT</w:t>
      </w:r>
      <w:r w:rsidR="0043683B" w:rsidRPr="004501A7">
        <w:rPr>
          <w:rFonts w:ascii="Calibri" w:hAnsi="Calibri" w:cs="Calibri"/>
          <w:sz w:val="24"/>
          <w:szCs w:val="24"/>
        </w:rPr>
        <w:t xml:space="preserve">. </w:t>
      </w:r>
    </w:p>
    <w:p w14:paraId="51A0250B" w14:textId="27503345" w:rsidR="00D07E74" w:rsidRPr="004501A7" w:rsidRDefault="00455774" w:rsidP="00455774">
      <w:pPr>
        <w:spacing w:line="276" w:lineRule="auto"/>
        <w:rPr>
          <w:rFonts w:ascii="Calibri" w:hAnsi="Calibri" w:cs="Calibri"/>
          <w:sz w:val="24"/>
          <w:szCs w:val="24"/>
        </w:rPr>
      </w:pPr>
      <w:r>
        <w:rPr>
          <w:rFonts w:ascii="Calibri" w:hAnsi="Calibri" w:cs="Calibri"/>
          <w:sz w:val="24"/>
          <w:szCs w:val="24"/>
        </w:rPr>
        <w:t xml:space="preserve">All individuals </w:t>
      </w:r>
      <w:r w:rsidR="006B208E" w:rsidRPr="004501A7">
        <w:rPr>
          <w:rFonts w:ascii="Calibri" w:hAnsi="Calibri" w:cs="Calibri"/>
          <w:sz w:val="24"/>
          <w:szCs w:val="24"/>
        </w:rPr>
        <w:t>were followed from index date to their death, emigration</w:t>
      </w:r>
      <w:r w:rsidR="000749BB">
        <w:rPr>
          <w:rFonts w:ascii="Calibri" w:hAnsi="Calibri" w:cs="Calibri"/>
          <w:sz w:val="24"/>
          <w:szCs w:val="24"/>
        </w:rPr>
        <w:t xml:space="preserve">, </w:t>
      </w:r>
      <w:r w:rsidR="000749BB" w:rsidRPr="004501A7">
        <w:rPr>
          <w:rFonts w:ascii="Calibri" w:hAnsi="Calibri" w:cs="Calibri"/>
          <w:sz w:val="24"/>
          <w:szCs w:val="24"/>
        </w:rPr>
        <w:t>parathyroidectomy</w:t>
      </w:r>
      <w:r w:rsidR="000749BB">
        <w:rPr>
          <w:rFonts w:ascii="Calibri" w:hAnsi="Calibri" w:cs="Calibri"/>
          <w:sz w:val="24"/>
          <w:szCs w:val="24"/>
        </w:rPr>
        <w:t>,</w:t>
      </w:r>
      <w:r w:rsidR="006B208E" w:rsidRPr="004501A7">
        <w:rPr>
          <w:rFonts w:ascii="Calibri" w:hAnsi="Calibri" w:cs="Calibri"/>
          <w:sz w:val="24"/>
          <w:szCs w:val="24"/>
        </w:rPr>
        <w:t xml:space="preserve"> or 29</w:t>
      </w:r>
      <w:r w:rsidR="006B208E" w:rsidRPr="00910E48">
        <w:rPr>
          <w:rFonts w:ascii="Calibri" w:hAnsi="Calibri" w:cs="Calibri"/>
          <w:sz w:val="24"/>
          <w:szCs w:val="24"/>
          <w:vertAlign w:val="superscript"/>
        </w:rPr>
        <w:t>th</w:t>
      </w:r>
      <w:r w:rsidR="00B0715B">
        <w:rPr>
          <w:rFonts w:ascii="Calibri" w:hAnsi="Calibri" w:cs="Calibri"/>
          <w:sz w:val="24"/>
          <w:szCs w:val="24"/>
        </w:rPr>
        <w:t xml:space="preserve"> </w:t>
      </w:r>
      <w:r w:rsidR="006B208E" w:rsidRPr="004501A7">
        <w:rPr>
          <w:rFonts w:ascii="Calibri" w:hAnsi="Calibri" w:cs="Calibri"/>
          <w:sz w:val="24"/>
          <w:szCs w:val="24"/>
        </w:rPr>
        <w:t xml:space="preserve">November 2017. </w:t>
      </w:r>
    </w:p>
    <w:p w14:paraId="7D8642A8" w14:textId="54E0424C" w:rsidR="00A62A61" w:rsidRPr="004501A7" w:rsidRDefault="00A62A61" w:rsidP="002C24B4">
      <w:pPr>
        <w:spacing w:line="276" w:lineRule="auto"/>
        <w:rPr>
          <w:rFonts w:ascii="Calibri" w:hAnsi="Calibri" w:cs="Calibri"/>
          <w:i/>
          <w:iCs/>
          <w:sz w:val="24"/>
          <w:szCs w:val="24"/>
        </w:rPr>
      </w:pPr>
      <w:r w:rsidRPr="004501A7">
        <w:rPr>
          <w:rFonts w:ascii="Calibri" w:hAnsi="Calibri" w:cs="Calibri"/>
          <w:i/>
          <w:iCs/>
          <w:sz w:val="24"/>
          <w:szCs w:val="24"/>
        </w:rPr>
        <w:t>Bone mineral density</w:t>
      </w:r>
    </w:p>
    <w:p w14:paraId="61750B78" w14:textId="5E1F1FCE" w:rsidR="00A13B1E" w:rsidRDefault="00F374EB" w:rsidP="002C24B4">
      <w:pPr>
        <w:spacing w:line="276" w:lineRule="auto"/>
        <w:rPr>
          <w:rFonts w:ascii="Calibri" w:hAnsi="Calibri" w:cs="Calibri"/>
          <w:sz w:val="24"/>
          <w:szCs w:val="24"/>
        </w:rPr>
      </w:pPr>
      <w:r w:rsidRPr="00F374EB">
        <w:rPr>
          <w:rFonts w:ascii="Calibri" w:hAnsi="Calibri" w:cs="Calibri"/>
          <w:sz w:val="24"/>
          <w:szCs w:val="24"/>
        </w:rPr>
        <w:t>Dual-energy x-ray absorptiometry (DXA) scans</w:t>
      </w:r>
      <w:r w:rsidR="00C95049" w:rsidRPr="00E633A6">
        <w:rPr>
          <w:rFonts w:ascii="Calibri" w:hAnsi="Calibri" w:cs="Calibri"/>
          <w:sz w:val="24"/>
          <w:szCs w:val="24"/>
        </w:rPr>
        <w:t xml:space="preserve"> of </w:t>
      </w:r>
      <w:r w:rsidR="00A946CA">
        <w:rPr>
          <w:rFonts w:ascii="Calibri" w:hAnsi="Calibri" w:cs="Calibri"/>
          <w:sz w:val="24"/>
          <w:szCs w:val="24"/>
        </w:rPr>
        <w:t>the femoral nec</w:t>
      </w:r>
      <w:r w:rsidR="00B91CFA">
        <w:rPr>
          <w:rFonts w:ascii="Calibri" w:hAnsi="Calibri" w:cs="Calibri"/>
          <w:sz w:val="24"/>
          <w:szCs w:val="24"/>
        </w:rPr>
        <w:t xml:space="preserve">k in </w:t>
      </w:r>
      <w:r w:rsidR="00C95049" w:rsidRPr="00E633A6">
        <w:rPr>
          <w:rFonts w:ascii="Calibri" w:hAnsi="Calibri" w:cs="Calibri"/>
          <w:sz w:val="24"/>
          <w:szCs w:val="24"/>
        </w:rPr>
        <w:t>patients</w:t>
      </w:r>
      <w:r w:rsidR="00C95049" w:rsidRPr="00C95049">
        <w:rPr>
          <w:rFonts w:ascii="Calibri" w:hAnsi="Calibri" w:cs="Calibri"/>
          <w:sz w:val="24"/>
          <w:szCs w:val="24"/>
        </w:rPr>
        <w:t xml:space="preserve"> with PHPT </w:t>
      </w:r>
      <w:r w:rsidR="00C95049">
        <w:rPr>
          <w:rFonts w:ascii="Calibri" w:hAnsi="Calibri" w:cs="Calibri"/>
          <w:sz w:val="24"/>
          <w:szCs w:val="24"/>
        </w:rPr>
        <w:t>w</w:t>
      </w:r>
      <w:r w:rsidR="00FD7246">
        <w:rPr>
          <w:rFonts w:ascii="Calibri" w:hAnsi="Calibri" w:cs="Calibri"/>
          <w:sz w:val="24"/>
          <w:szCs w:val="24"/>
        </w:rPr>
        <w:t>ere</w:t>
      </w:r>
      <w:r w:rsidR="00C95049">
        <w:rPr>
          <w:rFonts w:ascii="Calibri" w:hAnsi="Calibri" w:cs="Calibri"/>
          <w:sz w:val="24"/>
          <w:szCs w:val="24"/>
        </w:rPr>
        <w:t xml:space="preserve"> </w:t>
      </w:r>
      <w:r w:rsidR="00B91CFA">
        <w:rPr>
          <w:rFonts w:ascii="Calibri" w:hAnsi="Calibri" w:cs="Calibri"/>
          <w:sz w:val="24"/>
          <w:szCs w:val="24"/>
        </w:rPr>
        <w:t>extracted</w:t>
      </w:r>
      <w:r w:rsidR="00C95049">
        <w:rPr>
          <w:rFonts w:ascii="Calibri" w:hAnsi="Calibri" w:cs="Calibri"/>
          <w:sz w:val="24"/>
          <w:szCs w:val="24"/>
        </w:rPr>
        <w:t xml:space="preserve"> from c</w:t>
      </w:r>
      <w:r w:rsidR="00C95049" w:rsidRPr="00C95049">
        <w:rPr>
          <w:rFonts w:ascii="Calibri" w:hAnsi="Calibri" w:cs="Calibri"/>
          <w:sz w:val="24"/>
          <w:szCs w:val="24"/>
        </w:rPr>
        <w:t xml:space="preserve">linical databases available at medical departments or departments of clinical physiology/nuclear medicine at hospitals treating </w:t>
      </w:r>
      <w:r w:rsidR="00C95049">
        <w:rPr>
          <w:rFonts w:ascii="Calibri" w:hAnsi="Calibri" w:cs="Calibri"/>
          <w:sz w:val="24"/>
          <w:szCs w:val="24"/>
        </w:rPr>
        <w:t>PHPT</w:t>
      </w:r>
      <w:r w:rsidR="00C95049" w:rsidRPr="00C95049">
        <w:rPr>
          <w:rFonts w:ascii="Calibri" w:hAnsi="Calibri" w:cs="Calibri"/>
          <w:sz w:val="24"/>
          <w:szCs w:val="24"/>
        </w:rPr>
        <w:t xml:space="preserve"> patients. </w:t>
      </w:r>
      <w:r w:rsidR="00220E32">
        <w:rPr>
          <w:rFonts w:ascii="Calibri" w:hAnsi="Calibri" w:cs="Calibri"/>
          <w:sz w:val="24"/>
          <w:szCs w:val="24"/>
        </w:rPr>
        <w:t xml:space="preserve"> </w:t>
      </w:r>
      <w:r w:rsidR="00C95049">
        <w:rPr>
          <w:rFonts w:ascii="Calibri" w:hAnsi="Calibri" w:cs="Calibri"/>
          <w:sz w:val="24"/>
          <w:szCs w:val="24"/>
        </w:rPr>
        <w:t xml:space="preserve">If </w:t>
      </w:r>
      <w:r w:rsidR="00CE6F2C">
        <w:rPr>
          <w:rFonts w:ascii="Calibri" w:hAnsi="Calibri" w:cs="Calibri"/>
          <w:sz w:val="24"/>
          <w:szCs w:val="24"/>
        </w:rPr>
        <w:t xml:space="preserve">a patient had </w:t>
      </w:r>
      <w:r w:rsidR="00C95049">
        <w:rPr>
          <w:rFonts w:ascii="Calibri" w:hAnsi="Calibri" w:cs="Calibri"/>
          <w:sz w:val="24"/>
          <w:szCs w:val="24"/>
        </w:rPr>
        <w:t>several scans</w:t>
      </w:r>
      <w:r w:rsidR="00CE6F2C">
        <w:rPr>
          <w:rFonts w:ascii="Calibri" w:hAnsi="Calibri" w:cs="Calibri"/>
          <w:sz w:val="24"/>
          <w:szCs w:val="24"/>
        </w:rPr>
        <w:t xml:space="preserve">, we selected </w:t>
      </w:r>
      <w:r w:rsidR="00C95049">
        <w:rPr>
          <w:rFonts w:ascii="Calibri" w:hAnsi="Calibri" w:cs="Calibri"/>
          <w:sz w:val="24"/>
          <w:szCs w:val="24"/>
        </w:rPr>
        <w:t xml:space="preserve">the </w:t>
      </w:r>
      <w:r w:rsidR="00CE6F2C">
        <w:rPr>
          <w:rFonts w:ascii="Calibri" w:hAnsi="Calibri" w:cs="Calibri"/>
          <w:sz w:val="24"/>
          <w:szCs w:val="24"/>
        </w:rPr>
        <w:t>scan</w:t>
      </w:r>
      <w:r w:rsidR="00C95049">
        <w:rPr>
          <w:rFonts w:ascii="Calibri" w:hAnsi="Calibri" w:cs="Calibri"/>
          <w:sz w:val="24"/>
          <w:szCs w:val="24"/>
        </w:rPr>
        <w:t xml:space="preserve"> performed </w:t>
      </w:r>
      <w:r w:rsidR="00CE6F2C">
        <w:rPr>
          <w:rFonts w:ascii="Calibri" w:hAnsi="Calibri" w:cs="Calibri"/>
          <w:sz w:val="24"/>
          <w:szCs w:val="24"/>
        </w:rPr>
        <w:t xml:space="preserve">closest to the index date. </w:t>
      </w:r>
      <w:r w:rsidR="00CE6F2C" w:rsidRPr="004501A7">
        <w:rPr>
          <w:rFonts w:ascii="Calibri" w:hAnsi="Calibri" w:cs="Calibri"/>
          <w:sz w:val="24"/>
          <w:szCs w:val="24"/>
        </w:rPr>
        <w:t xml:space="preserve">In the case of patients undergoing parathyroidectomy, </w:t>
      </w:r>
      <w:r w:rsidR="004F38D7">
        <w:rPr>
          <w:rFonts w:ascii="Calibri" w:hAnsi="Calibri" w:cs="Calibri"/>
          <w:sz w:val="24"/>
          <w:szCs w:val="24"/>
        </w:rPr>
        <w:t xml:space="preserve">we only included </w:t>
      </w:r>
      <w:r w:rsidR="00CE6F2C" w:rsidRPr="004501A7">
        <w:rPr>
          <w:rFonts w:ascii="Calibri" w:hAnsi="Calibri" w:cs="Calibri"/>
          <w:sz w:val="24"/>
          <w:szCs w:val="24"/>
        </w:rPr>
        <w:t xml:space="preserve">BMD measurements </w:t>
      </w:r>
      <w:r w:rsidR="004F38D7">
        <w:rPr>
          <w:rFonts w:ascii="Calibri" w:hAnsi="Calibri" w:cs="Calibri"/>
          <w:sz w:val="24"/>
          <w:szCs w:val="24"/>
        </w:rPr>
        <w:t xml:space="preserve">performed </w:t>
      </w:r>
      <w:r w:rsidR="00FD7246">
        <w:rPr>
          <w:rFonts w:ascii="Calibri" w:hAnsi="Calibri" w:cs="Calibri"/>
          <w:sz w:val="24"/>
          <w:szCs w:val="24"/>
        </w:rPr>
        <w:t>prior to</w:t>
      </w:r>
      <w:r w:rsidR="00CE6F2C" w:rsidRPr="004501A7">
        <w:rPr>
          <w:rFonts w:ascii="Calibri" w:hAnsi="Calibri" w:cs="Calibri"/>
          <w:sz w:val="24"/>
          <w:szCs w:val="24"/>
        </w:rPr>
        <w:t xml:space="preserve"> surgery.</w:t>
      </w:r>
      <w:r w:rsidR="004F38D7">
        <w:rPr>
          <w:rFonts w:ascii="Calibri" w:hAnsi="Calibri" w:cs="Calibri"/>
          <w:sz w:val="24"/>
          <w:szCs w:val="24"/>
        </w:rPr>
        <w:t xml:space="preserve"> </w:t>
      </w:r>
      <w:r w:rsidR="00246C21">
        <w:rPr>
          <w:rFonts w:ascii="Calibri" w:hAnsi="Calibri" w:cs="Calibri"/>
          <w:sz w:val="24"/>
          <w:szCs w:val="24"/>
        </w:rPr>
        <w:t xml:space="preserve">Using the same clinical DXA databases, we also identified </w:t>
      </w:r>
      <w:r w:rsidR="00105F99">
        <w:rPr>
          <w:rFonts w:ascii="Calibri" w:hAnsi="Calibri" w:cs="Calibri"/>
          <w:sz w:val="24"/>
          <w:szCs w:val="24"/>
        </w:rPr>
        <w:t xml:space="preserve">DXA scans from </w:t>
      </w:r>
      <w:r w:rsidR="00246C21">
        <w:rPr>
          <w:rFonts w:ascii="Calibri" w:hAnsi="Calibri" w:cs="Calibri"/>
          <w:sz w:val="24"/>
          <w:szCs w:val="24"/>
        </w:rPr>
        <w:t xml:space="preserve">approximately three controls per PHPT patient matched on </w:t>
      </w:r>
      <w:r w:rsidR="00D657FF">
        <w:rPr>
          <w:rFonts w:ascii="Calibri" w:hAnsi="Calibri" w:cs="Calibri"/>
          <w:sz w:val="24"/>
          <w:szCs w:val="24"/>
        </w:rPr>
        <w:t>gender</w:t>
      </w:r>
      <w:r w:rsidR="004E03E4">
        <w:rPr>
          <w:rFonts w:ascii="Calibri" w:hAnsi="Calibri" w:cs="Calibri"/>
          <w:sz w:val="24"/>
          <w:szCs w:val="24"/>
        </w:rPr>
        <w:t xml:space="preserve"> and</w:t>
      </w:r>
      <w:r w:rsidR="00D657FF">
        <w:rPr>
          <w:rFonts w:ascii="Calibri" w:hAnsi="Calibri" w:cs="Calibri"/>
          <w:sz w:val="24"/>
          <w:szCs w:val="24"/>
        </w:rPr>
        <w:t xml:space="preserve"> age (</w:t>
      </w:r>
      <w:r w:rsidR="004E03E4">
        <w:rPr>
          <w:rFonts w:ascii="Calibri" w:hAnsi="Calibri" w:cs="Calibri"/>
          <w:sz w:val="24"/>
          <w:szCs w:val="24"/>
        </w:rPr>
        <w:t xml:space="preserve">± 2 years). </w:t>
      </w:r>
      <w:r w:rsidR="008F249F">
        <w:rPr>
          <w:rFonts w:ascii="Calibri" w:hAnsi="Calibri" w:cs="Calibri"/>
          <w:sz w:val="24"/>
          <w:szCs w:val="24"/>
        </w:rPr>
        <w:t xml:space="preserve">We only included scans performed using </w:t>
      </w:r>
      <w:r w:rsidR="008F249F" w:rsidRPr="004501A7">
        <w:rPr>
          <w:rFonts w:ascii="Calibri" w:hAnsi="Calibri" w:cs="Calibri"/>
          <w:sz w:val="24"/>
          <w:szCs w:val="24"/>
        </w:rPr>
        <w:t>Hologic machines</w:t>
      </w:r>
      <w:r w:rsidR="008F249F">
        <w:rPr>
          <w:rFonts w:ascii="Calibri" w:hAnsi="Calibri" w:cs="Calibri"/>
          <w:sz w:val="24"/>
          <w:szCs w:val="24"/>
        </w:rPr>
        <w:t xml:space="preserve">. </w:t>
      </w:r>
      <w:r w:rsidR="00BD7847" w:rsidRPr="004501A7">
        <w:rPr>
          <w:rFonts w:ascii="Calibri" w:hAnsi="Calibri" w:cs="Calibri"/>
          <w:sz w:val="24"/>
          <w:szCs w:val="24"/>
        </w:rPr>
        <w:t>It should be noted that the BMD controls were not population based but drawn from referral populations for skeletal assessment.</w:t>
      </w:r>
      <w:r w:rsidR="00A62A61" w:rsidRPr="004501A7">
        <w:rPr>
          <w:rFonts w:ascii="Calibri" w:hAnsi="Calibri" w:cs="Calibri"/>
          <w:sz w:val="24"/>
          <w:szCs w:val="24"/>
        </w:rPr>
        <w:t xml:space="preserve"> </w:t>
      </w:r>
    </w:p>
    <w:p w14:paraId="55687221" w14:textId="77777777" w:rsidR="00D30F0D" w:rsidRPr="004501A7" w:rsidRDefault="00D30F0D" w:rsidP="002C24B4">
      <w:pPr>
        <w:spacing w:line="276" w:lineRule="auto"/>
        <w:rPr>
          <w:rFonts w:ascii="Calibri" w:hAnsi="Calibri" w:cs="Calibri"/>
          <w:sz w:val="24"/>
          <w:szCs w:val="24"/>
        </w:rPr>
      </w:pPr>
    </w:p>
    <w:p w14:paraId="48D5E4A2" w14:textId="2C943BAB" w:rsidR="004D7F9C" w:rsidRPr="004501A7" w:rsidRDefault="004D7F9C" w:rsidP="002C24B4">
      <w:pPr>
        <w:spacing w:line="276" w:lineRule="auto"/>
        <w:rPr>
          <w:rFonts w:ascii="Calibri" w:hAnsi="Calibri" w:cs="Calibri"/>
          <w:i/>
          <w:iCs/>
          <w:sz w:val="24"/>
          <w:szCs w:val="24"/>
        </w:rPr>
      </w:pPr>
      <w:r w:rsidRPr="004501A7">
        <w:rPr>
          <w:rFonts w:ascii="Calibri" w:hAnsi="Calibri" w:cs="Calibri"/>
          <w:i/>
          <w:iCs/>
          <w:sz w:val="24"/>
          <w:szCs w:val="24"/>
        </w:rPr>
        <w:lastRenderedPageBreak/>
        <w:t>Baseline measurements</w:t>
      </w:r>
    </w:p>
    <w:p w14:paraId="4DC1D04F" w14:textId="12E10CE1" w:rsidR="004D7F9C" w:rsidRPr="004501A7" w:rsidRDefault="004D7F9C" w:rsidP="002C24B4">
      <w:pPr>
        <w:spacing w:line="276" w:lineRule="auto"/>
        <w:rPr>
          <w:rFonts w:ascii="Calibri" w:hAnsi="Calibri" w:cs="Calibri"/>
          <w:sz w:val="24"/>
          <w:szCs w:val="24"/>
        </w:rPr>
      </w:pPr>
      <w:r w:rsidRPr="004501A7">
        <w:rPr>
          <w:rFonts w:ascii="Calibri" w:hAnsi="Calibri" w:cs="Calibri"/>
          <w:sz w:val="24"/>
          <w:szCs w:val="24"/>
        </w:rPr>
        <w:t xml:space="preserve">Registers of cases and </w:t>
      </w:r>
      <w:r w:rsidR="00243BA3">
        <w:rPr>
          <w:rFonts w:ascii="Calibri" w:hAnsi="Calibri" w:cs="Calibri"/>
          <w:sz w:val="24"/>
          <w:szCs w:val="24"/>
        </w:rPr>
        <w:t xml:space="preserve">population </w:t>
      </w:r>
      <w:r w:rsidRPr="004501A7">
        <w:rPr>
          <w:rFonts w:ascii="Calibri" w:hAnsi="Calibri" w:cs="Calibri"/>
          <w:sz w:val="24"/>
          <w:szCs w:val="24"/>
        </w:rPr>
        <w:t>controls were examine</w:t>
      </w:r>
      <w:r w:rsidR="0010323D" w:rsidRPr="004501A7">
        <w:rPr>
          <w:rFonts w:ascii="Calibri" w:hAnsi="Calibri" w:cs="Calibri"/>
          <w:sz w:val="24"/>
          <w:szCs w:val="24"/>
        </w:rPr>
        <w:t>d</w:t>
      </w:r>
      <w:r w:rsidRPr="004501A7">
        <w:rPr>
          <w:rFonts w:ascii="Calibri" w:hAnsi="Calibri" w:cs="Calibri"/>
          <w:sz w:val="24"/>
          <w:szCs w:val="24"/>
        </w:rPr>
        <w:t xml:space="preserve"> for 5 years prior to the index date to determine a history of prior fracture, a diagnosis of osteoporosis or renal urolithiasis</w:t>
      </w:r>
      <w:r w:rsidR="0010323D" w:rsidRPr="004501A7">
        <w:rPr>
          <w:rFonts w:ascii="Calibri" w:hAnsi="Calibri" w:cs="Calibri"/>
          <w:sz w:val="24"/>
          <w:szCs w:val="24"/>
        </w:rPr>
        <w:t xml:space="preserve"> from ICD codes</w:t>
      </w:r>
      <w:r w:rsidRPr="004501A7">
        <w:rPr>
          <w:rFonts w:ascii="Calibri" w:hAnsi="Calibri" w:cs="Calibri"/>
          <w:sz w:val="24"/>
          <w:szCs w:val="24"/>
        </w:rPr>
        <w:t xml:space="preserve">. </w:t>
      </w:r>
    </w:p>
    <w:p w14:paraId="7003AC7F" w14:textId="5325A0C7" w:rsidR="00A62A61" w:rsidRPr="004501A7" w:rsidRDefault="00A62A61" w:rsidP="002C24B4">
      <w:pPr>
        <w:spacing w:line="276" w:lineRule="auto"/>
        <w:rPr>
          <w:rFonts w:ascii="Calibri" w:hAnsi="Calibri" w:cs="Calibri"/>
          <w:i/>
          <w:iCs/>
          <w:sz w:val="24"/>
          <w:szCs w:val="24"/>
        </w:rPr>
      </w:pPr>
      <w:r w:rsidRPr="004501A7">
        <w:rPr>
          <w:rFonts w:ascii="Calibri" w:hAnsi="Calibri" w:cs="Calibri"/>
          <w:i/>
          <w:iCs/>
          <w:sz w:val="24"/>
          <w:szCs w:val="24"/>
        </w:rPr>
        <w:t>Outcome measurements</w:t>
      </w:r>
    </w:p>
    <w:p w14:paraId="6245EA76" w14:textId="5EB7BDC6" w:rsidR="00A13B1E" w:rsidRPr="004501A7" w:rsidRDefault="00A13B1E" w:rsidP="002C24B4">
      <w:pPr>
        <w:spacing w:line="276" w:lineRule="auto"/>
        <w:rPr>
          <w:rFonts w:ascii="Calibri" w:hAnsi="Calibri" w:cs="Calibri"/>
          <w:sz w:val="24"/>
          <w:szCs w:val="24"/>
        </w:rPr>
      </w:pPr>
      <w:r w:rsidRPr="004501A7">
        <w:rPr>
          <w:rFonts w:ascii="Calibri" w:hAnsi="Calibri" w:cs="Calibri"/>
          <w:sz w:val="24"/>
          <w:szCs w:val="24"/>
        </w:rPr>
        <w:t xml:space="preserve">Hip fractures were identified </w:t>
      </w:r>
      <w:r w:rsidR="00FE067F" w:rsidRPr="004501A7">
        <w:rPr>
          <w:rFonts w:ascii="Calibri" w:hAnsi="Calibri" w:cs="Calibri"/>
          <w:sz w:val="24"/>
          <w:szCs w:val="24"/>
        </w:rPr>
        <w:t>bas</w:t>
      </w:r>
      <w:r w:rsidR="00FE067F">
        <w:rPr>
          <w:rFonts w:ascii="Calibri" w:hAnsi="Calibri" w:cs="Calibri"/>
          <w:sz w:val="24"/>
          <w:szCs w:val="24"/>
        </w:rPr>
        <w:t>ed on</w:t>
      </w:r>
      <w:r w:rsidR="00FE067F" w:rsidRPr="004501A7">
        <w:rPr>
          <w:rFonts w:ascii="Calibri" w:hAnsi="Calibri" w:cs="Calibri"/>
          <w:sz w:val="24"/>
          <w:szCs w:val="24"/>
        </w:rPr>
        <w:t xml:space="preserve"> </w:t>
      </w:r>
      <w:r w:rsidRPr="004501A7">
        <w:rPr>
          <w:rFonts w:ascii="Calibri" w:hAnsi="Calibri" w:cs="Calibri"/>
          <w:sz w:val="24"/>
          <w:szCs w:val="24"/>
        </w:rPr>
        <w:t>relevant ICD code</w:t>
      </w:r>
      <w:r w:rsidR="0072319D">
        <w:rPr>
          <w:rFonts w:ascii="Calibri" w:hAnsi="Calibri" w:cs="Calibri"/>
          <w:sz w:val="24"/>
          <w:szCs w:val="24"/>
        </w:rPr>
        <w:t>s</w:t>
      </w:r>
      <w:r w:rsidRPr="004501A7">
        <w:rPr>
          <w:rFonts w:ascii="Calibri" w:hAnsi="Calibri" w:cs="Calibri"/>
          <w:sz w:val="24"/>
          <w:szCs w:val="24"/>
        </w:rPr>
        <w:t xml:space="preserve"> (ICD8: 8200 or ICD 10: S720, S721, or S722) combined with </w:t>
      </w:r>
      <w:r w:rsidR="0072319D">
        <w:rPr>
          <w:rFonts w:ascii="Calibri" w:hAnsi="Calibri" w:cs="Calibri"/>
          <w:sz w:val="24"/>
          <w:szCs w:val="24"/>
        </w:rPr>
        <w:t xml:space="preserve">a </w:t>
      </w:r>
      <w:r w:rsidR="003355D7">
        <w:rPr>
          <w:rFonts w:ascii="Calibri" w:hAnsi="Calibri" w:cs="Calibri"/>
          <w:sz w:val="24"/>
          <w:szCs w:val="24"/>
        </w:rPr>
        <w:t xml:space="preserve">relevant </w:t>
      </w:r>
      <w:r w:rsidR="003355D7" w:rsidRPr="004501A7">
        <w:rPr>
          <w:rFonts w:ascii="Calibri" w:hAnsi="Calibri" w:cs="Calibri"/>
          <w:sz w:val="24"/>
          <w:szCs w:val="24"/>
        </w:rPr>
        <w:t>code</w:t>
      </w:r>
      <w:r w:rsidR="00C21DFC">
        <w:rPr>
          <w:rFonts w:ascii="Calibri" w:hAnsi="Calibri" w:cs="Calibri"/>
          <w:sz w:val="24"/>
          <w:szCs w:val="24"/>
        </w:rPr>
        <w:t xml:space="preserve"> for a </w:t>
      </w:r>
      <w:r w:rsidRPr="004501A7">
        <w:rPr>
          <w:rFonts w:ascii="Calibri" w:hAnsi="Calibri" w:cs="Calibri"/>
          <w:sz w:val="24"/>
          <w:szCs w:val="24"/>
        </w:rPr>
        <w:t xml:space="preserve">procedure </w:t>
      </w:r>
      <w:r w:rsidR="00C21DFC">
        <w:rPr>
          <w:rFonts w:ascii="Calibri" w:hAnsi="Calibri" w:cs="Calibri"/>
          <w:sz w:val="24"/>
          <w:szCs w:val="24"/>
        </w:rPr>
        <w:t>(SKS code) related to hip fracture (</w:t>
      </w:r>
      <w:r w:rsidRPr="004501A7">
        <w:rPr>
          <w:rFonts w:ascii="Calibri" w:hAnsi="Calibri" w:cs="Calibri"/>
          <w:sz w:val="24"/>
          <w:szCs w:val="24"/>
        </w:rPr>
        <w:t>KNFB—or KNFJ4x to 9x</w:t>
      </w:r>
      <w:r w:rsidR="00C21DFC">
        <w:rPr>
          <w:rFonts w:ascii="Calibri" w:hAnsi="Calibri" w:cs="Calibri"/>
          <w:sz w:val="24"/>
          <w:szCs w:val="24"/>
        </w:rPr>
        <w:t>).</w:t>
      </w:r>
      <w:r w:rsidRPr="004501A7">
        <w:rPr>
          <w:rFonts w:ascii="Calibri" w:hAnsi="Calibri" w:cs="Calibri"/>
          <w:sz w:val="24"/>
          <w:szCs w:val="24"/>
        </w:rPr>
        <w:t xml:space="preserve"> </w:t>
      </w:r>
    </w:p>
    <w:p w14:paraId="0BB26BE7" w14:textId="53AD21F9" w:rsidR="00C54A2C" w:rsidRDefault="00BB62E9" w:rsidP="002C24B4">
      <w:pPr>
        <w:spacing w:line="276" w:lineRule="auto"/>
        <w:rPr>
          <w:rFonts w:ascii="Calibri" w:hAnsi="Calibri" w:cs="Calibri"/>
          <w:sz w:val="24"/>
          <w:szCs w:val="24"/>
        </w:rPr>
      </w:pPr>
      <w:r w:rsidRPr="004501A7">
        <w:rPr>
          <w:rFonts w:ascii="Calibri" w:hAnsi="Calibri" w:cs="Calibri"/>
          <w:sz w:val="24"/>
          <w:szCs w:val="24"/>
        </w:rPr>
        <w:t>Incident MOF was defined as a fracture of the hip, vertebrae, proximal humerus or distal radius.</w:t>
      </w:r>
      <w:r w:rsidR="00C36A35" w:rsidRPr="004501A7">
        <w:rPr>
          <w:rFonts w:ascii="Calibri" w:hAnsi="Calibri" w:cs="Calibri"/>
          <w:sz w:val="24"/>
          <w:szCs w:val="24"/>
        </w:rPr>
        <w:t xml:space="preserve"> </w:t>
      </w:r>
      <w:r w:rsidR="00D578C6" w:rsidRPr="004501A7">
        <w:rPr>
          <w:rFonts w:ascii="Calibri" w:hAnsi="Calibri" w:cs="Calibri"/>
          <w:sz w:val="24"/>
          <w:szCs w:val="24"/>
        </w:rPr>
        <w:t xml:space="preserve">In addition to hip </w:t>
      </w:r>
      <w:r w:rsidR="00AF7EF4" w:rsidRPr="004501A7">
        <w:rPr>
          <w:rFonts w:ascii="Calibri" w:hAnsi="Calibri" w:cs="Calibri"/>
          <w:sz w:val="24"/>
          <w:szCs w:val="24"/>
        </w:rPr>
        <w:t xml:space="preserve">fracture, additional </w:t>
      </w:r>
      <w:r w:rsidR="00A20C18" w:rsidRPr="004501A7">
        <w:rPr>
          <w:rFonts w:ascii="Calibri" w:hAnsi="Calibri" w:cs="Calibri"/>
          <w:sz w:val="24"/>
          <w:szCs w:val="24"/>
        </w:rPr>
        <w:t>M</w:t>
      </w:r>
      <w:r w:rsidR="00C36A35" w:rsidRPr="004501A7">
        <w:rPr>
          <w:rFonts w:ascii="Calibri" w:hAnsi="Calibri" w:cs="Calibri"/>
          <w:sz w:val="24"/>
          <w:szCs w:val="24"/>
        </w:rPr>
        <w:t xml:space="preserve">OF </w:t>
      </w:r>
      <w:r w:rsidR="00D110FE" w:rsidRPr="004501A7">
        <w:rPr>
          <w:rFonts w:ascii="Calibri" w:hAnsi="Calibri" w:cs="Calibri"/>
          <w:sz w:val="24"/>
          <w:szCs w:val="24"/>
        </w:rPr>
        <w:t>included</w:t>
      </w:r>
      <w:r w:rsidR="00C36A35" w:rsidRPr="004501A7">
        <w:rPr>
          <w:rFonts w:ascii="Calibri" w:hAnsi="Calibri" w:cs="Calibri"/>
          <w:sz w:val="24"/>
          <w:szCs w:val="24"/>
        </w:rPr>
        <w:t xml:space="preserve"> ICD 8: </w:t>
      </w:r>
      <w:r w:rsidR="00A20C18" w:rsidRPr="004501A7">
        <w:rPr>
          <w:rFonts w:ascii="Calibri" w:hAnsi="Calibri" w:cs="Calibri"/>
          <w:sz w:val="24"/>
          <w:szCs w:val="24"/>
        </w:rPr>
        <w:t xml:space="preserve">8050-8055, 8058-8059, 8060-8065, 8068-8069, 8120-8123, 8134-8135 and </w:t>
      </w:r>
      <w:r w:rsidR="00C36A35" w:rsidRPr="004501A7">
        <w:rPr>
          <w:rFonts w:ascii="Calibri" w:hAnsi="Calibri" w:cs="Calibri"/>
          <w:sz w:val="24"/>
          <w:szCs w:val="24"/>
        </w:rPr>
        <w:t>ICD 10: S12</w:t>
      </w:r>
      <w:r w:rsidR="00A20C18" w:rsidRPr="004501A7">
        <w:rPr>
          <w:rFonts w:ascii="Calibri" w:hAnsi="Calibri" w:cs="Calibri"/>
          <w:sz w:val="24"/>
          <w:szCs w:val="24"/>
        </w:rPr>
        <w:t xml:space="preserve">0-S122, S220-S221, S320, S422-S423, S525-526, T08. </w:t>
      </w:r>
      <w:r w:rsidR="005E2CF5" w:rsidRPr="005E2CF5">
        <w:rPr>
          <w:rFonts w:ascii="Calibri" w:hAnsi="Calibri" w:cs="Calibri"/>
          <w:sz w:val="24"/>
          <w:szCs w:val="24"/>
        </w:rPr>
        <w:t>The method would miss subclinical morphometric fractures.</w:t>
      </w:r>
    </w:p>
    <w:p w14:paraId="188EF174" w14:textId="392A91A6" w:rsidR="00A62A61" w:rsidRPr="004501A7" w:rsidRDefault="00C36A35" w:rsidP="002C24B4">
      <w:pPr>
        <w:spacing w:line="276" w:lineRule="auto"/>
        <w:rPr>
          <w:rFonts w:ascii="Calibri" w:hAnsi="Calibri" w:cs="Calibri"/>
          <w:sz w:val="24"/>
          <w:szCs w:val="24"/>
        </w:rPr>
      </w:pPr>
      <w:r w:rsidRPr="004501A7">
        <w:rPr>
          <w:rFonts w:ascii="Calibri" w:hAnsi="Calibri" w:cs="Calibri"/>
          <w:sz w:val="24"/>
          <w:szCs w:val="24"/>
        </w:rPr>
        <w:t xml:space="preserve"> </w:t>
      </w:r>
      <w:r w:rsidR="00C54A2C" w:rsidRPr="00C54A2C">
        <w:rPr>
          <w:rFonts w:ascii="Calibri" w:hAnsi="Calibri" w:cs="Calibri"/>
          <w:sz w:val="24"/>
          <w:szCs w:val="24"/>
        </w:rPr>
        <w:t xml:space="preserve">Kidney stones were identified by ICD codes (9DN20, 5920, 5929, 5939 or 5921) in the 5 years before the index date. </w:t>
      </w:r>
      <w:r w:rsidRPr="004501A7">
        <w:rPr>
          <w:rFonts w:ascii="Calibri" w:hAnsi="Calibri" w:cs="Calibri"/>
          <w:sz w:val="24"/>
          <w:szCs w:val="24"/>
        </w:rPr>
        <w:t xml:space="preserve">  </w:t>
      </w:r>
      <w:r w:rsidR="00C40981">
        <w:rPr>
          <w:rFonts w:ascii="Calibri" w:hAnsi="Calibri" w:cs="Calibri"/>
          <w:sz w:val="24"/>
          <w:szCs w:val="24"/>
        </w:rPr>
        <w:t>Osteoporosis</w:t>
      </w:r>
      <w:r w:rsidR="009C4305" w:rsidRPr="009C4305">
        <w:rPr>
          <w:rFonts w:ascii="Calibri" w:hAnsi="Calibri" w:cs="Calibri"/>
          <w:sz w:val="24"/>
          <w:szCs w:val="24"/>
        </w:rPr>
        <w:t xml:space="preserve"> </w:t>
      </w:r>
      <w:r w:rsidR="00C40981">
        <w:rPr>
          <w:rFonts w:ascii="Calibri" w:hAnsi="Calibri" w:cs="Calibri"/>
          <w:sz w:val="24"/>
          <w:szCs w:val="24"/>
        </w:rPr>
        <w:t>was</w:t>
      </w:r>
      <w:r w:rsidR="009C4305" w:rsidRPr="009C4305">
        <w:rPr>
          <w:rFonts w:ascii="Calibri" w:hAnsi="Calibri" w:cs="Calibri"/>
          <w:sz w:val="24"/>
          <w:szCs w:val="24"/>
        </w:rPr>
        <w:t xml:space="preserve"> identified by ICD codes</w:t>
      </w:r>
      <w:r w:rsidRPr="004501A7">
        <w:rPr>
          <w:rFonts w:ascii="Calibri" w:hAnsi="Calibri" w:cs="Calibri"/>
          <w:sz w:val="24"/>
          <w:szCs w:val="24"/>
        </w:rPr>
        <w:t xml:space="preserve"> </w:t>
      </w:r>
      <w:r w:rsidR="0050074B" w:rsidRPr="0050074B">
        <w:rPr>
          <w:rFonts w:ascii="Calibri" w:hAnsi="Calibri" w:cs="Calibri"/>
          <w:sz w:val="24"/>
          <w:szCs w:val="24"/>
        </w:rPr>
        <w:t>in the 5 years before the index date</w:t>
      </w:r>
      <w:r w:rsidR="0050074B">
        <w:rPr>
          <w:rFonts w:ascii="Calibri" w:hAnsi="Calibri" w:cs="Calibri"/>
          <w:sz w:val="24"/>
          <w:szCs w:val="24"/>
        </w:rPr>
        <w:t xml:space="preserve"> </w:t>
      </w:r>
      <w:r w:rsidR="00DF0709" w:rsidRPr="00DF0709">
        <w:rPr>
          <w:rFonts w:ascii="Calibri" w:hAnsi="Calibri" w:cs="Calibri"/>
          <w:sz w:val="24"/>
          <w:szCs w:val="24"/>
        </w:rPr>
        <w:t>(ICD codes 73309, 73319, DM80, DM800, DM801, DM802, DM803, DM804, DM805, DM808, DM809, DM809A, DM809B, DM809C, DM809D, DM81, DM810, DM811, DM812, DM813, DM814, DM815, DM816, DM818, DM818A</w:t>
      </w:r>
      <w:r w:rsidR="00831DCB">
        <w:rPr>
          <w:rFonts w:ascii="Calibri" w:hAnsi="Calibri" w:cs="Calibri"/>
          <w:sz w:val="24"/>
          <w:szCs w:val="24"/>
        </w:rPr>
        <w:t xml:space="preserve"> or </w:t>
      </w:r>
      <w:r w:rsidR="00DF0709" w:rsidRPr="00DF0709">
        <w:rPr>
          <w:rFonts w:ascii="Calibri" w:hAnsi="Calibri" w:cs="Calibri"/>
          <w:sz w:val="24"/>
          <w:szCs w:val="24"/>
        </w:rPr>
        <w:t>DM819)</w:t>
      </w:r>
      <w:r w:rsidR="0050074B">
        <w:rPr>
          <w:rFonts w:ascii="Calibri" w:hAnsi="Calibri" w:cs="Calibri"/>
          <w:sz w:val="24"/>
          <w:szCs w:val="24"/>
        </w:rPr>
        <w:t>.</w:t>
      </w:r>
      <w:r w:rsidR="00C40981">
        <w:rPr>
          <w:rFonts w:ascii="Calibri" w:hAnsi="Calibri" w:cs="Calibri"/>
          <w:sz w:val="24"/>
          <w:szCs w:val="24"/>
        </w:rPr>
        <w:t xml:space="preserve"> </w:t>
      </w:r>
    </w:p>
    <w:p w14:paraId="7116304B" w14:textId="4D483234" w:rsidR="00BB62E9" w:rsidRPr="004501A7" w:rsidRDefault="00BB62E9" w:rsidP="002C24B4">
      <w:pPr>
        <w:spacing w:line="276" w:lineRule="auto"/>
        <w:rPr>
          <w:rFonts w:ascii="Calibri" w:hAnsi="Calibri" w:cs="Calibri"/>
          <w:sz w:val="24"/>
          <w:szCs w:val="24"/>
        </w:rPr>
      </w:pPr>
      <w:r w:rsidRPr="004501A7">
        <w:rPr>
          <w:rFonts w:ascii="Calibri" w:hAnsi="Calibri" w:cs="Calibri"/>
          <w:sz w:val="24"/>
          <w:szCs w:val="24"/>
        </w:rPr>
        <w:t>Outcomes of interest for the subset of patients and controls with BMD assessment was the fracture risk associated with a given femoral neck BMD.  Additionally, the gradient of risk (GR: increase in fracture risk/SD decrement in BMD) was determined for the outcome of hip fracture and MOF.</w:t>
      </w:r>
    </w:p>
    <w:p w14:paraId="055CB398" w14:textId="00B62714" w:rsidR="00D93867" w:rsidRPr="004501A7" w:rsidRDefault="007C6765" w:rsidP="002C24B4">
      <w:pPr>
        <w:spacing w:line="276" w:lineRule="auto"/>
        <w:rPr>
          <w:rFonts w:ascii="Calibri" w:hAnsi="Calibri" w:cs="Calibri"/>
          <w:sz w:val="24"/>
          <w:szCs w:val="24"/>
        </w:rPr>
      </w:pPr>
      <w:r w:rsidRPr="004501A7">
        <w:rPr>
          <w:rFonts w:ascii="Calibri" w:hAnsi="Calibri" w:cs="Calibri"/>
          <w:sz w:val="24"/>
          <w:szCs w:val="24"/>
        </w:rPr>
        <w:t>Probabilities for fracture were calculated fro</w:t>
      </w:r>
      <w:r w:rsidR="008D307E" w:rsidRPr="004501A7">
        <w:rPr>
          <w:rFonts w:ascii="Calibri" w:hAnsi="Calibri" w:cs="Calibri"/>
          <w:sz w:val="24"/>
          <w:szCs w:val="24"/>
        </w:rPr>
        <w:t xml:space="preserve">m the hazard functions of death, hip </w:t>
      </w:r>
      <w:proofErr w:type="gramStart"/>
      <w:r w:rsidR="008D307E" w:rsidRPr="004501A7">
        <w:rPr>
          <w:rFonts w:ascii="Calibri" w:hAnsi="Calibri" w:cs="Calibri"/>
          <w:sz w:val="24"/>
          <w:szCs w:val="24"/>
        </w:rPr>
        <w:t>fracture</w:t>
      </w:r>
      <w:proofErr w:type="gramEnd"/>
      <w:r w:rsidR="008D307E" w:rsidRPr="004501A7">
        <w:rPr>
          <w:rFonts w:ascii="Calibri" w:hAnsi="Calibri" w:cs="Calibri"/>
          <w:sz w:val="24"/>
          <w:szCs w:val="24"/>
        </w:rPr>
        <w:t xml:space="preserve"> and MOF</w:t>
      </w:r>
      <w:r w:rsidR="002552F6" w:rsidRPr="004501A7">
        <w:rPr>
          <w:rFonts w:ascii="Calibri" w:hAnsi="Calibri" w:cs="Calibri"/>
          <w:sz w:val="24"/>
          <w:szCs w:val="24"/>
        </w:rPr>
        <w:t xml:space="preserve"> without hip fracture </w:t>
      </w:r>
      <w:r w:rsidR="00361AA7" w:rsidRPr="004501A7">
        <w:rPr>
          <w:rFonts w:ascii="Calibri" w:hAnsi="Calibri" w:cs="Calibri"/>
          <w:sz w:val="24"/>
          <w:szCs w:val="24"/>
        </w:rPr>
        <w:t xml:space="preserve">in </w:t>
      </w:r>
      <w:r w:rsidR="00E16335" w:rsidRPr="004501A7">
        <w:rPr>
          <w:rFonts w:ascii="Calibri" w:hAnsi="Calibri" w:cs="Calibri"/>
          <w:sz w:val="24"/>
          <w:szCs w:val="24"/>
        </w:rPr>
        <w:t>1-year</w:t>
      </w:r>
      <w:r w:rsidR="00361AA7" w:rsidRPr="004501A7">
        <w:rPr>
          <w:rFonts w:ascii="Calibri" w:hAnsi="Calibri" w:cs="Calibri"/>
          <w:sz w:val="24"/>
          <w:szCs w:val="24"/>
        </w:rPr>
        <w:t xml:space="preserve"> intervals from the age of </w:t>
      </w:r>
      <w:r w:rsidR="00A674D2" w:rsidRPr="004501A7">
        <w:rPr>
          <w:rFonts w:ascii="Calibri" w:hAnsi="Calibri" w:cs="Calibri"/>
          <w:sz w:val="24"/>
          <w:szCs w:val="24"/>
        </w:rPr>
        <w:t>50 years in men and women</w:t>
      </w:r>
      <w:r w:rsidR="00E16335" w:rsidRPr="004501A7">
        <w:rPr>
          <w:rFonts w:ascii="Calibri" w:hAnsi="Calibri" w:cs="Calibri"/>
          <w:sz w:val="24"/>
          <w:szCs w:val="24"/>
        </w:rPr>
        <w:t xml:space="preserve"> </w:t>
      </w:r>
      <w:r w:rsidR="00007A33" w:rsidRPr="004501A7">
        <w:rPr>
          <w:rFonts w:ascii="Calibri" w:hAnsi="Calibri" w:cs="Calibri"/>
          <w:sz w:val="24"/>
          <w:szCs w:val="24"/>
        </w:rPr>
        <w:t>for the calendar year 2005</w:t>
      </w:r>
      <w:r w:rsidR="00A674D2" w:rsidRPr="004501A7">
        <w:rPr>
          <w:rFonts w:ascii="Calibri" w:hAnsi="Calibri" w:cs="Calibri"/>
          <w:sz w:val="24"/>
          <w:szCs w:val="24"/>
        </w:rPr>
        <w:t xml:space="preserve"> </w:t>
      </w:r>
      <w:r w:rsidR="002552F6" w:rsidRPr="004501A7">
        <w:rPr>
          <w:rFonts w:ascii="Calibri" w:hAnsi="Calibri" w:cs="Calibri"/>
          <w:sz w:val="24"/>
          <w:szCs w:val="24"/>
        </w:rPr>
        <w:t>[</w:t>
      </w:r>
      <w:r w:rsidR="00804391">
        <w:rPr>
          <w:rFonts w:ascii="Calibri" w:hAnsi="Calibri" w:cs="Calibri"/>
          <w:sz w:val="24"/>
          <w:szCs w:val="24"/>
        </w:rPr>
        <w:t>7</w:t>
      </w:r>
      <w:r w:rsidR="0000459C">
        <w:rPr>
          <w:rFonts w:ascii="Calibri" w:hAnsi="Calibri" w:cs="Calibri"/>
          <w:sz w:val="24"/>
          <w:szCs w:val="24"/>
        </w:rPr>
        <w:t xml:space="preserve">, </w:t>
      </w:r>
      <w:r w:rsidR="00804391">
        <w:rPr>
          <w:rFonts w:ascii="Calibri" w:hAnsi="Calibri" w:cs="Calibri"/>
          <w:sz w:val="24"/>
          <w:szCs w:val="24"/>
        </w:rPr>
        <w:t>17</w:t>
      </w:r>
      <w:r w:rsidR="0000459C">
        <w:rPr>
          <w:rFonts w:ascii="Calibri" w:hAnsi="Calibri" w:cs="Calibri"/>
          <w:sz w:val="24"/>
          <w:szCs w:val="24"/>
        </w:rPr>
        <w:t>]</w:t>
      </w:r>
      <w:r w:rsidR="00BF191D" w:rsidRPr="004501A7">
        <w:rPr>
          <w:rFonts w:ascii="Calibri" w:hAnsi="Calibri" w:cs="Calibri"/>
          <w:sz w:val="24"/>
          <w:szCs w:val="24"/>
        </w:rPr>
        <w:t xml:space="preserve">. </w:t>
      </w:r>
      <w:r w:rsidR="00C06713">
        <w:rPr>
          <w:rFonts w:ascii="Calibri" w:hAnsi="Calibri" w:cs="Calibri"/>
          <w:sz w:val="24"/>
          <w:szCs w:val="24"/>
        </w:rPr>
        <w:t>Ten-year p</w:t>
      </w:r>
      <w:r w:rsidR="004477D3">
        <w:rPr>
          <w:rFonts w:ascii="Calibri" w:hAnsi="Calibri" w:cs="Calibri"/>
          <w:sz w:val="24"/>
          <w:szCs w:val="24"/>
        </w:rPr>
        <w:t>robabilities</w:t>
      </w:r>
      <w:r w:rsidR="0067648E">
        <w:rPr>
          <w:rFonts w:ascii="Calibri" w:hAnsi="Calibri" w:cs="Calibri"/>
          <w:sz w:val="24"/>
          <w:szCs w:val="24"/>
        </w:rPr>
        <w:t xml:space="preserve"> of hip fracture, </w:t>
      </w:r>
      <w:r w:rsidR="00C06713">
        <w:rPr>
          <w:rFonts w:ascii="Calibri" w:hAnsi="Calibri" w:cs="Calibri"/>
          <w:sz w:val="24"/>
          <w:szCs w:val="24"/>
        </w:rPr>
        <w:t xml:space="preserve">other </w:t>
      </w:r>
      <w:r w:rsidR="0067648E">
        <w:rPr>
          <w:rFonts w:ascii="Calibri" w:hAnsi="Calibri" w:cs="Calibri"/>
          <w:sz w:val="24"/>
          <w:szCs w:val="24"/>
        </w:rPr>
        <w:t>major osteoporotic fracture</w:t>
      </w:r>
      <w:r w:rsidR="00954B4E">
        <w:rPr>
          <w:rFonts w:ascii="Calibri" w:hAnsi="Calibri" w:cs="Calibri"/>
          <w:sz w:val="24"/>
          <w:szCs w:val="24"/>
        </w:rPr>
        <w:t xml:space="preserve">, and </w:t>
      </w:r>
      <w:r w:rsidR="00954B4E" w:rsidRPr="00954B4E">
        <w:rPr>
          <w:rFonts w:ascii="Calibri" w:hAnsi="Calibri" w:cs="Calibri"/>
          <w:sz w:val="24"/>
          <w:szCs w:val="24"/>
        </w:rPr>
        <w:t>major osteoporotic fracture</w:t>
      </w:r>
      <w:r w:rsidR="00954B4E">
        <w:rPr>
          <w:rFonts w:ascii="Calibri" w:hAnsi="Calibri" w:cs="Calibri"/>
          <w:sz w:val="24"/>
          <w:szCs w:val="24"/>
        </w:rPr>
        <w:t xml:space="preserve"> </w:t>
      </w:r>
      <w:r w:rsidR="006745CD">
        <w:rPr>
          <w:rFonts w:ascii="Calibri" w:hAnsi="Calibri" w:cs="Calibri"/>
          <w:sz w:val="24"/>
          <w:szCs w:val="24"/>
        </w:rPr>
        <w:t xml:space="preserve">were determined in patients that </w:t>
      </w:r>
      <w:r w:rsidR="006849D6">
        <w:rPr>
          <w:rFonts w:ascii="Calibri" w:hAnsi="Calibri" w:cs="Calibri"/>
          <w:sz w:val="24"/>
          <w:szCs w:val="24"/>
        </w:rPr>
        <w:t>did not undergo parathyroidectomy</w:t>
      </w:r>
      <w:r w:rsidR="00EC568E">
        <w:rPr>
          <w:rFonts w:ascii="Calibri" w:hAnsi="Calibri" w:cs="Calibri"/>
          <w:sz w:val="24"/>
          <w:szCs w:val="24"/>
        </w:rPr>
        <w:t>.</w:t>
      </w:r>
    </w:p>
    <w:p w14:paraId="2F409D71" w14:textId="6ABCCA60" w:rsidR="00A13B1E" w:rsidRPr="004501A7" w:rsidRDefault="00A13B1E" w:rsidP="002C24B4">
      <w:pPr>
        <w:spacing w:line="276" w:lineRule="auto"/>
        <w:rPr>
          <w:rFonts w:ascii="Calibri" w:hAnsi="Calibri" w:cs="Calibri"/>
          <w:i/>
          <w:iCs/>
          <w:sz w:val="24"/>
          <w:szCs w:val="24"/>
        </w:rPr>
      </w:pPr>
      <w:r w:rsidRPr="004501A7">
        <w:rPr>
          <w:rFonts w:ascii="Calibri" w:hAnsi="Calibri" w:cs="Calibri"/>
          <w:i/>
          <w:iCs/>
          <w:sz w:val="24"/>
          <w:szCs w:val="24"/>
        </w:rPr>
        <w:t>Statistical methods</w:t>
      </w:r>
      <w:r w:rsidR="00E95E73" w:rsidRPr="004501A7">
        <w:rPr>
          <w:rFonts w:ascii="Calibri" w:hAnsi="Calibri" w:cs="Calibri"/>
          <w:i/>
          <w:iCs/>
          <w:sz w:val="24"/>
          <w:szCs w:val="24"/>
        </w:rPr>
        <w:t xml:space="preserve"> </w:t>
      </w:r>
    </w:p>
    <w:p w14:paraId="5CE4B318" w14:textId="1B1C329B" w:rsidR="00A13B1E" w:rsidRDefault="00A13B1E" w:rsidP="002C24B4">
      <w:pPr>
        <w:spacing w:line="276" w:lineRule="auto"/>
        <w:rPr>
          <w:rFonts w:ascii="Calibri" w:hAnsi="Calibri" w:cs="Calibri"/>
          <w:sz w:val="24"/>
          <w:szCs w:val="24"/>
        </w:rPr>
      </w:pPr>
      <w:r w:rsidRPr="004501A7">
        <w:rPr>
          <w:rFonts w:ascii="Calibri" w:hAnsi="Calibri" w:cs="Calibri"/>
          <w:sz w:val="24"/>
          <w:szCs w:val="24"/>
        </w:rPr>
        <w:t>Comparison</w:t>
      </w:r>
      <w:r w:rsidR="0085291B">
        <w:rPr>
          <w:rFonts w:ascii="Calibri" w:hAnsi="Calibri" w:cs="Calibri"/>
          <w:sz w:val="24"/>
          <w:szCs w:val="24"/>
        </w:rPr>
        <w:t>s</w:t>
      </w:r>
      <w:r w:rsidRPr="004501A7">
        <w:rPr>
          <w:rFonts w:ascii="Calibri" w:hAnsi="Calibri" w:cs="Calibri"/>
          <w:sz w:val="24"/>
          <w:szCs w:val="24"/>
        </w:rPr>
        <w:t xml:space="preserve"> between groups were performed with Fisher’s permutation test</w:t>
      </w:r>
      <w:r w:rsidR="007828DC" w:rsidRPr="007828DC">
        <w:rPr>
          <w:rFonts w:ascii="Calibri" w:hAnsi="Calibri" w:cs="Calibri"/>
          <w:sz w:val="24"/>
          <w:szCs w:val="24"/>
        </w:rPr>
        <w:t xml:space="preserve"> </w:t>
      </w:r>
      <w:r w:rsidR="007828DC">
        <w:rPr>
          <w:rFonts w:ascii="Calibri" w:hAnsi="Calibri" w:cs="Calibri"/>
          <w:sz w:val="24"/>
          <w:szCs w:val="24"/>
        </w:rPr>
        <w:t>or Fisher’s exact test</w:t>
      </w:r>
      <w:r w:rsidRPr="004501A7">
        <w:rPr>
          <w:rFonts w:ascii="Calibri" w:hAnsi="Calibri" w:cs="Calibri"/>
          <w:sz w:val="24"/>
          <w:szCs w:val="24"/>
        </w:rPr>
        <w:t xml:space="preserve">. To estimate the instantaneous hazard function (HF) for death </w:t>
      </w:r>
      <w:r w:rsidR="00A95A80" w:rsidRPr="00A95A80">
        <w:rPr>
          <w:rFonts w:ascii="Calibri" w:hAnsi="Calibri" w:cs="Calibri"/>
          <w:sz w:val="24"/>
          <w:szCs w:val="24"/>
        </w:rPr>
        <w:t xml:space="preserve">and fracture risk </w:t>
      </w:r>
      <w:r w:rsidRPr="004501A7">
        <w:rPr>
          <w:rFonts w:ascii="Calibri" w:hAnsi="Calibri" w:cs="Calibri"/>
          <w:sz w:val="24"/>
          <w:szCs w:val="24"/>
        </w:rPr>
        <w:t xml:space="preserve">an extension of Poisson regression model was used </w:t>
      </w:r>
      <w:r w:rsidR="00F3076D">
        <w:rPr>
          <w:rFonts w:ascii="Calibri" w:hAnsi="Calibri" w:cs="Calibri"/>
          <w:sz w:val="24"/>
          <w:szCs w:val="24"/>
        </w:rPr>
        <w:t>[1</w:t>
      </w:r>
      <w:r w:rsidR="00686CDC">
        <w:rPr>
          <w:rFonts w:ascii="Calibri" w:hAnsi="Calibri" w:cs="Calibri"/>
          <w:sz w:val="24"/>
          <w:szCs w:val="24"/>
        </w:rPr>
        <w:t>8</w:t>
      </w:r>
      <w:r w:rsidR="00F3076D">
        <w:rPr>
          <w:rFonts w:ascii="Calibri" w:hAnsi="Calibri" w:cs="Calibri"/>
          <w:sz w:val="24"/>
          <w:szCs w:val="24"/>
        </w:rPr>
        <w:t>, 1</w:t>
      </w:r>
      <w:r w:rsidR="00686CDC">
        <w:rPr>
          <w:rFonts w:ascii="Calibri" w:hAnsi="Calibri" w:cs="Calibri"/>
          <w:sz w:val="24"/>
          <w:szCs w:val="24"/>
        </w:rPr>
        <w:t>9</w:t>
      </w:r>
      <w:r w:rsidR="00F3076D">
        <w:rPr>
          <w:rFonts w:ascii="Calibri" w:hAnsi="Calibri" w:cs="Calibri"/>
          <w:sz w:val="24"/>
          <w:szCs w:val="24"/>
        </w:rPr>
        <w:t xml:space="preserve">] </w:t>
      </w:r>
      <w:r w:rsidRPr="004501A7">
        <w:rPr>
          <w:rFonts w:ascii="Calibri" w:hAnsi="Calibri" w:cs="Calibri"/>
          <w:sz w:val="24"/>
          <w:szCs w:val="24"/>
        </w:rPr>
        <w:t>to study the relationship between the risk of death or fracture on one hand and current time since index</w:t>
      </w:r>
      <w:r w:rsidR="00DC1CA9">
        <w:rPr>
          <w:rFonts w:ascii="Calibri" w:hAnsi="Calibri" w:cs="Calibri"/>
          <w:sz w:val="24"/>
          <w:szCs w:val="24"/>
        </w:rPr>
        <w:t xml:space="preserve"> date</w:t>
      </w:r>
      <w:r w:rsidRPr="004501A7">
        <w:rPr>
          <w:rFonts w:ascii="Calibri" w:hAnsi="Calibri" w:cs="Calibri"/>
          <w:sz w:val="24"/>
          <w:szCs w:val="24"/>
        </w:rPr>
        <w:t xml:space="preserve">, current age, current calendar year, sex, </w:t>
      </w:r>
      <w:r w:rsidR="00592417">
        <w:rPr>
          <w:rFonts w:ascii="Calibri" w:hAnsi="Calibri" w:cs="Calibri"/>
          <w:sz w:val="24"/>
          <w:szCs w:val="24"/>
        </w:rPr>
        <w:t xml:space="preserve">PHPT </w:t>
      </w:r>
      <w:r w:rsidR="00297F33">
        <w:rPr>
          <w:rFonts w:ascii="Calibri" w:hAnsi="Calibri" w:cs="Calibri"/>
          <w:sz w:val="24"/>
          <w:szCs w:val="24"/>
        </w:rPr>
        <w:t>diagnosis</w:t>
      </w:r>
      <w:r w:rsidR="004501A7" w:rsidRPr="004501A7">
        <w:rPr>
          <w:rFonts w:ascii="Calibri" w:hAnsi="Calibri" w:cs="Calibri"/>
          <w:sz w:val="24"/>
          <w:szCs w:val="24"/>
        </w:rPr>
        <w:t xml:space="preserve"> </w:t>
      </w:r>
      <w:r w:rsidRPr="004501A7">
        <w:rPr>
          <w:rFonts w:ascii="Calibri" w:hAnsi="Calibri" w:cs="Calibri"/>
          <w:sz w:val="24"/>
          <w:szCs w:val="24"/>
        </w:rPr>
        <w:t xml:space="preserve">and BMD on the other hand. </w:t>
      </w:r>
      <w:r w:rsidR="004564BA" w:rsidRPr="004564BA">
        <w:rPr>
          <w:rFonts w:ascii="Calibri" w:hAnsi="Calibri" w:cs="Calibri"/>
          <w:sz w:val="24"/>
          <w:szCs w:val="24"/>
        </w:rPr>
        <w:t>Models were also additionally adjusted for previous fracture</w:t>
      </w:r>
      <w:r w:rsidR="00453B0D">
        <w:rPr>
          <w:rFonts w:ascii="Calibri" w:hAnsi="Calibri" w:cs="Calibri"/>
          <w:sz w:val="24"/>
          <w:szCs w:val="24"/>
        </w:rPr>
        <w:t>s</w:t>
      </w:r>
      <w:r w:rsidR="004564BA" w:rsidRPr="004564BA">
        <w:rPr>
          <w:rFonts w:ascii="Calibri" w:hAnsi="Calibri" w:cs="Calibri"/>
          <w:sz w:val="24"/>
          <w:szCs w:val="24"/>
        </w:rPr>
        <w:t xml:space="preserve">. </w:t>
      </w:r>
      <w:r w:rsidR="000B46C8" w:rsidRPr="004501A7">
        <w:rPr>
          <w:rFonts w:ascii="Calibri" w:hAnsi="Calibri" w:cs="Calibri"/>
          <w:sz w:val="24"/>
          <w:szCs w:val="24"/>
        </w:rPr>
        <w:t xml:space="preserve">Models were also developed for </w:t>
      </w:r>
      <w:r w:rsidR="000B46C8">
        <w:rPr>
          <w:rFonts w:ascii="Calibri" w:hAnsi="Calibri" w:cs="Calibri"/>
          <w:sz w:val="24"/>
          <w:szCs w:val="24"/>
        </w:rPr>
        <w:t xml:space="preserve">those with </w:t>
      </w:r>
      <w:r w:rsidR="00592417">
        <w:rPr>
          <w:rFonts w:ascii="Calibri" w:hAnsi="Calibri" w:cs="Calibri"/>
          <w:sz w:val="24"/>
          <w:szCs w:val="24"/>
        </w:rPr>
        <w:t>PHPT</w:t>
      </w:r>
      <w:r w:rsidR="000B46C8" w:rsidRPr="004501A7">
        <w:rPr>
          <w:rFonts w:ascii="Calibri" w:hAnsi="Calibri" w:cs="Calibri"/>
          <w:sz w:val="24"/>
          <w:szCs w:val="24"/>
        </w:rPr>
        <w:t xml:space="preserve"> </w:t>
      </w:r>
      <w:r w:rsidR="00AB6795">
        <w:rPr>
          <w:rFonts w:ascii="Calibri" w:hAnsi="Calibri" w:cs="Calibri"/>
          <w:sz w:val="24"/>
          <w:szCs w:val="24"/>
        </w:rPr>
        <w:t>with adjustments</w:t>
      </w:r>
      <w:r w:rsidR="000B46C8">
        <w:rPr>
          <w:rFonts w:ascii="Calibri" w:hAnsi="Calibri" w:cs="Calibri"/>
          <w:sz w:val="24"/>
          <w:szCs w:val="24"/>
        </w:rPr>
        <w:t xml:space="preserve"> for levels of PTH and hypercalcaemia</w:t>
      </w:r>
      <w:r w:rsidR="000B46C8" w:rsidRPr="004501A7">
        <w:rPr>
          <w:rFonts w:ascii="Calibri" w:hAnsi="Calibri" w:cs="Calibri"/>
          <w:sz w:val="24"/>
          <w:szCs w:val="24"/>
        </w:rPr>
        <w:t>.</w:t>
      </w:r>
      <w:r w:rsidRPr="004501A7">
        <w:rPr>
          <w:rFonts w:ascii="Calibri" w:hAnsi="Calibri" w:cs="Calibri"/>
          <w:sz w:val="24"/>
          <w:szCs w:val="24"/>
        </w:rPr>
        <w:t xml:space="preserve"> </w:t>
      </w:r>
      <w:r w:rsidR="00AC5027">
        <w:rPr>
          <w:rFonts w:ascii="Calibri" w:hAnsi="Calibri" w:cs="Calibri"/>
          <w:sz w:val="24"/>
          <w:szCs w:val="24"/>
        </w:rPr>
        <w:t xml:space="preserve"> </w:t>
      </w:r>
      <w:r w:rsidRPr="004501A7">
        <w:rPr>
          <w:rFonts w:ascii="Calibri" w:hAnsi="Calibri" w:cs="Calibri"/>
          <w:sz w:val="24"/>
          <w:szCs w:val="24"/>
        </w:rPr>
        <w:t xml:space="preserve">For all deaths and fracture, the exact date of death and fracture was included in the calculations. The observation period of each participant was divided into intervals of one month. </w:t>
      </w:r>
      <w:r w:rsidR="00964A8B">
        <w:rPr>
          <w:rFonts w:ascii="Calibri" w:hAnsi="Calibri" w:cs="Calibri"/>
          <w:sz w:val="24"/>
          <w:szCs w:val="24"/>
        </w:rPr>
        <w:t xml:space="preserve"> The first of any</w:t>
      </w:r>
      <w:r w:rsidRPr="004501A7">
        <w:rPr>
          <w:rFonts w:ascii="Calibri" w:hAnsi="Calibri" w:cs="Calibri"/>
          <w:sz w:val="24"/>
          <w:szCs w:val="24"/>
        </w:rPr>
        <w:t xml:space="preserve"> endpoint per individual </w:t>
      </w:r>
      <w:r w:rsidR="00BB62E9" w:rsidRPr="004501A7">
        <w:rPr>
          <w:rFonts w:ascii="Calibri" w:hAnsi="Calibri" w:cs="Calibri"/>
          <w:sz w:val="24"/>
          <w:szCs w:val="24"/>
        </w:rPr>
        <w:t>was</w:t>
      </w:r>
      <w:r w:rsidRPr="004501A7">
        <w:rPr>
          <w:rFonts w:ascii="Calibri" w:hAnsi="Calibri" w:cs="Calibri"/>
          <w:sz w:val="24"/>
          <w:szCs w:val="24"/>
        </w:rPr>
        <w:t xml:space="preserve"> used. The time at risk was censored at the time of </w:t>
      </w:r>
      <w:bookmarkStart w:id="6" w:name="_Hlk95349673"/>
      <w:r w:rsidR="00F6410B">
        <w:rPr>
          <w:rFonts w:ascii="Calibri" w:hAnsi="Calibri" w:cs="Calibri"/>
          <w:sz w:val="24"/>
          <w:szCs w:val="24"/>
        </w:rPr>
        <w:t>parathyroidectomy</w:t>
      </w:r>
      <w:bookmarkEnd w:id="6"/>
      <w:r w:rsidR="00D26F66">
        <w:rPr>
          <w:rFonts w:ascii="Calibri" w:hAnsi="Calibri" w:cs="Calibri"/>
          <w:sz w:val="24"/>
          <w:szCs w:val="24"/>
        </w:rPr>
        <w:t xml:space="preserve"> </w:t>
      </w:r>
      <w:r w:rsidR="00D26F66">
        <w:rPr>
          <w:rFonts w:ascii="Calibri" w:hAnsi="Calibri" w:cs="Calibri"/>
          <w:sz w:val="24"/>
          <w:szCs w:val="24"/>
        </w:rPr>
        <w:lastRenderedPageBreak/>
        <w:t>(</w:t>
      </w:r>
      <w:r w:rsidR="00CC406F">
        <w:rPr>
          <w:rFonts w:ascii="Calibri" w:hAnsi="Calibri" w:cs="Calibri"/>
          <w:sz w:val="24"/>
          <w:szCs w:val="24"/>
        </w:rPr>
        <w:t>PTX</w:t>
      </w:r>
      <w:r w:rsidR="00D26F66">
        <w:rPr>
          <w:rFonts w:ascii="Calibri" w:hAnsi="Calibri" w:cs="Calibri"/>
          <w:sz w:val="24"/>
          <w:szCs w:val="24"/>
        </w:rPr>
        <w:t>)</w:t>
      </w:r>
      <w:r w:rsidR="003D56D4">
        <w:rPr>
          <w:rFonts w:ascii="Calibri" w:hAnsi="Calibri" w:cs="Calibri"/>
          <w:sz w:val="24"/>
          <w:szCs w:val="24"/>
        </w:rPr>
        <w:t xml:space="preserve">, </w:t>
      </w:r>
      <w:r w:rsidRPr="004501A7">
        <w:rPr>
          <w:rFonts w:ascii="Calibri" w:hAnsi="Calibri" w:cs="Calibri"/>
          <w:sz w:val="24"/>
          <w:szCs w:val="24"/>
        </w:rPr>
        <w:t xml:space="preserve">death, </w:t>
      </w:r>
      <w:r w:rsidR="00272888" w:rsidRPr="004501A7">
        <w:rPr>
          <w:rFonts w:ascii="Calibri" w:hAnsi="Calibri" w:cs="Calibri"/>
          <w:sz w:val="24"/>
          <w:szCs w:val="24"/>
        </w:rPr>
        <w:t>emigration,</w:t>
      </w:r>
      <w:r w:rsidRPr="004501A7">
        <w:rPr>
          <w:rFonts w:ascii="Calibri" w:hAnsi="Calibri" w:cs="Calibri"/>
          <w:sz w:val="24"/>
          <w:szCs w:val="24"/>
        </w:rPr>
        <w:t xml:space="preserve"> or end of follow </w:t>
      </w:r>
      <w:r w:rsidRPr="001F7C30">
        <w:rPr>
          <w:rFonts w:ascii="Calibri" w:hAnsi="Calibri" w:cs="Calibri"/>
          <w:sz w:val="24"/>
          <w:szCs w:val="24"/>
        </w:rPr>
        <w:t xml:space="preserve">up. </w:t>
      </w:r>
      <w:r w:rsidR="00020C45" w:rsidRPr="001F7C30">
        <w:rPr>
          <w:rFonts w:ascii="Calibri" w:hAnsi="Calibri" w:cs="Calibri"/>
          <w:sz w:val="24"/>
          <w:szCs w:val="24"/>
        </w:rPr>
        <w:t>In a sensitivity analysis we</w:t>
      </w:r>
      <w:r w:rsidR="00E060A2" w:rsidRPr="001F7C30">
        <w:rPr>
          <w:rFonts w:ascii="Calibri" w:hAnsi="Calibri" w:cs="Calibri"/>
          <w:sz w:val="24"/>
          <w:szCs w:val="24"/>
        </w:rPr>
        <w:t xml:space="preserve"> censored time of follow up to one year for both cases and controls</w:t>
      </w:r>
      <w:r w:rsidR="00651AD1" w:rsidRPr="001F7C30">
        <w:rPr>
          <w:rFonts w:ascii="Calibri" w:hAnsi="Calibri" w:cs="Calibri"/>
          <w:sz w:val="24"/>
          <w:szCs w:val="24"/>
        </w:rPr>
        <w:t xml:space="preserve"> to explore the effect of unequal follow up in </w:t>
      </w:r>
      <w:r w:rsidR="00B127D4" w:rsidRPr="001F7C30">
        <w:rPr>
          <w:rFonts w:ascii="Calibri" w:hAnsi="Calibri" w:cs="Calibri"/>
          <w:sz w:val="24"/>
          <w:szCs w:val="24"/>
        </w:rPr>
        <w:t>cases and controls.</w:t>
      </w:r>
    </w:p>
    <w:p w14:paraId="33313794" w14:textId="3757CA2E" w:rsidR="00AA199A" w:rsidRPr="004501A7" w:rsidRDefault="00AA199A" w:rsidP="002C24B4">
      <w:pPr>
        <w:spacing w:line="276" w:lineRule="auto"/>
        <w:rPr>
          <w:rFonts w:ascii="Calibri" w:hAnsi="Calibri" w:cs="Calibri"/>
          <w:sz w:val="24"/>
          <w:szCs w:val="24"/>
        </w:rPr>
      </w:pPr>
      <w:r w:rsidRPr="00AA199A">
        <w:rPr>
          <w:rFonts w:ascii="Calibri" w:hAnsi="Calibri" w:cs="Calibri"/>
          <w:sz w:val="24"/>
          <w:szCs w:val="24"/>
        </w:rPr>
        <w:t xml:space="preserve">From the hazard functions described above for fracture and death, the 10-year probability of hip fracture and MOF was calculated </w:t>
      </w:r>
      <w:r w:rsidR="00C009D0">
        <w:rPr>
          <w:rFonts w:ascii="Calibri" w:hAnsi="Calibri" w:cs="Calibri"/>
          <w:sz w:val="24"/>
          <w:szCs w:val="24"/>
        </w:rPr>
        <w:t>[</w:t>
      </w:r>
      <w:r w:rsidR="00686CDC">
        <w:rPr>
          <w:rFonts w:ascii="Calibri" w:hAnsi="Calibri" w:cs="Calibri"/>
          <w:sz w:val="24"/>
          <w:szCs w:val="24"/>
        </w:rPr>
        <w:t>20</w:t>
      </w:r>
      <w:r w:rsidR="006672C3">
        <w:rPr>
          <w:rFonts w:ascii="Calibri" w:hAnsi="Calibri" w:cs="Calibri"/>
          <w:sz w:val="24"/>
          <w:szCs w:val="24"/>
        </w:rPr>
        <w:t>]</w:t>
      </w:r>
      <w:r w:rsidRPr="00AA199A">
        <w:rPr>
          <w:rFonts w:ascii="Calibri" w:hAnsi="Calibri" w:cs="Calibri"/>
          <w:sz w:val="24"/>
          <w:szCs w:val="24"/>
        </w:rPr>
        <w:t xml:space="preserve">.   It is important to note that the probability models used were based on purpose-built models </w:t>
      </w:r>
      <w:proofErr w:type="gramStart"/>
      <w:r w:rsidRPr="00AA199A">
        <w:rPr>
          <w:rFonts w:ascii="Calibri" w:hAnsi="Calibri" w:cs="Calibri"/>
          <w:sz w:val="24"/>
          <w:szCs w:val="24"/>
        </w:rPr>
        <w:t>similar to</w:t>
      </w:r>
      <w:proofErr w:type="gramEnd"/>
      <w:r w:rsidRPr="00AA199A">
        <w:rPr>
          <w:rFonts w:ascii="Calibri" w:hAnsi="Calibri" w:cs="Calibri"/>
          <w:sz w:val="24"/>
          <w:szCs w:val="24"/>
        </w:rPr>
        <w:t>, but not identical to FRAX</w:t>
      </w:r>
      <w:r w:rsidR="0041472D">
        <w:rPr>
          <w:rFonts w:ascii="Calibri" w:hAnsi="Calibri" w:cs="Calibri"/>
          <w:sz w:val="24"/>
          <w:szCs w:val="24"/>
        </w:rPr>
        <w:t>.  Indeed</w:t>
      </w:r>
      <w:r w:rsidR="00C84DE7">
        <w:rPr>
          <w:rFonts w:ascii="Calibri" w:hAnsi="Calibri" w:cs="Calibri"/>
          <w:sz w:val="24"/>
          <w:szCs w:val="24"/>
        </w:rPr>
        <w:t>, many of the traditional FRAX risk factors were unavailable</w:t>
      </w:r>
      <w:r w:rsidR="0006010D">
        <w:rPr>
          <w:rFonts w:ascii="Calibri" w:hAnsi="Calibri" w:cs="Calibri"/>
          <w:sz w:val="24"/>
          <w:szCs w:val="24"/>
        </w:rPr>
        <w:t>.</w:t>
      </w:r>
      <w:r w:rsidRPr="00AA199A">
        <w:rPr>
          <w:rFonts w:ascii="Calibri" w:hAnsi="Calibri" w:cs="Calibri"/>
          <w:sz w:val="24"/>
          <w:szCs w:val="24"/>
        </w:rPr>
        <w:t xml:space="preserve">  </w:t>
      </w:r>
    </w:p>
    <w:p w14:paraId="69425C13" w14:textId="47A2860B" w:rsidR="00D65181" w:rsidRPr="002C24B4" w:rsidRDefault="00D65181" w:rsidP="002C24B4">
      <w:pPr>
        <w:spacing w:line="276" w:lineRule="auto"/>
        <w:rPr>
          <w:b/>
          <w:bCs/>
          <w:sz w:val="24"/>
          <w:szCs w:val="24"/>
        </w:rPr>
      </w:pPr>
      <w:r w:rsidRPr="002C24B4">
        <w:rPr>
          <w:b/>
          <w:bCs/>
          <w:sz w:val="24"/>
          <w:szCs w:val="24"/>
        </w:rPr>
        <w:t>Results</w:t>
      </w:r>
    </w:p>
    <w:p w14:paraId="72A8BB6C" w14:textId="2A85C77A" w:rsidR="00567F1D" w:rsidRPr="002C24B4" w:rsidRDefault="00567F1D" w:rsidP="002C24B4">
      <w:pPr>
        <w:spacing w:line="276" w:lineRule="auto"/>
        <w:rPr>
          <w:i/>
          <w:iCs/>
          <w:sz w:val="24"/>
          <w:szCs w:val="24"/>
        </w:rPr>
      </w:pPr>
      <w:r w:rsidRPr="002C24B4">
        <w:rPr>
          <w:i/>
          <w:iCs/>
          <w:sz w:val="24"/>
          <w:szCs w:val="24"/>
        </w:rPr>
        <w:t xml:space="preserve">Baseline </w:t>
      </w:r>
      <w:r w:rsidR="00E2429F" w:rsidRPr="002C24B4">
        <w:rPr>
          <w:i/>
          <w:iCs/>
          <w:sz w:val="24"/>
          <w:szCs w:val="24"/>
        </w:rPr>
        <w:t>and follow up c</w:t>
      </w:r>
      <w:r w:rsidRPr="002C24B4">
        <w:rPr>
          <w:i/>
          <w:iCs/>
          <w:sz w:val="24"/>
          <w:szCs w:val="24"/>
        </w:rPr>
        <w:t>haracteristics</w:t>
      </w:r>
    </w:p>
    <w:p w14:paraId="7AD7523C" w14:textId="68710E38" w:rsidR="00567F1D" w:rsidRPr="002C24B4" w:rsidRDefault="000749BB" w:rsidP="002C24B4">
      <w:pPr>
        <w:spacing w:line="276" w:lineRule="auto"/>
        <w:rPr>
          <w:sz w:val="24"/>
          <w:szCs w:val="24"/>
        </w:rPr>
      </w:pPr>
      <w:r>
        <w:rPr>
          <w:sz w:val="24"/>
          <w:szCs w:val="24"/>
        </w:rPr>
        <w:t>W</w:t>
      </w:r>
      <w:r w:rsidRPr="000749BB">
        <w:rPr>
          <w:sz w:val="24"/>
          <w:szCs w:val="24"/>
        </w:rPr>
        <w:t xml:space="preserve">e identified 6884 patients with biochemically confirmed PHPT and 68,665 matched </w:t>
      </w:r>
      <w:r>
        <w:rPr>
          <w:sz w:val="24"/>
          <w:szCs w:val="24"/>
        </w:rPr>
        <w:t xml:space="preserve">population </w:t>
      </w:r>
      <w:r w:rsidRPr="000749BB">
        <w:rPr>
          <w:sz w:val="24"/>
          <w:szCs w:val="24"/>
        </w:rPr>
        <w:t>controls.</w:t>
      </w:r>
      <w:r>
        <w:rPr>
          <w:sz w:val="24"/>
          <w:szCs w:val="24"/>
        </w:rPr>
        <w:t xml:space="preserve"> </w:t>
      </w:r>
      <w:r w:rsidR="00825255" w:rsidRPr="002C24B4">
        <w:rPr>
          <w:sz w:val="24"/>
          <w:szCs w:val="24"/>
        </w:rPr>
        <w:t>The baseline characteristics are shown in table 1.  More than three quarters of cases and controls were female with a mean age of 65 years</w:t>
      </w:r>
      <w:r w:rsidR="00264481">
        <w:rPr>
          <w:sz w:val="24"/>
          <w:szCs w:val="24"/>
        </w:rPr>
        <w:t xml:space="preserve"> in men and women </w:t>
      </w:r>
      <w:r w:rsidR="00AF108D">
        <w:rPr>
          <w:sz w:val="24"/>
          <w:szCs w:val="24"/>
        </w:rPr>
        <w:t>c</w:t>
      </w:r>
      <w:r w:rsidR="00264481">
        <w:rPr>
          <w:sz w:val="24"/>
          <w:szCs w:val="24"/>
        </w:rPr>
        <w:t>omb</w:t>
      </w:r>
      <w:r w:rsidR="00AF108D">
        <w:rPr>
          <w:sz w:val="24"/>
          <w:szCs w:val="24"/>
        </w:rPr>
        <w:t>i</w:t>
      </w:r>
      <w:r w:rsidR="00264481">
        <w:rPr>
          <w:sz w:val="24"/>
          <w:szCs w:val="24"/>
        </w:rPr>
        <w:t>ned</w:t>
      </w:r>
      <w:r w:rsidR="00825255" w:rsidRPr="002C24B4">
        <w:rPr>
          <w:sz w:val="24"/>
          <w:szCs w:val="24"/>
        </w:rPr>
        <w:t xml:space="preserve">.  Patients with </w:t>
      </w:r>
      <w:r w:rsidR="006359D1">
        <w:rPr>
          <w:sz w:val="24"/>
          <w:szCs w:val="24"/>
        </w:rPr>
        <w:t>PHPT</w:t>
      </w:r>
      <w:r w:rsidR="006359D1" w:rsidRPr="002C24B4">
        <w:rPr>
          <w:sz w:val="24"/>
          <w:szCs w:val="24"/>
        </w:rPr>
        <w:t xml:space="preserve"> </w:t>
      </w:r>
      <w:r w:rsidR="00825255" w:rsidRPr="002C24B4">
        <w:rPr>
          <w:sz w:val="24"/>
          <w:szCs w:val="24"/>
        </w:rPr>
        <w:t xml:space="preserve">had a significantly higher prevalence of prior fracture, diagnosis of osteoporosis and renal stones in the previous 5 years than their age and sex matched controls.   </w:t>
      </w:r>
    </w:p>
    <w:p w14:paraId="230FFC1E" w14:textId="5DF86664" w:rsidR="00825255" w:rsidRDefault="0004294F" w:rsidP="0004294F">
      <w:pPr>
        <w:jc w:val="center"/>
        <w:rPr>
          <w:b/>
          <w:bCs/>
        </w:rPr>
      </w:pPr>
      <w:r>
        <w:rPr>
          <w:b/>
          <w:bCs/>
        </w:rPr>
        <w:t>[</w:t>
      </w:r>
      <w:r w:rsidR="00825255" w:rsidRPr="003632AA">
        <w:rPr>
          <w:b/>
          <w:bCs/>
        </w:rPr>
        <w:t>Table 1</w:t>
      </w:r>
      <w:r w:rsidR="00E4000B">
        <w:t xml:space="preserve"> </w:t>
      </w:r>
      <w:r w:rsidR="00E4000B" w:rsidRPr="00E4000B">
        <w:rPr>
          <w:b/>
          <w:bCs/>
        </w:rPr>
        <w:t>near here</w:t>
      </w:r>
      <w:r>
        <w:rPr>
          <w:b/>
          <w:bCs/>
        </w:rPr>
        <w:t>]</w:t>
      </w:r>
    </w:p>
    <w:p w14:paraId="0BEFBF11" w14:textId="2CAD1CC2" w:rsidR="00713EB3" w:rsidRDefault="00713EB3" w:rsidP="00713EB3">
      <w:pPr>
        <w:spacing w:line="276" w:lineRule="auto"/>
        <w:rPr>
          <w:sz w:val="24"/>
          <w:szCs w:val="24"/>
        </w:rPr>
      </w:pPr>
      <w:r>
        <w:rPr>
          <w:sz w:val="24"/>
          <w:szCs w:val="24"/>
        </w:rPr>
        <w:t xml:space="preserve">As might be expected, patients </w:t>
      </w:r>
      <w:r w:rsidRPr="00B930C6">
        <w:rPr>
          <w:sz w:val="24"/>
          <w:szCs w:val="24"/>
        </w:rPr>
        <w:t xml:space="preserve">that underwent PTX </w:t>
      </w:r>
      <w:r>
        <w:rPr>
          <w:sz w:val="24"/>
          <w:szCs w:val="24"/>
        </w:rPr>
        <w:t>differed in baseline characteristics from those treated conservatively (see Table 1</w:t>
      </w:r>
      <w:r w:rsidRPr="00801B35">
        <w:rPr>
          <w:sz w:val="24"/>
          <w:szCs w:val="24"/>
        </w:rPr>
        <w:t>)</w:t>
      </w:r>
      <w:r>
        <w:rPr>
          <w:sz w:val="24"/>
          <w:szCs w:val="24"/>
        </w:rPr>
        <w:t xml:space="preserve">.   </w:t>
      </w:r>
      <w:r w:rsidRPr="000F3969">
        <w:rPr>
          <w:sz w:val="24"/>
          <w:szCs w:val="24"/>
        </w:rPr>
        <w:t>Cases that underwent PTX were younger than those managed conservatively (6</w:t>
      </w:r>
      <w:r>
        <w:rPr>
          <w:sz w:val="24"/>
          <w:szCs w:val="24"/>
        </w:rPr>
        <w:t>1</w:t>
      </w:r>
      <w:r w:rsidRPr="000F3969">
        <w:rPr>
          <w:sz w:val="24"/>
          <w:szCs w:val="24"/>
        </w:rPr>
        <w:t xml:space="preserve"> vs</w:t>
      </w:r>
      <w:r w:rsidR="00E02558">
        <w:rPr>
          <w:sz w:val="24"/>
          <w:szCs w:val="24"/>
        </w:rPr>
        <w:t>.</w:t>
      </w:r>
      <w:r w:rsidRPr="000F3969">
        <w:rPr>
          <w:sz w:val="24"/>
          <w:szCs w:val="24"/>
        </w:rPr>
        <w:t xml:space="preserve"> 72 years</w:t>
      </w:r>
      <w:bookmarkStart w:id="7" w:name="_Hlk96008922"/>
      <w:r w:rsidRPr="000F3969">
        <w:rPr>
          <w:sz w:val="24"/>
          <w:szCs w:val="24"/>
        </w:rPr>
        <w:t>)</w:t>
      </w:r>
      <w:bookmarkEnd w:id="7"/>
      <w:r w:rsidRPr="000F3969">
        <w:rPr>
          <w:sz w:val="24"/>
          <w:szCs w:val="24"/>
        </w:rPr>
        <w:t xml:space="preserve">.  Additionally, they had a higher prevalence of kidney stones (8.6% vs. 3.2%) and severe hypercalcaemia at baseline but a lower prevalence of osteoporosis.  </w:t>
      </w:r>
    </w:p>
    <w:p w14:paraId="3ECC82B9" w14:textId="3541C132" w:rsidR="007C5627" w:rsidRPr="002C24B4" w:rsidRDefault="003E6F5A" w:rsidP="002C24B4">
      <w:pPr>
        <w:spacing w:line="276" w:lineRule="auto"/>
        <w:rPr>
          <w:sz w:val="24"/>
          <w:szCs w:val="24"/>
        </w:rPr>
      </w:pPr>
      <w:r w:rsidRPr="003E6F5A">
        <w:rPr>
          <w:sz w:val="24"/>
          <w:szCs w:val="24"/>
        </w:rPr>
        <w:t xml:space="preserve">On follow up, including follow up after parathyroidectomy, patients with PHPT had a higher risk of death (HR=1.28; 95% CI=1.22, 1.34) and a higher risk of both hip fractures (HR=1.20; 95% CI=1.07, 1.35) and other major osteoporotic fractures (HR=1.20; 95% CI=1.09, 1.30). </w:t>
      </w:r>
      <w:r w:rsidR="00C938C9">
        <w:rPr>
          <w:sz w:val="24"/>
          <w:szCs w:val="24"/>
        </w:rPr>
        <w:t xml:space="preserve"> </w:t>
      </w:r>
      <w:r w:rsidR="00D65181" w:rsidRPr="002C24B4">
        <w:rPr>
          <w:sz w:val="24"/>
          <w:szCs w:val="24"/>
        </w:rPr>
        <w:t xml:space="preserve">On follow up, excluding follow up after parathyroidectomy, patients with </w:t>
      </w:r>
      <w:r w:rsidR="006359D1">
        <w:rPr>
          <w:sz w:val="24"/>
          <w:szCs w:val="24"/>
        </w:rPr>
        <w:t>PHPT</w:t>
      </w:r>
      <w:r w:rsidR="006359D1" w:rsidRPr="002C24B4">
        <w:rPr>
          <w:sz w:val="24"/>
          <w:szCs w:val="24"/>
        </w:rPr>
        <w:t xml:space="preserve"> </w:t>
      </w:r>
      <w:r w:rsidR="00627502" w:rsidRPr="002C24B4">
        <w:rPr>
          <w:sz w:val="24"/>
          <w:szCs w:val="24"/>
        </w:rPr>
        <w:t>had a higher risk of death and major osteoporotic fracture than population controls (Table 2).  The risks of both hip fractures and other major osteoporotic fractures were increased.  Adjustment for length of follow up decreased the hazard ratio but for all outcomes was significantly higher than unity</w:t>
      </w:r>
      <w:r w:rsidR="00B81BEE">
        <w:rPr>
          <w:sz w:val="24"/>
          <w:szCs w:val="24"/>
        </w:rPr>
        <w:t xml:space="preserve"> </w:t>
      </w:r>
      <w:r w:rsidR="00B81BEE" w:rsidRPr="00B81BEE">
        <w:rPr>
          <w:sz w:val="24"/>
          <w:szCs w:val="24"/>
        </w:rPr>
        <w:t>(Table 2</w:t>
      </w:r>
      <w:r w:rsidR="00B81BEE">
        <w:rPr>
          <w:sz w:val="24"/>
          <w:szCs w:val="24"/>
        </w:rPr>
        <w:t>)</w:t>
      </w:r>
      <w:r w:rsidR="00627502" w:rsidRPr="002C24B4">
        <w:rPr>
          <w:sz w:val="24"/>
          <w:szCs w:val="24"/>
        </w:rPr>
        <w:t>.</w:t>
      </w:r>
      <w:r w:rsidR="001F7A03" w:rsidRPr="002C24B4">
        <w:rPr>
          <w:sz w:val="24"/>
          <w:szCs w:val="24"/>
        </w:rPr>
        <w:t xml:space="preserve"> The risk of hip fracture was increased by 48% and that for MOF by 36%. </w:t>
      </w:r>
      <w:r w:rsidR="00C15AE5" w:rsidRPr="002C24B4">
        <w:rPr>
          <w:sz w:val="24"/>
          <w:szCs w:val="24"/>
        </w:rPr>
        <w:t xml:space="preserve"> </w:t>
      </w:r>
    </w:p>
    <w:p w14:paraId="76C7C706" w14:textId="77777777" w:rsidR="00E20D08" w:rsidRDefault="00E20D08" w:rsidP="003D0D19">
      <w:pPr>
        <w:rPr>
          <w:rFonts w:ascii="Calibri" w:eastAsia="Times New Roman" w:hAnsi="Calibri" w:cs="Calibri"/>
          <w:b/>
          <w:bCs/>
          <w:color w:val="000000"/>
          <w:sz w:val="20"/>
          <w:szCs w:val="20"/>
          <w:lang w:val="en-US" w:eastAsia="sv-SE"/>
        </w:rPr>
      </w:pPr>
      <w:bookmarkStart w:id="8" w:name="_Hlk83765024"/>
    </w:p>
    <w:p w14:paraId="2C46DA0B" w14:textId="31787FB3" w:rsidR="00D65181" w:rsidRPr="002E1861" w:rsidRDefault="00D65181" w:rsidP="003D0D19">
      <w:pPr>
        <w:rPr>
          <w:rFonts w:ascii="Calibri" w:eastAsia="Times New Roman" w:hAnsi="Calibri" w:cs="Calibri"/>
          <w:b/>
          <w:bCs/>
          <w:color w:val="000000"/>
          <w:sz w:val="20"/>
          <w:szCs w:val="20"/>
          <w:lang w:val="en-US" w:eastAsia="sv-SE"/>
        </w:rPr>
      </w:pPr>
      <w:r w:rsidRPr="002E1861">
        <w:rPr>
          <w:rFonts w:ascii="Calibri" w:eastAsia="Times New Roman" w:hAnsi="Calibri" w:cs="Calibri"/>
          <w:b/>
          <w:bCs/>
          <w:color w:val="000000"/>
          <w:sz w:val="20"/>
          <w:szCs w:val="20"/>
          <w:lang w:val="en-US" w:eastAsia="sv-SE"/>
        </w:rPr>
        <w:t xml:space="preserve">Table </w:t>
      </w:r>
      <w:r>
        <w:rPr>
          <w:rFonts w:ascii="Calibri" w:eastAsia="Times New Roman" w:hAnsi="Calibri" w:cs="Calibri"/>
          <w:b/>
          <w:bCs/>
          <w:color w:val="000000"/>
          <w:sz w:val="20"/>
          <w:szCs w:val="20"/>
          <w:lang w:val="en-US" w:eastAsia="sv-SE"/>
        </w:rPr>
        <w:t>2</w:t>
      </w:r>
      <w:r w:rsidRPr="002E1861">
        <w:rPr>
          <w:rFonts w:ascii="Calibri" w:eastAsia="Times New Roman" w:hAnsi="Calibri" w:cs="Calibri"/>
          <w:b/>
          <w:bCs/>
          <w:color w:val="000000"/>
          <w:sz w:val="20"/>
          <w:szCs w:val="20"/>
          <w:lang w:val="en-US" w:eastAsia="sv-SE"/>
        </w:rPr>
        <w:t xml:space="preserve">: </w:t>
      </w:r>
      <w:r w:rsidRPr="002E1861">
        <w:rPr>
          <w:rFonts w:ascii="Calibri" w:eastAsia="Times New Roman" w:hAnsi="Calibri" w:cs="Calibri"/>
          <w:color w:val="000000"/>
          <w:sz w:val="20"/>
          <w:szCs w:val="20"/>
          <w:lang w:val="en-US" w:eastAsia="sv-SE"/>
        </w:rPr>
        <w:t>Clinical outcomes</w:t>
      </w:r>
      <w:r w:rsidRPr="00D5394B">
        <w:rPr>
          <w:rFonts w:ascii="Calibri" w:eastAsia="Times New Roman" w:hAnsi="Calibri" w:cs="Calibri"/>
          <w:color w:val="000000"/>
          <w:sz w:val="20"/>
          <w:szCs w:val="20"/>
          <w:lang w:val="en-US" w:eastAsia="sv-SE"/>
        </w:rPr>
        <w:t xml:space="preserve"> for all cases and population controls.  </w:t>
      </w:r>
    </w:p>
    <w:bookmarkEnd w:id="8"/>
    <w:tbl>
      <w:tblPr>
        <w:tblW w:w="7540"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200"/>
        <w:gridCol w:w="1780"/>
        <w:gridCol w:w="1780"/>
        <w:gridCol w:w="780"/>
      </w:tblGrid>
      <w:tr w:rsidR="00D65181" w:rsidRPr="002E1861" w14:paraId="456B4F20" w14:textId="77777777" w:rsidTr="00702E20">
        <w:trPr>
          <w:trHeight w:val="153"/>
        </w:trPr>
        <w:tc>
          <w:tcPr>
            <w:tcW w:w="3200" w:type="dxa"/>
            <w:tcBorders>
              <w:bottom w:val="single" w:sz="4" w:space="0" w:color="auto"/>
            </w:tcBorders>
            <w:shd w:val="clear" w:color="auto" w:fill="auto"/>
            <w:noWrap/>
            <w:vAlign w:val="bottom"/>
            <w:hideMark/>
          </w:tcPr>
          <w:p w14:paraId="3527AF24" w14:textId="77777777" w:rsidR="00D65181" w:rsidRPr="002E1861" w:rsidRDefault="00D65181" w:rsidP="00455774">
            <w:pPr>
              <w:spacing w:after="0" w:line="240" w:lineRule="auto"/>
              <w:rPr>
                <w:rFonts w:ascii="Calibri" w:eastAsia="Times New Roman" w:hAnsi="Calibri" w:cs="Calibri"/>
                <w:sz w:val="20"/>
                <w:szCs w:val="20"/>
                <w:lang w:val="sv-SE" w:eastAsia="sv-SE"/>
              </w:rPr>
            </w:pPr>
          </w:p>
        </w:tc>
        <w:tc>
          <w:tcPr>
            <w:tcW w:w="1780" w:type="dxa"/>
            <w:tcBorders>
              <w:bottom w:val="single" w:sz="4" w:space="0" w:color="auto"/>
            </w:tcBorders>
            <w:shd w:val="clear" w:color="auto" w:fill="auto"/>
            <w:noWrap/>
            <w:vAlign w:val="center"/>
            <w:hideMark/>
          </w:tcPr>
          <w:p w14:paraId="4E76B512" w14:textId="51846524" w:rsidR="00D65181" w:rsidRPr="002E1861" w:rsidRDefault="00D65181" w:rsidP="00455774">
            <w:pPr>
              <w:spacing w:after="0" w:line="240" w:lineRule="auto"/>
              <w:jc w:val="center"/>
              <w:rPr>
                <w:rFonts w:ascii="Calibri" w:eastAsia="Times New Roman" w:hAnsi="Calibri" w:cs="Calibri"/>
                <w:b/>
                <w:bCs/>
                <w:color w:val="000000"/>
                <w:sz w:val="20"/>
                <w:szCs w:val="20"/>
                <w:lang w:val="sv-SE" w:eastAsia="sv-SE"/>
              </w:rPr>
            </w:pPr>
            <w:r w:rsidRPr="002E1861">
              <w:rPr>
                <w:rFonts w:ascii="Calibri" w:eastAsia="Times New Roman" w:hAnsi="Calibri" w:cs="Calibri"/>
                <w:b/>
                <w:bCs/>
                <w:color w:val="000000"/>
                <w:sz w:val="20"/>
                <w:szCs w:val="20"/>
                <w:lang w:val="sv-SE" w:eastAsia="sv-SE"/>
              </w:rPr>
              <w:t>Controls</w:t>
            </w:r>
          </w:p>
        </w:tc>
        <w:tc>
          <w:tcPr>
            <w:tcW w:w="1780" w:type="dxa"/>
            <w:tcBorders>
              <w:bottom w:val="single" w:sz="4" w:space="0" w:color="auto"/>
            </w:tcBorders>
            <w:shd w:val="clear" w:color="auto" w:fill="auto"/>
            <w:noWrap/>
            <w:vAlign w:val="center"/>
            <w:hideMark/>
          </w:tcPr>
          <w:p w14:paraId="3B0D47D6" w14:textId="6DE9D6F3" w:rsidR="00D65181" w:rsidRPr="002E1861" w:rsidRDefault="00D65181" w:rsidP="00455774">
            <w:pPr>
              <w:spacing w:after="0" w:line="240" w:lineRule="auto"/>
              <w:jc w:val="center"/>
              <w:rPr>
                <w:rFonts w:ascii="Calibri" w:eastAsia="Times New Roman" w:hAnsi="Calibri" w:cs="Calibri"/>
                <w:b/>
                <w:bCs/>
                <w:color w:val="000000"/>
                <w:sz w:val="20"/>
                <w:szCs w:val="20"/>
                <w:lang w:val="sv-SE" w:eastAsia="sv-SE"/>
              </w:rPr>
            </w:pPr>
            <w:r w:rsidRPr="002E1861">
              <w:rPr>
                <w:rFonts w:ascii="Calibri" w:eastAsia="Times New Roman" w:hAnsi="Calibri" w:cs="Calibri"/>
                <w:b/>
                <w:bCs/>
                <w:color w:val="000000"/>
                <w:sz w:val="20"/>
                <w:szCs w:val="20"/>
                <w:lang w:val="sv-SE" w:eastAsia="sv-SE"/>
              </w:rPr>
              <w:t>Cases</w:t>
            </w:r>
          </w:p>
        </w:tc>
        <w:tc>
          <w:tcPr>
            <w:tcW w:w="780" w:type="dxa"/>
            <w:tcBorders>
              <w:bottom w:val="single" w:sz="4" w:space="0" w:color="auto"/>
            </w:tcBorders>
            <w:shd w:val="clear" w:color="auto" w:fill="auto"/>
            <w:noWrap/>
            <w:vAlign w:val="center"/>
            <w:hideMark/>
          </w:tcPr>
          <w:p w14:paraId="07899D7C" w14:textId="77777777" w:rsidR="00D65181" w:rsidRPr="002E1861" w:rsidRDefault="00D65181" w:rsidP="00455774">
            <w:pPr>
              <w:spacing w:after="0" w:line="240" w:lineRule="auto"/>
              <w:jc w:val="center"/>
              <w:rPr>
                <w:rFonts w:ascii="Calibri" w:eastAsia="Times New Roman" w:hAnsi="Calibri" w:cs="Calibri"/>
                <w:b/>
                <w:bCs/>
                <w:color w:val="000000"/>
                <w:sz w:val="20"/>
                <w:szCs w:val="20"/>
                <w:lang w:val="sv-SE" w:eastAsia="sv-SE"/>
              </w:rPr>
            </w:pPr>
            <w:r w:rsidRPr="002E1861">
              <w:rPr>
                <w:rFonts w:ascii="Calibri" w:eastAsia="Times New Roman" w:hAnsi="Calibri" w:cs="Calibri"/>
                <w:b/>
                <w:bCs/>
                <w:color w:val="000000"/>
                <w:sz w:val="20"/>
                <w:szCs w:val="20"/>
                <w:lang w:val="sv-SE" w:eastAsia="sv-SE"/>
              </w:rPr>
              <w:t>p-value</w:t>
            </w:r>
          </w:p>
        </w:tc>
      </w:tr>
      <w:tr w:rsidR="00D65181" w:rsidRPr="002E1861" w14:paraId="53E0790D" w14:textId="77777777" w:rsidTr="00702E20">
        <w:trPr>
          <w:trHeight w:val="240"/>
        </w:trPr>
        <w:tc>
          <w:tcPr>
            <w:tcW w:w="3200" w:type="dxa"/>
            <w:tcBorders>
              <w:top w:val="single" w:sz="4" w:space="0" w:color="auto"/>
              <w:bottom w:val="nil"/>
            </w:tcBorders>
            <w:shd w:val="clear" w:color="auto" w:fill="auto"/>
            <w:noWrap/>
            <w:vAlign w:val="center"/>
            <w:hideMark/>
          </w:tcPr>
          <w:p w14:paraId="40C7577D" w14:textId="77777777" w:rsidR="00D65181" w:rsidRPr="002E1861" w:rsidRDefault="00D65181" w:rsidP="00455774">
            <w:pPr>
              <w:spacing w:after="0" w:line="240" w:lineRule="auto"/>
              <w:rPr>
                <w:rFonts w:ascii="Calibri" w:eastAsia="Times New Roman" w:hAnsi="Calibri" w:cs="Calibri"/>
                <w:color w:val="000000"/>
                <w:sz w:val="20"/>
                <w:szCs w:val="20"/>
                <w:lang w:val="sv-SE" w:eastAsia="sv-SE"/>
              </w:rPr>
            </w:pPr>
            <w:r w:rsidRPr="002E1861">
              <w:rPr>
                <w:rFonts w:ascii="Calibri" w:eastAsia="Times New Roman" w:hAnsi="Calibri" w:cs="Calibri"/>
                <w:color w:val="000000"/>
                <w:sz w:val="20"/>
                <w:szCs w:val="20"/>
                <w:lang w:val="sv-SE" w:eastAsia="sv-SE"/>
              </w:rPr>
              <w:t> </w:t>
            </w:r>
          </w:p>
        </w:tc>
        <w:tc>
          <w:tcPr>
            <w:tcW w:w="1780" w:type="dxa"/>
            <w:tcBorders>
              <w:top w:val="single" w:sz="4" w:space="0" w:color="auto"/>
              <w:bottom w:val="nil"/>
            </w:tcBorders>
            <w:shd w:val="clear" w:color="auto" w:fill="auto"/>
            <w:noWrap/>
            <w:vAlign w:val="center"/>
            <w:hideMark/>
          </w:tcPr>
          <w:p w14:paraId="3A744096" w14:textId="544D163E" w:rsidR="00D65181" w:rsidRPr="002E1861" w:rsidRDefault="00D65181" w:rsidP="00455774">
            <w:pPr>
              <w:spacing w:after="0" w:line="240" w:lineRule="auto"/>
              <w:jc w:val="center"/>
              <w:rPr>
                <w:rFonts w:ascii="Calibri" w:eastAsia="Times New Roman" w:hAnsi="Calibri" w:cs="Calibri"/>
                <w:color w:val="000000"/>
                <w:sz w:val="20"/>
                <w:szCs w:val="20"/>
                <w:lang w:val="sv-SE" w:eastAsia="sv-SE"/>
              </w:rPr>
            </w:pPr>
            <w:r w:rsidRPr="002E1861">
              <w:rPr>
                <w:rFonts w:ascii="Calibri" w:eastAsia="Times New Roman" w:hAnsi="Calibri" w:cs="Calibri"/>
                <w:color w:val="000000"/>
                <w:sz w:val="20"/>
                <w:szCs w:val="20"/>
                <w:lang w:val="sv-SE" w:eastAsia="sv-SE"/>
              </w:rPr>
              <w:t>N=</w:t>
            </w:r>
            <w:r>
              <w:rPr>
                <w:rFonts w:ascii="Calibri" w:eastAsia="Times New Roman" w:hAnsi="Calibri" w:cs="Calibri"/>
                <w:color w:val="000000"/>
                <w:sz w:val="20"/>
                <w:szCs w:val="20"/>
                <w:lang w:val="sv-SE" w:eastAsia="sv-SE"/>
              </w:rPr>
              <w:t>68,665</w:t>
            </w:r>
          </w:p>
        </w:tc>
        <w:tc>
          <w:tcPr>
            <w:tcW w:w="1780" w:type="dxa"/>
            <w:tcBorders>
              <w:top w:val="single" w:sz="4" w:space="0" w:color="auto"/>
              <w:bottom w:val="nil"/>
            </w:tcBorders>
            <w:shd w:val="clear" w:color="auto" w:fill="auto"/>
            <w:noWrap/>
            <w:vAlign w:val="center"/>
            <w:hideMark/>
          </w:tcPr>
          <w:p w14:paraId="18DE7CBB" w14:textId="3DC5E971" w:rsidR="00D65181" w:rsidRPr="002E1861" w:rsidRDefault="00D65181" w:rsidP="00455774">
            <w:pPr>
              <w:spacing w:after="0" w:line="240" w:lineRule="auto"/>
              <w:jc w:val="center"/>
              <w:rPr>
                <w:rFonts w:ascii="Calibri" w:eastAsia="Times New Roman" w:hAnsi="Calibri" w:cs="Calibri"/>
                <w:color w:val="000000"/>
                <w:sz w:val="20"/>
                <w:szCs w:val="20"/>
                <w:lang w:val="sv-SE" w:eastAsia="sv-SE"/>
              </w:rPr>
            </w:pPr>
            <w:r w:rsidRPr="002E1861">
              <w:rPr>
                <w:rFonts w:ascii="Calibri" w:eastAsia="Times New Roman" w:hAnsi="Calibri" w:cs="Calibri"/>
                <w:color w:val="000000"/>
                <w:sz w:val="20"/>
                <w:szCs w:val="20"/>
                <w:lang w:val="sv-SE" w:eastAsia="sv-SE"/>
              </w:rPr>
              <w:t>N=</w:t>
            </w:r>
            <w:r>
              <w:rPr>
                <w:rFonts w:ascii="Calibri" w:eastAsia="Times New Roman" w:hAnsi="Calibri" w:cs="Calibri"/>
                <w:color w:val="000000"/>
                <w:sz w:val="20"/>
                <w:szCs w:val="20"/>
                <w:lang w:val="sv-SE" w:eastAsia="sv-SE"/>
              </w:rPr>
              <w:t>6884</w:t>
            </w:r>
          </w:p>
        </w:tc>
        <w:tc>
          <w:tcPr>
            <w:tcW w:w="780" w:type="dxa"/>
            <w:tcBorders>
              <w:top w:val="single" w:sz="4" w:space="0" w:color="auto"/>
              <w:bottom w:val="nil"/>
            </w:tcBorders>
            <w:shd w:val="clear" w:color="auto" w:fill="auto"/>
            <w:noWrap/>
            <w:vAlign w:val="center"/>
            <w:hideMark/>
          </w:tcPr>
          <w:p w14:paraId="2A63DB4A" w14:textId="77777777" w:rsidR="00D65181" w:rsidRPr="002E1861" w:rsidRDefault="00D65181" w:rsidP="00455774">
            <w:pPr>
              <w:spacing w:after="0" w:line="240" w:lineRule="auto"/>
              <w:jc w:val="center"/>
              <w:rPr>
                <w:rFonts w:ascii="Calibri" w:eastAsia="Times New Roman" w:hAnsi="Calibri" w:cs="Calibri"/>
                <w:color w:val="000000"/>
                <w:sz w:val="20"/>
                <w:szCs w:val="20"/>
                <w:lang w:val="sv-SE" w:eastAsia="sv-SE"/>
              </w:rPr>
            </w:pPr>
          </w:p>
        </w:tc>
      </w:tr>
      <w:tr w:rsidR="00D65181" w:rsidRPr="002E1861" w14:paraId="7F2ED819" w14:textId="77777777" w:rsidTr="00702E20">
        <w:trPr>
          <w:trHeight w:val="120"/>
        </w:trPr>
        <w:tc>
          <w:tcPr>
            <w:tcW w:w="3200" w:type="dxa"/>
            <w:tcBorders>
              <w:top w:val="nil"/>
            </w:tcBorders>
            <w:shd w:val="clear" w:color="auto" w:fill="auto"/>
            <w:noWrap/>
            <w:vAlign w:val="bottom"/>
            <w:hideMark/>
          </w:tcPr>
          <w:p w14:paraId="6590D963" w14:textId="77777777" w:rsidR="00D65181" w:rsidRPr="002E1861" w:rsidRDefault="00D65181" w:rsidP="00455774">
            <w:pPr>
              <w:spacing w:after="0" w:line="240" w:lineRule="auto"/>
              <w:jc w:val="center"/>
              <w:rPr>
                <w:rFonts w:ascii="Calibri" w:eastAsia="Times New Roman" w:hAnsi="Calibri" w:cs="Calibri"/>
                <w:color w:val="000000"/>
                <w:sz w:val="20"/>
                <w:szCs w:val="20"/>
                <w:lang w:val="sv-SE" w:eastAsia="sv-SE"/>
              </w:rPr>
            </w:pPr>
          </w:p>
        </w:tc>
        <w:tc>
          <w:tcPr>
            <w:tcW w:w="1780" w:type="dxa"/>
            <w:tcBorders>
              <w:top w:val="nil"/>
            </w:tcBorders>
            <w:shd w:val="clear" w:color="auto" w:fill="auto"/>
            <w:noWrap/>
            <w:vAlign w:val="bottom"/>
            <w:hideMark/>
          </w:tcPr>
          <w:p w14:paraId="00F099DD" w14:textId="77777777" w:rsidR="00D65181" w:rsidRPr="0085404D" w:rsidRDefault="00D65181" w:rsidP="00455774">
            <w:pPr>
              <w:spacing w:after="0" w:line="240" w:lineRule="auto"/>
              <w:jc w:val="center"/>
              <w:rPr>
                <w:rFonts w:ascii="Calibri" w:eastAsia="Times New Roman" w:hAnsi="Calibri" w:cs="Calibri"/>
                <w:sz w:val="20"/>
                <w:szCs w:val="20"/>
                <w:lang w:val="sv-SE" w:eastAsia="sv-SE"/>
              </w:rPr>
            </w:pPr>
          </w:p>
        </w:tc>
        <w:tc>
          <w:tcPr>
            <w:tcW w:w="1780" w:type="dxa"/>
            <w:tcBorders>
              <w:top w:val="nil"/>
            </w:tcBorders>
            <w:shd w:val="clear" w:color="auto" w:fill="auto"/>
            <w:noWrap/>
            <w:vAlign w:val="bottom"/>
            <w:hideMark/>
          </w:tcPr>
          <w:p w14:paraId="294B602B" w14:textId="77777777" w:rsidR="00D65181" w:rsidRPr="002E1861" w:rsidRDefault="00D65181" w:rsidP="00455774">
            <w:pPr>
              <w:spacing w:after="0" w:line="240" w:lineRule="auto"/>
              <w:jc w:val="center"/>
              <w:rPr>
                <w:rFonts w:ascii="Calibri" w:eastAsia="Times New Roman" w:hAnsi="Calibri" w:cs="Calibri"/>
                <w:sz w:val="20"/>
                <w:szCs w:val="20"/>
                <w:lang w:val="sv-SE" w:eastAsia="sv-SE"/>
              </w:rPr>
            </w:pPr>
          </w:p>
        </w:tc>
        <w:tc>
          <w:tcPr>
            <w:tcW w:w="780" w:type="dxa"/>
            <w:tcBorders>
              <w:top w:val="nil"/>
            </w:tcBorders>
            <w:shd w:val="clear" w:color="auto" w:fill="auto"/>
            <w:noWrap/>
            <w:vAlign w:val="bottom"/>
            <w:hideMark/>
          </w:tcPr>
          <w:p w14:paraId="4BB523E5" w14:textId="77777777" w:rsidR="00D65181" w:rsidRPr="002E1861" w:rsidRDefault="00D65181" w:rsidP="00455774">
            <w:pPr>
              <w:spacing w:after="0" w:line="240" w:lineRule="auto"/>
              <w:jc w:val="center"/>
              <w:rPr>
                <w:rFonts w:ascii="Calibri" w:eastAsia="Times New Roman" w:hAnsi="Calibri" w:cs="Calibri"/>
                <w:sz w:val="20"/>
                <w:szCs w:val="20"/>
                <w:lang w:val="sv-SE" w:eastAsia="sv-SE"/>
              </w:rPr>
            </w:pPr>
          </w:p>
        </w:tc>
      </w:tr>
      <w:tr w:rsidR="00D65181" w:rsidRPr="002E1861" w14:paraId="3D93E0FE" w14:textId="77777777" w:rsidTr="00293096">
        <w:trPr>
          <w:trHeight w:val="240"/>
        </w:trPr>
        <w:tc>
          <w:tcPr>
            <w:tcW w:w="3200" w:type="dxa"/>
            <w:shd w:val="clear" w:color="auto" w:fill="auto"/>
            <w:noWrap/>
            <w:vAlign w:val="center"/>
            <w:hideMark/>
          </w:tcPr>
          <w:p w14:paraId="43253FC0" w14:textId="77777777" w:rsidR="00D65181" w:rsidRPr="002E1861" w:rsidRDefault="00D65181" w:rsidP="00455774">
            <w:pPr>
              <w:spacing w:after="0" w:line="240" w:lineRule="auto"/>
              <w:rPr>
                <w:rFonts w:ascii="Calibri" w:eastAsia="Times New Roman" w:hAnsi="Calibri" w:cs="Calibri"/>
                <w:color w:val="000000"/>
                <w:sz w:val="20"/>
                <w:szCs w:val="20"/>
                <w:lang w:val="en-US" w:eastAsia="sv-SE"/>
              </w:rPr>
            </w:pPr>
            <w:r w:rsidRPr="002E1861">
              <w:rPr>
                <w:rFonts w:ascii="Calibri" w:eastAsia="Times New Roman" w:hAnsi="Calibri" w:cs="Calibri"/>
                <w:color w:val="000000"/>
                <w:sz w:val="20"/>
                <w:szCs w:val="20"/>
                <w:lang w:val="en-US" w:eastAsia="sv-SE"/>
              </w:rPr>
              <w:t>Time at risk, years, median (IQR)</w:t>
            </w:r>
          </w:p>
        </w:tc>
        <w:tc>
          <w:tcPr>
            <w:tcW w:w="1780" w:type="dxa"/>
            <w:shd w:val="clear" w:color="auto" w:fill="auto"/>
            <w:noWrap/>
            <w:vAlign w:val="center"/>
            <w:hideMark/>
          </w:tcPr>
          <w:p w14:paraId="070B8E95" w14:textId="77777777" w:rsidR="00D65181" w:rsidRPr="0085404D" w:rsidRDefault="00D65181" w:rsidP="00455774">
            <w:pPr>
              <w:spacing w:after="0" w:line="240" w:lineRule="auto"/>
              <w:jc w:val="center"/>
              <w:rPr>
                <w:rFonts w:ascii="Calibri" w:eastAsia="Times New Roman" w:hAnsi="Calibri" w:cs="Calibri"/>
                <w:sz w:val="20"/>
                <w:szCs w:val="20"/>
                <w:lang w:val="sv-SE" w:eastAsia="sv-SE"/>
              </w:rPr>
            </w:pPr>
            <w:r w:rsidRPr="0085404D">
              <w:rPr>
                <w:rFonts w:ascii="Calibri" w:eastAsia="Times New Roman" w:hAnsi="Calibri" w:cs="Calibri"/>
                <w:sz w:val="20"/>
                <w:szCs w:val="20"/>
                <w:lang w:val="sv-SE" w:eastAsia="sv-SE"/>
              </w:rPr>
              <w:t>6.4 (4.0-10.7)</w:t>
            </w:r>
          </w:p>
        </w:tc>
        <w:tc>
          <w:tcPr>
            <w:tcW w:w="1780" w:type="dxa"/>
            <w:shd w:val="clear" w:color="auto" w:fill="auto"/>
            <w:noWrap/>
            <w:vAlign w:val="center"/>
            <w:hideMark/>
          </w:tcPr>
          <w:p w14:paraId="616997D5" w14:textId="4990FC16" w:rsidR="00D65181" w:rsidRPr="000023D8" w:rsidRDefault="00D65181" w:rsidP="00455774">
            <w:pPr>
              <w:spacing w:after="0" w:line="240" w:lineRule="auto"/>
              <w:jc w:val="center"/>
              <w:rPr>
                <w:rFonts w:ascii="Calibri" w:eastAsia="Times New Roman" w:hAnsi="Calibri" w:cs="Calibri"/>
                <w:sz w:val="20"/>
                <w:szCs w:val="20"/>
                <w:lang w:val="sv-SE" w:eastAsia="sv-SE"/>
              </w:rPr>
            </w:pPr>
            <w:r w:rsidRPr="000023D8">
              <w:rPr>
                <w:rFonts w:ascii="Calibri" w:eastAsia="Times New Roman" w:hAnsi="Calibri" w:cs="Calibri"/>
                <w:sz w:val="20"/>
                <w:szCs w:val="20"/>
                <w:lang w:val="sv-SE" w:eastAsia="sv-SE"/>
              </w:rPr>
              <w:t>1.1 (0.4-4.3)</w:t>
            </w:r>
          </w:p>
        </w:tc>
        <w:tc>
          <w:tcPr>
            <w:tcW w:w="780" w:type="dxa"/>
            <w:shd w:val="clear" w:color="auto" w:fill="auto"/>
            <w:noWrap/>
            <w:vAlign w:val="bottom"/>
            <w:hideMark/>
          </w:tcPr>
          <w:p w14:paraId="2AF2BEF1" w14:textId="77777777" w:rsidR="00D65181" w:rsidRPr="00FC7648" w:rsidRDefault="00D65181" w:rsidP="00455774">
            <w:pPr>
              <w:spacing w:after="0" w:line="240" w:lineRule="auto"/>
              <w:jc w:val="center"/>
              <w:rPr>
                <w:rFonts w:ascii="Calibri" w:eastAsia="Times New Roman" w:hAnsi="Calibri" w:cs="Calibri"/>
                <w:color w:val="FF0000"/>
                <w:sz w:val="20"/>
                <w:szCs w:val="20"/>
                <w:lang w:val="sv-SE" w:eastAsia="sv-SE"/>
              </w:rPr>
            </w:pPr>
          </w:p>
        </w:tc>
      </w:tr>
      <w:tr w:rsidR="00D65181" w:rsidRPr="002E1861" w14:paraId="5892C0D2" w14:textId="77777777" w:rsidTr="00293096">
        <w:trPr>
          <w:trHeight w:val="120"/>
        </w:trPr>
        <w:tc>
          <w:tcPr>
            <w:tcW w:w="3200" w:type="dxa"/>
            <w:shd w:val="clear" w:color="auto" w:fill="auto"/>
            <w:noWrap/>
            <w:vAlign w:val="bottom"/>
            <w:hideMark/>
          </w:tcPr>
          <w:p w14:paraId="6D2B4803" w14:textId="77777777" w:rsidR="00D65181" w:rsidRPr="002E1861" w:rsidRDefault="00D65181" w:rsidP="00455774">
            <w:pPr>
              <w:spacing w:after="0" w:line="240" w:lineRule="auto"/>
              <w:rPr>
                <w:rFonts w:ascii="Calibri" w:eastAsia="Times New Roman" w:hAnsi="Calibri" w:cs="Calibri"/>
                <w:sz w:val="20"/>
                <w:szCs w:val="20"/>
                <w:lang w:val="sv-SE" w:eastAsia="sv-SE"/>
              </w:rPr>
            </w:pPr>
          </w:p>
        </w:tc>
        <w:tc>
          <w:tcPr>
            <w:tcW w:w="1780" w:type="dxa"/>
            <w:shd w:val="clear" w:color="auto" w:fill="auto"/>
            <w:noWrap/>
            <w:vAlign w:val="bottom"/>
            <w:hideMark/>
          </w:tcPr>
          <w:p w14:paraId="30768FD4" w14:textId="77777777" w:rsidR="00D65181" w:rsidRPr="0085404D" w:rsidRDefault="00D65181" w:rsidP="00455774">
            <w:pPr>
              <w:spacing w:after="0" w:line="240" w:lineRule="auto"/>
              <w:jc w:val="center"/>
              <w:rPr>
                <w:rFonts w:ascii="Calibri" w:eastAsia="Times New Roman" w:hAnsi="Calibri" w:cs="Calibri"/>
                <w:sz w:val="20"/>
                <w:szCs w:val="20"/>
                <w:lang w:val="sv-SE" w:eastAsia="sv-SE"/>
              </w:rPr>
            </w:pPr>
          </w:p>
        </w:tc>
        <w:tc>
          <w:tcPr>
            <w:tcW w:w="1780" w:type="dxa"/>
            <w:shd w:val="clear" w:color="auto" w:fill="auto"/>
            <w:noWrap/>
            <w:vAlign w:val="bottom"/>
            <w:hideMark/>
          </w:tcPr>
          <w:p w14:paraId="4F7891DB" w14:textId="77777777" w:rsidR="00D65181" w:rsidRPr="00FC7648" w:rsidRDefault="00D65181" w:rsidP="00455774">
            <w:pPr>
              <w:spacing w:after="0" w:line="240" w:lineRule="auto"/>
              <w:jc w:val="center"/>
              <w:rPr>
                <w:rFonts w:ascii="Calibri" w:eastAsia="Times New Roman" w:hAnsi="Calibri" w:cs="Calibri"/>
                <w:color w:val="FF0000"/>
                <w:sz w:val="20"/>
                <w:szCs w:val="20"/>
                <w:lang w:val="sv-SE" w:eastAsia="sv-SE"/>
              </w:rPr>
            </w:pPr>
          </w:p>
        </w:tc>
        <w:tc>
          <w:tcPr>
            <w:tcW w:w="780" w:type="dxa"/>
            <w:shd w:val="clear" w:color="auto" w:fill="auto"/>
            <w:noWrap/>
            <w:vAlign w:val="bottom"/>
            <w:hideMark/>
          </w:tcPr>
          <w:p w14:paraId="5F80503B" w14:textId="77777777" w:rsidR="00D65181" w:rsidRPr="00FC7648" w:rsidRDefault="00D65181" w:rsidP="00455774">
            <w:pPr>
              <w:spacing w:after="0" w:line="240" w:lineRule="auto"/>
              <w:jc w:val="center"/>
              <w:rPr>
                <w:rFonts w:ascii="Calibri" w:eastAsia="Times New Roman" w:hAnsi="Calibri" w:cs="Calibri"/>
                <w:color w:val="FF0000"/>
                <w:sz w:val="20"/>
                <w:szCs w:val="20"/>
                <w:lang w:val="sv-SE" w:eastAsia="sv-SE"/>
              </w:rPr>
            </w:pPr>
          </w:p>
        </w:tc>
      </w:tr>
      <w:tr w:rsidR="00D65181" w:rsidRPr="002E1861" w14:paraId="1456B960" w14:textId="77777777" w:rsidTr="00293096">
        <w:trPr>
          <w:trHeight w:val="240"/>
        </w:trPr>
        <w:tc>
          <w:tcPr>
            <w:tcW w:w="3200" w:type="dxa"/>
            <w:shd w:val="clear" w:color="auto" w:fill="auto"/>
            <w:noWrap/>
            <w:vAlign w:val="center"/>
          </w:tcPr>
          <w:p w14:paraId="10FC2CE1" w14:textId="77777777" w:rsidR="00D65181" w:rsidRPr="00B1018B" w:rsidRDefault="00D65181" w:rsidP="00455774">
            <w:pPr>
              <w:spacing w:after="0" w:line="240" w:lineRule="auto"/>
              <w:rPr>
                <w:rFonts w:ascii="Calibri" w:eastAsia="Times New Roman" w:hAnsi="Calibri" w:cs="Calibri"/>
                <w:b/>
                <w:bCs/>
                <w:color w:val="000000"/>
                <w:sz w:val="20"/>
                <w:szCs w:val="20"/>
                <w:lang w:val="sv-SE" w:eastAsia="sv-SE"/>
              </w:rPr>
            </w:pPr>
            <w:r w:rsidRPr="00B1018B">
              <w:rPr>
                <w:rFonts w:ascii="Calibri" w:eastAsia="Times New Roman" w:hAnsi="Calibri" w:cs="Calibri"/>
                <w:b/>
                <w:bCs/>
                <w:color w:val="000000"/>
                <w:sz w:val="20"/>
                <w:szCs w:val="20"/>
                <w:lang w:val="sv-SE" w:eastAsia="sv-SE"/>
              </w:rPr>
              <w:t>Death</w:t>
            </w:r>
          </w:p>
        </w:tc>
        <w:tc>
          <w:tcPr>
            <w:tcW w:w="1780" w:type="dxa"/>
            <w:shd w:val="clear" w:color="auto" w:fill="auto"/>
            <w:noWrap/>
          </w:tcPr>
          <w:p w14:paraId="35527F7E" w14:textId="77777777" w:rsidR="00D65181" w:rsidRPr="0085404D" w:rsidRDefault="00D65181" w:rsidP="00455774">
            <w:pPr>
              <w:spacing w:after="0" w:line="240" w:lineRule="auto"/>
              <w:jc w:val="center"/>
              <w:rPr>
                <w:rFonts w:ascii="Calibri" w:eastAsia="Times New Roman" w:hAnsi="Calibri" w:cs="Calibri"/>
                <w:b/>
                <w:bCs/>
                <w:sz w:val="20"/>
                <w:szCs w:val="20"/>
                <w:u w:val="single"/>
                <w:lang w:val="sv-SE" w:eastAsia="sv-SE"/>
              </w:rPr>
            </w:pPr>
          </w:p>
        </w:tc>
        <w:tc>
          <w:tcPr>
            <w:tcW w:w="1780" w:type="dxa"/>
            <w:shd w:val="clear" w:color="auto" w:fill="auto"/>
            <w:noWrap/>
          </w:tcPr>
          <w:p w14:paraId="38F1D0C0" w14:textId="77777777" w:rsidR="00D65181" w:rsidRPr="00FC7648" w:rsidRDefault="00D65181" w:rsidP="00455774">
            <w:pPr>
              <w:spacing w:after="0" w:line="240" w:lineRule="auto"/>
              <w:jc w:val="center"/>
              <w:rPr>
                <w:rFonts w:ascii="Calibri" w:eastAsia="Times New Roman" w:hAnsi="Calibri" w:cs="Calibri"/>
                <w:color w:val="FF0000"/>
                <w:sz w:val="20"/>
                <w:szCs w:val="20"/>
                <w:lang w:val="sv-SE" w:eastAsia="sv-SE"/>
              </w:rPr>
            </w:pPr>
          </w:p>
        </w:tc>
        <w:tc>
          <w:tcPr>
            <w:tcW w:w="780" w:type="dxa"/>
            <w:shd w:val="clear" w:color="auto" w:fill="auto"/>
            <w:noWrap/>
            <w:vAlign w:val="bottom"/>
          </w:tcPr>
          <w:p w14:paraId="2FE236A2" w14:textId="77777777" w:rsidR="00D65181" w:rsidRPr="00FC7648" w:rsidRDefault="00D65181" w:rsidP="00455774">
            <w:pPr>
              <w:spacing w:after="0" w:line="240" w:lineRule="auto"/>
              <w:jc w:val="center"/>
              <w:rPr>
                <w:rFonts w:ascii="Calibri" w:eastAsia="Times New Roman" w:hAnsi="Calibri" w:cs="Calibri"/>
                <w:color w:val="FF0000"/>
                <w:sz w:val="20"/>
                <w:szCs w:val="20"/>
                <w:lang w:val="sv-SE" w:eastAsia="sv-SE"/>
              </w:rPr>
            </w:pPr>
          </w:p>
        </w:tc>
      </w:tr>
      <w:tr w:rsidR="00D65181" w:rsidRPr="002E1861" w14:paraId="5EA8CC61" w14:textId="77777777" w:rsidTr="00293096">
        <w:trPr>
          <w:trHeight w:val="240"/>
        </w:trPr>
        <w:tc>
          <w:tcPr>
            <w:tcW w:w="3200" w:type="dxa"/>
            <w:shd w:val="clear" w:color="auto" w:fill="auto"/>
            <w:noWrap/>
            <w:vAlign w:val="center"/>
          </w:tcPr>
          <w:p w14:paraId="5E124727" w14:textId="77777777" w:rsidR="00D65181" w:rsidRPr="00B1018B" w:rsidRDefault="00D65181" w:rsidP="00455774">
            <w:pPr>
              <w:spacing w:after="0" w:line="240" w:lineRule="auto"/>
              <w:rPr>
                <w:rFonts w:ascii="Calibri" w:eastAsia="Times New Roman" w:hAnsi="Calibri" w:cs="Calibri"/>
                <w:b/>
                <w:bCs/>
                <w:color w:val="000000"/>
                <w:sz w:val="20"/>
                <w:szCs w:val="20"/>
                <w:lang w:val="sv-SE" w:eastAsia="sv-SE"/>
              </w:rPr>
            </w:pPr>
            <w:r w:rsidRPr="002E1861">
              <w:rPr>
                <w:rFonts w:ascii="Calibri" w:eastAsia="Times New Roman" w:hAnsi="Calibri" w:cs="Calibri"/>
                <w:color w:val="000000"/>
                <w:sz w:val="20"/>
                <w:szCs w:val="20"/>
                <w:lang w:val="sv-SE" w:eastAsia="sv-SE"/>
              </w:rPr>
              <w:t>Events, n (%)</w:t>
            </w:r>
          </w:p>
        </w:tc>
        <w:tc>
          <w:tcPr>
            <w:tcW w:w="1780" w:type="dxa"/>
            <w:shd w:val="clear" w:color="auto" w:fill="auto"/>
            <w:noWrap/>
          </w:tcPr>
          <w:p w14:paraId="7E40949B" w14:textId="77777777" w:rsidR="00D65181" w:rsidRPr="00FC7648" w:rsidRDefault="00D65181" w:rsidP="00455774">
            <w:pPr>
              <w:spacing w:after="0" w:line="240" w:lineRule="auto"/>
              <w:jc w:val="center"/>
              <w:rPr>
                <w:rFonts w:ascii="Calibri" w:eastAsia="Times New Roman" w:hAnsi="Calibri" w:cs="Calibri"/>
                <w:b/>
                <w:bCs/>
                <w:sz w:val="20"/>
                <w:szCs w:val="20"/>
                <w:u w:val="single"/>
                <w:lang w:val="sv-SE" w:eastAsia="sv-SE"/>
              </w:rPr>
            </w:pPr>
            <w:r w:rsidRPr="00FC7648">
              <w:t>18221 (26.5</w:t>
            </w:r>
            <w:r>
              <w:t>%</w:t>
            </w:r>
            <w:r w:rsidRPr="00FC7648">
              <w:t>)</w:t>
            </w:r>
          </w:p>
        </w:tc>
        <w:tc>
          <w:tcPr>
            <w:tcW w:w="1780" w:type="dxa"/>
            <w:shd w:val="clear" w:color="auto" w:fill="auto"/>
            <w:noWrap/>
          </w:tcPr>
          <w:p w14:paraId="0E91FEAA" w14:textId="77777777" w:rsidR="00D65181" w:rsidRPr="0014799C" w:rsidRDefault="00D65181" w:rsidP="00455774">
            <w:pPr>
              <w:spacing w:after="0" w:line="240" w:lineRule="auto"/>
              <w:jc w:val="center"/>
              <w:rPr>
                <w:rFonts w:ascii="Calibri" w:eastAsia="Times New Roman" w:hAnsi="Calibri" w:cs="Calibri"/>
                <w:sz w:val="20"/>
                <w:szCs w:val="20"/>
                <w:lang w:val="sv-SE" w:eastAsia="sv-SE"/>
              </w:rPr>
            </w:pPr>
            <w:r w:rsidRPr="0014799C">
              <w:t>13</w:t>
            </w:r>
            <w:r>
              <w:t>56</w:t>
            </w:r>
            <w:r w:rsidRPr="0014799C">
              <w:t xml:space="preserve"> (</w:t>
            </w:r>
            <w:r>
              <w:t>19.7%</w:t>
            </w:r>
            <w:r w:rsidRPr="0014799C">
              <w:t>)</w:t>
            </w:r>
          </w:p>
        </w:tc>
        <w:tc>
          <w:tcPr>
            <w:tcW w:w="780" w:type="dxa"/>
            <w:shd w:val="clear" w:color="auto" w:fill="auto"/>
            <w:noWrap/>
          </w:tcPr>
          <w:p w14:paraId="11E37915" w14:textId="77777777" w:rsidR="00D65181" w:rsidRPr="00FC7648" w:rsidRDefault="00D65181" w:rsidP="00455774">
            <w:pPr>
              <w:spacing w:after="0" w:line="240" w:lineRule="auto"/>
              <w:jc w:val="center"/>
              <w:rPr>
                <w:rFonts w:ascii="Calibri" w:eastAsia="Times New Roman" w:hAnsi="Calibri" w:cs="Calibri"/>
                <w:color w:val="FF0000"/>
                <w:sz w:val="20"/>
                <w:szCs w:val="20"/>
                <w:lang w:val="sv-SE" w:eastAsia="sv-SE"/>
              </w:rPr>
            </w:pPr>
          </w:p>
        </w:tc>
      </w:tr>
      <w:tr w:rsidR="00D65181" w:rsidRPr="002E1861" w14:paraId="67289527" w14:textId="77777777" w:rsidTr="00293096">
        <w:trPr>
          <w:trHeight w:val="240"/>
        </w:trPr>
        <w:tc>
          <w:tcPr>
            <w:tcW w:w="3200" w:type="dxa"/>
            <w:shd w:val="clear" w:color="auto" w:fill="auto"/>
            <w:noWrap/>
            <w:vAlign w:val="center"/>
          </w:tcPr>
          <w:p w14:paraId="0CB59675" w14:textId="77777777" w:rsidR="00D65181" w:rsidRPr="00B1018B" w:rsidRDefault="00D65181" w:rsidP="00455774">
            <w:pPr>
              <w:spacing w:after="0" w:line="240" w:lineRule="auto"/>
              <w:rPr>
                <w:rFonts w:ascii="Calibri" w:eastAsia="Times New Roman" w:hAnsi="Calibri" w:cs="Calibri"/>
                <w:b/>
                <w:bCs/>
                <w:color w:val="000000"/>
                <w:sz w:val="20"/>
                <w:szCs w:val="20"/>
                <w:lang w:val="sv-SE" w:eastAsia="sv-SE"/>
              </w:rPr>
            </w:pPr>
            <w:r w:rsidRPr="002E1861">
              <w:rPr>
                <w:rFonts w:ascii="Calibri" w:eastAsia="Times New Roman" w:hAnsi="Calibri" w:cs="Calibri"/>
                <w:color w:val="000000"/>
                <w:sz w:val="20"/>
                <w:szCs w:val="20"/>
                <w:lang w:val="sv-SE" w:eastAsia="sv-SE"/>
              </w:rPr>
              <w:lastRenderedPageBreak/>
              <w:t>per 1000 person years (95% CI)</w:t>
            </w:r>
          </w:p>
        </w:tc>
        <w:tc>
          <w:tcPr>
            <w:tcW w:w="1780" w:type="dxa"/>
            <w:shd w:val="clear" w:color="auto" w:fill="auto"/>
            <w:noWrap/>
          </w:tcPr>
          <w:p w14:paraId="2D59CB97" w14:textId="77777777" w:rsidR="00D65181" w:rsidRPr="00685D94" w:rsidRDefault="00D65181" w:rsidP="00455774">
            <w:pPr>
              <w:spacing w:after="0" w:line="240" w:lineRule="auto"/>
              <w:jc w:val="center"/>
              <w:rPr>
                <w:rFonts w:ascii="Calibri" w:eastAsia="Times New Roman" w:hAnsi="Calibri" w:cs="Calibri"/>
                <w:b/>
                <w:bCs/>
                <w:sz w:val="20"/>
                <w:szCs w:val="20"/>
                <w:u w:val="single"/>
                <w:lang w:val="sv-SE" w:eastAsia="sv-SE"/>
              </w:rPr>
            </w:pPr>
            <w:r w:rsidRPr="00685D94">
              <w:t>34.1 (33.6-34.6)</w:t>
            </w:r>
          </w:p>
        </w:tc>
        <w:tc>
          <w:tcPr>
            <w:tcW w:w="1780" w:type="dxa"/>
            <w:shd w:val="clear" w:color="auto" w:fill="auto"/>
            <w:noWrap/>
          </w:tcPr>
          <w:p w14:paraId="68E42576" w14:textId="77777777" w:rsidR="00D65181" w:rsidRPr="0014799C" w:rsidRDefault="00D65181" w:rsidP="00455774">
            <w:pPr>
              <w:spacing w:after="0" w:line="240" w:lineRule="auto"/>
              <w:jc w:val="center"/>
              <w:rPr>
                <w:rFonts w:ascii="Calibri" w:eastAsia="Times New Roman" w:hAnsi="Calibri" w:cs="Calibri"/>
                <w:sz w:val="20"/>
                <w:szCs w:val="20"/>
                <w:lang w:val="sv-SE" w:eastAsia="sv-SE"/>
              </w:rPr>
            </w:pPr>
            <w:r>
              <w:t>66.8</w:t>
            </w:r>
            <w:r w:rsidRPr="0014799C">
              <w:t xml:space="preserve"> (</w:t>
            </w:r>
            <w:r>
              <w:t>63.3</w:t>
            </w:r>
            <w:r w:rsidRPr="0014799C">
              <w:t>-</w:t>
            </w:r>
            <w:r>
              <w:t>70.4</w:t>
            </w:r>
            <w:r w:rsidRPr="0014799C">
              <w:t>)</w:t>
            </w:r>
          </w:p>
        </w:tc>
        <w:tc>
          <w:tcPr>
            <w:tcW w:w="780" w:type="dxa"/>
            <w:shd w:val="clear" w:color="auto" w:fill="auto"/>
            <w:noWrap/>
          </w:tcPr>
          <w:p w14:paraId="137E1642" w14:textId="77777777" w:rsidR="00D65181" w:rsidRPr="00FC7648" w:rsidRDefault="00D65181" w:rsidP="00455774">
            <w:pPr>
              <w:spacing w:after="0" w:line="240" w:lineRule="auto"/>
              <w:jc w:val="center"/>
              <w:rPr>
                <w:rFonts w:ascii="Calibri" w:eastAsia="Times New Roman" w:hAnsi="Calibri" w:cs="Calibri"/>
                <w:color w:val="FF0000"/>
                <w:sz w:val="20"/>
                <w:szCs w:val="20"/>
                <w:lang w:val="sv-SE" w:eastAsia="sv-SE"/>
              </w:rPr>
            </w:pPr>
          </w:p>
        </w:tc>
      </w:tr>
      <w:tr w:rsidR="00D65181" w:rsidRPr="002E1861" w14:paraId="442A2FE6" w14:textId="77777777" w:rsidTr="00293096">
        <w:trPr>
          <w:trHeight w:val="240"/>
        </w:trPr>
        <w:tc>
          <w:tcPr>
            <w:tcW w:w="3200" w:type="dxa"/>
            <w:shd w:val="clear" w:color="auto" w:fill="auto"/>
            <w:noWrap/>
            <w:vAlign w:val="center"/>
          </w:tcPr>
          <w:p w14:paraId="47264800" w14:textId="358B1B79" w:rsidR="00D65181" w:rsidRPr="002E1861" w:rsidRDefault="00D65181" w:rsidP="00455774">
            <w:pPr>
              <w:spacing w:after="0" w:line="240" w:lineRule="auto"/>
              <w:rPr>
                <w:rFonts w:ascii="Calibri" w:eastAsia="Times New Roman" w:hAnsi="Calibri" w:cs="Calibri"/>
                <w:color w:val="000000"/>
                <w:sz w:val="20"/>
                <w:szCs w:val="20"/>
                <w:lang w:val="sv-SE" w:eastAsia="sv-SE"/>
              </w:rPr>
            </w:pPr>
            <w:r w:rsidRPr="002E1861">
              <w:rPr>
                <w:rFonts w:ascii="Calibri" w:eastAsia="Times New Roman" w:hAnsi="Calibri" w:cs="Calibri"/>
                <w:color w:val="000000"/>
                <w:sz w:val="20"/>
                <w:szCs w:val="20"/>
                <w:lang w:val="en-US" w:eastAsia="sv-SE"/>
              </w:rPr>
              <w:t>HR (95%CI)</w:t>
            </w:r>
          </w:p>
        </w:tc>
        <w:tc>
          <w:tcPr>
            <w:tcW w:w="1780" w:type="dxa"/>
            <w:shd w:val="clear" w:color="auto" w:fill="auto"/>
            <w:noWrap/>
          </w:tcPr>
          <w:p w14:paraId="22A514B9" w14:textId="471AD4FB" w:rsidR="00D65181" w:rsidRPr="00685D94" w:rsidRDefault="00D454FE" w:rsidP="00455774">
            <w:pPr>
              <w:spacing w:after="0" w:line="240" w:lineRule="auto"/>
              <w:jc w:val="center"/>
            </w:pPr>
            <w:r>
              <w:t>r</w:t>
            </w:r>
            <w:r w:rsidR="00D65181" w:rsidRPr="00D65181">
              <w:t>ef</w:t>
            </w:r>
            <w:r>
              <w:t>erence</w:t>
            </w:r>
          </w:p>
        </w:tc>
        <w:tc>
          <w:tcPr>
            <w:tcW w:w="1780" w:type="dxa"/>
            <w:shd w:val="clear" w:color="auto" w:fill="auto"/>
            <w:noWrap/>
          </w:tcPr>
          <w:p w14:paraId="3218C630" w14:textId="716E8FBB" w:rsidR="00D65181" w:rsidRDefault="00D65181" w:rsidP="00455774">
            <w:pPr>
              <w:spacing w:after="0" w:line="240" w:lineRule="auto"/>
              <w:jc w:val="center"/>
            </w:pPr>
            <w:r w:rsidRPr="00D65181">
              <w:t>1.96 (1.85-2.07)</w:t>
            </w:r>
          </w:p>
        </w:tc>
        <w:tc>
          <w:tcPr>
            <w:tcW w:w="780" w:type="dxa"/>
            <w:shd w:val="clear" w:color="auto" w:fill="auto"/>
            <w:noWrap/>
          </w:tcPr>
          <w:p w14:paraId="7B77F620" w14:textId="067FEB34" w:rsidR="00D65181" w:rsidRPr="00FC7648" w:rsidRDefault="00D65181" w:rsidP="00455774">
            <w:pPr>
              <w:spacing w:after="0" w:line="240" w:lineRule="auto"/>
              <w:jc w:val="center"/>
              <w:rPr>
                <w:rFonts w:ascii="Calibri" w:eastAsia="Times New Roman" w:hAnsi="Calibri" w:cs="Calibri"/>
                <w:color w:val="FF0000"/>
                <w:sz w:val="20"/>
                <w:szCs w:val="20"/>
                <w:lang w:val="sv-SE" w:eastAsia="sv-SE"/>
              </w:rPr>
            </w:pPr>
            <w:r w:rsidRPr="00AD343B">
              <w:rPr>
                <w:rFonts w:ascii="Calibri" w:eastAsia="Times New Roman" w:hAnsi="Calibri" w:cs="Calibri"/>
                <w:sz w:val="20"/>
                <w:szCs w:val="20"/>
                <w:lang w:val="sv-SE" w:eastAsia="sv-SE"/>
              </w:rPr>
              <w:t>&lt;0.001</w:t>
            </w:r>
          </w:p>
        </w:tc>
      </w:tr>
      <w:tr w:rsidR="00D65181" w:rsidRPr="002E1861" w14:paraId="12EE75C6" w14:textId="77777777" w:rsidTr="00293096">
        <w:trPr>
          <w:trHeight w:val="240"/>
        </w:trPr>
        <w:tc>
          <w:tcPr>
            <w:tcW w:w="3200" w:type="dxa"/>
            <w:shd w:val="clear" w:color="auto" w:fill="auto"/>
            <w:noWrap/>
            <w:vAlign w:val="center"/>
          </w:tcPr>
          <w:p w14:paraId="1AEED555" w14:textId="3D8136F6" w:rsidR="00D65181" w:rsidRPr="00B1018B" w:rsidRDefault="00D65181" w:rsidP="00455774">
            <w:pPr>
              <w:spacing w:after="0" w:line="240" w:lineRule="auto"/>
              <w:rPr>
                <w:rFonts w:ascii="Calibri" w:eastAsia="Times New Roman" w:hAnsi="Calibri" w:cs="Calibri"/>
                <w:b/>
                <w:bCs/>
                <w:color w:val="000000"/>
                <w:sz w:val="20"/>
                <w:szCs w:val="20"/>
                <w:lang w:val="sv-SE" w:eastAsia="sv-SE"/>
              </w:rPr>
            </w:pPr>
            <w:r>
              <w:rPr>
                <w:rFonts w:ascii="Calibri" w:eastAsia="Times New Roman" w:hAnsi="Calibri" w:cs="Calibri"/>
                <w:color w:val="000000"/>
                <w:sz w:val="20"/>
                <w:szCs w:val="20"/>
                <w:lang w:val="en-US" w:eastAsia="sv-SE"/>
              </w:rPr>
              <w:t xml:space="preserve">Adjusted </w:t>
            </w:r>
            <w:r w:rsidRPr="002E1861">
              <w:rPr>
                <w:rFonts w:ascii="Calibri" w:eastAsia="Times New Roman" w:hAnsi="Calibri" w:cs="Calibri"/>
                <w:color w:val="000000"/>
                <w:sz w:val="20"/>
                <w:szCs w:val="20"/>
                <w:lang w:val="en-US" w:eastAsia="sv-SE"/>
              </w:rPr>
              <w:t>HR (95%</w:t>
            </w:r>
            <w:r w:rsidR="001000EB" w:rsidRPr="002E1861">
              <w:rPr>
                <w:rFonts w:ascii="Calibri" w:eastAsia="Times New Roman" w:hAnsi="Calibri" w:cs="Calibri"/>
                <w:color w:val="000000"/>
                <w:sz w:val="20"/>
                <w:szCs w:val="20"/>
                <w:lang w:val="en-US" w:eastAsia="sv-SE"/>
              </w:rPr>
              <w:t>CI)</w:t>
            </w:r>
            <w:r w:rsidR="001000EB">
              <w:rPr>
                <w:rFonts w:ascii="Calibri" w:eastAsia="Times New Roman" w:hAnsi="Calibri" w:cs="Calibri"/>
                <w:color w:val="000000"/>
                <w:sz w:val="20"/>
                <w:szCs w:val="20"/>
                <w:lang w:val="en-US" w:eastAsia="sv-SE"/>
              </w:rPr>
              <w:t xml:space="preserve"> *</w:t>
            </w:r>
          </w:p>
        </w:tc>
        <w:tc>
          <w:tcPr>
            <w:tcW w:w="1780" w:type="dxa"/>
            <w:shd w:val="clear" w:color="auto" w:fill="auto"/>
            <w:noWrap/>
          </w:tcPr>
          <w:p w14:paraId="577AE163" w14:textId="316077A4" w:rsidR="00D65181" w:rsidRPr="00685D94" w:rsidRDefault="00D454FE" w:rsidP="00455774">
            <w:pPr>
              <w:spacing w:after="0" w:line="240" w:lineRule="auto"/>
              <w:jc w:val="center"/>
              <w:rPr>
                <w:rFonts w:ascii="Calibri" w:eastAsia="Times New Roman" w:hAnsi="Calibri" w:cs="Calibri"/>
                <w:b/>
                <w:bCs/>
                <w:sz w:val="20"/>
                <w:szCs w:val="20"/>
                <w:u w:val="single"/>
                <w:lang w:val="sv-SE" w:eastAsia="sv-SE"/>
              </w:rPr>
            </w:pPr>
            <w:r>
              <w:t>reference</w:t>
            </w:r>
          </w:p>
        </w:tc>
        <w:tc>
          <w:tcPr>
            <w:tcW w:w="1780" w:type="dxa"/>
            <w:shd w:val="clear" w:color="auto" w:fill="auto"/>
            <w:noWrap/>
          </w:tcPr>
          <w:p w14:paraId="2025860F" w14:textId="77777777" w:rsidR="00D65181" w:rsidRPr="00AD343B" w:rsidRDefault="00D65181" w:rsidP="00455774">
            <w:pPr>
              <w:spacing w:after="0" w:line="240" w:lineRule="auto"/>
              <w:jc w:val="center"/>
              <w:rPr>
                <w:rFonts w:ascii="Calibri" w:eastAsia="Times New Roman" w:hAnsi="Calibri" w:cs="Calibri"/>
                <w:sz w:val="20"/>
                <w:szCs w:val="20"/>
                <w:lang w:val="sv-SE" w:eastAsia="sv-SE"/>
              </w:rPr>
            </w:pPr>
            <w:r w:rsidRPr="00AD343B">
              <w:t>1.52 (1.44-1.60)</w:t>
            </w:r>
          </w:p>
        </w:tc>
        <w:tc>
          <w:tcPr>
            <w:tcW w:w="780" w:type="dxa"/>
            <w:shd w:val="clear" w:color="auto" w:fill="auto"/>
            <w:noWrap/>
          </w:tcPr>
          <w:p w14:paraId="5A94A0EC" w14:textId="77777777" w:rsidR="00D65181" w:rsidRPr="00AD343B" w:rsidRDefault="00D65181" w:rsidP="00455774">
            <w:pPr>
              <w:spacing w:after="0" w:line="240" w:lineRule="auto"/>
              <w:jc w:val="center"/>
              <w:rPr>
                <w:rFonts w:ascii="Calibri" w:eastAsia="Times New Roman" w:hAnsi="Calibri" w:cs="Calibri"/>
                <w:sz w:val="20"/>
                <w:szCs w:val="20"/>
                <w:lang w:val="sv-SE" w:eastAsia="sv-SE"/>
              </w:rPr>
            </w:pPr>
            <w:r w:rsidRPr="00AD343B">
              <w:t>&lt;0.001</w:t>
            </w:r>
          </w:p>
        </w:tc>
      </w:tr>
      <w:tr w:rsidR="00D65181" w:rsidRPr="002E1861" w14:paraId="3E3B2F43" w14:textId="77777777" w:rsidTr="00293096">
        <w:trPr>
          <w:trHeight w:val="240"/>
        </w:trPr>
        <w:tc>
          <w:tcPr>
            <w:tcW w:w="3200" w:type="dxa"/>
            <w:shd w:val="clear" w:color="auto" w:fill="auto"/>
            <w:noWrap/>
            <w:vAlign w:val="center"/>
          </w:tcPr>
          <w:p w14:paraId="6128DFF4" w14:textId="77777777" w:rsidR="00D65181" w:rsidRPr="00B1018B" w:rsidRDefault="00D65181" w:rsidP="00455774">
            <w:pPr>
              <w:spacing w:after="0" w:line="240" w:lineRule="auto"/>
              <w:rPr>
                <w:rFonts w:ascii="Calibri" w:eastAsia="Times New Roman" w:hAnsi="Calibri" w:cs="Calibri"/>
                <w:b/>
                <w:bCs/>
                <w:color w:val="000000"/>
                <w:sz w:val="20"/>
                <w:szCs w:val="20"/>
                <w:lang w:val="sv-SE" w:eastAsia="sv-SE"/>
              </w:rPr>
            </w:pPr>
          </w:p>
        </w:tc>
        <w:tc>
          <w:tcPr>
            <w:tcW w:w="1780" w:type="dxa"/>
            <w:shd w:val="clear" w:color="auto" w:fill="auto"/>
            <w:noWrap/>
            <w:vAlign w:val="bottom"/>
          </w:tcPr>
          <w:p w14:paraId="7824883A" w14:textId="77777777" w:rsidR="00D65181" w:rsidRPr="00FC7648" w:rsidRDefault="00D65181" w:rsidP="00455774">
            <w:pPr>
              <w:spacing w:after="0" w:line="240" w:lineRule="auto"/>
              <w:jc w:val="center"/>
              <w:rPr>
                <w:rFonts w:ascii="Calibri" w:eastAsia="Times New Roman" w:hAnsi="Calibri" w:cs="Calibri"/>
                <w:b/>
                <w:bCs/>
                <w:color w:val="FF0000"/>
                <w:sz w:val="20"/>
                <w:szCs w:val="20"/>
                <w:u w:val="single"/>
                <w:lang w:val="sv-SE" w:eastAsia="sv-SE"/>
              </w:rPr>
            </w:pPr>
          </w:p>
        </w:tc>
        <w:tc>
          <w:tcPr>
            <w:tcW w:w="1780" w:type="dxa"/>
            <w:shd w:val="clear" w:color="auto" w:fill="auto"/>
            <w:noWrap/>
            <w:vAlign w:val="bottom"/>
          </w:tcPr>
          <w:p w14:paraId="2C8B0B30" w14:textId="77777777" w:rsidR="00D65181" w:rsidRPr="00FC7648" w:rsidRDefault="00D65181" w:rsidP="00455774">
            <w:pPr>
              <w:spacing w:after="0" w:line="240" w:lineRule="auto"/>
              <w:jc w:val="center"/>
              <w:rPr>
                <w:rFonts w:ascii="Calibri" w:eastAsia="Times New Roman" w:hAnsi="Calibri" w:cs="Calibri"/>
                <w:color w:val="FF0000"/>
                <w:sz w:val="20"/>
                <w:szCs w:val="20"/>
                <w:lang w:val="sv-SE" w:eastAsia="sv-SE"/>
              </w:rPr>
            </w:pPr>
          </w:p>
        </w:tc>
        <w:tc>
          <w:tcPr>
            <w:tcW w:w="780" w:type="dxa"/>
            <w:shd w:val="clear" w:color="auto" w:fill="auto"/>
            <w:noWrap/>
            <w:vAlign w:val="bottom"/>
          </w:tcPr>
          <w:p w14:paraId="6D38FC7D" w14:textId="77777777" w:rsidR="00D65181" w:rsidRPr="00FC7648" w:rsidRDefault="00D65181" w:rsidP="00455774">
            <w:pPr>
              <w:spacing w:after="0" w:line="240" w:lineRule="auto"/>
              <w:jc w:val="center"/>
              <w:rPr>
                <w:rFonts w:ascii="Calibri" w:eastAsia="Times New Roman" w:hAnsi="Calibri" w:cs="Calibri"/>
                <w:color w:val="FF0000"/>
                <w:sz w:val="20"/>
                <w:szCs w:val="20"/>
                <w:lang w:val="sv-SE" w:eastAsia="sv-SE"/>
              </w:rPr>
            </w:pPr>
          </w:p>
        </w:tc>
      </w:tr>
      <w:tr w:rsidR="00D65181" w:rsidRPr="002E1861" w14:paraId="0C88FF3A" w14:textId="77777777" w:rsidTr="00293096">
        <w:trPr>
          <w:trHeight w:val="240"/>
        </w:trPr>
        <w:tc>
          <w:tcPr>
            <w:tcW w:w="3200" w:type="dxa"/>
            <w:shd w:val="clear" w:color="auto" w:fill="auto"/>
            <w:noWrap/>
            <w:vAlign w:val="center"/>
            <w:hideMark/>
          </w:tcPr>
          <w:p w14:paraId="7F90EDE2" w14:textId="77777777" w:rsidR="00D65181" w:rsidRPr="002E1861" w:rsidRDefault="00D65181" w:rsidP="00455774">
            <w:pPr>
              <w:spacing w:after="0" w:line="240" w:lineRule="auto"/>
              <w:rPr>
                <w:rFonts w:ascii="Calibri" w:eastAsia="Times New Roman" w:hAnsi="Calibri" w:cs="Calibri"/>
                <w:b/>
                <w:bCs/>
                <w:color w:val="000000"/>
                <w:sz w:val="20"/>
                <w:szCs w:val="20"/>
                <w:lang w:val="sv-SE" w:eastAsia="sv-SE"/>
              </w:rPr>
            </w:pPr>
            <w:r w:rsidRPr="00B1018B">
              <w:rPr>
                <w:rFonts w:ascii="Calibri" w:eastAsia="Times New Roman" w:hAnsi="Calibri" w:cs="Calibri"/>
                <w:b/>
                <w:bCs/>
                <w:color w:val="000000"/>
                <w:sz w:val="20"/>
                <w:szCs w:val="20"/>
                <w:lang w:val="sv-SE" w:eastAsia="sv-SE"/>
              </w:rPr>
              <w:t>Major osteoporotic</w:t>
            </w:r>
            <w:r w:rsidRPr="002E1861">
              <w:rPr>
                <w:rFonts w:ascii="Calibri" w:eastAsia="Times New Roman" w:hAnsi="Calibri" w:cs="Calibri"/>
                <w:b/>
                <w:bCs/>
                <w:color w:val="000000"/>
                <w:sz w:val="20"/>
                <w:szCs w:val="20"/>
                <w:lang w:val="sv-SE" w:eastAsia="sv-SE"/>
              </w:rPr>
              <w:t xml:space="preserve"> fracture</w:t>
            </w:r>
          </w:p>
        </w:tc>
        <w:tc>
          <w:tcPr>
            <w:tcW w:w="1780" w:type="dxa"/>
            <w:shd w:val="clear" w:color="auto" w:fill="auto"/>
            <w:noWrap/>
            <w:vAlign w:val="bottom"/>
            <w:hideMark/>
          </w:tcPr>
          <w:p w14:paraId="7603016B" w14:textId="77777777" w:rsidR="00D65181" w:rsidRPr="00FC7648" w:rsidRDefault="00D65181" w:rsidP="00455774">
            <w:pPr>
              <w:spacing w:after="0" w:line="240" w:lineRule="auto"/>
              <w:jc w:val="center"/>
              <w:rPr>
                <w:rFonts w:ascii="Calibri" w:eastAsia="Times New Roman" w:hAnsi="Calibri" w:cs="Calibri"/>
                <w:b/>
                <w:bCs/>
                <w:color w:val="FF0000"/>
                <w:sz w:val="20"/>
                <w:szCs w:val="20"/>
                <w:u w:val="single"/>
                <w:lang w:val="sv-SE" w:eastAsia="sv-SE"/>
              </w:rPr>
            </w:pPr>
          </w:p>
        </w:tc>
        <w:tc>
          <w:tcPr>
            <w:tcW w:w="1780" w:type="dxa"/>
            <w:shd w:val="clear" w:color="auto" w:fill="auto"/>
            <w:noWrap/>
            <w:vAlign w:val="bottom"/>
            <w:hideMark/>
          </w:tcPr>
          <w:p w14:paraId="6C5A4BB2" w14:textId="77777777" w:rsidR="00D65181" w:rsidRPr="00FC7648" w:rsidRDefault="00D65181" w:rsidP="00455774">
            <w:pPr>
              <w:spacing w:after="0" w:line="240" w:lineRule="auto"/>
              <w:jc w:val="center"/>
              <w:rPr>
                <w:rFonts w:ascii="Calibri" w:eastAsia="Times New Roman" w:hAnsi="Calibri" w:cs="Calibri"/>
                <w:color w:val="FF0000"/>
                <w:sz w:val="20"/>
                <w:szCs w:val="20"/>
                <w:lang w:val="sv-SE" w:eastAsia="sv-SE"/>
              </w:rPr>
            </w:pPr>
          </w:p>
        </w:tc>
        <w:tc>
          <w:tcPr>
            <w:tcW w:w="780" w:type="dxa"/>
            <w:shd w:val="clear" w:color="auto" w:fill="auto"/>
            <w:noWrap/>
            <w:vAlign w:val="bottom"/>
            <w:hideMark/>
          </w:tcPr>
          <w:p w14:paraId="5F16E62C" w14:textId="77777777" w:rsidR="00D65181" w:rsidRPr="00FC7648" w:rsidRDefault="00D65181" w:rsidP="00455774">
            <w:pPr>
              <w:spacing w:after="0" w:line="240" w:lineRule="auto"/>
              <w:jc w:val="center"/>
              <w:rPr>
                <w:rFonts w:ascii="Calibri" w:eastAsia="Times New Roman" w:hAnsi="Calibri" w:cs="Calibri"/>
                <w:color w:val="FF0000"/>
                <w:sz w:val="20"/>
                <w:szCs w:val="20"/>
                <w:lang w:val="sv-SE" w:eastAsia="sv-SE"/>
              </w:rPr>
            </w:pPr>
          </w:p>
        </w:tc>
      </w:tr>
      <w:tr w:rsidR="00D65181" w:rsidRPr="002E1861" w14:paraId="338E11FC" w14:textId="77777777" w:rsidTr="00293096">
        <w:trPr>
          <w:trHeight w:val="240"/>
        </w:trPr>
        <w:tc>
          <w:tcPr>
            <w:tcW w:w="3200" w:type="dxa"/>
            <w:shd w:val="clear" w:color="auto" w:fill="auto"/>
            <w:noWrap/>
            <w:vAlign w:val="center"/>
            <w:hideMark/>
          </w:tcPr>
          <w:p w14:paraId="7EB4145B" w14:textId="77777777" w:rsidR="00D65181" w:rsidRPr="002E1861" w:rsidRDefault="00D65181" w:rsidP="00455774">
            <w:pPr>
              <w:spacing w:after="0" w:line="240" w:lineRule="auto"/>
              <w:rPr>
                <w:rFonts w:ascii="Calibri" w:eastAsia="Times New Roman" w:hAnsi="Calibri" w:cs="Calibri"/>
                <w:color w:val="000000"/>
                <w:sz w:val="20"/>
                <w:szCs w:val="20"/>
                <w:lang w:val="sv-SE" w:eastAsia="sv-SE"/>
              </w:rPr>
            </w:pPr>
            <w:r w:rsidRPr="002E1861">
              <w:rPr>
                <w:rFonts w:ascii="Calibri" w:eastAsia="Times New Roman" w:hAnsi="Calibri" w:cs="Calibri"/>
                <w:color w:val="000000"/>
                <w:sz w:val="20"/>
                <w:szCs w:val="20"/>
                <w:lang w:val="sv-SE" w:eastAsia="sv-SE"/>
              </w:rPr>
              <w:t>Events, n (%)</w:t>
            </w:r>
          </w:p>
        </w:tc>
        <w:tc>
          <w:tcPr>
            <w:tcW w:w="1780" w:type="dxa"/>
            <w:shd w:val="clear" w:color="auto" w:fill="auto"/>
            <w:noWrap/>
          </w:tcPr>
          <w:p w14:paraId="5D7DE16A" w14:textId="77777777" w:rsidR="00D65181" w:rsidRPr="00BA181F" w:rsidRDefault="00D65181" w:rsidP="00455774">
            <w:pPr>
              <w:spacing w:after="0" w:line="240" w:lineRule="auto"/>
              <w:jc w:val="center"/>
              <w:rPr>
                <w:rFonts w:ascii="Calibri" w:eastAsia="Times New Roman" w:hAnsi="Calibri" w:cs="Calibri"/>
                <w:sz w:val="20"/>
                <w:szCs w:val="20"/>
                <w:lang w:val="sv-SE" w:eastAsia="sv-SE"/>
              </w:rPr>
            </w:pPr>
            <w:r>
              <w:t>6776 (9.9%)</w:t>
            </w:r>
          </w:p>
        </w:tc>
        <w:tc>
          <w:tcPr>
            <w:tcW w:w="1780" w:type="dxa"/>
            <w:shd w:val="clear" w:color="auto" w:fill="auto"/>
            <w:noWrap/>
          </w:tcPr>
          <w:p w14:paraId="413D912D" w14:textId="77777777" w:rsidR="00D65181" w:rsidRPr="00AA24C0" w:rsidRDefault="00D65181" w:rsidP="00455774">
            <w:pPr>
              <w:spacing w:after="0" w:line="240" w:lineRule="auto"/>
              <w:jc w:val="center"/>
              <w:rPr>
                <w:rFonts w:ascii="Calibri" w:eastAsia="Times New Roman" w:hAnsi="Calibri" w:cs="Calibri"/>
                <w:sz w:val="20"/>
                <w:szCs w:val="20"/>
                <w:lang w:val="sv-SE" w:eastAsia="sv-SE"/>
              </w:rPr>
            </w:pPr>
            <w:r w:rsidRPr="00AA24C0">
              <w:t>455 (6.6%)</w:t>
            </w:r>
          </w:p>
        </w:tc>
        <w:tc>
          <w:tcPr>
            <w:tcW w:w="780" w:type="dxa"/>
            <w:shd w:val="clear" w:color="auto" w:fill="auto"/>
            <w:noWrap/>
            <w:vAlign w:val="bottom"/>
            <w:hideMark/>
          </w:tcPr>
          <w:p w14:paraId="71F733E0" w14:textId="77777777" w:rsidR="00D65181" w:rsidRPr="00FC7648" w:rsidRDefault="00D65181" w:rsidP="00455774">
            <w:pPr>
              <w:spacing w:after="0" w:line="240" w:lineRule="auto"/>
              <w:jc w:val="center"/>
              <w:rPr>
                <w:rFonts w:ascii="Calibri" w:eastAsia="Times New Roman" w:hAnsi="Calibri" w:cs="Calibri"/>
                <w:color w:val="FF0000"/>
                <w:sz w:val="20"/>
                <w:szCs w:val="20"/>
                <w:lang w:val="sv-SE" w:eastAsia="sv-SE"/>
              </w:rPr>
            </w:pPr>
          </w:p>
        </w:tc>
      </w:tr>
      <w:tr w:rsidR="00D65181" w:rsidRPr="002E1861" w14:paraId="3A941168" w14:textId="77777777" w:rsidTr="00293096">
        <w:trPr>
          <w:trHeight w:val="240"/>
        </w:trPr>
        <w:tc>
          <w:tcPr>
            <w:tcW w:w="3200" w:type="dxa"/>
            <w:shd w:val="clear" w:color="auto" w:fill="auto"/>
            <w:noWrap/>
            <w:vAlign w:val="center"/>
            <w:hideMark/>
          </w:tcPr>
          <w:p w14:paraId="6C54C2E4" w14:textId="77777777" w:rsidR="00D65181" w:rsidRPr="002E1861" w:rsidRDefault="00D65181" w:rsidP="00455774">
            <w:pPr>
              <w:spacing w:after="0" w:line="240" w:lineRule="auto"/>
              <w:rPr>
                <w:rFonts w:ascii="Calibri" w:eastAsia="Times New Roman" w:hAnsi="Calibri" w:cs="Calibri"/>
                <w:color w:val="000000"/>
                <w:sz w:val="20"/>
                <w:szCs w:val="20"/>
                <w:lang w:val="sv-SE" w:eastAsia="sv-SE"/>
              </w:rPr>
            </w:pPr>
            <w:r w:rsidRPr="002E1861">
              <w:rPr>
                <w:rFonts w:ascii="Calibri" w:eastAsia="Times New Roman" w:hAnsi="Calibri" w:cs="Calibri"/>
                <w:color w:val="000000"/>
                <w:sz w:val="20"/>
                <w:szCs w:val="20"/>
                <w:lang w:val="sv-SE" w:eastAsia="sv-SE"/>
              </w:rPr>
              <w:t>per 1000 person years (95% CI)</w:t>
            </w:r>
          </w:p>
        </w:tc>
        <w:tc>
          <w:tcPr>
            <w:tcW w:w="1780" w:type="dxa"/>
            <w:shd w:val="clear" w:color="auto" w:fill="auto"/>
            <w:noWrap/>
            <w:vAlign w:val="center"/>
          </w:tcPr>
          <w:p w14:paraId="0AC59693" w14:textId="77777777" w:rsidR="00D65181" w:rsidRPr="00BA181F" w:rsidRDefault="00D65181" w:rsidP="00455774">
            <w:pPr>
              <w:spacing w:after="0" w:line="240" w:lineRule="auto"/>
              <w:jc w:val="center"/>
              <w:rPr>
                <w:rFonts w:ascii="Calibri" w:eastAsia="Times New Roman" w:hAnsi="Calibri" w:cs="Calibri"/>
                <w:sz w:val="20"/>
                <w:szCs w:val="20"/>
                <w:lang w:val="sv-SE" w:eastAsia="sv-SE"/>
              </w:rPr>
            </w:pPr>
            <w:r w:rsidRPr="00BA181F">
              <w:rPr>
                <w:rFonts w:ascii="Calibri" w:eastAsia="Times New Roman" w:hAnsi="Calibri" w:cs="Calibri"/>
                <w:sz w:val="20"/>
                <w:szCs w:val="20"/>
                <w:lang w:val="sv-SE" w:eastAsia="sv-SE"/>
              </w:rPr>
              <w:t>13.4 (13.0-13.7)</w:t>
            </w:r>
          </w:p>
        </w:tc>
        <w:tc>
          <w:tcPr>
            <w:tcW w:w="1780" w:type="dxa"/>
            <w:shd w:val="clear" w:color="auto" w:fill="auto"/>
            <w:noWrap/>
            <w:vAlign w:val="center"/>
          </w:tcPr>
          <w:p w14:paraId="592E2EB0" w14:textId="77777777" w:rsidR="00D65181" w:rsidRPr="00AD343B" w:rsidRDefault="00D65181" w:rsidP="00455774">
            <w:pPr>
              <w:spacing w:after="0" w:line="240" w:lineRule="auto"/>
              <w:jc w:val="center"/>
              <w:rPr>
                <w:rFonts w:ascii="Calibri" w:eastAsia="Times New Roman" w:hAnsi="Calibri" w:cs="Calibri"/>
                <w:sz w:val="20"/>
                <w:szCs w:val="20"/>
                <w:lang w:val="sv-SE" w:eastAsia="sv-SE"/>
              </w:rPr>
            </w:pPr>
            <w:r w:rsidRPr="00AD343B">
              <w:rPr>
                <w:rFonts w:ascii="Calibri" w:eastAsia="Times New Roman" w:hAnsi="Calibri" w:cs="Calibri"/>
                <w:sz w:val="20"/>
                <w:szCs w:val="20"/>
                <w:lang w:val="sv-SE" w:eastAsia="sv-SE"/>
              </w:rPr>
              <w:t>24.0 (21.8-26.3)</w:t>
            </w:r>
          </w:p>
        </w:tc>
        <w:tc>
          <w:tcPr>
            <w:tcW w:w="780" w:type="dxa"/>
            <w:shd w:val="clear" w:color="auto" w:fill="auto"/>
            <w:noWrap/>
            <w:vAlign w:val="center"/>
          </w:tcPr>
          <w:p w14:paraId="5BC1F2FF" w14:textId="77777777" w:rsidR="00D65181" w:rsidRPr="00AD343B" w:rsidRDefault="00D65181" w:rsidP="00455774">
            <w:pPr>
              <w:spacing w:after="0" w:line="240" w:lineRule="auto"/>
              <w:jc w:val="center"/>
              <w:rPr>
                <w:rFonts w:ascii="Calibri" w:eastAsia="Times New Roman" w:hAnsi="Calibri" w:cs="Calibri"/>
                <w:sz w:val="20"/>
                <w:szCs w:val="20"/>
                <w:lang w:val="sv-SE" w:eastAsia="sv-SE"/>
              </w:rPr>
            </w:pPr>
          </w:p>
        </w:tc>
      </w:tr>
      <w:tr w:rsidR="00D454FE" w:rsidRPr="002E1861" w14:paraId="562B3AB3" w14:textId="77777777" w:rsidTr="00293096">
        <w:trPr>
          <w:trHeight w:val="240"/>
        </w:trPr>
        <w:tc>
          <w:tcPr>
            <w:tcW w:w="3200" w:type="dxa"/>
            <w:shd w:val="clear" w:color="auto" w:fill="auto"/>
            <w:noWrap/>
            <w:vAlign w:val="center"/>
          </w:tcPr>
          <w:p w14:paraId="708DEEC5" w14:textId="6EFDE6F5" w:rsidR="00D454FE" w:rsidRPr="002E1861" w:rsidRDefault="00D454FE" w:rsidP="00D454FE">
            <w:pPr>
              <w:spacing w:after="0" w:line="240" w:lineRule="auto"/>
              <w:rPr>
                <w:rFonts w:ascii="Calibri" w:eastAsia="Times New Roman" w:hAnsi="Calibri" w:cs="Calibri"/>
                <w:color w:val="000000"/>
                <w:sz w:val="20"/>
                <w:szCs w:val="20"/>
                <w:lang w:val="sv-SE" w:eastAsia="sv-SE"/>
              </w:rPr>
            </w:pPr>
            <w:r w:rsidRPr="00D65181">
              <w:rPr>
                <w:rFonts w:ascii="Calibri" w:eastAsia="Times New Roman" w:hAnsi="Calibri" w:cs="Calibri"/>
                <w:color w:val="000000"/>
                <w:sz w:val="20"/>
                <w:szCs w:val="20"/>
                <w:lang w:val="sv-SE" w:eastAsia="sv-SE"/>
              </w:rPr>
              <w:t>HR (95%CI)</w:t>
            </w:r>
          </w:p>
        </w:tc>
        <w:tc>
          <w:tcPr>
            <w:tcW w:w="1780" w:type="dxa"/>
            <w:shd w:val="clear" w:color="auto" w:fill="auto"/>
            <w:noWrap/>
          </w:tcPr>
          <w:p w14:paraId="100DE4FE" w14:textId="1B562DDA" w:rsidR="00D454FE" w:rsidRPr="00BA181F" w:rsidRDefault="00D454FE" w:rsidP="00D454FE">
            <w:pPr>
              <w:spacing w:after="0" w:line="240" w:lineRule="auto"/>
              <w:jc w:val="center"/>
              <w:rPr>
                <w:rFonts w:ascii="Calibri" w:eastAsia="Times New Roman" w:hAnsi="Calibri" w:cs="Calibri"/>
                <w:sz w:val="20"/>
                <w:szCs w:val="20"/>
                <w:lang w:val="sv-SE" w:eastAsia="sv-SE"/>
              </w:rPr>
            </w:pPr>
            <w:r>
              <w:t>r</w:t>
            </w:r>
            <w:r w:rsidRPr="00D65181">
              <w:t>ef</w:t>
            </w:r>
            <w:r>
              <w:t>erence</w:t>
            </w:r>
          </w:p>
        </w:tc>
        <w:tc>
          <w:tcPr>
            <w:tcW w:w="1780" w:type="dxa"/>
            <w:shd w:val="clear" w:color="auto" w:fill="auto"/>
            <w:noWrap/>
            <w:vAlign w:val="center"/>
          </w:tcPr>
          <w:p w14:paraId="0016ADA2" w14:textId="28365AE3" w:rsidR="00D454FE" w:rsidRPr="00AD343B" w:rsidRDefault="00D454FE" w:rsidP="00D454FE">
            <w:pPr>
              <w:spacing w:after="0" w:line="240" w:lineRule="auto"/>
              <w:jc w:val="center"/>
              <w:rPr>
                <w:rFonts w:ascii="Calibri" w:eastAsia="Times New Roman" w:hAnsi="Calibri" w:cs="Calibri"/>
                <w:sz w:val="20"/>
                <w:szCs w:val="20"/>
                <w:lang w:val="sv-SE" w:eastAsia="sv-SE"/>
              </w:rPr>
            </w:pPr>
            <w:r w:rsidRPr="00D454FE">
              <w:rPr>
                <w:rFonts w:ascii="Calibri" w:eastAsia="Times New Roman" w:hAnsi="Calibri" w:cs="Calibri"/>
                <w:sz w:val="20"/>
                <w:szCs w:val="20"/>
                <w:lang w:val="sv-SE" w:eastAsia="sv-SE"/>
              </w:rPr>
              <w:t>1.79 (1.63-1.97)</w:t>
            </w:r>
          </w:p>
        </w:tc>
        <w:tc>
          <w:tcPr>
            <w:tcW w:w="780" w:type="dxa"/>
            <w:shd w:val="clear" w:color="auto" w:fill="auto"/>
            <w:noWrap/>
            <w:vAlign w:val="center"/>
          </w:tcPr>
          <w:p w14:paraId="010FCCAA" w14:textId="5E7D52AD" w:rsidR="00D454FE" w:rsidRPr="00AD343B" w:rsidRDefault="00D454FE" w:rsidP="00D454FE">
            <w:pPr>
              <w:spacing w:after="0" w:line="240" w:lineRule="auto"/>
              <w:jc w:val="center"/>
              <w:rPr>
                <w:rFonts w:ascii="Calibri" w:eastAsia="Times New Roman" w:hAnsi="Calibri" w:cs="Calibri"/>
                <w:sz w:val="20"/>
                <w:szCs w:val="20"/>
                <w:lang w:val="sv-SE" w:eastAsia="sv-SE"/>
              </w:rPr>
            </w:pPr>
            <w:r w:rsidRPr="00D454FE">
              <w:rPr>
                <w:rFonts w:ascii="Calibri" w:eastAsia="Times New Roman" w:hAnsi="Calibri" w:cs="Calibri"/>
                <w:sz w:val="20"/>
                <w:szCs w:val="20"/>
                <w:lang w:val="sv-SE" w:eastAsia="sv-SE"/>
              </w:rPr>
              <w:t>&lt;0.001</w:t>
            </w:r>
          </w:p>
        </w:tc>
      </w:tr>
      <w:tr w:rsidR="00D454FE" w:rsidRPr="002E1861" w14:paraId="07746953" w14:textId="77777777" w:rsidTr="00293096">
        <w:trPr>
          <w:trHeight w:val="240"/>
        </w:trPr>
        <w:tc>
          <w:tcPr>
            <w:tcW w:w="3200" w:type="dxa"/>
            <w:shd w:val="clear" w:color="auto" w:fill="auto"/>
            <w:noWrap/>
            <w:vAlign w:val="center"/>
            <w:hideMark/>
          </w:tcPr>
          <w:p w14:paraId="5D6C846B" w14:textId="0FF7C3F1" w:rsidR="00D454FE" w:rsidRPr="002E1861" w:rsidRDefault="00D454FE" w:rsidP="00D454FE">
            <w:pPr>
              <w:spacing w:after="0" w:line="240" w:lineRule="auto"/>
              <w:rPr>
                <w:rFonts w:ascii="Calibri" w:eastAsia="Times New Roman" w:hAnsi="Calibri" w:cs="Calibri"/>
                <w:color w:val="000000"/>
                <w:sz w:val="20"/>
                <w:szCs w:val="20"/>
                <w:lang w:val="en-US" w:eastAsia="sv-SE"/>
              </w:rPr>
            </w:pPr>
            <w:r w:rsidRPr="00D454FE">
              <w:rPr>
                <w:rFonts w:ascii="Calibri" w:eastAsia="Times New Roman" w:hAnsi="Calibri" w:cs="Calibri"/>
                <w:color w:val="000000"/>
                <w:sz w:val="20"/>
                <w:szCs w:val="20"/>
                <w:lang w:val="en-US" w:eastAsia="sv-SE"/>
              </w:rPr>
              <w:t xml:space="preserve">Adjusted </w:t>
            </w:r>
            <w:r w:rsidRPr="002E1861">
              <w:rPr>
                <w:rFonts w:ascii="Calibri" w:eastAsia="Times New Roman" w:hAnsi="Calibri" w:cs="Calibri"/>
                <w:color w:val="000000"/>
                <w:sz w:val="20"/>
                <w:szCs w:val="20"/>
                <w:lang w:val="en-US" w:eastAsia="sv-SE"/>
              </w:rPr>
              <w:t>HR (95%</w:t>
            </w:r>
            <w:r w:rsidR="001000EB" w:rsidRPr="002E1861">
              <w:rPr>
                <w:rFonts w:ascii="Calibri" w:eastAsia="Times New Roman" w:hAnsi="Calibri" w:cs="Calibri"/>
                <w:color w:val="000000"/>
                <w:sz w:val="20"/>
                <w:szCs w:val="20"/>
                <w:lang w:val="en-US" w:eastAsia="sv-SE"/>
              </w:rPr>
              <w:t>CI)</w:t>
            </w:r>
            <w:r w:rsidR="001000EB">
              <w:rPr>
                <w:rFonts w:ascii="Calibri" w:eastAsia="Times New Roman" w:hAnsi="Calibri" w:cs="Calibri"/>
                <w:color w:val="000000"/>
                <w:sz w:val="20"/>
                <w:szCs w:val="20"/>
                <w:lang w:val="en-US" w:eastAsia="sv-SE"/>
              </w:rPr>
              <w:t xml:space="preserve"> *</w:t>
            </w:r>
          </w:p>
        </w:tc>
        <w:tc>
          <w:tcPr>
            <w:tcW w:w="1780" w:type="dxa"/>
            <w:shd w:val="clear" w:color="auto" w:fill="auto"/>
            <w:noWrap/>
            <w:hideMark/>
          </w:tcPr>
          <w:p w14:paraId="2720DB35" w14:textId="61B1398C" w:rsidR="00D454FE" w:rsidRPr="00BA181F" w:rsidRDefault="00D454FE" w:rsidP="00D454FE">
            <w:pPr>
              <w:spacing w:after="0" w:line="240" w:lineRule="auto"/>
              <w:jc w:val="center"/>
              <w:rPr>
                <w:rFonts w:ascii="Calibri" w:eastAsia="Times New Roman" w:hAnsi="Calibri" w:cs="Calibri"/>
                <w:sz w:val="20"/>
                <w:szCs w:val="20"/>
                <w:lang w:val="sv-SE" w:eastAsia="sv-SE"/>
              </w:rPr>
            </w:pPr>
            <w:r>
              <w:t>reference</w:t>
            </w:r>
          </w:p>
        </w:tc>
        <w:tc>
          <w:tcPr>
            <w:tcW w:w="1780" w:type="dxa"/>
            <w:shd w:val="clear" w:color="auto" w:fill="auto"/>
            <w:noWrap/>
            <w:vAlign w:val="center"/>
            <w:hideMark/>
          </w:tcPr>
          <w:p w14:paraId="32864E08" w14:textId="77777777" w:rsidR="00D454FE" w:rsidRPr="00A65A39" w:rsidRDefault="00D454FE" w:rsidP="00D454FE">
            <w:pPr>
              <w:spacing w:after="0" w:line="240" w:lineRule="auto"/>
              <w:jc w:val="center"/>
              <w:rPr>
                <w:rFonts w:ascii="Calibri" w:eastAsia="Times New Roman" w:hAnsi="Calibri" w:cs="Calibri"/>
                <w:sz w:val="20"/>
                <w:szCs w:val="20"/>
                <w:lang w:val="sv-SE" w:eastAsia="sv-SE"/>
              </w:rPr>
            </w:pPr>
            <w:r w:rsidRPr="00A65A39">
              <w:rPr>
                <w:rFonts w:ascii="Calibri" w:eastAsia="Times New Roman" w:hAnsi="Calibri" w:cs="Calibri"/>
                <w:sz w:val="20"/>
                <w:szCs w:val="20"/>
                <w:lang w:val="sv-SE" w:eastAsia="sv-SE"/>
              </w:rPr>
              <w:t>1.36 (1.24-1.50)</w:t>
            </w:r>
          </w:p>
        </w:tc>
        <w:tc>
          <w:tcPr>
            <w:tcW w:w="780" w:type="dxa"/>
            <w:shd w:val="clear" w:color="auto" w:fill="auto"/>
            <w:noWrap/>
            <w:vAlign w:val="center"/>
            <w:hideMark/>
          </w:tcPr>
          <w:p w14:paraId="656C5136" w14:textId="77777777" w:rsidR="00D454FE" w:rsidRPr="00AD343B" w:rsidRDefault="00D454FE" w:rsidP="00D454FE">
            <w:pPr>
              <w:spacing w:after="0" w:line="240" w:lineRule="auto"/>
              <w:jc w:val="center"/>
              <w:rPr>
                <w:rFonts w:ascii="Calibri" w:eastAsia="Times New Roman" w:hAnsi="Calibri" w:cs="Calibri"/>
                <w:sz w:val="20"/>
                <w:szCs w:val="20"/>
                <w:lang w:val="sv-SE" w:eastAsia="sv-SE"/>
              </w:rPr>
            </w:pPr>
            <w:r w:rsidRPr="00AD343B">
              <w:rPr>
                <w:rFonts w:ascii="Calibri" w:eastAsia="Times New Roman" w:hAnsi="Calibri" w:cs="Calibri"/>
                <w:sz w:val="20"/>
                <w:szCs w:val="20"/>
                <w:lang w:val="sv-SE" w:eastAsia="sv-SE"/>
              </w:rPr>
              <w:t>&lt;0.001</w:t>
            </w:r>
          </w:p>
        </w:tc>
      </w:tr>
      <w:tr w:rsidR="00D65181" w:rsidRPr="002E1861" w14:paraId="23E738C2" w14:textId="77777777" w:rsidTr="00293096">
        <w:trPr>
          <w:trHeight w:val="120"/>
        </w:trPr>
        <w:tc>
          <w:tcPr>
            <w:tcW w:w="3200" w:type="dxa"/>
            <w:shd w:val="clear" w:color="auto" w:fill="auto"/>
            <w:noWrap/>
            <w:vAlign w:val="bottom"/>
            <w:hideMark/>
          </w:tcPr>
          <w:p w14:paraId="17F94D6D" w14:textId="77777777" w:rsidR="00D65181" w:rsidRPr="002E1861" w:rsidRDefault="00D65181" w:rsidP="00455774">
            <w:pPr>
              <w:spacing w:after="0" w:line="240" w:lineRule="auto"/>
              <w:jc w:val="center"/>
              <w:rPr>
                <w:rFonts w:ascii="Calibri" w:eastAsia="Times New Roman" w:hAnsi="Calibri" w:cs="Calibri"/>
                <w:color w:val="000000"/>
                <w:sz w:val="20"/>
                <w:szCs w:val="20"/>
                <w:lang w:val="sv-SE" w:eastAsia="sv-SE"/>
              </w:rPr>
            </w:pPr>
          </w:p>
        </w:tc>
        <w:tc>
          <w:tcPr>
            <w:tcW w:w="1780" w:type="dxa"/>
            <w:shd w:val="clear" w:color="auto" w:fill="auto"/>
            <w:noWrap/>
            <w:vAlign w:val="bottom"/>
            <w:hideMark/>
          </w:tcPr>
          <w:p w14:paraId="521C11E2" w14:textId="77777777" w:rsidR="00D65181" w:rsidRPr="00FC7648" w:rsidRDefault="00D65181" w:rsidP="00455774">
            <w:pPr>
              <w:spacing w:after="0" w:line="240" w:lineRule="auto"/>
              <w:jc w:val="center"/>
              <w:rPr>
                <w:rFonts w:ascii="Calibri" w:eastAsia="Times New Roman" w:hAnsi="Calibri" w:cs="Calibri"/>
                <w:color w:val="FF0000"/>
                <w:sz w:val="20"/>
                <w:szCs w:val="20"/>
                <w:lang w:val="sv-SE" w:eastAsia="sv-SE"/>
              </w:rPr>
            </w:pPr>
          </w:p>
        </w:tc>
        <w:tc>
          <w:tcPr>
            <w:tcW w:w="1780" w:type="dxa"/>
            <w:shd w:val="clear" w:color="auto" w:fill="auto"/>
            <w:noWrap/>
            <w:vAlign w:val="bottom"/>
            <w:hideMark/>
          </w:tcPr>
          <w:p w14:paraId="19E6E94A" w14:textId="77777777" w:rsidR="00D65181" w:rsidRPr="00AD343B" w:rsidRDefault="00D65181" w:rsidP="00455774">
            <w:pPr>
              <w:spacing w:after="0" w:line="240" w:lineRule="auto"/>
              <w:jc w:val="center"/>
              <w:rPr>
                <w:rFonts w:ascii="Calibri" w:eastAsia="Times New Roman" w:hAnsi="Calibri" w:cs="Calibri"/>
                <w:sz w:val="20"/>
                <w:szCs w:val="20"/>
                <w:lang w:val="sv-SE" w:eastAsia="sv-SE"/>
              </w:rPr>
            </w:pPr>
          </w:p>
        </w:tc>
        <w:tc>
          <w:tcPr>
            <w:tcW w:w="780" w:type="dxa"/>
            <w:shd w:val="clear" w:color="auto" w:fill="auto"/>
            <w:noWrap/>
            <w:vAlign w:val="bottom"/>
            <w:hideMark/>
          </w:tcPr>
          <w:p w14:paraId="4A907BB9" w14:textId="77777777" w:rsidR="00D65181" w:rsidRPr="00AD343B" w:rsidRDefault="00D65181" w:rsidP="00455774">
            <w:pPr>
              <w:spacing w:after="0" w:line="240" w:lineRule="auto"/>
              <w:jc w:val="center"/>
              <w:rPr>
                <w:rFonts w:ascii="Calibri" w:eastAsia="Times New Roman" w:hAnsi="Calibri" w:cs="Calibri"/>
                <w:sz w:val="20"/>
                <w:szCs w:val="20"/>
                <w:lang w:val="sv-SE" w:eastAsia="sv-SE"/>
              </w:rPr>
            </w:pPr>
          </w:p>
        </w:tc>
      </w:tr>
      <w:tr w:rsidR="00D65181" w:rsidRPr="002E1861" w14:paraId="3BDAEB9B" w14:textId="77777777" w:rsidTr="00293096">
        <w:trPr>
          <w:trHeight w:val="240"/>
        </w:trPr>
        <w:tc>
          <w:tcPr>
            <w:tcW w:w="3200" w:type="dxa"/>
            <w:shd w:val="clear" w:color="auto" w:fill="auto"/>
            <w:noWrap/>
            <w:vAlign w:val="center"/>
            <w:hideMark/>
          </w:tcPr>
          <w:p w14:paraId="78792811" w14:textId="77777777" w:rsidR="00D65181" w:rsidRPr="002E1861" w:rsidRDefault="00D65181" w:rsidP="00455774">
            <w:pPr>
              <w:spacing w:after="0" w:line="240" w:lineRule="auto"/>
              <w:rPr>
                <w:rFonts w:ascii="Calibri" w:eastAsia="Times New Roman" w:hAnsi="Calibri" w:cs="Calibri"/>
                <w:b/>
                <w:bCs/>
                <w:color w:val="000000"/>
                <w:sz w:val="20"/>
                <w:szCs w:val="20"/>
                <w:lang w:val="sv-SE" w:eastAsia="sv-SE"/>
              </w:rPr>
            </w:pPr>
            <w:r w:rsidRPr="00B1018B">
              <w:rPr>
                <w:rFonts w:ascii="Calibri" w:eastAsia="Times New Roman" w:hAnsi="Calibri" w:cs="Calibri"/>
                <w:b/>
                <w:bCs/>
                <w:color w:val="000000"/>
                <w:sz w:val="20"/>
                <w:szCs w:val="20"/>
                <w:lang w:val="sv-SE" w:eastAsia="sv-SE"/>
              </w:rPr>
              <w:t>Hip</w:t>
            </w:r>
            <w:r w:rsidRPr="002E1861">
              <w:rPr>
                <w:rFonts w:ascii="Calibri" w:eastAsia="Times New Roman" w:hAnsi="Calibri" w:cs="Calibri"/>
                <w:b/>
                <w:bCs/>
                <w:color w:val="000000"/>
                <w:sz w:val="20"/>
                <w:szCs w:val="20"/>
                <w:lang w:val="sv-SE" w:eastAsia="sv-SE"/>
              </w:rPr>
              <w:t xml:space="preserve"> </w:t>
            </w:r>
            <w:r w:rsidRPr="00B1018B">
              <w:rPr>
                <w:rFonts w:ascii="Calibri" w:eastAsia="Times New Roman" w:hAnsi="Calibri" w:cs="Calibri"/>
                <w:b/>
                <w:bCs/>
                <w:color w:val="000000"/>
                <w:sz w:val="20"/>
                <w:szCs w:val="20"/>
                <w:lang w:val="sv-SE" w:eastAsia="sv-SE"/>
              </w:rPr>
              <w:t>f</w:t>
            </w:r>
            <w:r w:rsidRPr="002E1861">
              <w:rPr>
                <w:rFonts w:ascii="Calibri" w:eastAsia="Times New Roman" w:hAnsi="Calibri" w:cs="Calibri"/>
                <w:b/>
                <w:bCs/>
                <w:color w:val="000000"/>
                <w:sz w:val="20"/>
                <w:szCs w:val="20"/>
                <w:lang w:val="sv-SE" w:eastAsia="sv-SE"/>
              </w:rPr>
              <w:t>racture</w:t>
            </w:r>
          </w:p>
        </w:tc>
        <w:tc>
          <w:tcPr>
            <w:tcW w:w="1780" w:type="dxa"/>
            <w:shd w:val="clear" w:color="auto" w:fill="auto"/>
            <w:noWrap/>
            <w:vAlign w:val="bottom"/>
            <w:hideMark/>
          </w:tcPr>
          <w:p w14:paraId="5B02F9DA" w14:textId="77777777" w:rsidR="00D65181" w:rsidRPr="00FC7648" w:rsidRDefault="00D65181" w:rsidP="00455774">
            <w:pPr>
              <w:spacing w:after="0" w:line="240" w:lineRule="auto"/>
              <w:jc w:val="center"/>
              <w:rPr>
                <w:rFonts w:ascii="Calibri" w:eastAsia="Times New Roman" w:hAnsi="Calibri" w:cs="Calibri"/>
                <w:b/>
                <w:bCs/>
                <w:color w:val="FF0000"/>
                <w:sz w:val="20"/>
                <w:szCs w:val="20"/>
                <w:u w:val="single"/>
                <w:lang w:val="sv-SE" w:eastAsia="sv-SE"/>
              </w:rPr>
            </w:pPr>
          </w:p>
        </w:tc>
        <w:tc>
          <w:tcPr>
            <w:tcW w:w="1780" w:type="dxa"/>
            <w:shd w:val="clear" w:color="auto" w:fill="auto"/>
            <w:noWrap/>
            <w:vAlign w:val="bottom"/>
            <w:hideMark/>
          </w:tcPr>
          <w:p w14:paraId="1C380CC5" w14:textId="77777777" w:rsidR="00D65181" w:rsidRPr="00AD343B" w:rsidRDefault="00D65181" w:rsidP="00455774">
            <w:pPr>
              <w:spacing w:after="0" w:line="240" w:lineRule="auto"/>
              <w:jc w:val="center"/>
              <w:rPr>
                <w:rFonts w:ascii="Calibri" w:eastAsia="Times New Roman" w:hAnsi="Calibri" w:cs="Calibri"/>
                <w:sz w:val="20"/>
                <w:szCs w:val="20"/>
                <w:lang w:val="sv-SE" w:eastAsia="sv-SE"/>
              </w:rPr>
            </w:pPr>
          </w:p>
        </w:tc>
        <w:tc>
          <w:tcPr>
            <w:tcW w:w="780" w:type="dxa"/>
            <w:shd w:val="clear" w:color="auto" w:fill="auto"/>
            <w:noWrap/>
            <w:vAlign w:val="bottom"/>
            <w:hideMark/>
          </w:tcPr>
          <w:p w14:paraId="2D4E9C9D" w14:textId="77777777" w:rsidR="00D65181" w:rsidRPr="00AD343B" w:rsidRDefault="00D65181" w:rsidP="00455774">
            <w:pPr>
              <w:spacing w:after="0" w:line="240" w:lineRule="auto"/>
              <w:jc w:val="center"/>
              <w:rPr>
                <w:rFonts w:ascii="Calibri" w:eastAsia="Times New Roman" w:hAnsi="Calibri" w:cs="Calibri"/>
                <w:sz w:val="20"/>
                <w:szCs w:val="20"/>
                <w:lang w:val="sv-SE" w:eastAsia="sv-SE"/>
              </w:rPr>
            </w:pPr>
          </w:p>
        </w:tc>
      </w:tr>
      <w:tr w:rsidR="00D65181" w:rsidRPr="002E1861" w14:paraId="337F55EC" w14:textId="77777777" w:rsidTr="00293096">
        <w:trPr>
          <w:trHeight w:val="240"/>
        </w:trPr>
        <w:tc>
          <w:tcPr>
            <w:tcW w:w="3200" w:type="dxa"/>
            <w:shd w:val="clear" w:color="auto" w:fill="auto"/>
            <w:noWrap/>
            <w:vAlign w:val="center"/>
            <w:hideMark/>
          </w:tcPr>
          <w:p w14:paraId="588D7877" w14:textId="77777777" w:rsidR="00D65181" w:rsidRPr="002E1861" w:rsidRDefault="00D65181" w:rsidP="00455774">
            <w:pPr>
              <w:spacing w:after="0" w:line="240" w:lineRule="auto"/>
              <w:rPr>
                <w:rFonts w:ascii="Calibri" w:eastAsia="Times New Roman" w:hAnsi="Calibri" w:cs="Calibri"/>
                <w:color w:val="000000"/>
                <w:sz w:val="20"/>
                <w:szCs w:val="20"/>
                <w:lang w:val="sv-SE" w:eastAsia="sv-SE"/>
              </w:rPr>
            </w:pPr>
            <w:r w:rsidRPr="002E1861">
              <w:rPr>
                <w:rFonts w:ascii="Calibri" w:eastAsia="Times New Roman" w:hAnsi="Calibri" w:cs="Calibri"/>
                <w:color w:val="000000"/>
                <w:sz w:val="20"/>
                <w:szCs w:val="20"/>
                <w:lang w:val="sv-SE" w:eastAsia="sv-SE"/>
              </w:rPr>
              <w:t>Events, n (%)</w:t>
            </w:r>
          </w:p>
        </w:tc>
        <w:tc>
          <w:tcPr>
            <w:tcW w:w="1780" w:type="dxa"/>
            <w:shd w:val="clear" w:color="auto" w:fill="auto"/>
            <w:noWrap/>
            <w:vAlign w:val="center"/>
            <w:hideMark/>
          </w:tcPr>
          <w:p w14:paraId="4653614B" w14:textId="77777777" w:rsidR="00D65181" w:rsidRPr="00060873" w:rsidRDefault="00D65181" w:rsidP="00455774">
            <w:pPr>
              <w:spacing w:after="0" w:line="240" w:lineRule="auto"/>
              <w:jc w:val="center"/>
              <w:rPr>
                <w:rFonts w:ascii="Calibri" w:eastAsia="Times New Roman" w:hAnsi="Calibri" w:cs="Calibri"/>
                <w:sz w:val="20"/>
                <w:szCs w:val="20"/>
                <w:lang w:val="sv-SE" w:eastAsia="sv-SE"/>
              </w:rPr>
            </w:pPr>
            <w:r w:rsidRPr="00060873">
              <w:rPr>
                <w:rFonts w:ascii="Calibri" w:eastAsia="Times New Roman" w:hAnsi="Calibri" w:cs="Calibri"/>
                <w:sz w:val="20"/>
                <w:szCs w:val="20"/>
                <w:lang w:val="sv-SE" w:eastAsia="sv-SE"/>
              </w:rPr>
              <w:t>2846 (4.1%)</w:t>
            </w:r>
          </w:p>
        </w:tc>
        <w:tc>
          <w:tcPr>
            <w:tcW w:w="1780" w:type="dxa"/>
            <w:shd w:val="clear" w:color="auto" w:fill="auto"/>
            <w:noWrap/>
            <w:vAlign w:val="center"/>
            <w:hideMark/>
          </w:tcPr>
          <w:p w14:paraId="07C861F3" w14:textId="39270C5C" w:rsidR="00D65181" w:rsidRPr="00B10148" w:rsidRDefault="00D65181" w:rsidP="00455774">
            <w:pPr>
              <w:spacing w:after="0" w:line="240" w:lineRule="auto"/>
              <w:jc w:val="center"/>
              <w:rPr>
                <w:rFonts w:ascii="Calibri" w:eastAsia="Times New Roman" w:hAnsi="Calibri" w:cs="Calibri"/>
                <w:sz w:val="20"/>
                <w:szCs w:val="20"/>
                <w:lang w:val="sv-SE" w:eastAsia="sv-SE"/>
              </w:rPr>
            </w:pPr>
            <w:r>
              <w:rPr>
                <w:rFonts w:ascii="Calibri" w:eastAsia="Times New Roman" w:hAnsi="Calibri" w:cs="Calibri"/>
                <w:sz w:val="20"/>
                <w:szCs w:val="20"/>
                <w:lang w:val="sv-SE" w:eastAsia="sv-SE"/>
              </w:rPr>
              <w:t>2</w:t>
            </w:r>
            <w:r w:rsidR="008B2C7F">
              <w:rPr>
                <w:rFonts w:ascii="Calibri" w:eastAsia="Times New Roman" w:hAnsi="Calibri" w:cs="Calibri"/>
                <w:sz w:val="20"/>
                <w:szCs w:val="20"/>
                <w:lang w:val="sv-SE" w:eastAsia="sv-SE"/>
              </w:rPr>
              <w:t>28</w:t>
            </w:r>
            <w:r>
              <w:rPr>
                <w:rFonts w:ascii="Calibri" w:eastAsia="Times New Roman" w:hAnsi="Calibri" w:cs="Calibri"/>
                <w:sz w:val="20"/>
                <w:szCs w:val="20"/>
                <w:lang w:val="sv-SE" w:eastAsia="sv-SE"/>
              </w:rPr>
              <w:t xml:space="preserve"> (3.</w:t>
            </w:r>
            <w:r w:rsidR="008B2C7F">
              <w:rPr>
                <w:rFonts w:ascii="Calibri" w:eastAsia="Times New Roman" w:hAnsi="Calibri" w:cs="Calibri"/>
                <w:sz w:val="20"/>
                <w:szCs w:val="20"/>
                <w:lang w:val="sv-SE" w:eastAsia="sv-SE"/>
              </w:rPr>
              <w:t>3</w:t>
            </w:r>
            <w:r>
              <w:rPr>
                <w:rFonts w:ascii="Calibri" w:eastAsia="Times New Roman" w:hAnsi="Calibri" w:cs="Calibri"/>
                <w:sz w:val="20"/>
                <w:szCs w:val="20"/>
                <w:lang w:val="sv-SE" w:eastAsia="sv-SE"/>
              </w:rPr>
              <w:t xml:space="preserve">%) </w:t>
            </w:r>
          </w:p>
        </w:tc>
        <w:tc>
          <w:tcPr>
            <w:tcW w:w="780" w:type="dxa"/>
            <w:shd w:val="clear" w:color="auto" w:fill="auto"/>
            <w:noWrap/>
            <w:vAlign w:val="bottom"/>
            <w:hideMark/>
          </w:tcPr>
          <w:p w14:paraId="2D6269BD" w14:textId="77777777" w:rsidR="00D65181" w:rsidRPr="00FC7648" w:rsidRDefault="00D65181" w:rsidP="00455774">
            <w:pPr>
              <w:spacing w:after="0" w:line="240" w:lineRule="auto"/>
              <w:jc w:val="center"/>
              <w:rPr>
                <w:rFonts w:ascii="Calibri" w:eastAsia="Times New Roman" w:hAnsi="Calibri" w:cs="Calibri"/>
                <w:color w:val="FF0000"/>
                <w:sz w:val="20"/>
                <w:szCs w:val="20"/>
                <w:lang w:val="sv-SE" w:eastAsia="sv-SE"/>
              </w:rPr>
            </w:pPr>
          </w:p>
        </w:tc>
      </w:tr>
      <w:tr w:rsidR="00D65181" w:rsidRPr="002E1861" w14:paraId="1EA8B3DC" w14:textId="77777777" w:rsidTr="00293096">
        <w:trPr>
          <w:trHeight w:val="240"/>
        </w:trPr>
        <w:tc>
          <w:tcPr>
            <w:tcW w:w="3200" w:type="dxa"/>
            <w:shd w:val="clear" w:color="auto" w:fill="auto"/>
            <w:noWrap/>
            <w:vAlign w:val="center"/>
            <w:hideMark/>
          </w:tcPr>
          <w:p w14:paraId="3710058B" w14:textId="77777777" w:rsidR="00D65181" w:rsidRPr="002E1861" w:rsidRDefault="00D65181" w:rsidP="00455774">
            <w:pPr>
              <w:spacing w:after="0" w:line="240" w:lineRule="auto"/>
              <w:rPr>
                <w:rFonts w:ascii="Calibri" w:eastAsia="Times New Roman" w:hAnsi="Calibri" w:cs="Calibri"/>
                <w:color w:val="000000"/>
                <w:sz w:val="20"/>
                <w:szCs w:val="20"/>
                <w:lang w:val="sv-SE" w:eastAsia="sv-SE"/>
              </w:rPr>
            </w:pPr>
            <w:r w:rsidRPr="002E1861">
              <w:rPr>
                <w:rFonts w:ascii="Calibri" w:eastAsia="Times New Roman" w:hAnsi="Calibri" w:cs="Calibri"/>
                <w:color w:val="000000"/>
                <w:sz w:val="20"/>
                <w:szCs w:val="20"/>
                <w:lang w:val="sv-SE" w:eastAsia="sv-SE"/>
              </w:rPr>
              <w:t>per 1000 person years (95% CI)</w:t>
            </w:r>
          </w:p>
        </w:tc>
        <w:tc>
          <w:tcPr>
            <w:tcW w:w="1780" w:type="dxa"/>
            <w:shd w:val="clear" w:color="auto" w:fill="auto"/>
            <w:noWrap/>
            <w:vAlign w:val="center"/>
            <w:hideMark/>
          </w:tcPr>
          <w:p w14:paraId="7CB171EB" w14:textId="77777777" w:rsidR="00D65181" w:rsidRPr="009F1CED" w:rsidRDefault="00D65181" w:rsidP="00455774">
            <w:pPr>
              <w:spacing w:after="0" w:line="240" w:lineRule="auto"/>
              <w:jc w:val="center"/>
              <w:rPr>
                <w:rFonts w:ascii="Calibri" w:eastAsia="Times New Roman" w:hAnsi="Calibri" w:cs="Calibri"/>
                <w:sz w:val="20"/>
                <w:szCs w:val="20"/>
                <w:lang w:val="sv-SE" w:eastAsia="sv-SE"/>
              </w:rPr>
            </w:pPr>
            <w:r w:rsidRPr="009F1CED">
              <w:rPr>
                <w:rFonts w:ascii="Calibri" w:eastAsia="Times New Roman" w:hAnsi="Calibri" w:cs="Calibri"/>
                <w:sz w:val="20"/>
                <w:szCs w:val="20"/>
                <w:lang w:val="sv-SE" w:eastAsia="sv-SE"/>
              </w:rPr>
              <w:t>5.4 (5.2-5.6)</w:t>
            </w:r>
          </w:p>
        </w:tc>
        <w:tc>
          <w:tcPr>
            <w:tcW w:w="1780" w:type="dxa"/>
            <w:shd w:val="clear" w:color="auto" w:fill="auto"/>
            <w:noWrap/>
            <w:vAlign w:val="center"/>
            <w:hideMark/>
          </w:tcPr>
          <w:p w14:paraId="3E6C4F10" w14:textId="77777777" w:rsidR="00D65181" w:rsidRPr="006A4B3E" w:rsidRDefault="00D65181" w:rsidP="00455774">
            <w:pPr>
              <w:spacing w:after="0" w:line="240" w:lineRule="auto"/>
              <w:jc w:val="center"/>
              <w:rPr>
                <w:rFonts w:ascii="Calibri" w:eastAsia="Times New Roman" w:hAnsi="Calibri" w:cs="Calibri"/>
                <w:sz w:val="20"/>
                <w:szCs w:val="20"/>
                <w:lang w:val="sv-SE" w:eastAsia="sv-SE"/>
              </w:rPr>
            </w:pPr>
            <w:r w:rsidRPr="006A4B3E">
              <w:rPr>
                <w:rFonts w:ascii="Calibri" w:eastAsia="Times New Roman" w:hAnsi="Calibri" w:cs="Calibri"/>
                <w:sz w:val="20"/>
                <w:szCs w:val="20"/>
                <w:lang w:val="sv-SE" w:eastAsia="sv-SE"/>
              </w:rPr>
              <w:t>11.6 (10.1-13.2)</w:t>
            </w:r>
          </w:p>
        </w:tc>
        <w:tc>
          <w:tcPr>
            <w:tcW w:w="780" w:type="dxa"/>
            <w:shd w:val="clear" w:color="auto" w:fill="auto"/>
            <w:noWrap/>
            <w:vAlign w:val="center"/>
          </w:tcPr>
          <w:p w14:paraId="5C21FB0B" w14:textId="77777777" w:rsidR="00D65181" w:rsidRPr="00FC7648" w:rsidRDefault="00D65181" w:rsidP="00455774">
            <w:pPr>
              <w:spacing w:after="0" w:line="240" w:lineRule="auto"/>
              <w:jc w:val="center"/>
              <w:rPr>
                <w:rFonts w:ascii="Calibri" w:eastAsia="Times New Roman" w:hAnsi="Calibri" w:cs="Calibri"/>
                <w:color w:val="FF0000"/>
                <w:sz w:val="20"/>
                <w:szCs w:val="20"/>
                <w:lang w:val="sv-SE" w:eastAsia="sv-SE"/>
              </w:rPr>
            </w:pPr>
          </w:p>
        </w:tc>
      </w:tr>
      <w:tr w:rsidR="00D454FE" w:rsidRPr="00D454FE" w14:paraId="1CB86AFE" w14:textId="77777777" w:rsidTr="00293096">
        <w:trPr>
          <w:trHeight w:val="240"/>
        </w:trPr>
        <w:tc>
          <w:tcPr>
            <w:tcW w:w="3200" w:type="dxa"/>
            <w:shd w:val="clear" w:color="auto" w:fill="auto"/>
            <w:noWrap/>
            <w:vAlign w:val="center"/>
          </w:tcPr>
          <w:p w14:paraId="10FB1B68" w14:textId="518B183C" w:rsidR="00D454FE" w:rsidRPr="002E1861" w:rsidRDefault="00D454FE" w:rsidP="00D454FE">
            <w:pPr>
              <w:spacing w:after="0" w:line="240" w:lineRule="auto"/>
              <w:rPr>
                <w:rFonts w:ascii="Calibri" w:eastAsia="Times New Roman" w:hAnsi="Calibri" w:cs="Calibri"/>
                <w:color w:val="000000"/>
                <w:sz w:val="20"/>
                <w:szCs w:val="20"/>
                <w:lang w:val="sv-SE" w:eastAsia="sv-SE"/>
              </w:rPr>
            </w:pPr>
            <w:r w:rsidRPr="00D454FE">
              <w:rPr>
                <w:rFonts w:ascii="Calibri" w:eastAsia="Times New Roman" w:hAnsi="Calibri" w:cs="Calibri"/>
                <w:color w:val="000000"/>
                <w:sz w:val="20"/>
                <w:szCs w:val="20"/>
                <w:lang w:val="sv-SE" w:eastAsia="sv-SE"/>
              </w:rPr>
              <w:t>HR (95%CI)</w:t>
            </w:r>
          </w:p>
        </w:tc>
        <w:tc>
          <w:tcPr>
            <w:tcW w:w="1780" w:type="dxa"/>
            <w:shd w:val="clear" w:color="auto" w:fill="auto"/>
            <w:noWrap/>
          </w:tcPr>
          <w:p w14:paraId="0C57206D" w14:textId="0E0AB90B" w:rsidR="00D454FE" w:rsidRPr="009F1CED" w:rsidRDefault="00D454FE" w:rsidP="00D454FE">
            <w:pPr>
              <w:spacing w:after="0" w:line="240" w:lineRule="auto"/>
              <w:jc w:val="center"/>
              <w:rPr>
                <w:rFonts w:ascii="Calibri" w:eastAsia="Times New Roman" w:hAnsi="Calibri" w:cs="Calibri"/>
                <w:sz w:val="20"/>
                <w:szCs w:val="20"/>
                <w:lang w:val="sv-SE" w:eastAsia="sv-SE"/>
              </w:rPr>
            </w:pPr>
            <w:r w:rsidRPr="007A22B3">
              <w:t>reference</w:t>
            </w:r>
          </w:p>
        </w:tc>
        <w:tc>
          <w:tcPr>
            <w:tcW w:w="1780" w:type="dxa"/>
            <w:shd w:val="clear" w:color="auto" w:fill="auto"/>
            <w:noWrap/>
            <w:vAlign w:val="center"/>
          </w:tcPr>
          <w:p w14:paraId="0583BF8E" w14:textId="3A9A2A6F" w:rsidR="00D454FE" w:rsidRPr="006A4B3E" w:rsidRDefault="00D454FE" w:rsidP="00D454FE">
            <w:pPr>
              <w:spacing w:after="0" w:line="240" w:lineRule="auto"/>
              <w:jc w:val="center"/>
              <w:rPr>
                <w:rFonts w:ascii="Calibri" w:eastAsia="Times New Roman" w:hAnsi="Calibri" w:cs="Calibri"/>
                <w:sz w:val="20"/>
                <w:szCs w:val="20"/>
                <w:lang w:val="sv-SE" w:eastAsia="sv-SE"/>
              </w:rPr>
            </w:pPr>
            <w:r w:rsidRPr="00D454FE">
              <w:rPr>
                <w:rFonts w:ascii="Calibri" w:eastAsia="Times New Roman" w:hAnsi="Calibri" w:cs="Calibri"/>
                <w:sz w:val="20"/>
                <w:szCs w:val="20"/>
                <w:lang w:val="sv-SE" w:eastAsia="sv-SE"/>
              </w:rPr>
              <w:t>2.14 (1.87-2.45</w:t>
            </w:r>
            <w:r>
              <w:rPr>
                <w:rFonts w:ascii="Calibri" w:eastAsia="Times New Roman" w:hAnsi="Calibri" w:cs="Calibri"/>
                <w:sz w:val="20"/>
                <w:szCs w:val="20"/>
                <w:lang w:val="sv-SE" w:eastAsia="sv-SE"/>
              </w:rPr>
              <w:t>)</w:t>
            </w:r>
          </w:p>
        </w:tc>
        <w:tc>
          <w:tcPr>
            <w:tcW w:w="780" w:type="dxa"/>
            <w:shd w:val="clear" w:color="auto" w:fill="auto"/>
            <w:noWrap/>
            <w:vAlign w:val="center"/>
          </w:tcPr>
          <w:p w14:paraId="2A5868C7" w14:textId="1DDFCFF5" w:rsidR="00D454FE" w:rsidRPr="00D454FE" w:rsidRDefault="00D454FE" w:rsidP="00D454FE">
            <w:pPr>
              <w:spacing w:after="0" w:line="240" w:lineRule="auto"/>
              <w:jc w:val="center"/>
              <w:rPr>
                <w:rFonts w:ascii="Calibri" w:eastAsia="Times New Roman" w:hAnsi="Calibri" w:cs="Calibri"/>
                <w:sz w:val="20"/>
                <w:szCs w:val="20"/>
                <w:lang w:val="sv-SE" w:eastAsia="sv-SE"/>
              </w:rPr>
            </w:pPr>
            <w:r w:rsidRPr="00D454FE">
              <w:rPr>
                <w:rFonts w:ascii="Calibri" w:eastAsia="Times New Roman" w:hAnsi="Calibri" w:cs="Calibri"/>
                <w:sz w:val="20"/>
                <w:szCs w:val="20"/>
                <w:lang w:val="sv-SE" w:eastAsia="sv-SE"/>
              </w:rPr>
              <w:t>&lt;0.001</w:t>
            </w:r>
          </w:p>
        </w:tc>
      </w:tr>
      <w:tr w:rsidR="00D454FE" w:rsidRPr="002E1861" w14:paraId="3A3CAF62" w14:textId="77777777" w:rsidTr="00293096">
        <w:trPr>
          <w:trHeight w:val="240"/>
        </w:trPr>
        <w:tc>
          <w:tcPr>
            <w:tcW w:w="3200" w:type="dxa"/>
            <w:shd w:val="clear" w:color="auto" w:fill="auto"/>
            <w:noWrap/>
            <w:vAlign w:val="center"/>
            <w:hideMark/>
          </w:tcPr>
          <w:p w14:paraId="4908B0C0" w14:textId="3E9CD34C" w:rsidR="00D454FE" w:rsidRPr="002E1861" w:rsidRDefault="00D454FE" w:rsidP="00D454FE">
            <w:pPr>
              <w:spacing w:after="0" w:line="240" w:lineRule="auto"/>
              <w:rPr>
                <w:rFonts w:ascii="Calibri" w:eastAsia="Times New Roman" w:hAnsi="Calibri" w:cs="Calibri"/>
                <w:color w:val="000000"/>
                <w:sz w:val="20"/>
                <w:szCs w:val="20"/>
                <w:lang w:val="en-US" w:eastAsia="sv-SE"/>
              </w:rPr>
            </w:pPr>
            <w:r w:rsidRPr="00D454FE">
              <w:rPr>
                <w:rFonts w:ascii="Calibri" w:eastAsia="Times New Roman" w:hAnsi="Calibri" w:cs="Calibri"/>
                <w:color w:val="000000"/>
                <w:sz w:val="20"/>
                <w:szCs w:val="20"/>
                <w:lang w:val="en-US" w:eastAsia="sv-SE"/>
              </w:rPr>
              <w:t xml:space="preserve">Adjusted </w:t>
            </w:r>
            <w:r w:rsidRPr="002E1861">
              <w:rPr>
                <w:rFonts w:ascii="Calibri" w:eastAsia="Times New Roman" w:hAnsi="Calibri" w:cs="Calibri"/>
                <w:color w:val="000000"/>
                <w:sz w:val="20"/>
                <w:szCs w:val="20"/>
                <w:lang w:val="en-US" w:eastAsia="sv-SE"/>
              </w:rPr>
              <w:t>HR (95%</w:t>
            </w:r>
            <w:r w:rsidR="001000EB" w:rsidRPr="002E1861">
              <w:rPr>
                <w:rFonts w:ascii="Calibri" w:eastAsia="Times New Roman" w:hAnsi="Calibri" w:cs="Calibri"/>
                <w:color w:val="000000"/>
                <w:sz w:val="20"/>
                <w:szCs w:val="20"/>
                <w:lang w:val="en-US" w:eastAsia="sv-SE"/>
              </w:rPr>
              <w:t>CI)</w:t>
            </w:r>
            <w:r w:rsidR="001000EB">
              <w:rPr>
                <w:rFonts w:ascii="Calibri" w:eastAsia="Times New Roman" w:hAnsi="Calibri" w:cs="Calibri"/>
                <w:color w:val="000000"/>
                <w:sz w:val="20"/>
                <w:szCs w:val="20"/>
                <w:lang w:val="en-US" w:eastAsia="sv-SE"/>
              </w:rPr>
              <w:t xml:space="preserve"> *</w:t>
            </w:r>
          </w:p>
        </w:tc>
        <w:tc>
          <w:tcPr>
            <w:tcW w:w="1780" w:type="dxa"/>
            <w:shd w:val="clear" w:color="auto" w:fill="auto"/>
            <w:noWrap/>
            <w:hideMark/>
          </w:tcPr>
          <w:p w14:paraId="6D718792" w14:textId="080A2F74" w:rsidR="00D454FE" w:rsidRPr="009F1CED" w:rsidRDefault="00D454FE" w:rsidP="00D454FE">
            <w:pPr>
              <w:spacing w:after="0" w:line="240" w:lineRule="auto"/>
              <w:jc w:val="center"/>
              <w:rPr>
                <w:rFonts w:ascii="Calibri" w:eastAsia="Times New Roman" w:hAnsi="Calibri" w:cs="Calibri"/>
                <w:sz w:val="20"/>
                <w:szCs w:val="20"/>
                <w:lang w:val="sv-SE" w:eastAsia="sv-SE"/>
              </w:rPr>
            </w:pPr>
            <w:r w:rsidRPr="007A22B3">
              <w:t>reference</w:t>
            </w:r>
          </w:p>
        </w:tc>
        <w:tc>
          <w:tcPr>
            <w:tcW w:w="1780" w:type="dxa"/>
            <w:shd w:val="clear" w:color="auto" w:fill="auto"/>
            <w:noWrap/>
            <w:vAlign w:val="center"/>
            <w:hideMark/>
          </w:tcPr>
          <w:p w14:paraId="376AD35E" w14:textId="77777777" w:rsidR="00D454FE" w:rsidRPr="00FE212A" w:rsidRDefault="00D454FE" w:rsidP="00D454FE">
            <w:pPr>
              <w:spacing w:after="0" w:line="240" w:lineRule="auto"/>
              <w:jc w:val="center"/>
              <w:rPr>
                <w:rFonts w:ascii="Calibri" w:eastAsia="Times New Roman" w:hAnsi="Calibri" w:cs="Calibri"/>
                <w:sz w:val="20"/>
                <w:szCs w:val="20"/>
                <w:lang w:val="sv-SE" w:eastAsia="sv-SE"/>
              </w:rPr>
            </w:pPr>
            <w:r w:rsidRPr="00FE212A">
              <w:rPr>
                <w:rFonts w:ascii="Calibri" w:eastAsia="Times New Roman" w:hAnsi="Calibri" w:cs="Calibri"/>
                <w:sz w:val="20"/>
                <w:szCs w:val="20"/>
                <w:lang w:val="sv-SE" w:eastAsia="sv-SE"/>
              </w:rPr>
              <w:t>1.48 (1.29-1.69)</w:t>
            </w:r>
          </w:p>
          <w:p w14:paraId="183B8336" w14:textId="77777777" w:rsidR="00D454FE" w:rsidRPr="00FE212A" w:rsidRDefault="00D454FE" w:rsidP="00D454FE">
            <w:pPr>
              <w:spacing w:after="0" w:line="240" w:lineRule="auto"/>
              <w:rPr>
                <w:rFonts w:ascii="Calibri" w:eastAsia="Times New Roman" w:hAnsi="Calibri" w:cs="Calibri"/>
                <w:sz w:val="20"/>
                <w:szCs w:val="20"/>
                <w:lang w:val="sv-SE" w:eastAsia="sv-SE"/>
              </w:rPr>
            </w:pPr>
          </w:p>
        </w:tc>
        <w:tc>
          <w:tcPr>
            <w:tcW w:w="780" w:type="dxa"/>
            <w:shd w:val="clear" w:color="auto" w:fill="auto"/>
            <w:noWrap/>
            <w:vAlign w:val="center"/>
            <w:hideMark/>
          </w:tcPr>
          <w:p w14:paraId="3E255BB9" w14:textId="77777777" w:rsidR="00D454FE" w:rsidRPr="00FE212A" w:rsidRDefault="00D454FE" w:rsidP="00D454FE">
            <w:pPr>
              <w:spacing w:after="0" w:line="240" w:lineRule="auto"/>
              <w:jc w:val="center"/>
              <w:rPr>
                <w:rFonts w:ascii="Calibri" w:eastAsia="Times New Roman" w:hAnsi="Calibri" w:cs="Calibri"/>
                <w:sz w:val="20"/>
                <w:szCs w:val="20"/>
                <w:lang w:val="sv-SE" w:eastAsia="sv-SE"/>
              </w:rPr>
            </w:pPr>
            <w:r w:rsidRPr="00FE212A">
              <w:rPr>
                <w:rFonts w:ascii="Calibri" w:eastAsia="Times New Roman" w:hAnsi="Calibri" w:cs="Calibri"/>
                <w:sz w:val="20"/>
                <w:szCs w:val="20"/>
                <w:lang w:val="sv-SE" w:eastAsia="sv-SE"/>
              </w:rPr>
              <w:t>&lt;0.001</w:t>
            </w:r>
          </w:p>
        </w:tc>
      </w:tr>
      <w:tr w:rsidR="00D65181" w:rsidRPr="002E1861" w14:paraId="55C14F76" w14:textId="77777777" w:rsidTr="00293096">
        <w:trPr>
          <w:trHeight w:val="120"/>
        </w:trPr>
        <w:tc>
          <w:tcPr>
            <w:tcW w:w="3200" w:type="dxa"/>
            <w:shd w:val="clear" w:color="auto" w:fill="auto"/>
            <w:noWrap/>
            <w:vAlign w:val="bottom"/>
            <w:hideMark/>
          </w:tcPr>
          <w:p w14:paraId="45212103" w14:textId="77777777" w:rsidR="00D65181" w:rsidRPr="002E1861" w:rsidRDefault="00D65181" w:rsidP="00455774">
            <w:pPr>
              <w:spacing w:after="0" w:line="240" w:lineRule="auto"/>
              <w:jc w:val="center"/>
              <w:rPr>
                <w:rFonts w:ascii="Calibri" w:eastAsia="Times New Roman" w:hAnsi="Calibri" w:cs="Calibri"/>
                <w:color w:val="000000"/>
                <w:sz w:val="20"/>
                <w:szCs w:val="20"/>
                <w:lang w:val="sv-SE" w:eastAsia="sv-SE"/>
              </w:rPr>
            </w:pPr>
          </w:p>
        </w:tc>
        <w:tc>
          <w:tcPr>
            <w:tcW w:w="1780" w:type="dxa"/>
            <w:shd w:val="clear" w:color="auto" w:fill="auto"/>
            <w:noWrap/>
            <w:vAlign w:val="bottom"/>
            <w:hideMark/>
          </w:tcPr>
          <w:p w14:paraId="22FC44D6" w14:textId="77777777" w:rsidR="00D65181" w:rsidRPr="00FC7648" w:rsidRDefault="00D65181" w:rsidP="00455774">
            <w:pPr>
              <w:spacing w:after="0" w:line="240" w:lineRule="auto"/>
              <w:jc w:val="center"/>
              <w:rPr>
                <w:rFonts w:ascii="Calibri" w:eastAsia="Times New Roman" w:hAnsi="Calibri" w:cs="Calibri"/>
                <w:color w:val="FF0000"/>
                <w:sz w:val="20"/>
                <w:szCs w:val="20"/>
                <w:lang w:val="sv-SE" w:eastAsia="sv-SE"/>
              </w:rPr>
            </w:pPr>
          </w:p>
        </w:tc>
        <w:tc>
          <w:tcPr>
            <w:tcW w:w="1780" w:type="dxa"/>
            <w:shd w:val="clear" w:color="auto" w:fill="auto"/>
            <w:noWrap/>
            <w:vAlign w:val="bottom"/>
            <w:hideMark/>
          </w:tcPr>
          <w:p w14:paraId="42E989ED" w14:textId="77777777" w:rsidR="00D65181" w:rsidRPr="00FC7648" w:rsidRDefault="00D65181" w:rsidP="00455774">
            <w:pPr>
              <w:spacing w:after="0" w:line="240" w:lineRule="auto"/>
              <w:jc w:val="center"/>
              <w:rPr>
                <w:rFonts w:ascii="Calibri" w:eastAsia="Times New Roman" w:hAnsi="Calibri" w:cs="Calibri"/>
                <w:color w:val="FF0000"/>
                <w:sz w:val="20"/>
                <w:szCs w:val="20"/>
                <w:lang w:val="sv-SE" w:eastAsia="sv-SE"/>
              </w:rPr>
            </w:pPr>
          </w:p>
        </w:tc>
        <w:tc>
          <w:tcPr>
            <w:tcW w:w="780" w:type="dxa"/>
            <w:shd w:val="clear" w:color="auto" w:fill="auto"/>
            <w:noWrap/>
            <w:vAlign w:val="bottom"/>
            <w:hideMark/>
          </w:tcPr>
          <w:p w14:paraId="145D2E2E" w14:textId="77777777" w:rsidR="00D65181" w:rsidRPr="00FC7648" w:rsidRDefault="00D65181" w:rsidP="00455774">
            <w:pPr>
              <w:spacing w:after="0" w:line="240" w:lineRule="auto"/>
              <w:jc w:val="center"/>
              <w:rPr>
                <w:rFonts w:ascii="Calibri" w:eastAsia="Times New Roman" w:hAnsi="Calibri" w:cs="Calibri"/>
                <w:color w:val="FF0000"/>
                <w:sz w:val="20"/>
                <w:szCs w:val="20"/>
                <w:lang w:val="sv-SE" w:eastAsia="sv-SE"/>
              </w:rPr>
            </w:pPr>
          </w:p>
        </w:tc>
      </w:tr>
      <w:tr w:rsidR="00D65181" w:rsidRPr="002E1861" w14:paraId="36B6BC94" w14:textId="77777777" w:rsidTr="00293096">
        <w:trPr>
          <w:trHeight w:val="240"/>
        </w:trPr>
        <w:tc>
          <w:tcPr>
            <w:tcW w:w="3200" w:type="dxa"/>
            <w:shd w:val="clear" w:color="auto" w:fill="auto"/>
            <w:noWrap/>
            <w:vAlign w:val="center"/>
          </w:tcPr>
          <w:p w14:paraId="741236E8" w14:textId="77777777" w:rsidR="00D65181" w:rsidRPr="00B1018B" w:rsidRDefault="00D65181" w:rsidP="00455774">
            <w:pPr>
              <w:spacing w:after="0" w:line="240" w:lineRule="auto"/>
              <w:rPr>
                <w:rFonts w:ascii="Calibri" w:eastAsia="Times New Roman" w:hAnsi="Calibri" w:cs="Calibri"/>
                <w:b/>
                <w:bCs/>
                <w:color w:val="000000"/>
                <w:sz w:val="20"/>
                <w:szCs w:val="20"/>
                <w:lang w:val="sv-SE" w:eastAsia="sv-SE"/>
              </w:rPr>
            </w:pPr>
            <w:r w:rsidRPr="00B1018B">
              <w:rPr>
                <w:rFonts w:ascii="Calibri" w:eastAsia="Times New Roman" w:hAnsi="Calibri" w:cs="Calibri"/>
                <w:b/>
                <w:bCs/>
                <w:color w:val="000000"/>
                <w:sz w:val="20"/>
                <w:szCs w:val="20"/>
                <w:lang w:val="sv-SE" w:eastAsia="sv-SE"/>
              </w:rPr>
              <w:t>Other major osteoporotic fracture</w:t>
            </w:r>
          </w:p>
        </w:tc>
        <w:tc>
          <w:tcPr>
            <w:tcW w:w="1780" w:type="dxa"/>
            <w:shd w:val="clear" w:color="auto" w:fill="auto"/>
            <w:noWrap/>
            <w:vAlign w:val="bottom"/>
          </w:tcPr>
          <w:p w14:paraId="79D168B3" w14:textId="77777777" w:rsidR="00D65181" w:rsidRPr="00FC7648" w:rsidRDefault="00D65181" w:rsidP="00455774">
            <w:pPr>
              <w:spacing w:after="0" w:line="240" w:lineRule="auto"/>
              <w:jc w:val="center"/>
              <w:rPr>
                <w:rFonts w:ascii="Calibri" w:eastAsia="Times New Roman" w:hAnsi="Calibri" w:cs="Calibri"/>
                <w:b/>
                <w:bCs/>
                <w:color w:val="FF0000"/>
                <w:sz w:val="20"/>
                <w:szCs w:val="20"/>
                <w:u w:val="single"/>
                <w:lang w:val="sv-SE" w:eastAsia="sv-SE"/>
              </w:rPr>
            </w:pPr>
          </w:p>
        </w:tc>
        <w:tc>
          <w:tcPr>
            <w:tcW w:w="1780" w:type="dxa"/>
            <w:shd w:val="clear" w:color="auto" w:fill="auto"/>
            <w:noWrap/>
            <w:vAlign w:val="bottom"/>
          </w:tcPr>
          <w:p w14:paraId="71AA9622" w14:textId="77777777" w:rsidR="00D65181" w:rsidRPr="00FC7648" w:rsidRDefault="00D65181" w:rsidP="00455774">
            <w:pPr>
              <w:spacing w:after="0" w:line="240" w:lineRule="auto"/>
              <w:jc w:val="center"/>
              <w:rPr>
                <w:rFonts w:ascii="Calibri" w:eastAsia="Times New Roman" w:hAnsi="Calibri" w:cs="Calibri"/>
                <w:color w:val="FF0000"/>
                <w:sz w:val="20"/>
                <w:szCs w:val="20"/>
                <w:lang w:val="sv-SE" w:eastAsia="sv-SE"/>
              </w:rPr>
            </w:pPr>
          </w:p>
        </w:tc>
        <w:tc>
          <w:tcPr>
            <w:tcW w:w="780" w:type="dxa"/>
            <w:shd w:val="clear" w:color="auto" w:fill="auto"/>
            <w:noWrap/>
            <w:vAlign w:val="bottom"/>
          </w:tcPr>
          <w:p w14:paraId="384E80FA" w14:textId="77777777" w:rsidR="00D65181" w:rsidRPr="00FC7648" w:rsidRDefault="00D65181" w:rsidP="00455774">
            <w:pPr>
              <w:spacing w:after="0" w:line="240" w:lineRule="auto"/>
              <w:jc w:val="center"/>
              <w:rPr>
                <w:rFonts w:ascii="Calibri" w:eastAsia="Times New Roman" w:hAnsi="Calibri" w:cs="Calibri"/>
                <w:color w:val="FF0000"/>
                <w:sz w:val="20"/>
                <w:szCs w:val="20"/>
                <w:lang w:val="sv-SE" w:eastAsia="sv-SE"/>
              </w:rPr>
            </w:pPr>
          </w:p>
        </w:tc>
      </w:tr>
      <w:tr w:rsidR="00D65181" w:rsidRPr="002E1861" w14:paraId="36A73289" w14:textId="77777777" w:rsidTr="00293096">
        <w:trPr>
          <w:trHeight w:val="240"/>
        </w:trPr>
        <w:tc>
          <w:tcPr>
            <w:tcW w:w="3200" w:type="dxa"/>
            <w:shd w:val="clear" w:color="auto" w:fill="auto"/>
            <w:noWrap/>
            <w:vAlign w:val="center"/>
            <w:hideMark/>
          </w:tcPr>
          <w:p w14:paraId="1B6D57BA" w14:textId="77777777" w:rsidR="00D65181" w:rsidRPr="002E1861" w:rsidRDefault="00D65181" w:rsidP="00455774">
            <w:pPr>
              <w:spacing w:after="0" w:line="240" w:lineRule="auto"/>
              <w:rPr>
                <w:rFonts w:ascii="Calibri" w:eastAsia="Times New Roman" w:hAnsi="Calibri" w:cs="Calibri"/>
                <w:color w:val="000000"/>
                <w:sz w:val="20"/>
                <w:szCs w:val="20"/>
                <w:lang w:val="sv-SE" w:eastAsia="sv-SE"/>
              </w:rPr>
            </w:pPr>
            <w:r w:rsidRPr="002E1861">
              <w:rPr>
                <w:rFonts w:ascii="Calibri" w:eastAsia="Times New Roman" w:hAnsi="Calibri" w:cs="Calibri"/>
                <w:color w:val="000000"/>
                <w:sz w:val="20"/>
                <w:szCs w:val="20"/>
                <w:lang w:val="sv-SE" w:eastAsia="sv-SE"/>
              </w:rPr>
              <w:t>Events, n (%)</w:t>
            </w:r>
          </w:p>
        </w:tc>
        <w:tc>
          <w:tcPr>
            <w:tcW w:w="1780" w:type="dxa"/>
            <w:shd w:val="clear" w:color="auto" w:fill="auto"/>
            <w:noWrap/>
            <w:vAlign w:val="center"/>
            <w:hideMark/>
          </w:tcPr>
          <w:p w14:paraId="4CCB4BDE" w14:textId="77777777" w:rsidR="00D65181" w:rsidRPr="009F1CED" w:rsidRDefault="00D65181" w:rsidP="00455774">
            <w:pPr>
              <w:spacing w:after="0" w:line="240" w:lineRule="auto"/>
              <w:jc w:val="center"/>
              <w:rPr>
                <w:rFonts w:ascii="Calibri" w:eastAsia="Times New Roman" w:hAnsi="Calibri" w:cs="Calibri"/>
                <w:sz w:val="20"/>
                <w:szCs w:val="20"/>
                <w:lang w:val="sv-SE" w:eastAsia="sv-SE"/>
              </w:rPr>
            </w:pPr>
            <w:r w:rsidRPr="009F1CED">
              <w:rPr>
                <w:rFonts w:ascii="Calibri" w:eastAsia="Times New Roman" w:hAnsi="Calibri" w:cs="Calibri"/>
                <w:sz w:val="20"/>
                <w:szCs w:val="20"/>
                <w:lang w:val="sv-SE" w:eastAsia="sv-SE"/>
              </w:rPr>
              <w:t>4520 (6.6%)</w:t>
            </w:r>
          </w:p>
        </w:tc>
        <w:tc>
          <w:tcPr>
            <w:tcW w:w="1780" w:type="dxa"/>
            <w:shd w:val="clear" w:color="auto" w:fill="auto"/>
            <w:noWrap/>
            <w:vAlign w:val="center"/>
            <w:hideMark/>
          </w:tcPr>
          <w:p w14:paraId="2E2A6090" w14:textId="77777777" w:rsidR="00D65181" w:rsidRPr="000773EB" w:rsidRDefault="00D65181" w:rsidP="00455774">
            <w:pPr>
              <w:spacing w:after="0" w:line="240" w:lineRule="auto"/>
              <w:jc w:val="center"/>
              <w:rPr>
                <w:rFonts w:ascii="Calibri" w:eastAsia="Times New Roman" w:hAnsi="Calibri" w:cs="Calibri"/>
                <w:sz w:val="20"/>
                <w:szCs w:val="20"/>
                <w:lang w:val="sv-SE" w:eastAsia="sv-SE"/>
              </w:rPr>
            </w:pPr>
            <w:r w:rsidRPr="000773EB">
              <w:rPr>
                <w:rFonts w:ascii="Calibri" w:eastAsia="Times New Roman" w:hAnsi="Calibri" w:cs="Calibri"/>
                <w:sz w:val="20"/>
                <w:szCs w:val="20"/>
                <w:lang w:val="sv-SE" w:eastAsia="sv-SE"/>
              </w:rPr>
              <w:t>267 (3.9%)</w:t>
            </w:r>
          </w:p>
        </w:tc>
        <w:tc>
          <w:tcPr>
            <w:tcW w:w="780" w:type="dxa"/>
            <w:shd w:val="clear" w:color="auto" w:fill="auto"/>
            <w:noWrap/>
            <w:vAlign w:val="bottom"/>
            <w:hideMark/>
          </w:tcPr>
          <w:p w14:paraId="2AC730C8" w14:textId="77777777" w:rsidR="00D65181" w:rsidRPr="00FC7648" w:rsidRDefault="00D65181" w:rsidP="00455774">
            <w:pPr>
              <w:spacing w:after="0" w:line="240" w:lineRule="auto"/>
              <w:jc w:val="center"/>
              <w:rPr>
                <w:rFonts w:ascii="Calibri" w:eastAsia="Times New Roman" w:hAnsi="Calibri" w:cs="Calibri"/>
                <w:color w:val="FF0000"/>
                <w:sz w:val="20"/>
                <w:szCs w:val="20"/>
                <w:lang w:val="sv-SE" w:eastAsia="sv-SE"/>
              </w:rPr>
            </w:pPr>
          </w:p>
        </w:tc>
      </w:tr>
      <w:tr w:rsidR="00D65181" w:rsidRPr="002E1861" w14:paraId="7F461D81" w14:textId="77777777" w:rsidTr="00293096">
        <w:trPr>
          <w:trHeight w:val="240"/>
        </w:trPr>
        <w:tc>
          <w:tcPr>
            <w:tcW w:w="3200" w:type="dxa"/>
            <w:shd w:val="clear" w:color="auto" w:fill="auto"/>
            <w:noWrap/>
            <w:vAlign w:val="center"/>
            <w:hideMark/>
          </w:tcPr>
          <w:p w14:paraId="474A8F5B" w14:textId="77777777" w:rsidR="00D65181" w:rsidRPr="002E1861" w:rsidRDefault="00D65181" w:rsidP="00455774">
            <w:pPr>
              <w:spacing w:after="0" w:line="240" w:lineRule="auto"/>
              <w:rPr>
                <w:rFonts w:ascii="Calibri" w:eastAsia="Times New Roman" w:hAnsi="Calibri" w:cs="Calibri"/>
                <w:color w:val="000000"/>
                <w:sz w:val="20"/>
                <w:szCs w:val="20"/>
                <w:lang w:val="sv-SE" w:eastAsia="sv-SE"/>
              </w:rPr>
            </w:pPr>
            <w:r w:rsidRPr="002E1861">
              <w:rPr>
                <w:rFonts w:ascii="Calibri" w:eastAsia="Times New Roman" w:hAnsi="Calibri" w:cs="Calibri"/>
                <w:color w:val="000000"/>
                <w:sz w:val="20"/>
                <w:szCs w:val="20"/>
                <w:lang w:val="sv-SE" w:eastAsia="sv-SE"/>
              </w:rPr>
              <w:t>per 1000 person years (95% CI)</w:t>
            </w:r>
          </w:p>
        </w:tc>
        <w:tc>
          <w:tcPr>
            <w:tcW w:w="1780" w:type="dxa"/>
            <w:shd w:val="clear" w:color="auto" w:fill="auto"/>
            <w:noWrap/>
            <w:hideMark/>
          </w:tcPr>
          <w:p w14:paraId="126A6AE1" w14:textId="77777777" w:rsidR="00D65181" w:rsidRPr="009F1CED" w:rsidRDefault="00D65181" w:rsidP="00455774">
            <w:pPr>
              <w:spacing w:after="0" w:line="240" w:lineRule="auto"/>
              <w:jc w:val="center"/>
              <w:rPr>
                <w:rFonts w:ascii="Calibri" w:eastAsia="Times New Roman" w:hAnsi="Calibri" w:cs="Calibri"/>
                <w:sz w:val="20"/>
                <w:szCs w:val="20"/>
                <w:lang w:val="sv-SE" w:eastAsia="sv-SE"/>
              </w:rPr>
            </w:pPr>
            <w:r w:rsidRPr="009F1CED">
              <w:t>8.8 (8.5-9.0)</w:t>
            </w:r>
          </w:p>
        </w:tc>
        <w:tc>
          <w:tcPr>
            <w:tcW w:w="1780" w:type="dxa"/>
            <w:shd w:val="clear" w:color="auto" w:fill="auto"/>
            <w:noWrap/>
            <w:hideMark/>
          </w:tcPr>
          <w:p w14:paraId="179304E5" w14:textId="77777777" w:rsidR="00D65181" w:rsidRPr="000773EB" w:rsidRDefault="00D65181" w:rsidP="00455774">
            <w:pPr>
              <w:spacing w:after="0" w:line="240" w:lineRule="auto"/>
              <w:jc w:val="center"/>
              <w:rPr>
                <w:rFonts w:ascii="Calibri" w:eastAsia="Times New Roman" w:hAnsi="Calibri" w:cs="Calibri"/>
                <w:sz w:val="20"/>
                <w:szCs w:val="20"/>
                <w:lang w:val="sv-SE" w:eastAsia="sv-SE"/>
              </w:rPr>
            </w:pPr>
            <w:r w:rsidRPr="000773EB">
              <w:t>13.7 (12.1-15.4)</w:t>
            </w:r>
          </w:p>
        </w:tc>
        <w:tc>
          <w:tcPr>
            <w:tcW w:w="780" w:type="dxa"/>
            <w:shd w:val="clear" w:color="auto" w:fill="auto"/>
            <w:noWrap/>
            <w:vAlign w:val="center"/>
          </w:tcPr>
          <w:p w14:paraId="7E2F7FC8" w14:textId="77777777" w:rsidR="00D65181" w:rsidRPr="00FC7648" w:rsidRDefault="00D65181" w:rsidP="00455774">
            <w:pPr>
              <w:spacing w:after="0" w:line="240" w:lineRule="auto"/>
              <w:jc w:val="center"/>
              <w:rPr>
                <w:rFonts w:ascii="Calibri" w:eastAsia="Times New Roman" w:hAnsi="Calibri" w:cs="Calibri"/>
                <w:color w:val="FF0000"/>
                <w:sz w:val="20"/>
                <w:szCs w:val="20"/>
                <w:lang w:val="sv-SE" w:eastAsia="sv-SE"/>
              </w:rPr>
            </w:pPr>
          </w:p>
        </w:tc>
      </w:tr>
      <w:tr w:rsidR="00D454FE" w:rsidRPr="002E1861" w14:paraId="5C0BB775" w14:textId="77777777" w:rsidTr="00702E20">
        <w:trPr>
          <w:trHeight w:val="240"/>
        </w:trPr>
        <w:tc>
          <w:tcPr>
            <w:tcW w:w="3200" w:type="dxa"/>
            <w:tcBorders>
              <w:bottom w:val="nil"/>
            </w:tcBorders>
            <w:shd w:val="clear" w:color="auto" w:fill="auto"/>
            <w:noWrap/>
            <w:vAlign w:val="center"/>
          </w:tcPr>
          <w:p w14:paraId="603DC789" w14:textId="4CCEEAB4" w:rsidR="00D454FE" w:rsidRPr="002E1861" w:rsidRDefault="00D454FE" w:rsidP="00D454FE">
            <w:pPr>
              <w:spacing w:after="0" w:line="240" w:lineRule="auto"/>
              <w:rPr>
                <w:rFonts w:ascii="Calibri" w:eastAsia="Times New Roman" w:hAnsi="Calibri" w:cs="Calibri"/>
                <w:color w:val="000000"/>
                <w:sz w:val="20"/>
                <w:szCs w:val="20"/>
                <w:lang w:val="sv-SE" w:eastAsia="sv-SE"/>
              </w:rPr>
            </w:pPr>
            <w:r w:rsidRPr="00D454FE">
              <w:rPr>
                <w:rFonts w:ascii="Calibri" w:eastAsia="Times New Roman" w:hAnsi="Calibri" w:cs="Calibri"/>
                <w:color w:val="000000"/>
                <w:sz w:val="20"/>
                <w:szCs w:val="20"/>
                <w:lang w:val="sv-SE" w:eastAsia="sv-SE"/>
              </w:rPr>
              <w:t>HR (95%CI)</w:t>
            </w:r>
          </w:p>
        </w:tc>
        <w:tc>
          <w:tcPr>
            <w:tcW w:w="1780" w:type="dxa"/>
            <w:tcBorders>
              <w:bottom w:val="nil"/>
            </w:tcBorders>
            <w:shd w:val="clear" w:color="auto" w:fill="auto"/>
            <w:noWrap/>
          </w:tcPr>
          <w:p w14:paraId="3D1CBD2B" w14:textId="32712ED6" w:rsidR="00D454FE" w:rsidRPr="009F1CED" w:rsidRDefault="00D454FE" w:rsidP="00D454FE">
            <w:pPr>
              <w:spacing w:after="0" w:line="240" w:lineRule="auto"/>
              <w:jc w:val="center"/>
            </w:pPr>
            <w:r w:rsidRPr="007A22B3">
              <w:t>reference</w:t>
            </w:r>
          </w:p>
        </w:tc>
        <w:tc>
          <w:tcPr>
            <w:tcW w:w="1780" w:type="dxa"/>
            <w:tcBorders>
              <w:bottom w:val="nil"/>
            </w:tcBorders>
            <w:shd w:val="clear" w:color="auto" w:fill="auto"/>
            <w:noWrap/>
          </w:tcPr>
          <w:p w14:paraId="1291F1C4" w14:textId="4528B2DC" w:rsidR="00D454FE" w:rsidRPr="000773EB" w:rsidRDefault="00D454FE" w:rsidP="00D454FE">
            <w:pPr>
              <w:spacing w:after="0" w:line="240" w:lineRule="auto"/>
              <w:jc w:val="center"/>
            </w:pPr>
            <w:r w:rsidRPr="00D454FE">
              <w:t>1.56 (1.38-1.76)</w:t>
            </w:r>
          </w:p>
        </w:tc>
        <w:tc>
          <w:tcPr>
            <w:tcW w:w="780" w:type="dxa"/>
            <w:tcBorders>
              <w:bottom w:val="nil"/>
            </w:tcBorders>
            <w:shd w:val="clear" w:color="auto" w:fill="auto"/>
            <w:noWrap/>
            <w:vAlign w:val="center"/>
          </w:tcPr>
          <w:p w14:paraId="03F4A933" w14:textId="23CC3028" w:rsidR="00D454FE" w:rsidRPr="00FC7648" w:rsidRDefault="00D454FE" w:rsidP="00D454FE">
            <w:pPr>
              <w:spacing w:after="0" w:line="240" w:lineRule="auto"/>
              <w:jc w:val="center"/>
              <w:rPr>
                <w:rFonts w:ascii="Calibri" w:eastAsia="Times New Roman" w:hAnsi="Calibri" w:cs="Calibri"/>
                <w:color w:val="FF0000"/>
                <w:sz w:val="20"/>
                <w:szCs w:val="20"/>
                <w:lang w:val="sv-SE" w:eastAsia="sv-SE"/>
              </w:rPr>
            </w:pPr>
            <w:r w:rsidRPr="00D454FE">
              <w:rPr>
                <w:rFonts w:ascii="Calibri" w:eastAsia="Times New Roman" w:hAnsi="Calibri" w:cs="Calibri"/>
                <w:sz w:val="20"/>
                <w:szCs w:val="20"/>
                <w:lang w:val="sv-SE" w:eastAsia="sv-SE"/>
              </w:rPr>
              <w:t>&lt;0.001</w:t>
            </w:r>
          </w:p>
        </w:tc>
      </w:tr>
      <w:tr w:rsidR="00D454FE" w:rsidRPr="002E1861" w14:paraId="3BF83731" w14:textId="77777777" w:rsidTr="00702E20">
        <w:trPr>
          <w:trHeight w:val="240"/>
        </w:trPr>
        <w:tc>
          <w:tcPr>
            <w:tcW w:w="3200" w:type="dxa"/>
            <w:tcBorders>
              <w:top w:val="nil"/>
              <w:bottom w:val="single" w:sz="4" w:space="0" w:color="auto"/>
            </w:tcBorders>
            <w:shd w:val="clear" w:color="auto" w:fill="auto"/>
            <w:noWrap/>
            <w:vAlign w:val="center"/>
            <w:hideMark/>
          </w:tcPr>
          <w:p w14:paraId="3FE6D5D3" w14:textId="07ABD452" w:rsidR="00D454FE" w:rsidRPr="002E1861" w:rsidRDefault="00D454FE" w:rsidP="00D454FE">
            <w:pPr>
              <w:spacing w:after="0" w:line="240" w:lineRule="auto"/>
              <w:rPr>
                <w:rFonts w:ascii="Calibri" w:eastAsia="Times New Roman" w:hAnsi="Calibri" w:cs="Calibri"/>
                <w:color w:val="000000"/>
                <w:sz w:val="20"/>
                <w:szCs w:val="20"/>
                <w:lang w:val="en-US" w:eastAsia="sv-SE"/>
              </w:rPr>
            </w:pPr>
            <w:r w:rsidRPr="00D454FE">
              <w:rPr>
                <w:rFonts w:ascii="Calibri" w:eastAsia="Times New Roman" w:hAnsi="Calibri" w:cs="Calibri"/>
                <w:color w:val="000000"/>
                <w:sz w:val="20"/>
                <w:szCs w:val="20"/>
                <w:lang w:val="en-US" w:eastAsia="sv-SE"/>
              </w:rPr>
              <w:t xml:space="preserve">Adjusted </w:t>
            </w:r>
            <w:r w:rsidRPr="002E1861">
              <w:rPr>
                <w:rFonts w:ascii="Calibri" w:eastAsia="Times New Roman" w:hAnsi="Calibri" w:cs="Calibri"/>
                <w:color w:val="000000"/>
                <w:sz w:val="20"/>
                <w:szCs w:val="20"/>
                <w:lang w:val="en-US" w:eastAsia="sv-SE"/>
              </w:rPr>
              <w:t>HR (95%</w:t>
            </w:r>
            <w:r w:rsidR="001000EB" w:rsidRPr="002E1861">
              <w:rPr>
                <w:rFonts w:ascii="Calibri" w:eastAsia="Times New Roman" w:hAnsi="Calibri" w:cs="Calibri"/>
                <w:color w:val="000000"/>
                <w:sz w:val="20"/>
                <w:szCs w:val="20"/>
                <w:lang w:val="en-US" w:eastAsia="sv-SE"/>
              </w:rPr>
              <w:t>CI)</w:t>
            </w:r>
            <w:r w:rsidR="001000EB">
              <w:rPr>
                <w:rFonts w:ascii="Calibri" w:eastAsia="Times New Roman" w:hAnsi="Calibri" w:cs="Calibri"/>
                <w:color w:val="000000"/>
                <w:sz w:val="20"/>
                <w:szCs w:val="20"/>
                <w:lang w:val="en-US" w:eastAsia="sv-SE"/>
              </w:rPr>
              <w:t xml:space="preserve"> *</w:t>
            </w:r>
          </w:p>
        </w:tc>
        <w:tc>
          <w:tcPr>
            <w:tcW w:w="1780" w:type="dxa"/>
            <w:tcBorders>
              <w:top w:val="nil"/>
              <w:bottom w:val="single" w:sz="4" w:space="0" w:color="auto"/>
            </w:tcBorders>
            <w:shd w:val="clear" w:color="auto" w:fill="auto"/>
            <w:noWrap/>
            <w:hideMark/>
          </w:tcPr>
          <w:p w14:paraId="15A5D227" w14:textId="1D4D873D" w:rsidR="00D454FE" w:rsidRPr="009F1CED" w:rsidRDefault="00D454FE" w:rsidP="00D454FE">
            <w:pPr>
              <w:spacing w:after="0" w:line="240" w:lineRule="auto"/>
              <w:jc w:val="center"/>
              <w:rPr>
                <w:rFonts w:ascii="Calibri" w:eastAsia="Times New Roman" w:hAnsi="Calibri" w:cs="Calibri"/>
                <w:sz w:val="20"/>
                <w:szCs w:val="20"/>
                <w:lang w:val="sv-SE" w:eastAsia="sv-SE"/>
              </w:rPr>
            </w:pPr>
            <w:r w:rsidRPr="007A22B3">
              <w:t>reference</w:t>
            </w:r>
          </w:p>
        </w:tc>
        <w:tc>
          <w:tcPr>
            <w:tcW w:w="1780" w:type="dxa"/>
            <w:tcBorders>
              <w:top w:val="nil"/>
              <w:bottom w:val="single" w:sz="4" w:space="0" w:color="auto"/>
            </w:tcBorders>
            <w:shd w:val="clear" w:color="auto" w:fill="auto"/>
            <w:noWrap/>
            <w:vAlign w:val="center"/>
            <w:hideMark/>
          </w:tcPr>
          <w:p w14:paraId="157BD51F" w14:textId="77777777" w:rsidR="00D454FE" w:rsidRPr="00A65A39" w:rsidRDefault="00D454FE" w:rsidP="00D454FE">
            <w:pPr>
              <w:spacing w:after="0" w:line="240" w:lineRule="auto"/>
              <w:jc w:val="center"/>
              <w:rPr>
                <w:rFonts w:ascii="Calibri" w:eastAsia="Times New Roman" w:hAnsi="Calibri" w:cs="Calibri"/>
                <w:sz w:val="20"/>
                <w:szCs w:val="20"/>
                <w:lang w:val="sv-SE" w:eastAsia="sv-SE"/>
              </w:rPr>
            </w:pPr>
            <w:r w:rsidRPr="00A65A39">
              <w:rPr>
                <w:rFonts w:ascii="Calibri" w:eastAsia="Times New Roman" w:hAnsi="Calibri" w:cs="Calibri"/>
                <w:sz w:val="20"/>
                <w:szCs w:val="20"/>
                <w:lang w:val="sv-SE" w:eastAsia="sv-SE"/>
              </w:rPr>
              <w:t>1.26 (1.11-1.42)</w:t>
            </w:r>
          </w:p>
        </w:tc>
        <w:tc>
          <w:tcPr>
            <w:tcW w:w="780" w:type="dxa"/>
            <w:tcBorders>
              <w:top w:val="nil"/>
              <w:bottom w:val="single" w:sz="4" w:space="0" w:color="auto"/>
            </w:tcBorders>
            <w:shd w:val="clear" w:color="auto" w:fill="auto"/>
            <w:noWrap/>
            <w:vAlign w:val="center"/>
            <w:hideMark/>
          </w:tcPr>
          <w:p w14:paraId="4AABCD85" w14:textId="77777777" w:rsidR="00D454FE" w:rsidRPr="006B1819" w:rsidRDefault="00D454FE" w:rsidP="00D454FE">
            <w:pPr>
              <w:spacing w:after="0" w:line="240" w:lineRule="auto"/>
              <w:jc w:val="center"/>
              <w:rPr>
                <w:rFonts w:ascii="Calibri" w:eastAsia="Times New Roman" w:hAnsi="Calibri" w:cs="Calibri"/>
                <w:sz w:val="20"/>
                <w:szCs w:val="20"/>
                <w:lang w:val="sv-SE" w:eastAsia="sv-SE"/>
              </w:rPr>
            </w:pPr>
            <w:r w:rsidRPr="006B1819">
              <w:rPr>
                <w:rFonts w:ascii="Calibri" w:eastAsia="Times New Roman" w:hAnsi="Calibri" w:cs="Calibri"/>
                <w:sz w:val="20"/>
                <w:szCs w:val="20"/>
                <w:lang w:val="sv-SE" w:eastAsia="sv-SE"/>
              </w:rPr>
              <w:t>&lt;0.001</w:t>
            </w:r>
          </w:p>
        </w:tc>
      </w:tr>
      <w:tr w:rsidR="00D65181" w:rsidRPr="002E1861" w14:paraId="0618E47C" w14:textId="77777777" w:rsidTr="00702E20">
        <w:trPr>
          <w:trHeight w:val="120"/>
        </w:trPr>
        <w:tc>
          <w:tcPr>
            <w:tcW w:w="3200" w:type="dxa"/>
            <w:tcBorders>
              <w:top w:val="single" w:sz="4" w:space="0" w:color="auto"/>
              <w:bottom w:val="nil"/>
            </w:tcBorders>
            <w:shd w:val="clear" w:color="auto" w:fill="auto"/>
            <w:noWrap/>
            <w:vAlign w:val="bottom"/>
            <w:hideMark/>
          </w:tcPr>
          <w:p w14:paraId="3C6A1E67" w14:textId="77777777" w:rsidR="00D65181" w:rsidRPr="002E1861" w:rsidRDefault="00D65181" w:rsidP="00455774">
            <w:pPr>
              <w:spacing w:after="0" w:line="240" w:lineRule="auto"/>
              <w:jc w:val="center"/>
              <w:rPr>
                <w:rFonts w:ascii="Times New Roman" w:eastAsia="Times New Roman" w:hAnsi="Times New Roman" w:cs="Times New Roman"/>
                <w:color w:val="000000"/>
                <w:sz w:val="20"/>
                <w:szCs w:val="20"/>
                <w:lang w:val="sv-SE" w:eastAsia="sv-SE"/>
              </w:rPr>
            </w:pPr>
          </w:p>
        </w:tc>
        <w:tc>
          <w:tcPr>
            <w:tcW w:w="1780" w:type="dxa"/>
            <w:tcBorders>
              <w:top w:val="single" w:sz="4" w:space="0" w:color="auto"/>
              <w:bottom w:val="nil"/>
            </w:tcBorders>
            <w:shd w:val="clear" w:color="auto" w:fill="auto"/>
            <w:noWrap/>
            <w:vAlign w:val="bottom"/>
            <w:hideMark/>
          </w:tcPr>
          <w:p w14:paraId="4E1D39D2" w14:textId="77777777" w:rsidR="00D65181" w:rsidRPr="002E1861" w:rsidRDefault="00D65181" w:rsidP="00455774">
            <w:pPr>
              <w:spacing w:after="0" w:line="240" w:lineRule="auto"/>
              <w:jc w:val="center"/>
              <w:rPr>
                <w:rFonts w:ascii="Times New Roman" w:eastAsia="Times New Roman" w:hAnsi="Times New Roman" w:cs="Times New Roman"/>
                <w:sz w:val="20"/>
                <w:szCs w:val="20"/>
                <w:lang w:val="sv-SE" w:eastAsia="sv-SE"/>
              </w:rPr>
            </w:pPr>
          </w:p>
        </w:tc>
        <w:tc>
          <w:tcPr>
            <w:tcW w:w="1780" w:type="dxa"/>
            <w:tcBorders>
              <w:top w:val="single" w:sz="4" w:space="0" w:color="auto"/>
              <w:bottom w:val="nil"/>
            </w:tcBorders>
            <w:shd w:val="clear" w:color="auto" w:fill="auto"/>
            <w:noWrap/>
            <w:vAlign w:val="bottom"/>
            <w:hideMark/>
          </w:tcPr>
          <w:p w14:paraId="5240166A" w14:textId="77777777" w:rsidR="00D65181" w:rsidRPr="002E1861" w:rsidRDefault="00D65181" w:rsidP="00455774">
            <w:pPr>
              <w:spacing w:after="0" w:line="240" w:lineRule="auto"/>
              <w:jc w:val="center"/>
              <w:rPr>
                <w:rFonts w:ascii="Times New Roman" w:eastAsia="Times New Roman" w:hAnsi="Times New Roman" w:cs="Times New Roman"/>
                <w:sz w:val="20"/>
                <w:szCs w:val="20"/>
                <w:lang w:val="sv-SE" w:eastAsia="sv-SE"/>
              </w:rPr>
            </w:pPr>
          </w:p>
        </w:tc>
        <w:tc>
          <w:tcPr>
            <w:tcW w:w="780" w:type="dxa"/>
            <w:tcBorders>
              <w:top w:val="single" w:sz="4" w:space="0" w:color="auto"/>
              <w:bottom w:val="nil"/>
            </w:tcBorders>
            <w:shd w:val="clear" w:color="auto" w:fill="auto"/>
            <w:noWrap/>
            <w:vAlign w:val="bottom"/>
            <w:hideMark/>
          </w:tcPr>
          <w:p w14:paraId="7FA8B446" w14:textId="77777777" w:rsidR="00D65181" w:rsidRPr="002E1861" w:rsidRDefault="00D65181" w:rsidP="00455774">
            <w:pPr>
              <w:spacing w:after="0" w:line="240" w:lineRule="auto"/>
              <w:jc w:val="center"/>
              <w:rPr>
                <w:rFonts w:ascii="Times New Roman" w:eastAsia="Times New Roman" w:hAnsi="Times New Roman" w:cs="Times New Roman"/>
                <w:sz w:val="20"/>
                <w:szCs w:val="20"/>
                <w:lang w:val="sv-SE" w:eastAsia="sv-SE"/>
              </w:rPr>
            </w:pPr>
          </w:p>
        </w:tc>
      </w:tr>
      <w:tr w:rsidR="00D454FE" w:rsidRPr="002E1861" w14:paraId="16042607" w14:textId="77777777" w:rsidTr="00702E20">
        <w:trPr>
          <w:trHeight w:val="120"/>
        </w:trPr>
        <w:tc>
          <w:tcPr>
            <w:tcW w:w="7540" w:type="dxa"/>
            <w:gridSpan w:val="4"/>
            <w:tcBorders>
              <w:top w:val="nil"/>
              <w:bottom w:val="nil"/>
            </w:tcBorders>
            <w:shd w:val="clear" w:color="auto" w:fill="auto"/>
            <w:noWrap/>
            <w:vAlign w:val="bottom"/>
          </w:tcPr>
          <w:p w14:paraId="79679676" w14:textId="0894017A" w:rsidR="00D454FE" w:rsidRPr="00B83C5C" w:rsidRDefault="00D454FE" w:rsidP="00D454FE">
            <w:pPr>
              <w:spacing w:after="0" w:line="240" w:lineRule="auto"/>
              <w:rPr>
                <w:rFonts w:ascii="Times New Roman" w:eastAsia="Times New Roman" w:hAnsi="Times New Roman" w:cs="Times New Roman"/>
                <w:sz w:val="20"/>
                <w:szCs w:val="20"/>
                <w:lang w:eastAsia="sv-SE"/>
              </w:rPr>
            </w:pPr>
            <w:r>
              <w:t xml:space="preserve">*Adjusted for sex, </w:t>
            </w:r>
            <w:r w:rsidR="0088511A">
              <w:t xml:space="preserve">current </w:t>
            </w:r>
            <w:r>
              <w:t xml:space="preserve">age, </w:t>
            </w:r>
            <w:r w:rsidR="0088511A">
              <w:t xml:space="preserve">current </w:t>
            </w:r>
            <w:r>
              <w:t>time</w:t>
            </w:r>
            <w:r w:rsidR="0088511A">
              <w:t xml:space="preserve"> since index</w:t>
            </w:r>
            <w:r>
              <w:t xml:space="preserve"> </w:t>
            </w:r>
            <w:r w:rsidR="0029174F">
              <w:t xml:space="preserve">date </w:t>
            </w:r>
            <w:r>
              <w:t>and calendar year</w:t>
            </w:r>
            <w:r w:rsidR="003C07B0">
              <w:t>.</w:t>
            </w:r>
          </w:p>
        </w:tc>
      </w:tr>
      <w:tr w:rsidR="00965485" w:rsidRPr="002E1861" w14:paraId="7D1FB94A" w14:textId="77777777" w:rsidTr="00702E20">
        <w:trPr>
          <w:trHeight w:val="120"/>
        </w:trPr>
        <w:tc>
          <w:tcPr>
            <w:tcW w:w="7540" w:type="dxa"/>
            <w:gridSpan w:val="4"/>
            <w:tcBorders>
              <w:top w:val="nil"/>
              <w:bottom w:val="nil"/>
            </w:tcBorders>
            <w:shd w:val="clear" w:color="auto" w:fill="auto"/>
            <w:noWrap/>
            <w:vAlign w:val="bottom"/>
          </w:tcPr>
          <w:p w14:paraId="603C1C8A" w14:textId="4D07F124" w:rsidR="00965485" w:rsidRDefault="00965485" w:rsidP="00D454FE">
            <w:pPr>
              <w:spacing w:after="0" w:line="240" w:lineRule="auto"/>
            </w:pPr>
            <w:r w:rsidRPr="00965485">
              <w:t>HR: Hazard ratio</w:t>
            </w:r>
          </w:p>
        </w:tc>
      </w:tr>
    </w:tbl>
    <w:p w14:paraId="67AAEC85" w14:textId="0EF0BB65" w:rsidR="00D65181" w:rsidRDefault="00D65181"/>
    <w:p w14:paraId="708423C6" w14:textId="5B54C67C" w:rsidR="0090490F" w:rsidRDefault="00A62228" w:rsidP="00B27491">
      <w:pPr>
        <w:spacing w:line="276" w:lineRule="auto"/>
        <w:rPr>
          <w:rFonts w:ascii="Calibri" w:hAnsi="Calibri" w:cs="Calibri"/>
          <w:i/>
          <w:iCs/>
          <w:sz w:val="24"/>
          <w:szCs w:val="24"/>
        </w:rPr>
      </w:pPr>
      <w:r w:rsidRPr="002C24B4">
        <w:rPr>
          <w:sz w:val="24"/>
          <w:szCs w:val="24"/>
        </w:rPr>
        <w:t xml:space="preserve">When patients who subsequently underwent parathyroidectomy were excluded, the risk of death was significantly higher than in </w:t>
      </w:r>
      <w:r w:rsidR="00C54C8E">
        <w:rPr>
          <w:sz w:val="24"/>
          <w:szCs w:val="24"/>
        </w:rPr>
        <w:t xml:space="preserve">matched </w:t>
      </w:r>
      <w:r w:rsidRPr="002C24B4">
        <w:rPr>
          <w:sz w:val="24"/>
          <w:szCs w:val="24"/>
        </w:rPr>
        <w:t>population controls (HR=1.</w:t>
      </w:r>
      <w:r w:rsidR="00A14918">
        <w:rPr>
          <w:sz w:val="24"/>
          <w:szCs w:val="24"/>
        </w:rPr>
        <w:t>6</w:t>
      </w:r>
      <w:r w:rsidR="00C54C8E">
        <w:rPr>
          <w:sz w:val="24"/>
          <w:szCs w:val="24"/>
        </w:rPr>
        <w:t>3</w:t>
      </w:r>
      <w:r w:rsidRPr="002C24B4">
        <w:rPr>
          <w:sz w:val="24"/>
          <w:szCs w:val="24"/>
        </w:rPr>
        <w:t>; 95%CI=1.</w:t>
      </w:r>
      <w:r w:rsidR="00EA3BC0">
        <w:rPr>
          <w:sz w:val="24"/>
          <w:szCs w:val="24"/>
        </w:rPr>
        <w:t>5</w:t>
      </w:r>
      <w:r w:rsidR="0009794B">
        <w:rPr>
          <w:sz w:val="24"/>
          <w:szCs w:val="24"/>
        </w:rPr>
        <w:t>4</w:t>
      </w:r>
      <w:r w:rsidR="00EA3BC0">
        <w:rPr>
          <w:sz w:val="24"/>
          <w:szCs w:val="24"/>
        </w:rPr>
        <w:t>-</w:t>
      </w:r>
      <w:r w:rsidRPr="002C24B4">
        <w:rPr>
          <w:sz w:val="24"/>
          <w:szCs w:val="24"/>
        </w:rPr>
        <w:t>1.</w:t>
      </w:r>
      <w:r w:rsidR="00EA3BC0">
        <w:rPr>
          <w:sz w:val="24"/>
          <w:szCs w:val="24"/>
        </w:rPr>
        <w:t>7</w:t>
      </w:r>
      <w:r w:rsidR="0009794B">
        <w:rPr>
          <w:sz w:val="24"/>
          <w:szCs w:val="24"/>
        </w:rPr>
        <w:t>3</w:t>
      </w:r>
      <w:r w:rsidRPr="002C24B4">
        <w:rPr>
          <w:sz w:val="24"/>
          <w:szCs w:val="24"/>
        </w:rPr>
        <w:t xml:space="preserve">; p&lt;0.001), as was the risk of hip fracture </w:t>
      </w:r>
      <w:bookmarkStart w:id="9" w:name="_Hlk86867493"/>
      <w:r w:rsidRPr="002C24B4">
        <w:rPr>
          <w:sz w:val="24"/>
          <w:szCs w:val="24"/>
        </w:rPr>
        <w:t>(HR=1.</w:t>
      </w:r>
      <w:r w:rsidR="00DC2D21">
        <w:rPr>
          <w:sz w:val="24"/>
          <w:szCs w:val="24"/>
        </w:rPr>
        <w:t>4</w:t>
      </w:r>
      <w:r w:rsidR="0009794B">
        <w:rPr>
          <w:sz w:val="24"/>
          <w:szCs w:val="24"/>
        </w:rPr>
        <w:t>5</w:t>
      </w:r>
      <w:r w:rsidRPr="002C24B4">
        <w:rPr>
          <w:sz w:val="24"/>
          <w:szCs w:val="24"/>
        </w:rPr>
        <w:t>; 95%CI=</w:t>
      </w:r>
      <w:r w:rsidR="00DC2D21" w:rsidRPr="00DC2D21">
        <w:rPr>
          <w:sz w:val="24"/>
          <w:szCs w:val="24"/>
        </w:rPr>
        <w:t>1.2</w:t>
      </w:r>
      <w:r w:rsidR="0009794B">
        <w:rPr>
          <w:sz w:val="24"/>
          <w:szCs w:val="24"/>
        </w:rPr>
        <w:t>6</w:t>
      </w:r>
      <w:r w:rsidR="00DC2D21" w:rsidRPr="00DC2D21">
        <w:rPr>
          <w:sz w:val="24"/>
          <w:szCs w:val="24"/>
        </w:rPr>
        <w:t>-1.</w:t>
      </w:r>
      <w:r w:rsidR="0009794B">
        <w:rPr>
          <w:sz w:val="24"/>
          <w:szCs w:val="24"/>
        </w:rPr>
        <w:t>68</w:t>
      </w:r>
      <w:r w:rsidRPr="002C24B4">
        <w:rPr>
          <w:sz w:val="24"/>
          <w:szCs w:val="24"/>
        </w:rPr>
        <w:t xml:space="preserve">; p&lt;0.001) </w:t>
      </w:r>
      <w:bookmarkEnd w:id="9"/>
      <w:r w:rsidRPr="002C24B4">
        <w:rPr>
          <w:sz w:val="24"/>
          <w:szCs w:val="24"/>
        </w:rPr>
        <w:t>and other major osteoporotic fractures (HR=</w:t>
      </w:r>
      <w:r w:rsidR="00FF4DC7" w:rsidRPr="00FF4DC7">
        <w:rPr>
          <w:sz w:val="24"/>
          <w:szCs w:val="24"/>
        </w:rPr>
        <w:t>1.29</w:t>
      </w:r>
      <w:r w:rsidRPr="002C24B4">
        <w:rPr>
          <w:sz w:val="24"/>
          <w:szCs w:val="24"/>
        </w:rPr>
        <w:t>; 95%CI=</w:t>
      </w:r>
      <w:r w:rsidR="0099585B" w:rsidRPr="0099585B">
        <w:rPr>
          <w:sz w:val="24"/>
          <w:szCs w:val="24"/>
        </w:rPr>
        <w:t>1.1</w:t>
      </w:r>
      <w:r w:rsidR="0009794B">
        <w:rPr>
          <w:sz w:val="24"/>
          <w:szCs w:val="24"/>
        </w:rPr>
        <w:t>2</w:t>
      </w:r>
      <w:r w:rsidR="0099585B" w:rsidRPr="0099585B">
        <w:rPr>
          <w:sz w:val="24"/>
          <w:szCs w:val="24"/>
        </w:rPr>
        <w:t>-1.4</w:t>
      </w:r>
      <w:r w:rsidR="0009794B">
        <w:rPr>
          <w:sz w:val="24"/>
          <w:szCs w:val="24"/>
        </w:rPr>
        <w:t>7</w:t>
      </w:r>
      <w:r w:rsidRPr="002C24B4">
        <w:rPr>
          <w:sz w:val="24"/>
          <w:szCs w:val="24"/>
        </w:rPr>
        <w:t>; p&lt;0.001)</w:t>
      </w:r>
      <w:r w:rsidR="00FD1EE0">
        <w:rPr>
          <w:sz w:val="24"/>
          <w:szCs w:val="24"/>
        </w:rPr>
        <w:t xml:space="preserve"> (Table 3)</w:t>
      </w:r>
      <w:r w:rsidRPr="002C24B4">
        <w:rPr>
          <w:sz w:val="24"/>
          <w:szCs w:val="24"/>
        </w:rPr>
        <w:t xml:space="preserve">.  </w:t>
      </w:r>
      <w:r w:rsidR="00F968C9">
        <w:rPr>
          <w:sz w:val="24"/>
          <w:szCs w:val="24"/>
        </w:rPr>
        <w:t xml:space="preserve">There was no significant difference in </w:t>
      </w:r>
      <w:r w:rsidR="004E0BEC">
        <w:rPr>
          <w:sz w:val="24"/>
          <w:szCs w:val="24"/>
        </w:rPr>
        <w:t xml:space="preserve">fracture risk between those </w:t>
      </w:r>
      <w:r w:rsidR="00526706">
        <w:rPr>
          <w:sz w:val="24"/>
          <w:szCs w:val="24"/>
        </w:rPr>
        <w:t>who did or did not undergo parathyroidectomy</w:t>
      </w:r>
      <w:r w:rsidR="000015A1">
        <w:rPr>
          <w:sz w:val="24"/>
          <w:szCs w:val="24"/>
        </w:rPr>
        <w:t xml:space="preserve">. </w:t>
      </w:r>
      <w:r w:rsidR="00950129">
        <w:rPr>
          <w:sz w:val="24"/>
          <w:szCs w:val="24"/>
        </w:rPr>
        <w:t xml:space="preserve"> </w:t>
      </w:r>
      <w:r w:rsidR="001167B7" w:rsidRPr="001167B7">
        <w:rPr>
          <w:sz w:val="24"/>
          <w:szCs w:val="24"/>
        </w:rPr>
        <w:t>There was no significant interaction between men and women and PHPT for the outcome of fracture, i.e., the HR for the outcome of fracture (hip fracture and major osteoporotic fracture) was not significantly different between men and women.  In contrast, there was a significant interaction between sex for the outcome of death (p=0.0059).  For example, the HR for women, at age 70 years was 1.58 (95% CI: 1.25-1.99).  For men the corresponding HR at the same age and calendar year was 1.30 (1.05-1.61).</w:t>
      </w:r>
    </w:p>
    <w:p w14:paraId="0E2AD7D1" w14:textId="435AAA99" w:rsidR="008307DC" w:rsidRPr="008307DC" w:rsidRDefault="008307DC" w:rsidP="008307DC">
      <w:pPr>
        <w:rPr>
          <w:rFonts w:ascii="Calibri" w:eastAsia="Calibri" w:hAnsi="Calibri" w:cs="Times New Roman"/>
        </w:rPr>
      </w:pPr>
      <w:r w:rsidRPr="008307DC">
        <w:rPr>
          <w:rFonts w:ascii="Calibri" w:eastAsia="Times New Roman" w:hAnsi="Calibri" w:cs="Calibri"/>
          <w:b/>
          <w:bCs/>
          <w:color w:val="000000"/>
          <w:lang w:val="en-US" w:eastAsia="sv-SE"/>
        </w:rPr>
        <w:t xml:space="preserve">Table </w:t>
      </w:r>
      <w:r w:rsidR="009C70C2">
        <w:rPr>
          <w:rFonts w:ascii="Calibri" w:eastAsia="Times New Roman" w:hAnsi="Calibri" w:cs="Calibri"/>
          <w:b/>
          <w:bCs/>
          <w:color w:val="000000"/>
          <w:lang w:val="en-US" w:eastAsia="sv-SE"/>
        </w:rPr>
        <w:t>3.</w:t>
      </w:r>
      <w:r w:rsidRPr="008307DC">
        <w:rPr>
          <w:rFonts w:ascii="Calibri" w:eastAsia="Times New Roman" w:hAnsi="Calibri" w:cs="Calibri"/>
          <w:b/>
          <w:bCs/>
          <w:color w:val="000000"/>
          <w:lang w:val="en-US" w:eastAsia="sv-SE"/>
        </w:rPr>
        <w:t xml:space="preserve"> </w:t>
      </w:r>
      <w:r w:rsidRPr="008307DC">
        <w:rPr>
          <w:rFonts w:ascii="Calibri" w:eastAsia="Times New Roman" w:hAnsi="Calibri" w:cs="Calibri"/>
          <w:color w:val="000000"/>
          <w:lang w:val="en-US" w:eastAsia="sv-SE"/>
        </w:rPr>
        <w:t>Clinical outcomes for all cases and population controls (</w:t>
      </w:r>
      <w:r w:rsidRPr="008307DC">
        <w:rPr>
          <w:rFonts w:ascii="Calibri" w:eastAsia="Calibri" w:hAnsi="Calibri" w:cs="Times New Roman"/>
        </w:rPr>
        <w:t>excluding follow up after parathyroidectomy).  Cases are divided into those undergoing parathroidectomy (N=4186) and those managed conservatively (N=2698).  Hazard ratios are adjusted for sex, current age, current time since index date and calendar year.</w:t>
      </w:r>
      <w:r w:rsidR="008D4FA3">
        <w:rPr>
          <w:rFonts w:ascii="Calibri" w:eastAsia="Calibri" w:hAnsi="Calibri" w:cs="Times New Roman"/>
        </w:rPr>
        <w:t xml:space="preserve"> </w:t>
      </w:r>
      <w:r w:rsidR="008D4FA3" w:rsidRPr="008D4FA3">
        <w:t xml:space="preserve"> </w:t>
      </w:r>
      <w:r w:rsidR="008D4FA3" w:rsidRPr="008D4FA3">
        <w:rPr>
          <w:rFonts w:ascii="Calibri" w:eastAsia="Calibri" w:hAnsi="Calibri" w:cs="Times New Roman"/>
        </w:rPr>
        <w:t>There was no significant difference in fracture risk between those who did or did not undergo parathyroidectomy</w:t>
      </w:r>
      <w:r w:rsidR="003B4DD7">
        <w:rPr>
          <w:rFonts w:ascii="Calibri" w:eastAsia="Calibri" w:hAnsi="Calibri" w:cs="Times New Roman"/>
        </w:rPr>
        <w:t xml:space="preserve"> (PTX)</w:t>
      </w:r>
      <w:r w:rsidR="008D4FA3">
        <w:rPr>
          <w:rFonts w:ascii="Calibri" w:eastAsia="Calibri" w:hAnsi="Calibri" w:cs="Times New Roman"/>
        </w:rPr>
        <w:t>.</w:t>
      </w:r>
    </w:p>
    <w:p w14:paraId="1CA61FF4" w14:textId="77777777" w:rsidR="008307DC" w:rsidRPr="008307DC" w:rsidRDefault="008307DC" w:rsidP="008307DC">
      <w:pPr>
        <w:rPr>
          <w:rFonts w:ascii="Calibri" w:eastAsia="Times New Roman" w:hAnsi="Calibri" w:cs="Calibri"/>
          <w:b/>
          <w:bCs/>
          <w:color w:val="000000"/>
          <w:lang w:val="en-US" w:eastAsia="sv-SE"/>
        </w:rPr>
      </w:pPr>
    </w:p>
    <w:tbl>
      <w:tblPr>
        <w:tblW w:w="0" w:type="auto"/>
        <w:tblInd w:w="-431" w:type="dxa"/>
        <w:tblCellMar>
          <w:left w:w="70" w:type="dxa"/>
          <w:right w:w="70" w:type="dxa"/>
        </w:tblCellMar>
        <w:tblLook w:val="04A0" w:firstRow="1" w:lastRow="0" w:firstColumn="1" w:lastColumn="0" w:noHBand="0" w:noVBand="1"/>
      </w:tblPr>
      <w:tblGrid>
        <w:gridCol w:w="2978"/>
        <w:gridCol w:w="850"/>
        <w:gridCol w:w="851"/>
        <w:gridCol w:w="992"/>
        <w:gridCol w:w="851"/>
        <w:gridCol w:w="850"/>
        <w:gridCol w:w="1134"/>
        <w:gridCol w:w="941"/>
      </w:tblGrid>
      <w:tr w:rsidR="008307DC" w:rsidRPr="008307DC" w14:paraId="67B29150" w14:textId="77777777" w:rsidTr="00F6363A">
        <w:trPr>
          <w:trHeight w:val="20"/>
        </w:trPr>
        <w:tc>
          <w:tcPr>
            <w:tcW w:w="2978" w:type="dxa"/>
            <w:tcBorders>
              <w:top w:val="single" w:sz="4" w:space="0" w:color="auto"/>
            </w:tcBorders>
            <w:noWrap/>
            <w:vAlign w:val="bottom"/>
            <w:hideMark/>
          </w:tcPr>
          <w:p w14:paraId="2C24A1DE" w14:textId="77777777" w:rsidR="008307DC" w:rsidRPr="008307DC" w:rsidRDefault="008307DC" w:rsidP="008307DC">
            <w:pPr>
              <w:spacing w:line="360" w:lineRule="auto"/>
              <w:rPr>
                <w:rFonts w:ascii="Calibri" w:eastAsia="Times New Roman" w:hAnsi="Calibri" w:cs="Calibri"/>
                <w:b/>
                <w:bCs/>
                <w:color w:val="000000"/>
                <w:sz w:val="20"/>
                <w:szCs w:val="20"/>
                <w:lang w:val="en-US" w:eastAsia="sv-SE"/>
              </w:rPr>
            </w:pPr>
          </w:p>
        </w:tc>
        <w:tc>
          <w:tcPr>
            <w:tcW w:w="850" w:type="dxa"/>
            <w:tcBorders>
              <w:top w:val="single" w:sz="4" w:space="0" w:color="auto"/>
            </w:tcBorders>
            <w:noWrap/>
            <w:vAlign w:val="center"/>
            <w:hideMark/>
          </w:tcPr>
          <w:p w14:paraId="14628D67" w14:textId="77777777" w:rsidR="008307DC" w:rsidRPr="008307DC" w:rsidRDefault="008307DC" w:rsidP="008307DC">
            <w:pPr>
              <w:spacing w:after="0" w:line="360" w:lineRule="auto"/>
              <w:jc w:val="center"/>
              <w:rPr>
                <w:rFonts w:ascii="Calibri" w:eastAsia="Times New Roman" w:hAnsi="Calibri" w:cs="Calibri"/>
                <w:b/>
                <w:bCs/>
                <w:color w:val="000000"/>
                <w:sz w:val="20"/>
                <w:szCs w:val="20"/>
                <w:lang w:val="sv-SE" w:eastAsia="sv-SE"/>
              </w:rPr>
            </w:pPr>
            <w:r w:rsidRPr="008307DC">
              <w:rPr>
                <w:rFonts w:ascii="Calibri" w:eastAsia="Times New Roman" w:hAnsi="Calibri" w:cs="Calibri"/>
                <w:b/>
                <w:bCs/>
                <w:color w:val="000000"/>
                <w:sz w:val="20"/>
                <w:szCs w:val="20"/>
                <w:lang w:val="sv-SE" w:eastAsia="sv-SE"/>
              </w:rPr>
              <w:t>Controls</w:t>
            </w:r>
          </w:p>
        </w:tc>
        <w:tc>
          <w:tcPr>
            <w:tcW w:w="1843" w:type="dxa"/>
            <w:gridSpan w:val="2"/>
            <w:tcBorders>
              <w:top w:val="single" w:sz="4" w:space="0" w:color="auto"/>
              <w:bottom w:val="single" w:sz="4" w:space="0" w:color="auto"/>
            </w:tcBorders>
            <w:noWrap/>
            <w:vAlign w:val="center"/>
            <w:hideMark/>
          </w:tcPr>
          <w:p w14:paraId="23D77466" w14:textId="77777777" w:rsidR="008307DC" w:rsidRPr="008307DC" w:rsidRDefault="008307DC" w:rsidP="008307DC">
            <w:pPr>
              <w:spacing w:after="0" w:line="360" w:lineRule="auto"/>
              <w:jc w:val="center"/>
              <w:rPr>
                <w:rFonts w:ascii="Calibri" w:eastAsia="Times New Roman" w:hAnsi="Calibri" w:cs="Calibri"/>
                <w:b/>
                <w:bCs/>
                <w:sz w:val="20"/>
                <w:szCs w:val="20"/>
                <w:lang w:val="sv-SE" w:eastAsia="sv-SE"/>
              </w:rPr>
            </w:pPr>
            <w:r w:rsidRPr="008307DC">
              <w:rPr>
                <w:rFonts w:ascii="Calibri" w:eastAsia="Times New Roman" w:hAnsi="Calibri" w:cs="Calibri"/>
                <w:b/>
                <w:bCs/>
                <w:sz w:val="20"/>
                <w:szCs w:val="20"/>
                <w:lang w:val="sv-SE" w:eastAsia="sv-SE"/>
              </w:rPr>
              <w:t>Cases no PTX</w:t>
            </w:r>
          </w:p>
        </w:tc>
        <w:tc>
          <w:tcPr>
            <w:tcW w:w="851" w:type="dxa"/>
            <w:tcBorders>
              <w:top w:val="single" w:sz="4" w:space="0" w:color="auto"/>
            </w:tcBorders>
            <w:noWrap/>
            <w:vAlign w:val="center"/>
            <w:hideMark/>
          </w:tcPr>
          <w:p w14:paraId="1B992794" w14:textId="6777D9D8" w:rsidR="008307DC" w:rsidRPr="008307DC" w:rsidRDefault="008307DC" w:rsidP="008307DC">
            <w:pPr>
              <w:spacing w:after="0" w:line="360" w:lineRule="auto"/>
              <w:jc w:val="center"/>
              <w:rPr>
                <w:rFonts w:ascii="Calibri" w:eastAsia="Times New Roman" w:hAnsi="Calibri" w:cs="Calibri"/>
                <w:b/>
                <w:bCs/>
                <w:sz w:val="20"/>
                <w:szCs w:val="20"/>
                <w:lang w:val="sv-SE" w:eastAsia="sv-SE"/>
              </w:rPr>
            </w:pPr>
            <w:r w:rsidRPr="008307DC">
              <w:rPr>
                <w:rFonts w:ascii="Calibri" w:eastAsia="Times New Roman" w:hAnsi="Calibri" w:cs="Calibri"/>
                <w:b/>
                <w:bCs/>
                <w:sz w:val="20"/>
                <w:szCs w:val="20"/>
                <w:lang w:val="sv-SE" w:eastAsia="sv-SE"/>
              </w:rPr>
              <w:t>p-value</w:t>
            </w:r>
            <w:r w:rsidR="00DF199E" w:rsidRPr="00DF199E">
              <w:rPr>
                <w:rFonts w:ascii="Calibri" w:eastAsia="Times New Roman" w:hAnsi="Calibri" w:cs="Calibri"/>
                <w:b/>
                <w:bCs/>
                <w:sz w:val="20"/>
                <w:szCs w:val="20"/>
                <w:vertAlign w:val="superscript"/>
                <w:lang w:val="sv-SE" w:eastAsia="sv-SE"/>
              </w:rPr>
              <w:t>1</w:t>
            </w:r>
          </w:p>
        </w:tc>
        <w:tc>
          <w:tcPr>
            <w:tcW w:w="1984" w:type="dxa"/>
            <w:gridSpan w:val="2"/>
            <w:tcBorders>
              <w:top w:val="single" w:sz="4" w:space="0" w:color="auto"/>
              <w:bottom w:val="single" w:sz="4" w:space="0" w:color="auto"/>
            </w:tcBorders>
            <w:vAlign w:val="center"/>
          </w:tcPr>
          <w:p w14:paraId="5D9006EC" w14:textId="77777777" w:rsidR="008307DC" w:rsidRPr="008307DC" w:rsidRDefault="008307DC" w:rsidP="008307DC">
            <w:pPr>
              <w:spacing w:after="0" w:line="360" w:lineRule="auto"/>
              <w:jc w:val="center"/>
              <w:rPr>
                <w:rFonts w:ascii="Calibri" w:eastAsia="Times New Roman" w:hAnsi="Calibri" w:cs="Calibri"/>
                <w:b/>
                <w:bCs/>
                <w:sz w:val="20"/>
                <w:szCs w:val="20"/>
                <w:lang w:val="sv-SE" w:eastAsia="sv-SE"/>
              </w:rPr>
            </w:pPr>
            <w:r w:rsidRPr="008307DC">
              <w:rPr>
                <w:rFonts w:ascii="Calibri" w:eastAsia="Times New Roman" w:hAnsi="Calibri" w:cs="Calibri"/>
                <w:b/>
                <w:bCs/>
                <w:sz w:val="20"/>
                <w:szCs w:val="20"/>
                <w:lang w:val="sv-SE" w:eastAsia="sv-SE"/>
              </w:rPr>
              <w:t>Cases with PTX</w:t>
            </w:r>
          </w:p>
        </w:tc>
        <w:tc>
          <w:tcPr>
            <w:tcW w:w="941" w:type="dxa"/>
            <w:tcBorders>
              <w:top w:val="single" w:sz="4" w:space="0" w:color="auto"/>
            </w:tcBorders>
            <w:vAlign w:val="center"/>
          </w:tcPr>
          <w:p w14:paraId="79666160" w14:textId="7BED3132" w:rsidR="008307DC" w:rsidRPr="008307DC" w:rsidRDefault="008307DC" w:rsidP="008307DC">
            <w:pPr>
              <w:spacing w:after="0" w:line="360" w:lineRule="auto"/>
              <w:jc w:val="center"/>
              <w:rPr>
                <w:rFonts w:ascii="Calibri" w:eastAsia="Times New Roman" w:hAnsi="Calibri" w:cs="Calibri"/>
                <w:b/>
                <w:bCs/>
                <w:sz w:val="20"/>
                <w:szCs w:val="20"/>
                <w:lang w:val="sv-SE" w:eastAsia="sv-SE"/>
              </w:rPr>
            </w:pPr>
            <w:r w:rsidRPr="008307DC">
              <w:rPr>
                <w:rFonts w:ascii="Calibri" w:eastAsia="Times New Roman" w:hAnsi="Calibri" w:cs="Calibri"/>
                <w:b/>
                <w:bCs/>
                <w:sz w:val="20"/>
                <w:szCs w:val="20"/>
                <w:lang w:val="sv-SE" w:eastAsia="sv-SE"/>
              </w:rPr>
              <w:t>p-value</w:t>
            </w:r>
            <w:r w:rsidR="00DF199E" w:rsidRPr="00DF199E">
              <w:rPr>
                <w:rFonts w:ascii="Calibri" w:eastAsia="Times New Roman" w:hAnsi="Calibri" w:cs="Calibri"/>
                <w:b/>
                <w:bCs/>
                <w:sz w:val="20"/>
                <w:szCs w:val="20"/>
                <w:vertAlign w:val="superscript"/>
                <w:lang w:val="sv-SE" w:eastAsia="sv-SE"/>
              </w:rPr>
              <w:t>2</w:t>
            </w:r>
          </w:p>
        </w:tc>
      </w:tr>
      <w:tr w:rsidR="008307DC" w:rsidRPr="008307DC" w14:paraId="43E919BA" w14:textId="77777777" w:rsidTr="00F6363A">
        <w:trPr>
          <w:trHeight w:val="20"/>
        </w:trPr>
        <w:tc>
          <w:tcPr>
            <w:tcW w:w="2978" w:type="dxa"/>
            <w:tcBorders>
              <w:bottom w:val="single" w:sz="4" w:space="0" w:color="auto"/>
            </w:tcBorders>
            <w:noWrap/>
            <w:vAlign w:val="bottom"/>
            <w:hideMark/>
          </w:tcPr>
          <w:p w14:paraId="487DAA90" w14:textId="77777777" w:rsidR="008307DC" w:rsidRPr="008307DC" w:rsidRDefault="008307DC" w:rsidP="008307DC">
            <w:pPr>
              <w:spacing w:after="0" w:line="360" w:lineRule="auto"/>
              <w:rPr>
                <w:rFonts w:ascii="Calibri" w:eastAsia="Calibri" w:hAnsi="Calibri" w:cs="Calibri"/>
                <w:sz w:val="20"/>
                <w:szCs w:val="20"/>
                <w:lang w:eastAsia="en-GB"/>
              </w:rPr>
            </w:pPr>
          </w:p>
        </w:tc>
        <w:tc>
          <w:tcPr>
            <w:tcW w:w="850" w:type="dxa"/>
            <w:tcBorders>
              <w:bottom w:val="single" w:sz="4" w:space="0" w:color="auto"/>
            </w:tcBorders>
            <w:noWrap/>
            <w:vAlign w:val="bottom"/>
            <w:hideMark/>
          </w:tcPr>
          <w:p w14:paraId="180543DC" w14:textId="77777777" w:rsidR="008307DC" w:rsidRPr="008307DC" w:rsidRDefault="008307DC" w:rsidP="008307DC">
            <w:pPr>
              <w:spacing w:after="0" w:line="360" w:lineRule="auto"/>
              <w:jc w:val="center"/>
              <w:rPr>
                <w:rFonts w:ascii="Calibri" w:eastAsia="Calibri" w:hAnsi="Calibri" w:cs="Calibri"/>
                <w:sz w:val="20"/>
                <w:szCs w:val="20"/>
                <w:lang w:eastAsia="en-GB"/>
              </w:rPr>
            </w:pPr>
          </w:p>
        </w:tc>
        <w:tc>
          <w:tcPr>
            <w:tcW w:w="851" w:type="dxa"/>
            <w:tcBorders>
              <w:top w:val="single" w:sz="4" w:space="0" w:color="auto"/>
              <w:bottom w:val="single" w:sz="4" w:space="0" w:color="auto"/>
            </w:tcBorders>
            <w:noWrap/>
            <w:vAlign w:val="bottom"/>
            <w:hideMark/>
          </w:tcPr>
          <w:p w14:paraId="1D0917D4" w14:textId="77777777" w:rsidR="008307DC" w:rsidRPr="008307DC" w:rsidRDefault="008307DC" w:rsidP="008307DC">
            <w:pPr>
              <w:spacing w:after="0" w:line="360" w:lineRule="auto"/>
              <w:jc w:val="center"/>
              <w:rPr>
                <w:rFonts w:ascii="Calibri" w:eastAsia="Calibri" w:hAnsi="Calibri" w:cs="Calibri"/>
                <w:sz w:val="20"/>
                <w:szCs w:val="20"/>
                <w:lang w:eastAsia="en-GB"/>
              </w:rPr>
            </w:pPr>
            <w:r w:rsidRPr="008307DC">
              <w:rPr>
                <w:rFonts w:ascii="Calibri" w:eastAsia="Calibri" w:hAnsi="Calibri" w:cs="Calibri"/>
                <w:sz w:val="20"/>
                <w:szCs w:val="20"/>
                <w:lang w:eastAsia="en-GB"/>
              </w:rPr>
              <w:t>HR</w:t>
            </w:r>
          </w:p>
        </w:tc>
        <w:tc>
          <w:tcPr>
            <w:tcW w:w="992" w:type="dxa"/>
            <w:tcBorders>
              <w:top w:val="single" w:sz="4" w:space="0" w:color="auto"/>
              <w:bottom w:val="single" w:sz="4" w:space="0" w:color="auto"/>
            </w:tcBorders>
          </w:tcPr>
          <w:p w14:paraId="00E3EFBE" w14:textId="77777777" w:rsidR="008307DC" w:rsidRPr="008307DC" w:rsidRDefault="008307DC" w:rsidP="008307DC">
            <w:pPr>
              <w:spacing w:after="0" w:line="360" w:lineRule="auto"/>
              <w:jc w:val="center"/>
              <w:rPr>
                <w:rFonts w:ascii="Calibri" w:eastAsia="Calibri" w:hAnsi="Calibri" w:cs="Calibri"/>
                <w:sz w:val="20"/>
                <w:szCs w:val="20"/>
                <w:lang w:eastAsia="en-GB"/>
              </w:rPr>
            </w:pPr>
            <w:r w:rsidRPr="008307DC">
              <w:rPr>
                <w:rFonts w:ascii="Calibri" w:eastAsia="Calibri" w:hAnsi="Calibri" w:cs="Calibri"/>
                <w:sz w:val="20"/>
                <w:szCs w:val="20"/>
                <w:lang w:eastAsia="en-GB"/>
              </w:rPr>
              <w:t>95%CI</w:t>
            </w:r>
          </w:p>
        </w:tc>
        <w:tc>
          <w:tcPr>
            <w:tcW w:w="851" w:type="dxa"/>
            <w:tcBorders>
              <w:bottom w:val="single" w:sz="4" w:space="0" w:color="auto"/>
            </w:tcBorders>
            <w:noWrap/>
            <w:vAlign w:val="bottom"/>
            <w:hideMark/>
          </w:tcPr>
          <w:p w14:paraId="437109B1" w14:textId="77777777" w:rsidR="008307DC" w:rsidRPr="008307DC" w:rsidRDefault="008307DC" w:rsidP="008307DC">
            <w:pPr>
              <w:spacing w:after="0" w:line="360" w:lineRule="auto"/>
              <w:jc w:val="center"/>
              <w:rPr>
                <w:rFonts w:ascii="Calibri" w:eastAsia="Calibri" w:hAnsi="Calibri" w:cs="Calibri"/>
                <w:color w:val="FF0000"/>
                <w:sz w:val="20"/>
                <w:szCs w:val="20"/>
                <w:lang w:eastAsia="en-GB"/>
              </w:rPr>
            </w:pPr>
          </w:p>
        </w:tc>
        <w:tc>
          <w:tcPr>
            <w:tcW w:w="850" w:type="dxa"/>
            <w:tcBorders>
              <w:top w:val="single" w:sz="4" w:space="0" w:color="auto"/>
              <w:bottom w:val="single" w:sz="4" w:space="0" w:color="auto"/>
            </w:tcBorders>
          </w:tcPr>
          <w:p w14:paraId="628D9195" w14:textId="77777777" w:rsidR="008307DC" w:rsidRPr="008307DC" w:rsidRDefault="008307DC" w:rsidP="008307DC">
            <w:pPr>
              <w:spacing w:after="0" w:line="360" w:lineRule="auto"/>
              <w:jc w:val="center"/>
              <w:rPr>
                <w:rFonts w:ascii="Calibri" w:eastAsia="Calibri" w:hAnsi="Calibri" w:cs="Calibri"/>
                <w:color w:val="FF0000"/>
                <w:sz w:val="20"/>
                <w:szCs w:val="20"/>
                <w:lang w:eastAsia="en-GB"/>
              </w:rPr>
            </w:pPr>
            <w:r w:rsidRPr="008307DC">
              <w:rPr>
                <w:rFonts w:ascii="Calibri" w:eastAsia="Calibri" w:hAnsi="Calibri" w:cs="Times New Roman"/>
              </w:rPr>
              <w:t>HR</w:t>
            </w:r>
          </w:p>
        </w:tc>
        <w:tc>
          <w:tcPr>
            <w:tcW w:w="1134" w:type="dxa"/>
            <w:tcBorders>
              <w:top w:val="single" w:sz="4" w:space="0" w:color="auto"/>
              <w:bottom w:val="single" w:sz="4" w:space="0" w:color="auto"/>
            </w:tcBorders>
          </w:tcPr>
          <w:p w14:paraId="6C16F4F7" w14:textId="77777777" w:rsidR="008307DC" w:rsidRPr="008307DC" w:rsidRDefault="008307DC" w:rsidP="008307DC">
            <w:pPr>
              <w:spacing w:after="0" w:line="360" w:lineRule="auto"/>
              <w:jc w:val="center"/>
              <w:rPr>
                <w:rFonts w:ascii="Calibri" w:eastAsia="Calibri" w:hAnsi="Calibri" w:cs="Calibri"/>
                <w:color w:val="FF0000"/>
                <w:sz w:val="20"/>
                <w:szCs w:val="20"/>
                <w:lang w:eastAsia="en-GB"/>
              </w:rPr>
            </w:pPr>
            <w:r w:rsidRPr="008307DC">
              <w:rPr>
                <w:rFonts w:ascii="Calibri" w:eastAsia="Calibri" w:hAnsi="Calibri" w:cs="Times New Roman"/>
              </w:rPr>
              <w:t>95%CI</w:t>
            </w:r>
          </w:p>
        </w:tc>
        <w:tc>
          <w:tcPr>
            <w:tcW w:w="941" w:type="dxa"/>
            <w:tcBorders>
              <w:bottom w:val="single" w:sz="4" w:space="0" w:color="auto"/>
            </w:tcBorders>
            <w:vAlign w:val="bottom"/>
          </w:tcPr>
          <w:p w14:paraId="47C0A0E4" w14:textId="77777777" w:rsidR="008307DC" w:rsidRPr="008307DC" w:rsidRDefault="008307DC" w:rsidP="008307DC">
            <w:pPr>
              <w:spacing w:after="0" w:line="360" w:lineRule="auto"/>
              <w:jc w:val="center"/>
              <w:rPr>
                <w:rFonts w:ascii="Calibri" w:eastAsia="Calibri" w:hAnsi="Calibri" w:cs="Calibri"/>
                <w:color w:val="FF0000"/>
                <w:sz w:val="20"/>
                <w:szCs w:val="20"/>
                <w:lang w:eastAsia="en-GB"/>
              </w:rPr>
            </w:pPr>
          </w:p>
        </w:tc>
      </w:tr>
      <w:tr w:rsidR="008307DC" w:rsidRPr="008307DC" w14:paraId="7A044F39" w14:textId="77777777" w:rsidTr="00F6363A">
        <w:trPr>
          <w:trHeight w:val="20"/>
        </w:trPr>
        <w:tc>
          <w:tcPr>
            <w:tcW w:w="2978" w:type="dxa"/>
            <w:tcBorders>
              <w:top w:val="single" w:sz="4" w:space="0" w:color="auto"/>
            </w:tcBorders>
            <w:noWrap/>
            <w:vAlign w:val="center"/>
            <w:hideMark/>
          </w:tcPr>
          <w:p w14:paraId="608CD8AC" w14:textId="77777777" w:rsidR="008307DC" w:rsidRPr="008307DC" w:rsidRDefault="008307DC" w:rsidP="008307DC">
            <w:pPr>
              <w:spacing w:after="0" w:line="360" w:lineRule="auto"/>
              <w:rPr>
                <w:rFonts w:ascii="Calibri" w:eastAsia="Times New Roman" w:hAnsi="Calibri" w:cs="Calibri"/>
                <w:color w:val="000000"/>
                <w:sz w:val="20"/>
                <w:szCs w:val="20"/>
                <w:lang w:val="sv-SE" w:eastAsia="sv-SE"/>
              </w:rPr>
            </w:pPr>
            <w:r w:rsidRPr="008307DC">
              <w:rPr>
                <w:rFonts w:ascii="Calibri" w:eastAsia="Times New Roman" w:hAnsi="Calibri" w:cs="Calibri"/>
                <w:color w:val="000000"/>
                <w:sz w:val="20"/>
                <w:szCs w:val="20"/>
                <w:lang w:val="sv-SE" w:eastAsia="sv-SE"/>
              </w:rPr>
              <w:t>Death</w:t>
            </w:r>
          </w:p>
        </w:tc>
        <w:tc>
          <w:tcPr>
            <w:tcW w:w="850" w:type="dxa"/>
            <w:tcBorders>
              <w:top w:val="single" w:sz="4" w:space="0" w:color="auto"/>
            </w:tcBorders>
            <w:noWrap/>
          </w:tcPr>
          <w:p w14:paraId="1661321A" w14:textId="77777777" w:rsidR="008307DC" w:rsidRPr="008307DC" w:rsidRDefault="008307DC" w:rsidP="008307DC">
            <w:pPr>
              <w:spacing w:after="0" w:line="360" w:lineRule="auto"/>
              <w:jc w:val="center"/>
              <w:rPr>
                <w:rFonts w:ascii="Calibri" w:eastAsia="Times New Roman" w:hAnsi="Calibri" w:cs="Calibri"/>
                <w:b/>
                <w:bCs/>
                <w:sz w:val="20"/>
                <w:szCs w:val="20"/>
                <w:u w:val="single"/>
                <w:lang w:val="sv-SE" w:eastAsia="sv-SE"/>
              </w:rPr>
            </w:pPr>
            <w:r w:rsidRPr="008307DC">
              <w:rPr>
                <w:rFonts w:ascii="Calibri" w:eastAsia="Calibri" w:hAnsi="Calibri" w:cs="Calibri"/>
                <w:sz w:val="20"/>
                <w:szCs w:val="20"/>
              </w:rPr>
              <w:t>1.0</w:t>
            </w:r>
          </w:p>
        </w:tc>
        <w:tc>
          <w:tcPr>
            <w:tcW w:w="851" w:type="dxa"/>
            <w:tcBorders>
              <w:top w:val="single" w:sz="4" w:space="0" w:color="auto"/>
            </w:tcBorders>
            <w:noWrap/>
          </w:tcPr>
          <w:p w14:paraId="29CBCD56" w14:textId="44EAE4FD" w:rsidR="008307DC" w:rsidRPr="008307DC" w:rsidRDefault="008307DC" w:rsidP="008307DC">
            <w:pPr>
              <w:spacing w:after="0" w:line="360" w:lineRule="auto"/>
              <w:jc w:val="center"/>
              <w:rPr>
                <w:rFonts w:ascii="Calibri" w:eastAsia="Times New Roman" w:hAnsi="Calibri" w:cs="Calibri"/>
                <w:color w:val="FF0000"/>
                <w:sz w:val="20"/>
                <w:szCs w:val="20"/>
                <w:lang w:val="sv-SE" w:eastAsia="sv-SE"/>
              </w:rPr>
            </w:pPr>
            <w:r w:rsidRPr="008307DC">
              <w:rPr>
                <w:rFonts w:ascii="Calibri" w:eastAsia="Calibri" w:hAnsi="Calibri" w:cs="Calibri"/>
                <w:sz w:val="20"/>
                <w:szCs w:val="20"/>
              </w:rPr>
              <w:t>1.6</w:t>
            </w:r>
            <w:r w:rsidR="00AD22F6">
              <w:rPr>
                <w:rFonts w:ascii="Calibri" w:eastAsia="Calibri" w:hAnsi="Calibri" w:cs="Calibri"/>
                <w:sz w:val="20"/>
                <w:szCs w:val="20"/>
              </w:rPr>
              <w:t>3</w:t>
            </w:r>
          </w:p>
        </w:tc>
        <w:tc>
          <w:tcPr>
            <w:tcW w:w="992" w:type="dxa"/>
            <w:tcBorders>
              <w:top w:val="single" w:sz="4" w:space="0" w:color="auto"/>
            </w:tcBorders>
          </w:tcPr>
          <w:p w14:paraId="0A91376F" w14:textId="476F56CE" w:rsidR="008307DC" w:rsidRPr="008307DC" w:rsidRDefault="008307DC" w:rsidP="008307DC">
            <w:pPr>
              <w:spacing w:after="0" w:line="360" w:lineRule="auto"/>
              <w:jc w:val="center"/>
              <w:rPr>
                <w:rFonts w:ascii="Calibri" w:eastAsia="Times New Roman" w:hAnsi="Calibri" w:cs="Calibri"/>
                <w:color w:val="FF0000"/>
                <w:sz w:val="20"/>
                <w:szCs w:val="20"/>
                <w:lang w:val="sv-SE" w:eastAsia="sv-SE"/>
              </w:rPr>
            </w:pPr>
            <w:r w:rsidRPr="008307DC">
              <w:rPr>
                <w:rFonts w:ascii="Calibri" w:eastAsia="Calibri" w:hAnsi="Calibri" w:cs="Calibri"/>
                <w:sz w:val="20"/>
                <w:szCs w:val="20"/>
              </w:rPr>
              <w:t>1.5</w:t>
            </w:r>
            <w:r w:rsidR="008A23B7">
              <w:rPr>
                <w:rFonts w:ascii="Calibri" w:eastAsia="Calibri" w:hAnsi="Calibri" w:cs="Calibri"/>
                <w:sz w:val="20"/>
                <w:szCs w:val="20"/>
              </w:rPr>
              <w:t>4</w:t>
            </w:r>
            <w:r w:rsidRPr="008307DC">
              <w:rPr>
                <w:rFonts w:ascii="Calibri" w:eastAsia="Calibri" w:hAnsi="Calibri" w:cs="Calibri"/>
                <w:sz w:val="20"/>
                <w:szCs w:val="20"/>
              </w:rPr>
              <w:t>-1.7</w:t>
            </w:r>
            <w:r w:rsidR="008A23B7">
              <w:rPr>
                <w:rFonts w:ascii="Calibri" w:eastAsia="Calibri" w:hAnsi="Calibri" w:cs="Calibri"/>
                <w:sz w:val="20"/>
                <w:szCs w:val="20"/>
              </w:rPr>
              <w:t>3</w:t>
            </w:r>
          </w:p>
        </w:tc>
        <w:tc>
          <w:tcPr>
            <w:tcW w:w="851" w:type="dxa"/>
            <w:tcBorders>
              <w:top w:val="single" w:sz="4" w:space="0" w:color="auto"/>
            </w:tcBorders>
            <w:noWrap/>
          </w:tcPr>
          <w:p w14:paraId="000852FA" w14:textId="77777777" w:rsidR="008307DC" w:rsidRPr="008307DC" w:rsidRDefault="008307DC" w:rsidP="008307DC">
            <w:pPr>
              <w:spacing w:after="0" w:line="360" w:lineRule="auto"/>
              <w:jc w:val="center"/>
              <w:rPr>
                <w:rFonts w:ascii="Calibri" w:eastAsia="Times New Roman" w:hAnsi="Calibri" w:cs="Calibri"/>
                <w:color w:val="FF0000"/>
                <w:sz w:val="20"/>
                <w:szCs w:val="20"/>
                <w:lang w:val="sv-SE" w:eastAsia="sv-SE"/>
              </w:rPr>
            </w:pPr>
            <w:r w:rsidRPr="008307DC">
              <w:rPr>
                <w:rFonts w:ascii="Calibri" w:eastAsia="Calibri" w:hAnsi="Calibri" w:cs="Calibri"/>
                <w:sz w:val="20"/>
                <w:szCs w:val="20"/>
              </w:rPr>
              <w:t>&lt;0.001</w:t>
            </w:r>
          </w:p>
        </w:tc>
        <w:tc>
          <w:tcPr>
            <w:tcW w:w="850" w:type="dxa"/>
            <w:tcBorders>
              <w:top w:val="single" w:sz="4" w:space="0" w:color="auto"/>
            </w:tcBorders>
          </w:tcPr>
          <w:p w14:paraId="5A63F665" w14:textId="77777777" w:rsidR="008307DC" w:rsidRPr="008307DC" w:rsidRDefault="008307DC" w:rsidP="008307DC">
            <w:pPr>
              <w:spacing w:after="0" w:line="360" w:lineRule="auto"/>
              <w:jc w:val="center"/>
              <w:rPr>
                <w:rFonts w:ascii="Calibri" w:eastAsia="Times New Roman" w:hAnsi="Calibri" w:cs="Calibri"/>
                <w:color w:val="FF0000"/>
                <w:sz w:val="20"/>
                <w:szCs w:val="20"/>
                <w:lang w:val="sv-SE" w:eastAsia="sv-SE"/>
              </w:rPr>
            </w:pPr>
            <w:r w:rsidRPr="008307DC">
              <w:rPr>
                <w:rFonts w:ascii="Calibri" w:eastAsia="Calibri" w:hAnsi="Calibri" w:cs="Calibri"/>
                <w:sz w:val="20"/>
                <w:szCs w:val="20"/>
              </w:rPr>
              <w:t>NA</w:t>
            </w:r>
          </w:p>
        </w:tc>
        <w:tc>
          <w:tcPr>
            <w:tcW w:w="1134" w:type="dxa"/>
            <w:tcBorders>
              <w:top w:val="single" w:sz="4" w:space="0" w:color="auto"/>
            </w:tcBorders>
          </w:tcPr>
          <w:p w14:paraId="47F055A9" w14:textId="77777777" w:rsidR="008307DC" w:rsidRPr="008307DC" w:rsidRDefault="008307DC" w:rsidP="008307DC">
            <w:pPr>
              <w:spacing w:after="0" w:line="360" w:lineRule="auto"/>
              <w:jc w:val="center"/>
              <w:rPr>
                <w:rFonts w:ascii="Calibri" w:eastAsia="Times New Roman" w:hAnsi="Calibri" w:cs="Calibri"/>
                <w:color w:val="FF0000"/>
                <w:sz w:val="20"/>
                <w:szCs w:val="20"/>
                <w:lang w:val="sv-SE" w:eastAsia="sv-SE"/>
              </w:rPr>
            </w:pPr>
          </w:p>
        </w:tc>
        <w:tc>
          <w:tcPr>
            <w:tcW w:w="941" w:type="dxa"/>
            <w:tcBorders>
              <w:top w:val="single" w:sz="4" w:space="0" w:color="auto"/>
            </w:tcBorders>
          </w:tcPr>
          <w:p w14:paraId="6A131B1E" w14:textId="77777777" w:rsidR="008307DC" w:rsidRPr="008307DC" w:rsidRDefault="008307DC" w:rsidP="008307DC">
            <w:pPr>
              <w:spacing w:after="0" w:line="360" w:lineRule="auto"/>
              <w:jc w:val="center"/>
              <w:rPr>
                <w:rFonts w:ascii="Calibri" w:eastAsia="Times New Roman" w:hAnsi="Calibri" w:cs="Calibri"/>
                <w:color w:val="FF0000"/>
                <w:sz w:val="20"/>
                <w:szCs w:val="20"/>
                <w:lang w:val="sv-SE" w:eastAsia="sv-SE"/>
              </w:rPr>
            </w:pPr>
          </w:p>
        </w:tc>
      </w:tr>
      <w:tr w:rsidR="008307DC" w:rsidRPr="008307DC" w14:paraId="5C6CF951" w14:textId="77777777" w:rsidTr="00F6363A">
        <w:trPr>
          <w:trHeight w:val="20"/>
        </w:trPr>
        <w:tc>
          <w:tcPr>
            <w:tcW w:w="2978" w:type="dxa"/>
            <w:noWrap/>
          </w:tcPr>
          <w:p w14:paraId="12602B2E" w14:textId="77777777" w:rsidR="008307DC" w:rsidRPr="008307DC" w:rsidRDefault="008307DC" w:rsidP="008307DC">
            <w:pPr>
              <w:spacing w:after="0" w:line="360" w:lineRule="auto"/>
              <w:rPr>
                <w:rFonts w:ascii="Calibri" w:eastAsia="Times New Roman" w:hAnsi="Calibri" w:cs="Calibri"/>
                <w:color w:val="000000"/>
                <w:sz w:val="20"/>
                <w:szCs w:val="20"/>
                <w:lang w:val="sv-SE" w:eastAsia="sv-SE"/>
              </w:rPr>
            </w:pPr>
            <w:r w:rsidRPr="008307DC">
              <w:rPr>
                <w:rFonts w:ascii="Calibri" w:eastAsia="Calibri" w:hAnsi="Calibri" w:cs="Times New Roman"/>
              </w:rPr>
              <w:t>Major osteoporotic fracture</w:t>
            </w:r>
          </w:p>
        </w:tc>
        <w:tc>
          <w:tcPr>
            <w:tcW w:w="850" w:type="dxa"/>
            <w:noWrap/>
          </w:tcPr>
          <w:p w14:paraId="0E6545BA" w14:textId="77777777" w:rsidR="008307DC" w:rsidRPr="008307DC" w:rsidRDefault="008307DC" w:rsidP="008307DC">
            <w:pPr>
              <w:spacing w:after="0" w:line="360" w:lineRule="auto"/>
              <w:jc w:val="center"/>
              <w:rPr>
                <w:rFonts w:ascii="Calibri" w:eastAsia="Calibri" w:hAnsi="Calibri" w:cs="Calibri"/>
                <w:sz w:val="20"/>
                <w:szCs w:val="20"/>
              </w:rPr>
            </w:pPr>
            <w:r w:rsidRPr="008307DC">
              <w:rPr>
                <w:rFonts w:ascii="Calibri" w:eastAsia="Calibri" w:hAnsi="Calibri" w:cs="Times New Roman"/>
              </w:rPr>
              <w:t>1.0</w:t>
            </w:r>
          </w:p>
        </w:tc>
        <w:tc>
          <w:tcPr>
            <w:tcW w:w="851" w:type="dxa"/>
            <w:noWrap/>
          </w:tcPr>
          <w:p w14:paraId="5E30A505" w14:textId="5310E2AE" w:rsidR="008307DC" w:rsidRPr="008307DC" w:rsidRDefault="008307DC" w:rsidP="008307DC">
            <w:pPr>
              <w:spacing w:after="0" w:line="360" w:lineRule="auto"/>
              <w:jc w:val="center"/>
              <w:rPr>
                <w:rFonts w:ascii="Calibri" w:eastAsia="Calibri" w:hAnsi="Calibri" w:cs="Calibri"/>
                <w:sz w:val="20"/>
                <w:szCs w:val="20"/>
              </w:rPr>
            </w:pPr>
            <w:r w:rsidRPr="008307DC">
              <w:rPr>
                <w:rFonts w:ascii="Calibri" w:eastAsia="Calibri" w:hAnsi="Calibri" w:cs="Times New Roman"/>
              </w:rPr>
              <w:t>1.3</w:t>
            </w:r>
            <w:r w:rsidR="008A23B7">
              <w:rPr>
                <w:rFonts w:ascii="Calibri" w:eastAsia="Calibri" w:hAnsi="Calibri" w:cs="Times New Roman"/>
              </w:rPr>
              <w:t>7</w:t>
            </w:r>
          </w:p>
        </w:tc>
        <w:tc>
          <w:tcPr>
            <w:tcW w:w="992" w:type="dxa"/>
          </w:tcPr>
          <w:p w14:paraId="0B37905B" w14:textId="06B30E73" w:rsidR="008307DC" w:rsidRPr="008307DC" w:rsidRDefault="008307DC" w:rsidP="008307DC">
            <w:pPr>
              <w:spacing w:after="0" w:line="360" w:lineRule="auto"/>
              <w:jc w:val="center"/>
              <w:rPr>
                <w:rFonts w:ascii="Calibri" w:eastAsia="Calibri" w:hAnsi="Calibri" w:cs="Calibri"/>
                <w:sz w:val="20"/>
                <w:szCs w:val="20"/>
              </w:rPr>
            </w:pPr>
            <w:r w:rsidRPr="008307DC">
              <w:rPr>
                <w:rFonts w:ascii="Calibri" w:eastAsia="Calibri" w:hAnsi="Calibri" w:cs="Times New Roman"/>
              </w:rPr>
              <w:t>1.2</w:t>
            </w:r>
            <w:r w:rsidR="005D135E">
              <w:rPr>
                <w:rFonts w:ascii="Calibri" w:eastAsia="Calibri" w:hAnsi="Calibri" w:cs="Times New Roman"/>
              </w:rPr>
              <w:t>4</w:t>
            </w:r>
            <w:r w:rsidRPr="008307DC">
              <w:rPr>
                <w:rFonts w:ascii="Calibri" w:eastAsia="Calibri" w:hAnsi="Calibri" w:cs="Times New Roman"/>
              </w:rPr>
              <w:t>-1.5</w:t>
            </w:r>
            <w:r w:rsidR="005D135E">
              <w:rPr>
                <w:rFonts w:ascii="Calibri" w:eastAsia="Calibri" w:hAnsi="Calibri" w:cs="Times New Roman"/>
              </w:rPr>
              <w:t>2</w:t>
            </w:r>
          </w:p>
        </w:tc>
        <w:tc>
          <w:tcPr>
            <w:tcW w:w="851" w:type="dxa"/>
            <w:noWrap/>
          </w:tcPr>
          <w:p w14:paraId="6DA996DF" w14:textId="77777777" w:rsidR="008307DC" w:rsidRPr="008307DC" w:rsidRDefault="008307DC" w:rsidP="008307DC">
            <w:pPr>
              <w:spacing w:after="0" w:line="360" w:lineRule="auto"/>
              <w:jc w:val="center"/>
              <w:rPr>
                <w:rFonts w:ascii="Calibri" w:eastAsia="Calibri" w:hAnsi="Calibri" w:cs="Calibri"/>
                <w:sz w:val="20"/>
                <w:szCs w:val="20"/>
              </w:rPr>
            </w:pPr>
            <w:r w:rsidRPr="008307DC">
              <w:rPr>
                <w:rFonts w:ascii="Calibri" w:eastAsia="Calibri" w:hAnsi="Calibri" w:cs="Times New Roman"/>
              </w:rPr>
              <w:t>&lt;0.001</w:t>
            </w:r>
          </w:p>
        </w:tc>
        <w:tc>
          <w:tcPr>
            <w:tcW w:w="850" w:type="dxa"/>
          </w:tcPr>
          <w:p w14:paraId="1E0DE279" w14:textId="182F7BDD" w:rsidR="008307DC" w:rsidRPr="008307DC" w:rsidRDefault="008307DC" w:rsidP="008307DC">
            <w:pPr>
              <w:spacing w:after="0" w:line="360" w:lineRule="auto"/>
              <w:jc w:val="center"/>
              <w:rPr>
                <w:rFonts w:ascii="Calibri" w:eastAsia="Calibri" w:hAnsi="Calibri" w:cs="Calibri"/>
                <w:sz w:val="20"/>
                <w:szCs w:val="20"/>
              </w:rPr>
            </w:pPr>
            <w:r w:rsidRPr="008307DC">
              <w:rPr>
                <w:rFonts w:ascii="Calibri" w:eastAsia="Calibri" w:hAnsi="Calibri" w:cs="Times New Roman"/>
              </w:rPr>
              <w:t>1.2</w:t>
            </w:r>
            <w:r w:rsidR="00D1008D">
              <w:rPr>
                <w:rFonts w:ascii="Calibri" w:eastAsia="Calibri" w:hAnsi="Calibri" w:cs="Times New Roman"/>
              </w:rPr>
              <w:t>4</w:t>
            </w:r>
          </w:p>
        </w:tc>
        <w:tc>
          <w:tcPr>
            <w:tcW w:w="1134" w:type="dxa"/>
          </w:tcPr>
          <w:p w14:paraId="15B6005F" w14:textId="7A365497" w:rsidR="008307DC" w:rsidRPr="008307DC" w:rsidRDefault="008307DC" w:rsidP="008307DC">
            <w:pPr>
              <w:spacing w:after="0" w:line="360" w:lineRule="auto"/>
              <w:jc w:val="center"/>
              <w:rPr>
                <w:rFonts w:ascii="Calibri" w:eastAsia="Times New Roman" w:hAnsi="Calibri" w:cs="Calibri"/>
                <w:color w:val="FF0000"/>
                <w:sz w:val="20"/>
                <w:szCs w:val="20"/>
                <w:lang w:val="sv-SE" w:eastAsia="sv-SE"/>
              </w:rPr>
            </w:pPr>
            <w:r w:rsidRPr="008307DC">
              <w:rPr>
                <w:rFonts w:ascii="Calibri" w:eastAsia="Calibri" w:hAnsi="Calibri" w:cs="Times New Roman"/>
              </w:rPr>
              <w:t>0.9</w:t>
            </w:r>
            <w:r w:rsidR="005D10CE">
              <w:rPr>
                <w:rFonts w:ascii="Calibri" w:eastAsia="Calibri" w:hAnsi="Calibri" w:cs="Times New Roman"/>
              </w:rPr>
              <w:t>6</w:t>
            </w:r>
            <w:r w:rsidRPr="008307DC">
              <w:rPr>
                <w:rFonts w:ascii="Calibri" w:eastAsia="Calibri" w:hAnsi="Calibri" w:cs="Times New Roman"/>
              </w:rPr>
              <w:t>-1.</w:t>
            </w:r>
            <w:r w:rsidR="005D10CE">
              <w:rPr>
                <w:rFonts w:ascii="Calibri" w:eastAsia="Calibri" w:hAnsi="Calibri" w:cs="Times New Roman"/>
              </w:rPr>
              <w:t>61</w:t>
            </w:r>
          </w:p>
        </w:tc>
        <w:tc>
          <w:tcPr>
            <w:tcW w:w="941" w:type="dxa"/>
          </w:tcPr>
          <w:p w14:paraId="0238E9C6" w14:textId="6160A0CF" w:rsidR="008307DC" w:rsidRPr="008307DC" w:rsidRDefault="008307DC" w:rsidP="008307DC">
            <w:pPr>
              <w:spacing w:after="0" w:line="360" w:lineRule="auto"/>
              <w:jc w:val="center"/>
              <w:rPr>
                <w:rFonts w:ascii="Calibri" w:eastAsia="Times New Roman" w:hAnsi="Calibri" w:cs="Calibri"/>
                <w:color w:val="FF0000"/>
                <w:sz w:val="20"/>
                <w:szCs w:val="20"/>
                <w:lang w:val="sv-SE" w:eastAsia="sv-SE"/>
              </w:rPr>
            </w:pPr>
            <w:r w:rsidRPr="008307DC">
              <w:rPr>
                <w:rFonts w:ascii="Calibri" w:eastAsia="Calibri" w:hAnsi="Calibri" w:cs="Times New Roman"/>
              </w:rPr>
              <w:t>0.1</w:t>
            </w:r>
            <w:r w:rsidR="009E3482">
              <w:rPr>
                <w:rFonts w:ascii="Calibri" w:eastAsia="Calibri" w:hAnsi="Calibri" w:cs="Times New Roman"/>
              </w:rPr>
              <w:t>04</w:t>
            </w:r>
          </w:p>
        </w:tc>
      </w:tr>
      <w:tr w:rsidR="008307DC" w:rsidRPr="008307DC" w14:paraId="24BD528C" w14:textId="77777777" w:rsidTr="00F6363A">
        <w:trPr>
          <w:trHeight w:val="20"/>
        </w:trPr>
        <w:tc>
          <w:tcPr>
            <w:tcW w:w="2978" w:type="dxa"/>
            <w:noWrap/>
            <w:vAlign w:val="center"/>
            <w:hideMark/>
          </w:tcPr>
          <w:p w14:paraId="5BA56E98" w14:textId="77777777" w:rsidR="008307DC" w:rsidRPr="008307DC" w:rsidRDefault="008307DC" w:rsidP="008307DC">
            <w:pPr>
              <w:spacing w:after="0" w:line="360" w:lineRule="auto"/>
              <w:rPr>
                <w:rFonts w:ascii="Calibri" w:eastAsia="Times New Roman" w:hAnsi="Calibri" w:cs="Calibri"/>
                <w:color w:val="000000"/>
                <w:sz w:val="20"/>
                <w:szCs w:val="20"/>
                <w:lang w:val="en-US" w:eastAsia="sv-SE"/>
              </w:rPr>
            </w:pPr>
            <w:r w:rsidRPr="008307DC">
              <w:rPr>
                <w:rFonts w:ascii="Calibri" w:eastAsia="Times New Roman" w:hAnsi="Calibri" w:cs="Calibri"/>
                <w:color w:val="000000"/>
                <w:sz w:val="20"/>
                <w:szCs w:val="20"/>
                <w:lang w:val="sv-SE" w:eastAsia="sv-SE"/>
              </w:rPr>
              <w:lastRenderedPageBreak/>
              <w:t>Hip fracture</w:t>
            </w:r>
          </w:p>
        </w:tc>
        <w:tc>
          <w:tcPr>
            <w:tcW w:w="850" w:type="dxa"/>
            <w:noWrap/>
            <w:hideMark/>
          </w:tcPr>
          <w:p w14:paraId="7490A9B6" w14:textId="77777777" w:rsidR="008307DC" w:rsidRPr="008307DC" w:rsidRDefault="008307DC" w:rsidP="008307DC">
            <w:pPr>
              <w:spacing w:after="0" w:line="360" w:lineRule="auto"/>
              <w:jc w:val="center"/>
              <w:rPr>
                <w:rFonts w:ascii="Calibri" w:eastAsia="Times New Roman" w:hAnsi="Calibri" w:cs="Calibri"/>
                <w:sz w:val="20"/>
                <w:szCs w:val="20"/>
                <w:lang w:val="sv-SE" w:eastAsia="sv-SE"/>
              </w:rPr>
            </w:pPr>
            <w:r w:rsidRPr="008307DC">
              <w:rPr>
                <w:rFonts w:ascii="Calibri" w:eastAsia="Calibri" w:hAnsi="Calibri" w:cs="Calibri"/>
                <w:sz w:val="20"/>
                <w:szCs w:val="20"/>
              </w:rPr>
              <w:t>1.0</w:t>
            </w:r>
          </w:p>
        </w:tc>
        <w:tc>
          <w:tcPr>
            <w:tcW w:w="851" w:type="dxa"/>
            <w:noWrap/>
            <w:vAlign w:val="center"/>
            <w:hideMark/>
          </w:tcPr>
          <w:p w14:paraId="6CCBABEB" w14:textId="0B8DBA22" w:rsidR="008307DC" w:rsidRPr="008307DC" w:rsidRDefault="008307DC" w:rsidP="008307DC">
            <w:pPr>
              <w:spacing w:after="0" w:line="360" w:lineRule="auto"/>
              <w:jc w:val="center"/>
              <w:rPr>
                <w:rFonts w:ascii="Calibri" w:eastAsia="Times New Roman" w:hAnsi="Calibri" w:cs="Calibri"/>
                <w:sz w:val="20"/>
                <w:szCs w:val="20"/>
                <w:lang w:val="sv-SE" w:eastAsia="sv-SE"/>
              </w:rPr>
            </w:pPr>
            <w:r w:rsidRPr="008307DC">
              <w:rPr>
                <w:rFonts w:ascii="Calibri" w:eastAsia="Times New Roman" w:hAnsi="Calibri" w:cs="Calibri"/>
                <w:sz w:val="20"/>
                <w:szCs w:val="20"/>
                <w:lang w:val="sv-SE" w:eastAsia="sv-SE"/>
              </w:rPr>
              <w:t>1.4</w:t>
            </w:r>
            <w:r w:rsidR="008A23B7">
              <w:rPr>
                <w:rFonts w:ascii="Calibri" w:eastAsia="Times New Roman" w:hAnsi="Calibri" w:cs="Calibri"/>
                <w:sz w:val="20"/>
                <w:szCs w:val="20"/>
                <w:lang w:val="sv-SE" w:eastAsia="sv-SE"/>
              </w:rPr>
              <w:t>5</w:t>
            </w:r>
          </w:p>
        </w:tc>
        <w:tc>
          <w:tcPr>
            <w:tcW w:w="992" w:type="dxa"/>
          </w:tcPr>
          <w:p w14:paraId="5C8F3980" w14:textId="72458F13" w:rsidR="008307DC" w:rsidRPr="008307DC" w:rsidRDefault="008307DC" w:rsidP="008307DC">
            <w:pPr>
              <w:spacing w:after="0" w:line="360" w:lineRule="auto"/>
              <w:jc w:val="center"/>
              <w:rPr>
                <w:rFonts w:ascii="Calibri" w:eastAsia="Times New Roman" w:hAnsi="Calibri" w:cs="Calibri"/>
                <w:sz w:val="20"/>
                <w:szCs w:val="20"/>
                <w:lang w:val="sv-SE" w:eastAsia="sv-SE"/>
              </w:rPr>
            </w:pPr>
            <w:r w:rsidRPr="008307DC">
              <w:rPr>
                <w:rFonts w:ascii="Calibri" w:eastAsia="Times New Roman" w:hAnsi="Calibri" w:cs="Calibri"/>
                <w:sz w:val="20"/>
                <w:szCs w:val="20"/>
                <w:lang w:val="sv-SE" w:eastAsia="sv-SE"/>
              </w:rPr>
              <w:t>1.2</w:t>
            </w:r>
            <w:r w:rsidR="005D135E">
              <w:rPr>
                <w:rFonts w:ascii="Calibri" w:eastAsia="Times New Roman" w:hAnsi="Calibri" w:cs="Calibri"/>
                <w:sz w:val="20"/>
                <w:szCs w:val="20"/>
                <w:lang w:val="sv-SE" w:eastAsia="sv-SE"/>
              </w:rPr>
              <w:t>6</w:t>
            </w:r>
            <w:r w:rsidRPr="008307DC">
              <w:rPr>
                <w:rFonts w:ascii="Calibri" w:eastAsia="Times New Roman" w:hAnsi="Calibri" w:cs="Calibri"/>
                <w:sz w:val="20"/>
                <w:szCs w:val="20"/>
                <w:lang w:val="sv-SE" w:eastAsia="sv-SE"/>
              </w:rPr>
              <w:t>-1.</w:t>
            </w:r>
            <w:r w:rsidR="00810B6D">
              <w:rPr>
                <w:rFonts w:ascii="Calibri" w:eastAsia="Times New Roman" w:hAnsi="Calibri" w:cs="Calibri"/>
                <w:sz w:val="20"/>
                <w:szCs w:val="20"/>
                <w:lang w:val="sv-SE" w:eastAsia="sv-SE"/>
              </w:rPr>
              <w:t>68</w:t>
            </w:r>
          </w:p>
        </w:tc>
        <w:tc>
          <w:tcPr>
            <w:tcW w:w="851" w:type="dxa"/>
            <w:noWrap/>
            <w:vAlign w:val="center"/>
            <w:hideMark/>
          </w:tcPr>
          <w:p w14:paraId="7D9DC953" w14:textId="77777777" w:rsidR="008307DC" w:rsidRPr="008307DC" w:rsidRDefault="008307DC" w:rsidP="008307DC">
            <w:pPr>
              <w:spacing w:after="0" w:line="360" w:lineRule="auto"/>
              <w:jc w:val="center"/>
              <w:rPr>
                <w:rFonts w:ascii="Calibri" w:eastAsia="Times New Roman" w:hAnsi="Calibri" w:cs="Calibri"/>
                <w:sz w:val="20"/>
                <w:szCs w:val="20"/>
                <w:lang w:val="sv-SE" w:eastAsia="sv-SE"/>
              </w:rPr>
            </w:pPr>
            <w:r w:rsidRPr="008307DC">
              <w:rPr>
                <w:rFonts w:ascii="Calibri" w:eastAsia="Times New Roman" w:hAnsi="Calibri" w:cs="Calibri"/>
                <w:sz w:val="20"/>
                <w:szCs w:val="20"/>
                <w:lang w:val="sv-SE" w:eastAsia="sv-SE"/>
              </w:rPr>
              <w:t>&lt;0.001</w:t>
            </w:r>
          </w:p>
        </w:tc>
        <w:tc>
          <w:tcPr>
            <w:tcW w:w="850" w:type="dxa"/>
            <w:vAlign w:val="center"/>
          </w:tcPr>
          <w:p w14:paraId="29416F96" w14:textId="5795DE42" w:rsidR="008307DC" w:rsidRPr="008307DC" w:rsidRDefault="008307DC" w:rsidP="008307DC">
            <w:pPr>
              <w:spacing w:after="0" w:line="360" w:lineRule="auto"/>
              <w:jc w:val="center"/>
              <w:rPr>
                <w:rFonts w:ascii="Calibri" w:eastAsia="Times New Roman" w:hAnsi="Calibri" w:cs="Calibri"/>
                <w:sz w:val="20"/>
                <w:szCs w:val="20"/>
                <w:lang w:val="sv-SE" w:eastAsia="sv-SE"/>
              </w:rPr>
            </w:pPr>
            <w:r w:rsidRPr="008307DC">
              <w:rPr>
                <w:rFonts w:ascii="Calibri" w:eastAsia="Times New Roman" w:hAnsi="Calibri" w:cs="Calibri"/>
                <w:sz w:val="20"/>
                <w:szCs w:val="20"/>
                <w:lang w:val="sv-SE" w:eastAsia="sv-SE"/>
              </w:rPr>
              <w:t>1.</w:t>
            </w:r>
            <w:r w:rsidR="00D1008D">
              <w:rPr>
                <w:rFonts w:ascii="Calibri" w:eastAsia="Times New Roman" w:hAnsi="Calibri" w:cs="Calibri"/>
                <w:sz w:val="20"/>
                <w:szCs w:val="20"/>
                <w:lang w:val="sv-SE" w:eastAsia="sv-SE"/>
              </w:rPr>
              <w:t>61</w:t>
            </w:r>
          </w:p>
        </w:tc>
        <w:tc>
          <w:tcPr>
            <w:tcW w:w="1134" w:type="dxa"/>
          </w:tcPr>
          <w:p w14:paraId="4E629FD6" w14:textId="1129C42B" w:rsidR="008307DC" w:rsidRPr="008307DC" w:rsidRDefault="008307DC" w:rsidP="008307DC">
            <w:pPr>
              <w:spacing w:after="0" w:line="360" w:lineRule="auto"/>
              <w:jc w:val="center"/>
              <w:rPr>
                <w:rFonts w:ascii="Calibri" w:eastAsia="Times New Roman" w:hAnsi="Calibri" w:cs="Calibri"/>
                <w:sz w:val="20"/>
                <w:szCs w:val="20"/>
                <w:lang w:val="sv-SE" w:eastAsia="sv-SE"/>
              </w:rPr>
            </w:pPr>
            <w:r w:rsidRPr="008307DC">
              <w:rPr>
                <w:rFonts w:ascii="Calibri" w:eastAsia="Times New Roman" w:hAnsi="Calibri" w:cs="Calibri"/>
                <w:sz w:val="20"/>
                <w:szCs w:val="20"/>
                <w:lang w:val="sv-SE" w:eastAsia="sv-SE"/>
              </w:rPr>
              <w:t>1.0</w:t>
            </w:r>
            <w:r w:rsidR="005D10CE">
              <w:rPr>
                <w:rFonts w:ascii="Calibri" w:eastAsia="Times New Roman" w:hAnsi="Calibri" w:cs="Calibri"/>
                <w:sz w:val="20"/>
                <w:szCs w:val="20"/>
                <w:lang w:val="sv-SE" w:eastAsia="sv-SE"/>
              </w:rPr>
              <w:t>4</w:t>
            </w:r>
            <w:r w:rsidRPr="008307DC">
              <w:rPr>
                <w:rFonts w:ascii="Calibri" w:eastAsia="Times New Roman" w:hAnsi="Calibri" w:cs="Calibri"/>
                <w:sz w:val="20"/>
                <w:szCs w:val="20"/>
                <w:lang w:val="sv-SE" w:eastAsia="sv-SE"/>
              </w:rPr>
              <w:t>-2.4</w:t>
            </w:r>
            <w:r w:rsidR="005D10CE">
              <w:rPr>
                <w:rFonts w:ascii="Calibri" w:eastAsia="Times New Roman" w:hAnsi="Calibri" w:cs="Calibri"/>
                <w:sz w:val="20"/>
                <w:szCs w:val="20"/>
                <w:lang w:val="sv-SE" w:eastAsia="sv-SE"/>
              </w:rPr>
              <w:t>8</w:t>
            </w:r>
          </w:p>
        </w:tc>
        <w:tc>
          <w:tcPr>
            <w:tcW w:w="941" w:type="dxa"/>
            <w:vAlign w:val="center"/>
          </w:tcPr>
          <w:p w14:paraId="389AC67C" w14:textId="68947B3B" w:rsidR="008307DC" w:rsidRPr="008307DC" w:rsidRDefault="008307DC" w:rsidP="008307DC">
            <w:pPr>
              <w:spacing w:after="0" w:line="360" w:lineRule="auto"/>
              <w:jc w:val="center"/>
              <w:rPr>
                <w:rFonts w:ascii="Calibri" w:eastAsia="Times New Roman" w:hAnsi="Calibri" w:cs="Calibri"/>
                <w:sz w:val="20"/>
                <w:szCs w:val="20"/>
                <w:lang w:val="sv-SE" w:eastAsia="sv-SE"/>
              </w:rPr>
            </w:pPr>
            <w:r w:rsidRPr="008307DC">
              <w:rPr>
                <w:rFonts w:ascii="Calibri" w:eastAsia="Times New Roman" w:hAnsi="Calibri" w:cs="Calibri"/>
                <w:sz w:val="20"/>
                <w:szCs w:val="20"/>
                <w:lang w:val="sv-SE" w:eastAsia="sv-SE"/>
              </w:rPr>
              <w:t>0.0</w:t>
            </w:r>
            <w:r w:rsidR="009E3482">
              <w:rPr>
                <w:rFonts w:ascii="Calibri" w:eastAsia="Times New Roman" w:hAnsi="Calibri" w:cs="Calibri"/>
                <w:sz w:val="20"/>
                <w:szCs w:val="20"/>
                <w:lang w:val="sv-SE" w:eastAsia="sv-SE"/>
              </w:rPr>
              <w:t>33</w:t>
            </w:r>
          </w:p>
        </w:tc>
      </w:tr>
      <w:tr w:rsidR="008307DC" w:rsidRPr="008307DC" w14:paraId="6C403DE8" w14:textId="77777777" w:rsidTr="00F6363A">
        <w:trPr>
          <w:trHeight w:val="20"/>
        </w:trPr>
        <w:tc>
          <w:tcPr>
            <w:tcW w:w="2978" w:type="dxa"/>
            <w:tcBorders>
              <w:bottom w:val="single" w:sz="4" w:space="0" w:color="auto"/>
            </w:tcBorders>
            <w:noWrap/>
            <w:vAlign w:val="center"/>
            <w:hideMark/>
          </w:tcPr>
          <w:p w14:paraId="0E1493FD" w14:textId="77777777" w:rsidR="008307DC" w:rsidRPr="008307DC" w:rsidRDefault="008307DC" w:rsidP="008307DC">
            <w:pPr>
              <w:spacing w:after="0" w:line="360" w:lineRule="auto"/>
              <w:rPr>
                <w:rFonts w:ascii="Calibri" w:eastAsia="Times New Roman" w:hAnsi="Calibri" w:cs="Calibri"/>
                <w:color w:val="000000"/>
                <w:sz w:val="20"/>
                <w:szCs w:val="20"/>
                <w:lang w:val="en-US" w:eastAsia="sv-SE"/>
              </w:rPr>
            </w:pPr>
            <w:r w:rsidRPr="008307DC">
              <w:rPr>
                <w:rFonts w:ascii="Calibri" w:eastAsia="Times New Roman" w:hAnsi="Calibri" w:cs="Calibri"/>
                <w:color w:val="000000"/>
                <w:sz w:val="20"/>
                <w:szCs w:val="20"/>
                <w:lang w:val="en-US" w:eastAsia="sv-SE"/>
              </w:rPr>
              <w:t>Other major osteoporotic fracture</w:t>
            </w:r>
          </w:p>
        </w:tc>
        <w:tc>
          <w:tcPr>
            <w:tcW w:w="850" w:type="dxa"/>
            <w:tcBorders>
              <w:bottom w:val="single" w:sz="4" w:space="0" w:color="auto"/>
            </w:tcBorders>
            <w:noWrap/>
            <w:hideMark/>
          </w:tcPr>
          <w:p w14:paraId="467DFD31" w14:textId="77777777" w:rsidR="008307DC" w:rsidRPr="008307DC" w:rsidRDefault="008307DC" w:rsidP="008307DC">
            <w:pPr>
              <w:spacing w:after="0" w:line="360" w:lineRule="auto"/>
              <w:jc w:val="center"/>
              <w:rPr>
                <w:rFonts w:ascii="Calibri" w:eastAsia="Times New Roman" w:hAnsi="Calibri" w:cs="Calibri"/>
                <w:sz w:val="20"/>
                <w:szCs w:val="20"/>
                <w:lang w:val="sv-SE" w:eastAsia="sv-SE"/>
              </w:rPr>
            </w:pPr>
            <w:r w:rsidRPr="008307DC">
              <w:rPr>
                <w:rFonts w:ascii="Calibri" w:eastAsia="Calibri" w:hAnsi="Calibri" w:cs="Calibri"/>
                <w:sz w:val="20"/>
                <w:szCs w:val="20"/>
              </w:rPr>
              <w:t>1.0</w:t>
            </w:r>
          </w:p>
        </w:tc>
        <w:tc>
          <w:tcPr>
            <w:tcW w:w="851" w:type="dxa"/>
            <w:tcBorders>
              <w:bottom w:val="single" w:sz="4" w:space="0" w:color="auto"/>
            </w:tcBorders>
            <w:noWrap/>
            <w:vAlign w:val="center"/>
            <w:hideMark/>
          </w:tcPr>
          <w:p w14:paraId="6A67280D" w14:textId="77777777" w:rsidR="008307DC" w:rsidRPr="008307DC" w:rsidRDefault="008307DC" w:rsidP="008307DC">
            <w:pPr>
              <w:spacing w:after="0" w:line="360" w:lineRule="auto"/>
              <w:jc w:val="center"/>
              <w:rPr>
                <w:rFonts w:ascii="Calibri" w:eastAsia="Times New Roman" w:hAnsi="Calibri" w:cs="Calibri"/>
                <w:sz w:val="20"/>
                <w:szCs w:val="20"/>
                <w:lang w:val="sv-SE" w:eastAsia="sv-SE"/>
              </w:rPr>
            </w:pPr>
            <w:r w:rsidRPr="008307DC">
              <w:rPr>
                <w:rFonts w:ascii="Calibri" w:eastAsia="Times New Roman" w:hAnsi="Calibri" w:cs="Calibri"/>
                <w:sz w:val="20"/>
                <w:szCs w:val="20"/>
                <w:lang w:val="sv-SE" w:eastAsia="sv-SE"/>
              </w:rPr>
              <w:t>1.29</w:t>
            </w:r>
          </w:p>
        </w:tc>
        <w:tc>
          <w:tcPr>
            <w:tcW w:w="992" w:type="dxa"/>
            <w:tcBorders>
              <w:bottom w:val="single" w:sz="4" w:space="0" w:color="auto"/>
            </w:tcBorders>
          </w:tcPr>
          <w:p w14:paraId="1278601B" w14:textId="1EEBFAEE" w:rsidR="008307DC" w:rsidRPr="008307DC" w:rsidRDefault="008307DC" w:rsidP="008307DC">
            <w:pPr>
              <w:spacing w:after="0" w:line="360" w:lineRule="auto"/>
              <w:jc w:val="center"/>
              <w:rPr>
                <w:rFonts w:ascii="Calibri" w:eastAsia="Times New Roman" w:hAnsi="Calibri" w:cs="Calibri"/>
                <w:sz w:val="20"/>
                <w:szCs w:val="20"/>
                <w:lang w:val="sv-SE" w:eastAsia="sv-SE"/>
              </w:rPr>
            </w:pPr>
            <w:r w:rsidRPr="008307DC">
              <w:rPr>
                <w:rFonts w:ascii="Calibri" w:eastAsia="Times New Roman" w:hAnsi="Calibri" w:cs="Calibri"/>
                <w:sz w:val="20"/>
                <w:szCs w:val="20"/>
                <w:lang w:val="sv-SE" w:eastAsia="sv-SE"/>
              </w:rPr>
              <w:t>1.1</w:t>
            </w:r>
            <w:r w:rsidR="00810B6D">
              <w:rPr>
                <w:rFonts w:ascii="Calibri" w:eastAsia="Times New Roman" w:hAnsi="Calibri" w:cs="Calibri"/>
                <w:sz w:val="20"/>
                <w:szCs w:val="20"/>
                <w:lang w:val="sv-SE" w:eastAsia="sv-SE"/>
              </w:rPr>
              <w:t>2</w:t>
            </w:r>
            <w:r w:rsidRPr="008307DC">
              <w:rPr>
                <w:rFonts w:ascii="Calibri" w:eastAsia="Times New Roman" w:hAnsi="Calibri" w:cs="Calibri"/>
                <w:sz w:val="20"/>
                <w:szCs w:val="20"/>
                <w:lang w:val="sv-SE" w:eastAsia="sv-SE"/>
              </w:rPr>
              <w:t>-1.4</w:t>
            </w:r>
            <w:r w:rsidR="00810B6D">
              <w:rPr>
                <w:rFonts w:ascii="Calibri" w:eastAsia="Times New Roman" w:hAnsi="Calibri" w:cs="Calibri"/>
                <w:sz w:val="20"/>
                <w:szCs w:val="20"/>
                <w:lang w:val="sv-SE" w:eastAsia="sv-SE"/>
              </w:rPr>
              <w:t>7</w:t>
            </w:r>
          </w:p>
        </w:tc>
        <w:tc>
          <w:tcPr>
            <w:tcW w:w="851" w:type="dxa"/>
            <w:tcBorders>
              <w:bottom w:val="single" w:sz="4" w:space="0" w:color="auto"/>
            </w:tcBorders>
            <w:noWrap/>
            <w:vAlign w:val="center"/>
            <w:hideMark/>
          </w:tcPr>
          <w:p w14:paraId="2F0B9612" w14:textId="77777777" w:rsidR="008307DC" w:rsidRPr="008307DC" w:rsidRDefault="008307DC" w:rsidP="008307DC">
            <w:pPr>
              <w:spacing w:after="0" w:line="360" w:lineRule="auto"/>
              <w:jc w:val="center"/>
              <w:rPr>
                <w:rFonts w:ascii="Calibri" w:eastAsia="Times New Roman" w:hAnsi="Calibri" w:cs="Calibri"/>
                <w:sz w:val="20"/>
                <w:szCs w:val="20"/>
                <w:lang w:val="sv-SE" w:eastAsia="sv-SE"/>
              </w:rPr>
            </w:pPr>
            <w:r w:rsidRPr="008307DC">
              <w:rPr>
                <w:rFonts w:ascii="Calibri" w:eastAsia="Times New Roman" w:hAnsi="Calibri" w:cs="Calibri"/>
                <w:sz w:val="20"/>
                <w:szCs w:val="20"/>
                <w:lang w:val="sv-SE" w:eastAsia="sv-SE"/>
              </w:rPr>
              <w:t>&lt;0.001</w:t>
            </w:r>
          </w:p>
        </w:tc>
        <w:tc>
          <w:tcPr>
            <w:tcW w:w="850" w:type="dxa"/>
            <w:tcBorders>
              <w:bottom w:val="single" w:sz="4" w:space="0" w:color="auto"/>
            </w:tcBorders>
            <w:vAlign w:val="center"/>
          </w:tcPr>
          <w:p w14:paraId="6A88F519" w14:textId="604A20DC" w:rsidR="008307DC" w:rsidRPr="008307DC" w:rsidRDefault="008307DC" w:rsidP="008307DC">
            <w:pPr>
              <w:spacing w:after="0" w:line="360" w:lineRule="auto"/>
              <w:jc w:val="center"/>
              <w:rPr>
                <w:rFonts w:ascii="Calibri" w:eastAsia="Times New Roman" w:hAnsi="Calibri" w:cs="Calibri"/>
                <w:sz w:val="20"/>
                <w:szCs w:val="20"/>
                <w:lang w:val="sv-SE" w:eastAsia="sv-SE"/>
              </w:rPr>
            </w:pPr>
            <w:r w:rsidRPr="008307DC">
              <w:rPr>
                <w:rFonts w:ascii="Calibri" w:eastAsia="Times New Roman" w:hAnsi="Calibri" w:cs="Calibri"/>
                <w:sz w:val="20"/>
                <w:szCs w:val="20"/>
                <w:lang w:val="sv-SE" w:eastAsia="sv-SE"/>
              </w:rPr>
              <w:t>1.0</w:t>
            </w:r>
            <w:r w:rsidR="00D1008D">
              <w:rPr>
                <w:rFonts w:ascii="Calibri" w:eastAsia="Times New Roman" w:hAnsi="Calibri" w:cs="Calibri"/>
                <w:sz w:val="20"/>
                <w:szCs w:val="20"/>
                <w:lang w:val="sv-SE" w:eastAsia="sv-SE"/>
              </w:rPr>
              <w:t>9</w:t>
            </w:r>
          </w:p>
        </w:tc>
        <w:tc>
          <w:tcPr>
            <w:tcW w:w="1134" w:type="dxa"/>
            <w:tcBorders>
              <w:bottom w:val="single" w:sz="4" w:space="0" w:color="auto"/>
            </w:tcBorders>
          </w:tcPr>
          <w:p w14:paraId="232FA1A4" w14:textId="02E42DF2" w:rsidR="008307DC" w:rsidRPr="008307DC" w:rsidRDefault="008307DC" w:rsidP="008307DC">
            <w:pPr>
              <w:spacing w:after="0" w:line="360" w:lineRule="auto"/>
              <w:jc w:val="center"/>
              <w:rPr>
                <w:rFonts w:ascii="Calibri" w:eastAsia="Times New Roman" w:hAnsi="Calibri" w:cs="Calibri"/>
                <w:sz w:val="20"/>
                <w:szCs w:val="20"/>
                <w:lang w:val="sv-SE" w:eastAsia="sv-SE"/>
              </w:rPr>
            </w:pPr>
            <w:r w:rsidRPr="008307DC">
              <w:rPr>
                <w:rFonts w:ascii="Calibri" w:eastAsia="Times New Roman" w:hAnsi="Calibri" w:cs="Calibri"/>
                <w:sz w:val="20"/>
                <w:szCs w:val="20"/>
                <w:lang w:val="sv-SE" w:eastAsia="sv-SE"/>
              </w:rPr>
              <w:t>0.79-1.</w:t>
            </w:r>
            <w:r w:rsidR="009E3482">
              <w:rPr>
                <w:rFonts w:ascii="Calibri" w:eastAsia="Times New Roman" w:hAnsi="Calibri" w:cs="Calibri"/>
                <w:sz w:val="20"/>
                <w:szCs w:val="20"/>
                <w:lang w:val="sv-SE" w:eastAsia="sv-SE"/>
              </w:rPr>
              <w:t>50</w:t>
            </w:r>
          </w:p>
        </w:tc>
        <w:tc>
          <w:tcPr>
            <w:tcW w:w="941" w:type="dxa"/>
            <w:tcBorders>
              <w:bottom w:val="single" w:sz="4" w:space="0" w:color="auto"/>
            </w:tcBorders>
            <w:vAlign w:val="center"/>
          </w:tcPr>
          <w:p w14:paraId="7558D715" w14:textId="77777777" w:rsidR="008307DC" w:rsidRPr="008307DC" w:rsidRDefault="008307DC" w:rsidP="008307DC">
            <w:pPr>
              <w:spacing w:after="0" w:line="360" w:lineRule="auto"/>
              <w:jc w:val="center"/>
              <w:rPr>
                <w:rFonts w:ascii="Calibri" w:eastAsia="Times New Roman" w:hAnsi="Calibri" w:cs="Calibri"/>
                <w:sz w:val="20"/>
                <w:szCs w:val="20"/>
                <w:lang w:val="sv-SE" w:eastAsia="sv-SE"/>
              </w:rPr>
            </w:pPr>
            <w:r w:rsidRPr="008307DC">
              <w:rPr>
                <w:rFonts w:ascii="Calibri" w:eastAsia="Times New Roman" w:hAnsi="Calibri" w:cs="Calibri"/>
                <w:sz w:val="20"/>
                <w:szCs w:val="20"/>
                <w:lang w:val="sv-SE" w:eastAsia="sv-SE"/>
              </w:rPr>
              <w:t>&gt;0.30</w:t>
            </w:r>
          </w:p>
        </w:tc>
      </w:tr>
      <w:tr w:rsidR="008307DC" w:rsidRPr="008307DC" w14:paraId="7F559373" w14:textId="77777777" w:rsidTr="00F6363A">
        <w:trPr>
          <w:trHeight w:val="20"/>
        </w:trPr>
        <w:tc>
          <w:tcPr>
            <w:tcW w:w="9447" w:type="dxa"/>
            <w:gridSpan w:val="8"/>
            <w:tcBorders>
              <w:top w:val="single" w:sz="4" w:space="0" w:color="auto"/>
            </w:tcBorders>
            <w:noWrap/>
            <w:vAlign w:val="center"/>
          </w:tcPr>
          <w:p w14:paraId="7793E217" w14:textId="2E8C2E4B" w:rsidR="008307DC" w:rsidRPr="008307DC" w:rsidRDefault="008307DC" w:rsidP="008307DC">
            <w:pPr>
              <w:spacing w:after="0" w:line="360" w:lineRule="auto"/>
              <w:rPr>
                <w:rFonts w:ascii="Calibri" w:eastAsia="Times New Roman" w:hAnsi="Calibri" w:cs="Calibri"/>
                <w:sz w:val="20"/>
                <w:szCs w:val="20"/>
                <w:lang w:val="sv-SE" w:eastAsia="sv-SE"/>
              </w:rPr>
            </w:pPr>
            <w:r w:rsidRPr="008307DC">
              <w:rPr>
                <w:rFonts w:ascii="Calibri" w:eastAsia="Times New Roman" w:hAnsi="Calibri" w:cs="Calibri"/>
                <w:sz w:val="20"/>
                <w:szCs w:val="20"/>
                <w:lang w:val="sv-SE" w:eastAsia="sv-SE"/>
              </w:rPr>
              <w:t>NA – not applicable</w:t>
            </w:r>
            <w:r w:rsidR="00CF42EC" w:rsidRPr="00CF42EC">
              <w:rPr>
                <w:rFonts w:ascii="Calibri" w:eastAsia="Times New Roman" w:hAnsi="Calibri" w:cs="Calibri"/>
                <w:sz w:val="20"/>
                <w:szCs w:val="20"/>
                <w:lang w:val="sv-SE" w:eastAsia="sv-SE"/>
              </w:rPr>
              <w:t xml:space="preserve">; </w:t>
            </w:r>
            <w:r w:rsidR="00CF42EC" w:rsidRPr="00CF42EC">
              <w:rPr>
                <w:rFonts w:ascii="Calibri" w:eastAsia="Times New Roman" w:hAnsi="Calibri" w:cs="Calibri"/>
                <w:sz w:val="20"/>
                <w:szCs w:val="20"/>
                <w:vertAlign w:val="superscript"/>
                <w:lang w:val="sv-SE" w:eastAsia="sv-SE"/>
              </w:rPr>
              <w:t>1</w:t>
            </w:r>
            <w:r w:rsidR="00CF42EC" w:rsidRPr="00CF42EC">
              <w:rPr>
                <w:rFonts w:ascii="Calibri" w:eastAsia="Times New Roman" w:hAnsi="Calibri" w:cs="Calibri"/>
                <w:sz w:val="20"/>
                <w:szCs w:val="20"/>
                <w:lang w:val="sv-SE" w:eastAsia="sv-SE"/>
              </w:rPr>
              <w:t xml:space="preserve"> Controls vs. Cases not undergoing PTX; </w:t>
            </w:r>
            <w:r w:rsidR="00CF42EC" w:rsidRPr="00CF42EC">
              <w:rPr>
                <w:rFonts w:ascii="Calibri" w:eastAsia="Times New Roman" w:hAnsi="Calibri" w:cs="Calibri"/>
                <w:sz w:val="20"/>
                <w:szCs w:val="20"/>
                <w:vertAlign w:val="superscript"/>
                <w:lang w:val="sv-SE" w:eastAsia="sv-SE"/>
              </w:rPr>
              <w:t>2</w:t>
            </w:r>
            <w:r w:rsidR="00CF42EC" w:rsidRPr="00CF42EC">
              <w:rPr>
                <w:rFonts w:ascii="Calibri" w:eastAsia="Times New Roman" w:hAnsi="Calibri" w:cs="Calibri"/>
                <w:sz w:val="20"/>
                <w:szCs w:val="20"/>
                <w:lang w:val="sv-SE" w:eastAsia="sv-SE"/>
              </w:rPr>
              <w:t xml:space="preserve"> Controls vs. Cases undergoing PTX</w:t>
            </w:r>
          </w:p>
        </w:tc>
      </w:tr>
    </w:tbl>
    <w:p w14:paraId="11068FCD" w14:textId="77777777" w:rsidR="008307DC" w:rsidRPr="008307DC" w:rsidRDefault="008307DC" w:rsidP="008307DC">
      <w:pPr>
        <w:rPr>
          <w:rFonts w:ascii="Calibri" w:eastAsia="Calibri" w:hAnsi="Calibri" w:cs="Times New Roman"/>
        </w:rPr>
      </w:pPr>
    </w:p>
    <w:p w14:paraId="687FA0AA" w14:textId="59A92F95" w:rsidR="00B27491" w:rsidRPr="006E2E16" w:rsidRDefault="00B27491" w:rsidP="00B27491">
      <w:pPr>
        <w:spacing w:line="276" w:lineRule="auto"/>
        <w:rPr>
          <w:rFonts w:ascii="Calibri" w:hAnsi="Calibri" w:cs="Calibri"/>
          <w:i/>
          <w:iCs/>
          <w:sz w:val="24"/>
          <w:szCs w:val="24"/>
        </w:rPr>
      </w:pPr>
      <w:r w:rsidRPr="006E2E16">
        <w:rPr>
          <w:rFonts w:ascii="Calibri" w:hAnsi="Calibri" w:cs="Calibri"/>
          <w:i/>
          <w:iCs/>
          <w:sz w:val="24"/>
          <w:szCs w:val="24"/>
        </w:rPr>
        <w:t>Probability</w:t>
      </w:r>
    </w:p>
    <w:p w14:paraId="0343770C" w14:textId="12FBD6D2" w:rsidR="00B27491" w:rsidRPr="006E2E16" w:rsidRDefault="00B27491" w:rsidP="00B27491">
      <w:pPr>
        <w:spacing w:line="276" w:lineRule="auto"/>
        <w:rPr>
          <w:rFonts w:ascii="Calibri" w:hAnsi="Calibri" w:cs="Calibri"/>
          <w:sz w:val="24"/>
          <w:szCs w:val="24"/>
        </w:rPr>
      </w:pPr>
      <w:r w:rsidRPr="006E2E16">
        <w:rPr>
          <w:rFonts w:ascii="Calibri" w:hAnsi="Calibri" w:cs="Calibri"/>
          <w:sz w:val="24"/>
          <w:szCs w:val="24"/>
        </w:rPr>
        <w:t xml:space="preserve">As expected, the 10-year probability of fracture increased progressively with age and was higher in women than in </w:t>
      </w:r>
      <w:r w:rsidRPr="00830EB2">
        <w:rPr>
          <w:rFonts w:ascii="Calibri" w:hAnsi="Calibri" w:cs="Calibri"/>
          <w:sz w:val="24"/>
          <w:szCs w:val="24"/>
        </w:rPr>
        <w:t xml:space="preserve">men (Figure </w:t>
      </w:r>
      <w:r w:rsidR="00830EB2" w:rsidRPr="00830EB2">
        <w:rPr>
          <w:rFonts w:ascii="Calibri" w:hAnsi="Calibri" w:cs="Calibri"/>
          <w:sz w:val="24"/>
          <w:szCs w:val="24"/>
        </w:rPr>
        <w:t>1</w:t>
      </w:r>
      <w:r w:rsidRPr="00830EB2">
        <w:rPr>
          <w:rFonts w:ascii="Calibri" w:hAnsi="Calibri" w:cs="Calibri"/>
          <w:sz w:val="24"/>
          <w:szCs w:val="24"/>
        </w:rPr>
        <w:t>).</w:t>
      </w:r>
      <w:r w:rsidRPr="006E2E16">
        <w:rPr>
          <w:rFonts w:ascii="Calibri" w:hAnsi="Calibri" w:cs="Calibri"/>
          <w:sz w:val="24"/>
          <w:szCs w:val="24"/>
        </w:rPr>
        <w:t xml:space="preserve">  At any given age, </w:t>
      </w:r>
      <w:r w:rsidR="005F0695">
        <w:rPr>
          <w:rFonts w:ascii="Calibri" w:hAnsi="Calibri" w:cs="Calibri"/>
          <w:sz w:val="24"/>
          <w:szCs w:val="24"/>
        </w:rPr>
        <w:t xml:space="preserve">average </w:t>
      </w:r>
      <w:r w:rsidRPr="006E2E16">
        <w:rPr>
          <w:rFonts w:ascii="Calibri" w:hAnsi="Calibri" w:cs="Calibri"/>
          <w:sz w:val="24"/>
          <w:szCs w:val="24"/>
        </w:rPr>
        <w:t xml:space="preserve">probabilities were higher in patients with </w:t>
      </w:r>
      <w:r w:rsidR="003551AE">
        <w:rPr>
          <w:rFonts w:ascii="Calibri" w:hAnsi="Calibri" w:cs="Calibri"/>
          <w:sz w:val="24"/>
          <w:szCs w:val="24"/>
        </w:rPr>
        <w:t>PHPT</w:t>
      </w:r>
      <w:r w:rsidR="003551AE" w:rsidRPr="00BE4902">
        <w:rPr>
          <w:rFonts w:ascii="Calibri" w:hAnsi="Calibri" w:cs="Calibri"/>
          <w:sz w:val="24"/>
          <w:szCs w:val="24"/>
        </w:rPr>
        <w:t xml:space="preserve"> </w:t>
      </w:r>
      <w:r w:rsidRPr="006E2E16">
        <w:rPr>
          <w:rFonts w:ascii="Calibri" w:hAnsi="Calibri" w:cs="Calibri"/>
          <w:sz w:val="24"/>
          <w:szCs w:val="24"/>
        </w:rPr>
        <w:t xml:space="preserve">than </w:t>
      </w:r>
      <w:r w:rsidR="005E274B">
        <w:rPr>
          <w:rFonts w:ascii="Calibri" w:hAnsi="Calibri" w:cs="Calibri"/>
          <w:sz w:val="24"/>
          <w:szCs w:val="24"/>
        </w:rPr>
        <w:t>those of</w:t>
      </w:r>
      <w:r w:rsidRPr="006E2E16">
        <w:rPr>
          <w:rFonts w:ascii="Calibri" w:hAnsi="Calibri" w:cs="Calibri"/>
          <w:sz w:val="24"/>
          <w:szCs w:val="24"/>
        </w:rPr>
        <w:t xml:space="preserve"> population controls. The increment was higher for hip fracture probability (</w:t>
      </w:r>
      <w:r w:rsidR="009E610A">
        <w:rPr>
          <w:rFonts w:ascii="Calibri" w:hAnsi="Calibri" w:cs="Calibri"/>
          <w:sz w:val="24"/>
          <w:szCs w:val="24"/>
        </w:rPr>
        <w:t>9</w:t>
      </w:r>
      <w:r w:rsidRPr="006E2E16">
        <w:rPr>
          <w:rFonts w:ascii="Calibri" w:hAnsi="Calibri" w:cs="Calibri"/>
          <w:sz w:val="24"/>
          <w:szCs w:val="24"/>
        </w:rPr>
        <w:t>-4</w:t>
      </w:r>
      <w:r w:rsidR="004A0734">
        <w:rPr>
          <w:rFonts w:ascii="Calibri" w:hAnsi="Calibri" w:cs="Calibri"/>
          <w:sz w:val="24"/>
          <w:szCs w:val="24"/>
        </w:rPr>
        <w:t>4</w:t>
      </w:r>
      <w:r w:rsidRPr="006E2E16">
        <w:rPr>
          <w:rFonts w:ascii="Calibri" w:hAnsi="Calibri" w:cs="Calibri"/>
          <w:sz w:val="24"/>
          <w:szCs w:val="24"/>
        </w:rPr>
        <w:t>%, depending on age) than for the probability of MOF</w:t>
      </w:r>
      <w:r w:rsidR="004C24E2">
        <w:rPr>
          <w:rFonts w:ascii="Calibri" w:hAnsi="Calibri" w:cs="Calibri"/>
          <w:sz w:val="24"/>
          <w:szCs w:val="24"/>
        </w:rPr>
        <w:t xml:space="preserve"> (5-2</w:t>
      </w:r>
      <w:r w:rsidR="0026215F">
        <w:rPr>
          <w:rFonts w:ascii="Calibri" w:hAnsi="Calibri" w:cs="Calibri"/>
          <w:sz w:val="24"/>
          <w:szCs w:val="24"/>
        </w:rPr>
        <w:t>8</w:t>
      </w:r>
      <w:r w:rsidR="004C24E2">
        <w:rPr>
          <w:rFonts w:ascii="Calibri" w:hAnsi="Calibri" w:cs="Calibri"/>
          <w:sz w:val="24"/>
          <w:szCs w:val="24"/>
        </w:rPr>
        <w:t>%)</w:t>
      </w:r>
      <w:r w:rsidRPr="006E2E16">
        <w:rPr>
          <w:rFonts w:ascii="Calibri" w:hAnsi="Calibri" w:cs="Calibri"/>
          <w:sz w:val="24"/>
          <w:szCs w:val="24"/>
        </w:rPr>
        <w:t xml:space="preserve">, and similar in men and women. The differences in fracture probability were </w:t>
      </w:r>
      <w:r w:rsidR="001E6CE4">
        <w:rPr>
          <w:rFonts w:ascii="Calibri" w:hAnsi="Calibri" w:cs="Calibri"/>
          <w:sz w:val="24"/>
          <w:szCs w:val="24"/>
        </w:rPr>
        <w:t>very similar</w:t>
      </w:r>
      <w:r w:rsidRPr="006E2E16">
        <w:rPr>
          <w:rFonts w:ascii="Calibri" w:hAnsi="Calibri" w:cs="Calibri"/>
          <w:sz w:val="24"/>
          <w:szCs w:val="24"/>
        </w:rPr>
        <w:t xml:space="preserve"> when cases and controls </w:t>
      </w:r>
      <w:r>
        <w:rPr>
          <w:rFonts w:ascii="Calibri" w:hAnsi="Calibri" w:cs="Calibri"/>
          <w:sz w:val="24"/>
          <w:szCs w:val="24"/>
        </w:rPr>
        <w:t xml:space="preserve">did not have </w:t>
      </w:r>
      <w:r w:rsidRPr="006E2E16">
        <w:rPr>
          <w:rFonts w:ascii="Calibri" w:hAnsi="Calibri" w:cs="Calibri"/>
          <w:sz w:val="24"/>
          <w:szCs w:val="24"/>
        </w:rPr>
        <w:t>a prior fracture</w:t>
      </w:r>
      <w:r w:rsidR="0013005A">
        <w:rPr>
          <w:rFonts w:ascii="Calibri" w:hAnsi="Calibri" w:cs="Calibri"/>
          <w:sz w:val="24"/>
          <w:szCs w:val="24"/>
        </w:rPr>
        <w:t xml:space="preserve"> (data not shown)</w:t>
      </w:r>
      <w:r w:rsidRPr="006E2E16">
        <w:rPr>
          <w:rFonts w:ascii="Calibri" w:hAnsi="Calibri" w:cs="Calibri"/>
          <w:sz w:val="24"/>
          <w:szCs w:val="24"/>
        </w:rPr>
        <w:t>.</w:t>
      </w:r>
    </w:p>
    <w:p w14:paraId="7DE78406" w14:textId="35B13E60" w:rsidR="00D22EB5" w:rsidRDefault="004A4A68" w:rsidP="00B343C8">
      <w:pPr>
        <w:spacing w:line="276" w:lineRule="auto"/>
        <w:rPr>
          <w:i/>
          <w:iCs/>
          <w:sz w:val="24"/>
          <w:szCs w:val="24"/>
        </w:rPr>
      </w:pPr>
      <w:r>
        <w:rPr>
          <w:noProof/>
        </w:rPr>
        <w:drawing>
          <wp:anchor distT="0" distB="0" distL="114300" distR="114300" simplePos="0" relativeHeight="251668992" behindDoc="0" locked="0" layoutInCell="1" allowOverlap="1" wp14:anchorId="1931CAE0" wp14:editId="4598EFF7">
            <wp:simplePos x="0" y="0"/>
            <wp:positionH relativeFrom="margin">
              <wp:align>left</wp:align>
            </wp:positionH>
            <wp:positionV relativeFrom="paragraph">
              <wp:posOffset>194310</wp:posOffset>
            </wp:positionV>
            <wp:extent cx="5731510" cy="2705100"/>
            <wp:effectExtent l="0" t="0" r="2540" b="0"/>
            <wp:wrapTopAndBottom/>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rcRect t="9897" b="6186"/>
                    <a:stretch/>
                  </pic:blipFill>
                  <pic:spPr bwMode="auto">
                    <a:xfrm>
                      <a:off x="0" y="0"/>
                      <a:ext cx="5731510" cy="2705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14EA01" w14:textId="002DA124" w:rsidR="0056667E" w:rsidRDefault="0056667E" w:rsidP="0056667E">
      <w:r>
        <w:rPr>
          <w:b/>
          <w:bCs/>
        </w:rPr>
        <w:t xml:space="preserve">Fig. </w:t>
      </w:r>
      <w:r w:rsidR="00830EB2">
        <w:rPr>
          <w:b/>
          <w:bCs/>
        </w:rPr>
        <w:t>1</w:t>
      </w:r>
      <w:r>
        <w:rPr>
          <w:b/>
          <w:bCs/>
        </w:rPr>
        <w:t xml:space="preserve"> </w:t>
      </w:r>
      <w:r w:rsidRPr="009C5664">
        <w:t xml:space="preserve">10-year probability </w:t>
      </w:r>
      <w:r w:rsidRPr="004026AD">
        <w:t xml:space="preserve">of hip fracture (HF) and major osteoporotic fracture (MOF) in men and women with </w:t>
      </w:r>
      <w:r w:rsidR="00362C66" w:rsidRPr="00362C66">
        <w:t>PHPT</w:t>
      </w:r>
      <w:r w:rsidR="00362C66" w:rsidRPr="00362C66" w:rsidDel="00362C66">
        <w:t xml:space="preserve"> </w:t>
      </w:r>
      <w:r w:rsidRPr="004026AD">
        <w:t xml:space="preserve">and </w:t>
      </w:r>
      <w:r w:rsidR="00200C50">
        <w:t xml:space="preserve">marched </w:t>
      </w:r>
      <w:r w:rsidRPr="004026AD">
        <w:t>population-based controls.</w:t>
      </w:r>
      <w:r>
        <w:t xml:space="preserve">  </w:t>
      </w:r>
      <w:r w:rsidR="00F33C6D">
        <w:t xml:space="preserve">Cases exclude patients that underwent </w:t>
      </w:r>
      <w:r w:rsidR="0004422B">
        <w:t xml:space="preserve">parathyroidectomy. </w:t>
      </w:r>
      <w:r>
        <w:t xml:space="preserve"> </w:t>
      </w:r>
    </w:p>
    <w:p w14:paraId="00F2C865" w14:textId="07497E47" w:rsidR="00A80800" w:rsidRPr="00A80800" w:rsidRDefault="00A80800" w:rsidP="00DC59A1">
      <w:pPr>
        <w:spacing w:line="276" w:lineRule="auto"/>
        <w:rPr>
          <w:rFonts w:ascii="Calibri" w:hAnsi="Calibri" w:cs="Calibri"/>
          <w:i/>
          <w:iCs/>
          <w:sz w:val="24"/>
          <w:szCs w:val="24"/>
        </w:rPr>
      </w:pPr>
      <w:r w:rsidRPr="00A80800">
        <w:rPr>
          <w:rFonts w:ascii="Calibri" w:hAnsi="Calibri" w:cs="Calibri"/>
          <w:i/>
          <w:iCs/>
          <w:sz w:val="24"/>
          <w:szCs w:val="24"/>
        </w:rPr>
        <w:t>Severity</w:t>
      </w:r>
      <w:r w:rsidR="00BE2D7F" w:rsidRPr="00A80800">
        <w:rPr>
          <w:rFonts w:ascii="Calibri" w:hAnsi="Calibri" w:cs="Calibri"/>
          <w:i/>
          <w:iCs/>
          <w:sz w:val="24"/>
          <w:szCs w:val="24"/>
        </w:rPr>
        <w:t xml:space="preserve"> of hyperparathyroidism</w:t>
      </w:r>
    </w:p>
    <w:p w14:paraId="420B8D3B" w14:textId="4471CDCD" w:rsidR="00044021" w:rsidRDefault="007E3AA0" w:rsidP="00DC59A1">
      <w:pPr>
        <w:spacing w:line="276" w:lineRule="auto"/>
        <w:rPr>
          <w:rFonts w:ascii="Calibri" w:hAnsi="Calibri" w:cs="Calibri"/>
          <w:sz w:val="24"/>
          <w:szCs w:val="24"/>
        </w:rPr>
      </w:pPr>
      <w:r w:rsidRPr="007E3AA0">
        <w:rPr>
          <w:rFonts w:ascii="Calibri" w:hAnsi="Calibri" w:cs="Calibri"/>
          <w:sz w:val="24"/>
          <w:szCs w:val="24"/>
        </w:rPr>
        <w:t xml:space="preserve">Three thousand eight hundred patients were categorised as having mild hypercalcaemia.   In these patients, mean total serum calcium at </w:t>
      </w:r>
      <w:r w:rsidR="00346BF2" w:rsidRPr="00346BF2">
        <w:rPr>
          <w:rFonts w:ascii="Calibri" w:hAnsi="Calibri" w:cs="Calibri"/>
          <w:sz w:val="24"/>
          <w:szCs w:val="24"/>
        </w:rPr>
        <w:t xml:space="preserve">the first </w:t>
      </w:r>
      <w:bookmarkStart w:id="10" w:name="_Hlk114009604"/>
      <w:r w:rsidR="00346BF2" w:rsidRPr="00346BF2">
        <w:rPr>
          <w:rFonts w:ascii="Calibri" w:hAnsi="Calibri" w:cs="Calibri"/>
          <w:sz w:val="24"/>
          <w:szCs w:val="24"/>
        </w:rPr>
        <w:t xml:space="preserve">measurement of plasma total calcium </w:t>
      </w:r>
      <w:bookmarkEnd w:id="10"/>
      <w:r w:rsidR="00346BF2" w:rsidRPr="00346BF2">
        <w:rPr>
          <w:rFonts w:ascii="Calibri" w:hAnsi="Calibri" w:cs="Calibri"/>
          <w:sz w:val="24"/>
          <w:szCs w:val="24"/>
        </w:rPr>
        <w:t>levels</w:t>
      </w:r>
      <w:r w:rsidRPr="007E3AA0">
        <w:rPr>
          <w:rFonts w:ascii="Calibri" w:hAnsi="Calibri" w:cs="Calibri"/>
          <w:sz w:val="24"/>
          <w:szCs w:val="24"/>
        </w:rPr>
        <w:t xml:space="preserve"> was 2.59 mmol/l adjusted for serum albumin.  For 2103 patients with moderate hypercalcemia, mean total serum calcium at first </w:t>
      </w:r>
      <w:r w:rsidR="00346BF2">
        <w:rPr>
          <w:rFonts w:ascii="Calibri" w:hAnsi="Calibri" w:cs="Calibri"/>
          <w:sz w:val="24"/>
          <w:szCs w:val="24"/>
        </w:rPr>
        <w:t>measurement</w:t>
      </w:r>
      <w:r w:rsidRPr="007E3AA0">
        <w:rPr>
          <w:rFonts w:ascii="Calibri" w:hAnsi="Calibri" w:cs="Calibri"/>
          <w:sz w:val="24"/>
          <w:szCs w:val="24"/>
        </w:rPr>
        <w:t xml:space="preserve"> was 2.74 mmol/l.  Mean total serum calcium for 457 patients with severe hypercalcaemia was 3.11 mmol/l.  The number</w:t>
      </w:r>
      <w:r w:rsidR="00766042">
        <w:rPr>
          <w:rFonts w:ascii="Calibri" w:hAnsi="Calibri" w:cs="Calibri"/>
          <w:sz w:val="24"/>
          <w:szCs w:val="24"/>
        </w:rPr>
        <w:t>s</w:t>
      </w:r>
      <w:r w:rsidRPr="007E3AA0">
        <w:rPr>
          <w:rFonts w:ascii="Calibri" w:hAnsi="Calibri" w:cs="Calibri"/>
          <w:sz w:val="24"/>
          <w:szCs w:val="24"/>
        </w:rPr>
        <w:t xml:space="preserve"> of patients with mild, </w:t>
      </w:r>
      <w:proofErr w:type="gramStart"/>
      <w:r w:rsidRPr="007E3AA0">
        <w:rPr>
          <w:rFonts w:ascii="Calibri" w:hAnsi="Calibri" w:cs="Calibri"/>
          <w:sz w:val="24"/>
          <w:szCs w:val="24"/>
        </w:rPr>
        <w:t>moderate</w:t>
      </w:r>
      <w:proofErr w:type="gramEnd"/>
      <w:r w:rsidRPr="007E3AA0">
        <w:rPr>
          <w:rFonts w:ascii="Calibri" w:hAnsi="Calibri" w:cs="Calibri"/>
          <w:sz w:val="24"/>
          <w:szCs w:val="24"/>
        </w:rPr>
        <w:t xml:space="preserve"> and severe levels of plasma PTH were 4309, 1226 and 825 with mean total serum calcium at first </w:t>
      </w:r>
      <w:r w:rsidR="00346BF2" w:rsidRPr="00346BF2">
        <w:rPr>
          <w:rFonts w:ascii="Calibri" w:hAnsi="Calibri" w:cs="Calibri"/>
          <w:sz w:val="24"/>
          <w:szCs w:val="24"/>
        </w:rPr>
        <w:t xml:space="preserve">measurement </w:t>
      </w:r>
      <w:r w:rsidRPr="007E3AA0">
        <w:rPr>
          <w:rFonts w:ascii="Calibri" w:hAnsi="Calibri" w:cs="Calibri"/>
          <w:sz w:val="24"/>
          <w:szCs w:val="24"/>
        </w:rPr>
        <w:t>of 2.62, 2.72 and 2.89 mmol/l, respectively.</w:t>
      </w:r>
    </w:p>
    <w:p w14:paraId="0524799D" w14:textId="573FB4E5" w:rsidR="00DC59A1" w:rsidRPr="006A2516" w:rsidRDefault="003443E5" w:rsidP="00DC59A1">
      <w:pPr>
        <w:spacing w:line="276" w:lineRule="auto"/>
        <w:rPr>
          <w:rFonts w:ascii="Calibri" w:hAnsi="Calibri" w:cs="Calibri"/>
          <w:sz w:val="24"/>
          <w:szCs w:val="24"/>
        </w:rPr>
      </w:pPr>
      <w:r>
        <w:rPr>
          <w:rFonts w:ascii="Calibri" w:hAnsi="Calibri" w:cs="Calibri"/>
          <w:sz w:val="24"/>
          <w:szCs w:val="24"/>
        </w:rPr>
        <w:t>In patients treated conservatively, t</w:t>
      </w:r>
      <w:r w:rsidR="00DC59A1" w:rsidRPr="006A2516">
        <w:rPr>
          <w:rFonts w:ascii="Calibri" w:hAnsi="Calibri" w:cs="Calibri"/>
          <w:sz w:val="24"/>
          <w:szCs w:val="24"/>
        </w:rPr>
        <w:t xml:space="preserve">here was no significant relationship between fracture risk and the degree of hypercalcaemia or the degree of hyperparathyroidism (p&gt;0.3).  In </w:t>
      </w:r>
      <w:r w:rsidR="00DC59A1" w:rsidRPr="006A2516">
        <w:rPr>
          <w:rFonts w:ascii="Calibri" w:hAnsi="Calibri" w:cs="Calibri"/>
          <w:sz w:val="24"/>
          <w:szCs w:val="24"/>
        </w:rPr>
        <w:lastRenderedPageBreak/>
        <w:t xml:space="preserve">contrast, there was a significant increase in </w:t>
      </w:r>
      <w:r w:rsidR="00DC59A1" w:rsidRPr="0006637A">
        <w:rPr>
          <w:rFonts w:ascii="Calibri" w:hAnsi="Calibri" w:cs="Calibri"/>
          <w:sz w:val="24"/>
          <w:szCs w:val="24"/>
        </w:rPr>
        <w:t>death risk for each step in the degree of hypercalcaemia (HR=1.</w:t>
      </w:r>
      <w:r w:rsidR="00275402" w:rsidRPr="0006637A">
        <w:rPr>
          <w:rFonts w:ascii="Calibri" w:hAnsi="Calibri" w:cs="Calibri"/>
          <w:sz w:val="24"/>
          <w:szCs w:val="24"/>
        </w:rPr>
        <w:t>31</w:t>
      </w:r>
      <w:r w:rsidR="00DC59A1" w:rsidRPr="0006637A">
        <w:rPr>
          <w:rFonts w:ascii="Calibri" w:hAnsi="Calibri" w:cs="Calibri"/>
          <w:sz w:val="24"/>
          <w:szCs w:val="24"/>
        </w:rPr>
        <w:t xml:space="preserve">; 95% CI = </w:t>
      </w:r>
      <w:r w:rsidR="000F621C" w:rsidRPr="0006637A">
        <w:rPr>
          <w:rFonts w:ascii="Calibri" w:hAnsi="Calibri" w:cs="Calibri"/>
          <w:sz w:val="24"/>
          <w:szCs w:val="24"/>
        </w:rPr>
        <w:t>1.20-1.45</w:t>
      </w:r>
      <w:r w:rsidR="00DC59A1" w:rsidRPr="0006637A">
        <w:rPr>
          <w:rFonts w:ascii="Calibri" w:hAnsi="Calibri" w:cs="Calibri"/>
          <w:sz w:val="24"/>
          <w:szCs w:val="24"/>
        </w:rPr>
        <w:t>) and for each step in the degree of hyperparathyroidism (HR=1.2</w:t>
      </w:r>
      <w:r w:rsidR="00390DE0" w:rsidRPr="0006637A">
        <w:rPr>
          <w:rFonts w:ascii="Calibri" w:hAnsi="Calibri" w:cs="Calibri"/>
          <w:sz w:val="24"/>
          <w:szCs w:val="24"/>
        </w:rPr>
        <w:t>7</w:t>
      </w:r>
      <w:r w:rsidR="00DC59A1" w:rsidRPr="0006637A">
        <w:rPr>
          <w:rFonts w:ascii="Calibri" w:hAnsi="Calibri" w:cs="Calibri"/>
          <w:sz w:val="24"/>
          <w:szCs w:val="24"/>
        </w:rPr>
        <w:t>; 95% CI = 1.1</w:t>
      </w:r>
      <w:r w:rsidR="0006637A" w:rsidRPr="0006637A">
        <w:rPr>
          <w:rFonts w:ascii="Calibri" w:hAnsi="Calibri" w:cs="Calibri"/>
          <w:sz w:val="24"/>
          <w:szCs w:val="24"/>
        </w:rPr>
        <w:t>7</w:t>
      </w:r>
      <w:r w:rsidR="00DC59A1" w:rsidRPr="0006637A">
        <w:rPr>
          <w:rFonts w:ascii="Calibri" w:hAnsi="Calibri" w:cs="Calibri"/>
          <w:sz w:val="24"/>
          <w:szCs w:val="24"/>
        </w:rPr>
        <w:t>-1.3</w:t>
      </w:r>
      <w:r w:rsidR="0006637A" w:rsidRPr="0006637A">
        <w:rPr>
          <w:rFonts w:ascii="Calibri" w:hAnsi="Calibri" w:cs="Calibri"/>
          <w:sz w:val="24"/>
          <w:szCs w:val="24"/>
        </w:rPr>
        <w:t>7</w:t>
      </w:r>
      <w:r w:rsidR="00DC59A1" w:rsidRPr="0006637A">
        <w:rPr>
          <w:rFonts w:ascii="Calibri" w:hAnsi="Calibri" w:cs="Calibri"/>
          <w:sz w:val="24"/>
          <w:szCs w:val="24"/>
        </w:rPr>
        <w:t xml:space="preserve">).  Thus, fracture probability decreased with the severity of disease (Fig. </w:t>
      </w:r>
      <w:r w:rsidR="0087523F" w:rsidRPr="0006637A">
        <w:rPr>
          <w:rFonts w:ascii="Calibri" w:hAnsi="Calibri" w:cs="Calibri"/>
          <w:sz w:val="24"/>
          <w:szCs w:val="24"/>
        </w:rPr>
        <w:t>2</w:t>
      </w:r>
      <w:r w:rsidR="00DC59A1" w:rsidRPr="0006637A">
        <w:rPr>
          <w:rFonts w:ascii="Calibri" w:hAnsi="Calibri" w:cs="Calibri"/>
          <w:sz w:val="24"/>
          <w:szCs w:val="24"/>
        </w:rPr>
        <w:t>).</w:t>
      </w:r>
    </w:p>
    <w:p w14:paraId="635A1C7A" w14:textId="28C36A69" w:rsidR="00DC59A1" w:rsidRPr="00F70CA1" w:rsidRDefault="00703996" w:rsidP="00DC59A1">
      <w:r>
        <w:rPr>
          <w:noProof/>
        </w:rPr>
        <w:drawing>
          <wp:anchor distT="0" distB="0" distL="114300" distR="114300" simplePos="0" relativeHeight="251667968" behindDoc="0" locked="0" layoutInCell="1" allowOverlap="1" wp14:anchorId="6ED6D9F6" wp14:editId="6BD60852">
            <wp:simplePos x="0" y="0"/>
            <wp:positionH relativeFrom="margin">
              <wp:align>left</wp:align>
            </wp:positionH>
            <wp:positionV relativeFrom="paragraph">
              <wp:posOffset>184785</wp:posOffset>
            </wp:positionV>
            <wp:extent cx="5731510" cy="2324100"/>
            <wp:effectExtent l="0" t="0" r="2540" b="0"/>
            <wp:wrapTopAndBottom/>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rcRect t="19648" b="8245"/>
                    <a:stretch/>
                  </pic:blipFill>
                  <pic:spPr bwMode="auto">
                    <a:xfrm>
                      <a:off x="0" y="0"/>
                      <a:ext cx="5731510" cy="23241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1303671D" w14:textId="3E5DBECB" w:rsidR="00DC59A1" w:rsidRDefault="00D85F44" w:rsidP="00DC59A1">
      <w:pPr>
        <w:ind w:left="567" w:right="521"/>
        <w:rPr>
          <w:b/>
          <w:bCs/>
        </w:rPr>
      </w:pPr>
      <w:r>
        <w:rPr>
          <w:b/>
          <w:bCs/>
        </w:rPr>
        <w:t>F</w:t>
      </w:r>
      <w:r w:rsidR="00DC59A1">
        <w:rPr>
          <w:b/>
          <w:bCs/>
        </w:rPr>
        <w:t xml:space="preserve">ig. </w:t>
      </w:r>
      <w:r w:rsidR="0087523F">
        <w:rPr>
          <w:b/>
          <w:bCs/>
        </w:rPr>
        <w:t>2</w:t>
      </w:r>
      <w:r w:rsidR="00DC59A1">
        <w:rPr>
          <w:b/>
          <w:bCs/>
        </w:rPr>
        <w:t xml:space="preserve"> </w:t>
      </w:r>
      <w:r w:rsidR="00DC59A1">
        <w:t>10</w:t>
      </w:r>
      <w:r w:rsidR="00DC59A1" w:rsidRPr="00A72B01">
        <w:t xml:space="preserve">-year probability of hip fracture (HF) and major osteoporotic fracture (MOF) in </w:t>
      </w:r>
      <w:r w:rsidR="00DC59A1">
        <w:t>women</w:t>
      </w:r>
      <w:r w:rsidR="00DC59A1" w:rsidRPr="00A72B01">
        <w:t xml:space="preserve"> with</w:t>
      </w:r>
      <w:r w:rsidR="00642DAE">
        <w:t xml:space="preserve"> </w:t>
      </w:r>
      <w:r w:rsidR="00AB3ED3">
        <w:t>P</w:t>
      </w:r>
      <w:r w:rsidR="00DC59A1" w:rsidRPr="00A72B01">
        <w:t>HP</w:t>
      </w:r>
      <w:r w:rsidR="00642DAE">
        <w:t>T</w:t>
      </w:r>
      <w:r w:rsidR="00DC59A1" w:rsidRPr="00A72B01">
        <w:t xml:space="preserve"> </w:t>
      </w:r>
      <w:r w:rsidR="00DC59A1">
        <w:t xml:space="preserve">at the age of 60 years </w:t>
      </w:r>
      <w:r w:rsidR="00DC59A1" w:rsidRPr="00A72B01">
        <w:t>according to the degree of</w:t>
      </w:r>
      <w:r w:rsidR="00DC59A1">
        <w:rPr>
          <w:b/>
          <w:bCs/>
        </w:rPr>
        <w:t xml:space="preserve"> </w:t>
      </w:r>
      <w:r w:rsidR="00DC59A1">
        <w:t xml:space="preserve">hypercalcaemia and </w:t>
      </w:r>
      <w:r w:rsidR="00DC59A1" w:rsidRPr="00A72B01">
        <w:t>hyperparathyroidism</w:t>
      </w:r>
      <w:r w:rsidR="00DC59A1">
        <w:t>.</w:t>
      </w:r>
      <w:r w:rsidR="00C408B0">
        <w:t xml:space="preserve"> Calcium 1, 2</w:t>
      </w:r>
      <w:r w:rsidR="00E05962">
        <w:t xml:space="preserve"> and 3 den</w:t>
      </w:r>
      <w:r w:rsidR="00B134E4">
        <w:t>o</w:t>
      </w:r>
      <w:r w:rsidR="00E05962">
        <w:t xml:space="preserve">te mild, </w:t>
      </w:r>
      <w:proofErr w:type="gramStart"/>
      <w:r w:rsidR="00E05962">
        <w:t>moderate</w:t>
      </w:r>
      <w:proofErr w:type="gramEnd"/>
      <w:r w:rsidR="00E05962">
        <w:t xml:space="preserve"> and severe hypercalcaemia as defined in the methods.  </w:t>
      </w:r>
      <w:r w:rsidR="00B01485">
        <w:t>PTH</w:t>
      </w:r>
      <w:r w:rsidR="00B134E4">
        <w:t xml:space="preserve"> 1, 2 and 3 denote mild, </w:t>
      </w:r>
      <w:proofErr w:type="gramStart"/>
      <w:r w:rsidR="00B01485">
        <w:t>moderate</w:t>
      </w:r>
      <w:proofErr w:type="gramEnd"/>
      <w:r w:rsidR="00B01485">
        <w:t xml:space="preserve"> and severe </w:t>
      </w:r>
      <w:r w:rsidR="00804087">
        <w:t>hyperparathyroidism as judged by serum PTH</w:t>
      </w:r>
      <w:r w:rsidR="00C35C71" w:rsidRPr="00C35C71">
        <w:t xml:space="preserve"> as defined in the methods</w:t>
      </w:r>
      <w:r w:rsidR="00B45C9E">
        <w:t>.</w:t>
      </w:r>
    </w:p>
    <w:p w14:paraId="10A524E9" w14:textId="1DA326DF" w:rsidR="00D65181" w:rsidRPr="00B343C8" w:rsidRDefault="0010323D" w:rsidP="00B343C8">
      <w:pPr>
        <w:spacing w:line="276" w:lineRule="auto"/>
        <w:rPr>
          <w:i/>
          <w:iCs/>
          <w:sz w:val="24"/>
          <w:szCs w:val="24"/>
        </w:rPr>
      </w:pPr>
      <w:r w:rsidRPr="00B343C8">
        <w:rPr>
          <w:i/>
          <w:iCs/>
          <w:sz w:val="24"/>
          <w:szCs w:val="24"/>
        </w:rPr>
        <w:t>Cases with BMD</w:t>
      </w:r>
      <w:r w:rsidR="00725A22">
        <w:rPr>
          <w:i/>
          <w:iCs/>
          <w:sz w:val="24"/>
          <w:szCs w:val="24"/>
        </w:rPr>
        <w:t xml:space="preserve"> and BMD controls</w:t>
      </w:r>
    </w:p>
    <w:p w14:paraId="2FF4568E" w14:textId="2D52B12C" w:rsidR="007532F9" w:rsidRDefault="0010323D" w:rsidP="00B343C8">
      <w:pPr>
        <w:spacing w:line="276" w:lineRule="auto"/>
        <w:rPr>
          <w:sz w:val="24"/>
          <w:szCs w:val="24"/>
        </w:rPr>
      </w:pPr>
      <w:r w:rsidRPr="00B343C8">
        <w:rPr>
          <w:sz w:val="24"/>
          <w:szCs w:val="24"/>
        </w:rPr>
        <w:t xml:space="preserve">BMD tests were available in </w:t>
      </w:r>
      <w:r w:rsidR="00613DD3" w:rsidRPr="00B343C8">
        <w:rPr>
          <w:sz w:val="24"/>
          <w:szCs w:val="24"/>
        </w:rPr>
        <w:t xml:space="preserve">2858 of the 6884 patients with hyperparathyroidism.  </w:t>
      </w:r>
      <w:bookmarkStart w:id="11" w:name="_Hlk85690010"/>
      <w:r w:rsidR="00613DD3" w:rsidRPr="00B343C8">
        <w:rPr>
          <w:sz w:val="24"/>
          <w:szCs w:val="24"/>
        </w:rPr>
        <w:t>Those tested with BMD</w:t>
      </w:r>
      <w:bookmarkEnd w:id="11"/>
      <w:r w:rsidR="00613DD3" w:rsidRPr="00B343C8">
        <w:rPr>
          <w:sz w:val="24"/>
          <w:szCs w:val="24"/>
        </w:rPr>
        <w:t xml:space="preserve"> were younger (64</w:t>
      </w:r>
      <w:r w:rsidR="001E0118">
        <w:rPr>
          <w:sz w:val="24"/>
          <w:szCs w:val="24"/>
        </w:rPr>
        <w:t>.0</w:t>
      </w:r>
      <w:r w:rsidR="00613DD3" w:rsidRPr="00B343C8">
        <w:rPr>
          <w:sz w:val="24"/>
          <w:szCs w:val="24"/>
        </w:rPr>
        <w:t xml:space="preserve"> vs. 65.2 years; p&lt;0.001) </w:t>
      </w:r>
      <w:bookmarkStart w:id="12" w:name="_Hlk85689918"/>
      <w:r w:rsidR="00613DD3" w:rsidRPr="00B343C8">
        <w:rPr>
          <w:sz w:val="24"/>
          <w:szCs w:val="24"/>
        </w:rPr>
        <w:t xml:space="preserve">with a </w:t>
      </w:r>
      <w:r w:rsidR="00D24ABB">
        <w:rPr>
          <w:sz w:val="24"/>
          <w:szCs w:val="24"/>
        </w:rPr>
        <w:t>less frequent</w:t>
      </w:r>
      <w:r w:rsidR="00613DD3" w:rsidRPr="00B343C8">
        <w:rPr>
          <w:sz w:val="24"/>
          <w:szCs w:val="24"/>
        </w:rPr>
        <w:t xml:space="preserve"> history of prior fracture</w:t>
      </w:r>
      <w:bookmarkEnd w:id="12"/>
      <w:r w:rsidR="00AC7ADE" w:rsidRPr="00B343C8">
        <w:rPr>
          <w:sz w:val="24"/>
          <w:szCs w:val="24"/>
        </w:rPr>
        <w:t xml:space="preserve"> and of</w:t>
      </w:r>
      <w:r w:rsidR="00613DD3" w:rsidRPr="00B343C8">
        <w:rPr>
          <w:sz w:val="24"/>
          <w:szCs w:val="24"/>
        </w:rPr>
        <w:t xml:space="preserve"> renal stones</w:t>
      </w:r>
      <w:r w:rsidR="008C224A" w:rsidRPr="00B343C8">
        <w:rPr>
          <w:sz w:val="24"/>
          <w:szCs w:val="24"/>
        </w:rPr>
        <w:t xml:space="preserve"> </w:t>
      </w:r>
      <w:r w:rsidR="000041F6">
        <w:rPr>
          <w:sz w:val="24"/>
          <w:szCs w:val="24"/>
        </w:rPr>
        <w:t>(4.7</w:t>
      </w:r>
      <w:r w:rsidR="00455E9F">
        <w:rPr>
          <w:sz w:val="24"/>
          <w:szCs w:val="24"/>
        </w:rPr>
        <w:t>%</w:t>
      </w:r>
      <w:r w:rsidR="000041F6">
        <w:rPr>
          <w:sz w:val="24"/>
          <w:szCs w:val="24"/>
        </w:rPr>
        <w:t xml:space="preserve"> vs. 7.7%) </w:t>
      </w:r>
      <w:r w:rsidR="008C224A" w:rsidRPr="00B343C8">
        <w:rPr>
          <w:sz w:val="24"/>
          <w:szCs w:val="24"/>
        </w:rPr>
        <w:t>tha</w:t>
      </w:r>
      <w:r w:rsidR="00543332" w:rsidRPr="00B343C8">
        <w:rPr>
          <w:sz w:val="24"/>
          <w:szCs w:val="24"/>
        </w:rPr>
        <w:t>n</w:t>
      </w:r>
      <w:r w:rsidR="008C224A" w:rsidRPr="00B343C8">
        <w:rPr>
          <w:sz w:val="24"/>
          <w:szCs w:val="24"/>
        </w:rPr>
        <w:t xml:space="preserve"> those in whom BMD was not </w:t>
      </w:r>
      <w:r w:rsidR="003A6E67">
        <w:rPr>
          <w:sz w:val="24"/>
          <w:szCs w:val="24"/>
        </w:rPr>
        <w:t>available</w:t>
      </w:r>
      <w:r w:rsidR="003A6E67" w:rsidRPr="00B343C8">
        <w:rPr>
          <w:sz w:val="24"/>
          <w:szCs w:val="24"/>
        </w:rPr>
        <w:t xml:space="preserve"> </w:t>
      </w:r>
      <w:r w:rsidR="00543332" w:rsidRPr="00B343C8">
        <w:rPr>
          <w:sz w:val="24"/>
          <w:szCs w:val="24"/>
        </w:rPr>
        <w:t>(p&lt;</w:t>
      </w:r>
      <w:r w:rsidR="00854DB7" w:rsidRPr="00B343C8">
        <w:rPr>
          <w:sz w:val="24"/>
          <w:szCs w:val="24"/>
        </w:rPr>
        <w:t>0.001)</w:t>
      </w:r>
      <w:r w:rsidR="00543332" w:rsidRPr="00B343C8">
        <w:rPr>
          <w:sz w:val="24"/>
          <w:szCs w:val="24"/>
        </w:rPr>
        <w:t>.  The prevalence of</w:t>
      </w:r>
      <w:r w:rsidR="00F53D6F">
        <w:rPr>
          <w:sz w:val="24"/>
          <w:szCs w:val="24"/>
        </w:rPr>
        <w:t xml:space="preserve"> </w:t>
      </w:r>
      <w:r w:rsidR="00613DD3" w:rsidRPr="00B343C8">
        <w:rPr>
          <w:sz w:val="24"/>
          <w:szCs w:val="24"/>
        </w:rPr>
        <w:t xml:space="preserve">severe </w:t>
      </w:r>
      <w:r w:rsidR="00A2686A" w:rsidRPr="00B343C8">
        <w:rPr>
          <w:sz w:val="24"/>
          <w:szCs w:val="24"/>
        </w:rPr>
        <w:t>hypercalcemia and</w:t>
      </w:r>
      <w:r w:rsidR="00613DD3" w:rsidRPr="00B343C8">
        <w:rPr>
          <w:sz w:val="24"/>
          <w:szCs w:val="24"/>
        </w:rPr>
        <w:t xml:space="preserve"> high lev</w:t>
      </w:r>
      <w:r w:rsidR="00A2686A" w:rsidRPr="00B343C8">
        <w:rPr>
          <w:sz w:val="24"/>
          <w:szCs w:val="24"/>
        </w:rPr>
        <w:t>e</w:t>
      </w:r>
      <w:r w:rsidR="00613DD3" w:rsidRPr="00B343C8">
        <w:rPr>
          <w:sz w:val="24"/>
          <w:szCs w:val="24"/>
        </w:rPr>
        <w:t xml:space="preserve">ls of </w:t>
      </w:r>
      <w:r w:rsidR="00A2686A" w:rsidRPr="00B343C8">
        <w:rPr>
          <w:sz w:val="24"/>
          <w:szCs w:val="24"/>
        </w:rPr>
        <w:t>PTH</w:t>
      </w:r>
      <w:r w:rsidR="00F36211" w:rsidRPr="00B343C8">
        <w:rPr>
          <w:sz w:val="24"/>
          <w:szCs w:val="24"/>
        </w:rPr>
        <w:t xml:space="preserve"> was lower in those with </w:t>
      </w:r>
      <w:r w:rsidR="006866EE">
        <w:rPr>
          <w:sz w:val="24"/>
          <w:szCs w:val="24"/>
        </w:rPr>
        <w:t xml:space="preserve">available </w:t>
      </w:r>
      <w:r w:rsidR="00F36211" w:rsidRPr="00B343C8">
        <w:rPr>
          <w:sz w:val="24"/>
          <w:szCs w:val="24"/>
        </w:rPr>
        <w:t>BMD</w:t>
      </w:r>
      <w:r w:rsidR="00A2686A" w:rsidRPr="00B343C8">
        <w:rPr>
          <w:sz w:val="24"/>
          <w:szCs w:val="24"/>
        </w:rPr>
        <w:t xml:space="preserve"> </w:t>
      </w:r>
      <w:r w:rsidR="00822670" w:rsidRPr="00B343C8">
        <w:rPr>
          <w:sz w:val="24"/>
          <w:szCs w:val="24"/>
        </w:rPr>
        <w:t xml:space="preserve">compared to those </w:t>
      </w:r>
      <w:r w:rsidR="006866EE">
        <w:rPr>
          <w:sz w:val="24"/>
          <w:szCs w:val="24"/>
        </w:rPr>
        <w:t xml:space="preserve">without </w:t>
      </w:r>
      <w:r w:rsidR="00822670" w:rsidRPr="00B343C8">
        <w:rPr>
          <w:sz w:val="24"/>
          <w:szCs w:val="24"/>
        </w:rPr>
        <w:t>BMD</w:t>
      </w:r>
      <w:r w:rsidR="00926E5C" w:rsidRPr="00B343C8">
        <w:rPr>
          <w:sz w:val="24"/>
          <w:szCs w:val="24"/>
        </w:rPr>
        <w:t xml:space="preserve"> (</w:t>
      </w:r>
      <w:r w:rsidR="003D2287">
        <w:rPr>
          <w:sz w:val="24"/>
          <w:szCs w:val="24"/>
        </w:rPr>
        <w:t>4.2</w:t>
      </w:r>
      <w:r w:rsidR="004A2C7F">
        <w:rPr>
          <w:sz w:val="24"/>
          <w:szCs w:val="24"/>
        </w:rPr>
        <w:t>% vs. 9</w:t>
      </w:r>
      <w:r w:rsidR="00EE1A7D">
        <w:rPr>
          <w:sz w:val="24"/>
          <w:szCs w:val="24"/>
        </w:rPr>
        <w:t>.</w:t>
      </w:r>
      <w:r w:rsidR="004A2C7F">
        <w:rPr>
          <w:sz w:val="24"/>
          <w:szCs w:val="24"/>
        </w:rPr>
        <w:t>7%</w:t>
      </w:r>
      <w:r w:rsidR="00926E5C" w:rsidRPr="00B343C8">
        <w:rPr>
          <w:sz w:val="24"/>
          <w:szCs w:val="24"/>
        </w:rPr>
        <w:t>; p&lt;0.001)</w:t>
      </w:r>
      <w:r w:rsidR="00A2686A" w:rsidRPr="00B343C8">
        <w:rPr>
          <w:sz w:val="24"/>
          <w:szCs w:val="24"/>
        </w:rPr>
        <w:t xml:space="preserve">.  </w:t>
      </w:r>
      <w:r w:rsidR="00926E5C" w:rsidRPr="00B343C8">
        <w:rPr>
          <w:sz w:val="24"/>
          <w:szCs w:val="24"/>
        </w:rPr>
        <w:t>A</w:t>
      </w:r>
      <w:r w:rsidR="008065B3" w:rsidRPr="00B343C8">
        <w:rPr>
          <w:sz w:val="24"/>
          <w:szCs w:val="24"/>
        </w:rPr>
        <w:t xml:space="preserve"> history of prior fracture</w:t>
      </w:r>
      <w:r w:rsidR="004A3748" w:rsidRPr="00B343C8">
        <w:rPr>
          <w:sz w:val="24"/>
          <w:szCs w:val="24"/>
        </w:rPr>
        <w:t xml:space="preserve"> was similar in</w:t>
      </w:r>
      <w:r w:rsidR="008D3E54" w:rsidRPr="00B343C8">
        <w:rPr>
          <w:sz w:val="24"/>
          <w:szCs w:val="24"/>
        </w:rPr>
        <w:t xml:space="preserve"> </w:t>
      </w:r>
      <w:r w:rsidR="000F760B" w:rsidRPr="00B343C8">
        <w:rPr>
          <w:sz w:val="24"/>
          <w:szCs w:val="24"/>
        </w:rPr>
        <w:t>b</w:t>
      </w:r>
      <w:r w:rsidR="004A3748" w:rsidRPr="00B343C8">
        <w:rPr>
          <w:sz w:val="24"/>
          <w:szCs w:val="24"/>
        </w:rPr>
        <w:t>oth</w:t>
      </w:r>
      <w:r w:rsidR="000F760B" w:rsidRPr="00B343C8">
        <w:rPr>
          <w:sz w:val="24"/>
          <w:szCs w:val="24"/>
        </w:rPr>
        <w:t xml:space="preserve"> gr</w:t>
      </w:r>
      <w:r w:rsidR="00123046" w:rsidRPr="00B343C8">
        <w:rPr>
          <w:sz w:val="24"/>
          <w:szCs w:val="24"/>
        </w:rPr>
        <w:t>o</w:t>
      </w:r>
      <w:r w:rsidR="000F760B" w:rsidRPr="00B343C8">
        <w:rPr>
          <w:sz w:val="24"/>
          <w:szCs w:val="24"/>
        </w:rPr>
        <w:t>ups (</w:t>
      </w:r>
      <w:r w:rsidR="00122051" w:rsidRPr="00122051">
        <w:rPr>
          <w:sz w:val="24"/>
          <w:szCs w:val="24"/>
        </w:rPr>
        <w:t>11.0% vs. 11.7%</w:t>
      </w:r>
      <w:r w:rsidR="00122051">
        <w:rPr>
          <w:sz w:val="24"/>
          <w:szCs w:val="24"/>
        </w:rPr>
        <w:t>;</w:t>
      </w:r>
      <w:r w:rsidR="00122051" w:rsidRPr="00122051">
        <w:rPr>
          <w:sz w:val="24"/>
          <w:szCs w:val="24"/>
        </w:rPr>
        <w:t xml:space="preserve"> </w:t>
      </w:r>
      <w:r w:rsidR="000F760B" w:rsidRPr="00B343C8">
        <w:rPr>
          <w:sz w:val="24"/>
          <w:szCs w:val="24"/>
        </w:rPr>
        <w:t>p&gt;0.3)</w:t>
      </w:r>
      <w:r w:rsidR="005622D4" w:rsidRPr="00B343C8">
        <w:rPr>
          <w:sz w:val="24"/>
          <w:szCs w:val="24"/>
        </w:rPr>
        <w:t xml:space="preserve">. </w:t>
      </w:r>
      <w:r w:rsidR="008065B3" w:rsidRPr="00B343C8">
        <w:rPr>
          <w:sz w:val="24"/>
          <w:szCs w:val="24"/>
        </w:rPr>
        <w:t xml:space="preserve"> </w:t>
      </w:r>
      <w:r w:rsidR="00A2686A" w:rsidRPr="00B343C8">
        <w:rPr>
          <w:sz w:val="24"/>
          <w:szCs w:val="24"/>
        </w:rPr>
        <w:t>Perhaps unsurprisingly, a history of osteoporosis was higher in the BMD cohort than those without BMD tests.</w:t>
      </w:r>
      <w:r w:rsidR="007C3D21">
        <w:rPr>
          <w:sz w:val="24"/>
          <w:szCs w:val="24"/>
        </w:rPr>
        <w:t xml:space="preserve"> </w:t>
      </w:r>
      <w:r w:rsidR="004D4C6C">
        <w:rPr>
          <w:sz w:val="24"/>
          <w:szCs w:val="24"/>
        </w:rPr>
        <w:t xml:space="preserve"> </w:t>
      </w:r>
    </w:p>
    <w:p w14:paraId="004B136F" w14:textId="77777777" w:rsidR="00E56F08" w:rsidRDefault="00E56F08" w:rsidP="00CC24AD">
      <w:pPr>
        <w:spacing w:line="276" w:lineRule="auto"/>
        <w:rPr>
          <w:sz w:val="24"/>
          <w:szCs w:val="24"/>
        </w:rPr>
      </w:pPr>
    </w:p>
    <w:p w14:paraId="797EA93B" w14:textId="74B02125" w:rsidR="00A2686A" w:rsidRPr="00CC24AD" w:rsidRDefault="00450DB2" w:rsidP="00CC24AD">
      <w:pPr>
        <w:spacing w:line="276" w:lineRule="auto"/>
        <w:rPr>
          <w:sz w:val="24"/>
          <w:szCs w:val="24"/>
        </w:rPr>
      </w:pPr>
      <w:r w:rsidRPr="00931CA1">
        <w:rPr>
          <w:rFonts w:ascii="Calibri" w:eastAsia="Calibri" w:hAnsi="Calibri" w:cs="Times New Roman"/>
          <w:b/>
          <w:bCs/>
          <w:noProof/>
          <w:sz w:val="24"/>
          <w:szCs w:val="24"/>
          <w:lang w:val="da-DK" w:eastAsia="da-DK"/>
        </w:rPr>
        <w:lastRenderedPageBreak/>
        <w:drawing>
          <wp:anchor distT="0" distB="0" distL="114300" distR="114300" simplePos="0" relativeHeight="251671040" behindDoc="0" locked="0" layoutInCell="1" allowOverlap="1" wp14:anchorId="7E0A4852" wp14:editId="359AA627">
            <wp:simplePos x="0" y="0"/>
            <wp:positionH relativeFrom="margin">
              <wp:posOffset>695008</wp:posOffset>
            </wp:positionH>
            <wp:positionV relativeFrom="paragraph">
              <wp:posOffset>1471930</wp:posOffset>
            </wp:positionV>
            <wp:extent cx="3852545" cy="2223770"/>
            <wp:effectExtent l="0" t="0" r="0" b="5080"/>
            <wp:wrapTopAndBottom/>
            <wp:docPr id="5" name="Picture 5"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bar chart&#10;&#10;Description automatically generated"/>
                    <pic:cNvPicPr>
                      <a:picLocks noChangeAspect="1" noChangeArrowheads="1"/>
                    </pic:cNvPicPr>
                  </pic:nvPicPr>
                  <pic:blipFill rotWithShape="1">
                    <a:blip r:embed="rId12">
                      <a:extLst>
                        <a:ext uri="{28A0092B-C50C-407E-A947-70E740481C1C}">
                          <a14:useLocalDpi xmlns:a14="http://schemas.microsoft.com/office/drawing/2010/main" val="0"/>
                        </a:ext>
                      </a:extLst>
                    </a:blip>
                    <a:srcRect l="13045" t="14166" r="9697" b="6528"/>
                    <a:stretch/>
                  </pic:blipFill>
                  <pic:spPr bwMode="auto">
                    <a:xfrm>
                      <a:off x="0" y="0"/>
                      <a:ext cx="3852545" cy="2223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F44D1" w:rsidRPr="00FF44D1">
        <w:rPr>
          <w:sz w:val="24"/>
          <w:szCs w:val="24"/>
        </w:rPr>
        <w:t xml:space="preserve"> </w:t>
      </w:r>
      <w:r w:rsidR="00FF44D1" w:rsidRPr="00CC24AD">
        <w:rPr>
          <w:sz w:val="24"/>
          <w:szCs w:val="24"/>
        </w:rPr>
        <w:t xml:space="preserve">When </w:t>
      </w:r>
      <w:r w:rsidR="00FF44D1">
        <w:rPr>
          <w:sz w:val="24"/>
          <w:szCs w:val="24"/>
        </w:rPr>
        <w:t xml:space="preserve">the subset of PHPT cases who had undergone BMD measurement or all PHPT cases, regardless of whether BMD measurement had been obtained, were compared with their relevant </w:t>
      </w:r>
      <w:r w:rsidR="00FF44D1" w:rsidRPr="00CC24AD">
        <w:rPr>
          <w:sz w:val="24"/>
          <w:szCs w:val="24"/>
        </w:rPr>
        <w:t>matched population controls, the BMD cohort was associated with a significantly (p&lt;0.001) lower hazard ratio for death than the whole cohort (HR 1.13; 95%CI 1.01-1.26; p=0.036 vs. 1.52; 95%CI 1.44-1.60; p&lt;0.001</w:t>
      </w:r>
      <w:r w:rsidR="00FF44D1">
        <w:rPr>
          <w:sz w:val="24"/>
          <w:szCs w:val="24"/>
        </w:rPr>
        <w:t>)</w:t>
      </w:r>
      <w:r w:rsidR="00FF44D1" w:rsidRPr="00CC24AD">
        <w:rPr>
          <w:sz w:val="24"/>
          <w:szCs w:val="24"/>
        </w:rPr>
        <w:t xml:space="preserve">.  </w:t>
      </w:r>
      <w:r w:rsidR="00BD3218" w:rsidRPr="00AE14E1">
        <w:rPr>
          <w:sz w:val="24"/>
          <w:szCs w:val="24"/>
        </w:rPr>
        <w:t>The risk</w:t>
      </w:r>
      <w:r w:rsidR="00A42434" w:rsidRPr="00AE14E1">
        <w:rPr>
          <w:sz w:val="24"/>
          <w:szCs w:val="24"/>
        </w:rPr>
        <w:t>s</w:t>
      </w:r>
      <w:r w:rsidR="00BD3218" w:rsidRPr="00AE14E1">
        <w:rPr>
          <w:sz w:val="24"/>
          <w:szCs w:val="24"/>
        </w:rPr>
        <w:t xml:space="preserve"> of hip fracture and major osteoporotic fracture were, however, comparable</w:t>
      </w:r>
      <w:r w:rsidR="00A03A5A" w:rsidRPr="00AE14E1">
        <w:rPr>
          <w:sz w:val="24"/>
          <w:szCs w:val="24"/>
        </w:rPr>
        <w:t xml:space="preserve"> (p</w:t>
      </w:r>
      <w:r w:rsidR="003B3791" w:rsidRPr="00AE14E1">
        <w:rPr>
          <w:sz w:val="24"/>
          <w:szCs w:val="24"/>
        </w:rPr>
        <w:t>&gt;0.3)</w:t>
      </w:r>
      <w:r w:rsidR="00BD3218" w:rsidRPr="00AE14E1">
        <w:rPr>
          <w:sz w:val="24"/>
          <w:szCs w:val="24"/>
        </w:rPr>
        <w:t xml:space="preserve"> (Figure </w:t>
      </w:r>
      <w:r w:rsidR="00127870" w:rsidRPr="00AE14E1">
        <w:rPr>
          <w:sz w:val="24"/>
          <w:szCs w:val="24"/>
        </w:rPr>
        <w:t>3</w:t>
      </w:r>
      <w:r w:rsidR="00BD3218" w:rsidRPr="00AE14E1">
        <w:rPr>
          <w:sz w:val="24"/>
          <w:szCs w:val="24"/>
        </w:rPr>
        <w:t>).</w:t>
      </w:r>
    </w:p>
    <w:p w14:paraId="58035402" w14:textId="3B09A2EB" w:rsidR="00931CA1" w:rsidRDefault="00931CA1" w:rsidP="00816874">
      <w:pPr>
        <w:ind w:left="709" w:right="946"/>
        <w:rPr>
          <w:b/>
          <w:bCs/>
        </w:rPr>
      </w:pPr>
    </w:p>
    <w:p w14:paraId="2C811E9F" w14:textId="50584D8D" w:rsidR="00A2686A" w:rsidRDefault="00BF224C" w:rsidP="00816874">
      <w:pPr>
        <w:ind w:left="709" w:right="946"/>
      </w:pPr>
      <w:r>
        <w:rPr>
          <w:b/>
          <w:bCs/>
        </w:rPr>
        <w:t xml:space="preserve">Fig. </w:t>
      </w:r>
      <w:r w:rsidR="00127870">
        <w:rPr>
          <w:b/>
          <w:bCs/>
        </w:rPr>
        <w:t xml:space="preserve">3 </w:t>
      </w:r>
      <w:r w:rsidR="00347BC2" w:rsidRPr="00347BC2">
        <w:t xml:space="preserve">The hazard ratio (HR) for the risk of death, major osteoporotic fracture (MOF) and hip fracture in the whole cohort of </w:t>
      </w:r>
      <w:r w:rsidR="00362C66" w:rsidRPr="00362C66">
        <w:t>PHPT</w:t>
      </w:r>
      <w:r w:rsidR="00362C66" w:rsidRPr="00362C66" w:rsidDel="00362C66">
        <w:t xml:space="preserve"> </w:t>
      </w:r>
      <w:r w:rsidR="00347BC2" w:rsidRPr="00347BC2">
        <w:t>cases and the subset with BMD.  The HR</w:t>
      </w:r>
      <w:r w:rsidR="00324F93">
        <w:t>s</w:t>
      </w:r>
      <w:r w:rsidR="00347BC2" w:rsidRPr="00347BC2">
        <w:t xml:space="preserve"> are derived from comparison with the relevant matched population controls.</w:t>
      </w:r>
    </w:p>
    <w:p w14:paraId="11D476D5" w14:textId="77777777" w:rsidR="00BF224C" w:rsidRDefault="00BF224C">
      <w:pPr>
        <w:rPr>
          <w:b/>
          <w:bCs/>
        </w:rPr>
      </w:pPr>
    </w:p>
    <w:p w14:paraId="0E9963FE" w14:textId="2489F4BA" w:rsidR="009D4274" w:rsidRDefault="00D55CEC">
      <w:pPr>
        <w:rPr>
          <w:sz w:val="24"/>
          <w:szCs w:val="24"/>
        </w:rPr>
      </w:pPr>
      <w:r w:rsidRPr="00CC24AD">
        <w:rPr>
          <w:sz w:val="24"/>
          <w:szCs w:val="24"/>
        </w:rPr>
        <w:t>The characteristics of patients with a BMD test and the</w:t>
      </w:r>
      <w:r>
        <w:rPr>
          <w:sz w:val="24"/>
          <w:szCs w:val="24"/>
        </w:rPr>
        <w:t>ir</w:t>
      </w:r>
      <w:r w:rsidRPr="00CC24AD">
        <w:rPr>
          <w:sz w:val="24"/>
          <w:szCs w:val="24"/>
        </w:rPr>
        <w:t xml:space="preserve"> BMD controls </w:t>
      </w:r>
      <w:r>
        <w:rPr>
          <w:sz w:val="24"/>
          <w:szCs w:val="24"/>
        </w:rPr>
        <w:t>are</w:t>
      </w:r>
      <w:r w:rsidRPr="00CC24AD">
        <w:rPr>
          <w:sz w:val="24"/>
          <w:szCs w:val="24"/>
        </w:rPr>
        <w:t xml:space="preserve"> shown in table </w:t>
      </w:r>
      <w:r w:rsidR="00E56F08">
        <w:rPr>
          <w:sz w:val="24"/>
          <w:szCs w:val="24"/>
        </w:rPr>
        <w:t>4</w:t>
      </w:r>
      <w:r w:rsidRPr="00CC24AD">
        <w:rPr>
          <w:sz w:val="24"/>
          <w:szCs w:val="24"/>
        </w:rPr>
        <w:t xml:space="preserve">.  </w:t>
      </w:r>
      <w:r>
        <w:rPr>
          <w:sz w:val="24"/>
          <w:szCs w:val="24"/>
        </w:rPr>
        <w:t xml:space="preserve"> Compared to the BMD controls, p</w:t>
      </w:r>
      <w:r w:rsidRPr="00CC24AD">
        <w:rPr>
          <w:sz w:val="24"/>
          <w:szCs w:val="24"/>
        </w:rPr>
        <w:t xml:space="preserve">atients with </w:t>
      </w:r>
      <w:r w:rsidR="006866EE">
        <w:rPr>
          <w:sz w:val="24"/>
          <w:szCs w:val="24"/>
        </w:rPr>
        <w:t>PHPT</w:t>
      </w:r>
      <w:r w:rsidRPr="00CC24AD">
        <w:rPr>
          <w:sz w:val="24"/>
          <w:szCs w:val="24"/>
        </w:rPr>
        <w:t xml:space="preserve"> had a </w:t>
      </w:r>
      <w:r>
        <w:rPr>
          <w:sz w:val="24"/>
          <w:szCs w:val="24"/>
        </w:rPr>
        <w:t>higher</w:t>
      </w:r>
      <w:r w:rsidRPr="00CC24AD">
        <w:rPr>
          <w:sz w:val="24"/>
          <w:szCs w:val="24"/>
        </w:rPr>
        <w:t xml:space="preserve"> body mass index </w:t>
      </w:r>
      <w:r>
        <w:rPr>
          <w:sz w:val="24"/>
          <w:szCs w:val="24"/>
        </w:rPr>
        <w:t>but lower</w:t>
      </w:r>
      <w:r w:rsidRPr="00CC24AD">
        <w:rPr>
          <w:sz w:val="24"/>
          <w:szCs w:val="24"/>
        </w:rPr>
        <w:t xml:space="preserve"> femoral neck BMD than the matched BMD controls</w:t>
      </w:r>
      <w:r>
        <w:rPr>
          <w:sz w:val="24"/>
          <w:szCs w:val="24"/>
        </w:rPr>
        <w:t xml:space="preserve"> (Table </w:t>
      </w:r>
      <w:r w:rsidR="00CA6724">
        <w:rPr>
          <w:sz w:val="24"/>
          <w:szCs w:val="24"/>
        </w:rPr>
        <w:t>4</w:t>
      </w:r>
      <w:r>
        <w:rPr>
          <w:sz w:val="24"/>
          <w:szCs w:val="24"/>
        </w:rPr>
        <w:t>)</w:t>
      </w:r>
      <w:r w:rsidRPr="00CC24AD">
        <w:rPr>
          <w:sz w:val="24"/>
          <w:szCs w:val="24"/>
        </w:rPr>
        <w:t xml:space="preserve">.  </w:t>
      </w:r>
      <w:r>
        <w:rPr>
          <w:sz w:val="24"/>
          <w:szCs w:val="24"/>
        </w:rPr>
        <w:t xml:space="preserve">PHPT cases had a slightly but statistically significantly lower prevalence of prior fracture and osteoporosis </w:t>
      </w:r>
      <w:r w:rsidR="009D4274">
        <w:rPr>
          <w:sz w:val="24"/>
          <w:szCs w:val="24"/>
        </w:rPr>
        <w:t>diagnosis but</w:t>
      </w:r>
      <w:r>
        <w:rPr>
          <w:sz w:val="24"/>
          <w:szCs w:val="24"/>
        </w:rPr>
        <w:t xml:space="preserve"> had a higher prevalence of kidney stones.</w:t>
      </w:r>
      <w:r w:rsidRPr="00CC24AD" w:rsidDel="00DB5302">
        <w:rPr>
          <w:sz w:val="24"/>
          <w:szCs w:val="24"/>
        </w:rPr>
        <w:t xml:space="preserve"> </w:t>
      </w:r>
    </w:p>
    <w:p w14:paraId="1DD84061" w14:textId="77777777" w:rsidR="00F30C38" w:rsidRDefault="001000EB">
      <w:r w:rsidRPr="001000EB">
        <w:rPr>
          <w:b/>
          <w:bCs/>
        </w:rPr>
        <w:t xml:space="preserve">Table </w:t>
      </w:r>
      <w:r w:rsidR="00CA6724">
        <w:rPr>
          <w:b/>
          <w:bCs/>
        </w:rPr>
        <w:t>4</w:t>
      </w:r>
      <w:r w:rsidRPr="001000EB">
        <w:t xml:space="preserve">.  Baseline </w:t>
      </w:r>
      <w:r>
        <w:t xml:space="preserve">and outcome </w:t>
      </w:r>
      <w:r w:rsidRPr="001000EB">
        <w:t>data of cases</w:t>
      </w:r>
      <w:r>
        <w:t xml:space="preserve"> </w:t>
      </w:r>
      <w:r w:rsidR="00490961">
        <w:t xml:space="preserve">with an available </w:t>
      </w:r>
      <w:r>
        <w:t>BMD test and their BMD controls</w:t>
      </w:r>
      <w:r w:rsidRPr="001000EB">
        <w:t xml:space="preserve">. </w:t>
      </w:r>
    </w:p>
    <w:p w14:paraId="7A0C511F" w14:textId="7D2209A0" w:rsidR="001000EB" w:rsidRPr="007113DC" w:rsidRDefault="001000EB">
      <w:r w:rsidRPr="001000EB">
        <w:t xml:space="preserve"> </w:t>
      </w:r>
    </w:p>
    <w:tbl>
      <w:tblPr>
        <w:tblStyle w:val="TableGrid1"/>
        <w:tblW w:w="0" w:type="auto"/>
        <w:tblInd w:w="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138"/>
        <w:gridCol w:w="1276"/>
        <w:gridCol w:w="1842"/>
        <w:gridCol w:w="1031"/>
      </w:tblGrid>
      <w:tr w:rsidR="007113DC" w:rsidRPr="007113DC" w14:paraId="3BF4EBAD" w14:textId="77777777" w:rsidTr="00F30C38">
        <w:tc>
          <w:tcPr>
            <w:tcW w:w="2547" w:type="dxa"/>
            <w:tcBorders>
              <w:top w:val="single" w:sz="4" w:space="0" w:color="auto"/>
              <w:bottom w:val="single" w:sz="4" w:space="0" w:color="auto"/>
            </w:tcBorders>
          </w:tcPr>
          <w:p w14:paraId="66092562" w14:textId="77777777" w:rsidR="007113DC" w:rsidRPr="007113DC" w:rsidRDefault="007113DC" w:rsidP="002C3FED">
            <w:pPr>
              <w:spacing w:line="360" w:lineRule="auto"/>
              <w:rPr>
                <w:rFonts w:cs="Calibri"/>
                <w:sz w:val="20"/>
                <w:szCs w:val="20"/>
              </w:rPr>
            </w:pPr>
          </w:p>
        </w:tc>
        <w:tc>
          <w:tcPr>
            <w:tcW w:w="1138" w:type="dxa"/>
            <w:tcBorders>
              <w:top w:val="single" w:sz="4" w:space="0" w:color="auto"/>
              <w:bottom w:val="single" w:sz="4" w:space="0" w:color="auto"/>
            </w:tcBorders>
          </w:tcPr>
          <w:p w14:paraId="07EC0D7A" w14:textId="77777777" w:rsidR="007113DC" w:rsidRPr="007113DC" w:rsidRDefault="007113DC" w:rsidP="002C3FED">
            <w:pPr>
              <w:spacing w:line="360" w:lineRule="auto"/>
              <w:rPr>
                <w:rFonts w:cs="Calibri"/>
                <w:sz w:val="20"/>
                <w:szCs w:val="20"/>
              </w:rPr>
            </w:pPr>
          </w:p>
        </w:tc>
        <w:tc>
          <w:tcPr>
            <w:tcW w:w="1276" w:type="dxa"/>
            <w:tcBorders>
              <w:top w:val="single" w:sz="4" w:space="0" w:color="auto"/>
              <w:bottom w:val="single" w:sz="4" w:space="0" w:color="auto"/>
            </w:tcBorders>
            <w:hideMark/>
          </w:tcPr>
          <w:p w14:paraId="05CDB1E1" w14:textId="77777777" w:rsidR="007113DC" w:rsidRPr="007113DC" w:rsidRDefault="007113DC" w:rsidP="002C3FED">
            <w:pPr>
              <w:spacing w:line="360" w:lineRule="auto"/>
              <w:rPr>
                <w:rFonts w:cs="Calibri"/>
                <w:sz w:val="20"/>
                <w:szCs w:val="20"/>
              </w:rPr>
            </w:pPr>
            <w:r w:rsidRPr="007113DC">
              <w:rPr>
                <w:rFonts w:cs="Calibri"/>
                <w:sz w:val="20"/>
                <w:szCs w:val="20"/>
              </w:rPr>
              <w:t>Cases</w:t>
            </w:r>
          </w:p>
        </w:tc>
        <w:tc>
          <w:tcPr>
            <w:tcW w:w="1842" w:type="dxa"/>
            <w:tcBorders>
              <w:top w:val="single" w:sz="4" w:space="0" w:color="auto"/>
              <w:bottom w:val="single" w:sz="4" w:space="0" w:color="auto"/>
            </w:tcBorders>
            <w:hideMark/>
          </w:tcPr>
          <w:p w14:paraId="3F2DACD3" w14:textId="2A14F38C" w:rsidR="007113DC" w:rsidRPr="007113DC" w:rsidRDefault="001000EB" w:rsidP="002C3FED">
            <w:pPr>
              <w:spacing w:line="360" w:lineRule="auto"/>
              <w:rPr>
                <w:rFonts w:cs="Calibri"/>
                <w:sz w:val="20"/>
                <w:szCs w:val="20"/>
              </w:rPr>
            </w:pPr>
            <w:r>
              <w:rPr>
                <w:rFonts w:cs="Calibri"/>
                <w:sz w:val="20"/>
                <w:szCs w:val="20"/>
              </w:rPr>
              <w:t>BMD</w:t>
            </w:r>
            <w:r w:rsidR="007113DC" w:rsidRPr="007113DC">
              <w:rPr>
                <w:rFonts w:cs="Calibri"/>
                <w:sz w:val="20"/>
                <w:szCs w:val="20"/>
              </w:rPr>
              <w:t xml:space="preserve"> controls</w:t>
            </w:r>
          </w:p>
        </w:tc>
        <w:tc>
          <w:tcPr>
            <w:tcW w:w="1031" w:type="dxa"/>
            <w:tcBorders>
              <w:top w:val="single" w:sz="4" w:space="0" w:color="auto"/>
              <w:bottom w:val="single" w:sz="4" w:space="0" w:color="auto"/>
            </w:tcBorders>
            <w:hideMark/>
          </w:tcPr>
          <w:p w14:paraId="564BFB4F" w14:textId="77777777" w:rsidR="007113DC" w:rsidRPr="007113DC" w:rsidRDefault="007113DC" w:rsidP="002C3FED">
            <w:pPr>
              <w:spacing w:line="360" w:lineRule="auto"/>
              <w:rPr>
                <w:rFonts w:cs="Calibri"/>
                <w:sz w:val="20"/>
                <w:szCs w:val="20"/>
              </w:rPr>
            </w:pPr>
            <w:r w:rsidRPr="007113DC">
              <w:rPr>
                <w:rFonts w:cs="Calibri"/>
                <w:sz w:val="20"/>
                <w:szCs w:val="20"/>
              </w:rPr>
              <w:t>p</w:t>
            </w:r>
          </w:p>
        </w:tc>
      </w:tr>
      <w:tr w:rsidR="007113DC" w:rsidRPr="007113DC" w14:paraId="56BD69AD" w14:textId="77777777" w:rsidTr="00F30C38">
        <w:tc>
          <w:tcPr>
            <w:tcW w:w="2547" w:type="dxa"/>
            <w:tcBorders>
              <w:top w:val="single" w:sz="4" w:space="0" w:color="auto"/>
            </w:tcBorders>
            <w:hideMark/>
          </w:tcPr>
          <w:p w14:paraId="3E022DDB" w14:textId="77777777" w:rsidR="007113DC" w:rsidRPr="007113DC" w:rsidRDefault="007113DC" w:rsidP="002C3FED">
            <w:pPr>
              <w:spacing w:line="360" w:lineRule="auto"/>
              <w:rPr>
                <w:rFonts w:cs="Calibri"/>
                <w:sz w:val="20"/>
                <w:szCs w:val="20"/>
              </w:rPr>
            </w:pPr>
            <w:r w:rsidRPr="007113DC">
              <w:rPr>
                <w:rFonts w:cs="Calibri"/>
                <w:sz w:val="20"/>
                <w:szCs w:val="20"/>
              </w:rPr>
              <w:t>n</w:t>
            </w:r>
          </w:p>
        </w:tc>
        <w:tc>
          <w:tcPr>
            <w:tcW w:w="1138" w:type="dxa"/>
            <w:tcBorders>
              <w:top w:val="single" w:sz="4" w:space="0" w:color="auto"/>
            </w:tcBorders>
          </w:tcPr>
          <w:p w14:paraId="74A5F483" w14:textId="77777777" w:rsidR="007113DC" w:rsidRPr="007113DC" w:rsidRDefault="007113DC" w:rsidP="002C3FED">
            <w:pPr>
              <w:spacing w:line="360" w:lineRule="auto"/>
              <w:rPr>
                <w:rFonts w:cs="Calibri"/>
                <w:sz w:val="20"/>
                <w:szCs w:val="20"/>
              </w:rPr>
            </w:pPr>
          </w:p>
        </w:tc>
        <w:tc>
          <w:tcPr>
            <w:tcW w:w="1276" w:type="dxa"/>
            <w:tcBorders>
              <w:top w:val="single" w:sz="4" w:space="0" w:color="auto"/>
            </w:tcBorders>
            <w:hideMark/>
          </w:tcPr>
          <w:p w14:paraId="1DA22A25" w14:textId="77777777" w:rsidR="007113DC" w:rsidRPr="007113DC" w:rsidRDefault="007113DC" w:rsidP="002C3FED">
            <w:pPr>
              <w:spacing w:line="360" w:lineRule="auto"/>
              <w:rPr>
                <w:rFonts w:cs="Calibri"/>
                <w:sz w:val="20"/>
                <w:szCs w:val="20"/>
              </w:rPr>
            </w:pPr>
            <w:r w:rsidRPr="007113DC">
              <w:rPr>
                <w:rFonts w:cs="Calibri"/>
                <w:sz w:val="20"/>
                <w:szCs w:val="20"/>
              </w:rPr>
              <w:t>2858</w:t>
            </w:r>
          </w:p>
        </w:tc>
        <w:tc>
          <w:tcPr>
            <w:tcW w:w="1842" w:type="dxa"/>
            <w:tcBorders>
              <w:top w:val="single" w:sz="4" w:space="0" w:color="auto"/>
            </w:tcBorders>
            <w:hideMark/>
          </w:tcPr>
          <w:p w14:paraId="71379E49" w14:textId="77777777" w:rsidR="007113DC" w:rsidRPr="007113DC" w:rsidRDefault="007113DC" w:rsidP="002C3FED">
            <w:pPr>
              <w:spacing w:line="360" w:lineRule="auto"/>
              <w:rPr>
                <w:rFonts w:cs="Calibri"/>
                <w:sz w:val="20"/>
                <w:szCs w:val="20"/>
              </w:rPr>
            </w:pPr>
            <w:r w:rsidRPr="007113DC">
              <w:rPr>
                <w:rFonts w:cs="Calibri"/>
                <w:sz w:val="20"/>
                <w:szCs w:val="20"/>
              </w:rPr>
              <w:t>8212</w:t>
            </w:r>
          </w:p>
        </w:tc>
        <w:tc>
          <w:tcPr>
            <w:tcW w:w="1031" w:type="dxa"/>
            <w:tcBorders>
              <w:top w:val="single" w:sz="4" w:space="0" w:color="auto"/>
            </w:tcBorders>
          </w:tcPr>
          <w:p w14:paraId="7DC05658" w14:textId="77777777" w:rsidR="007113DC" w:rsidRPr="007113DC" w:rsidRDefault="007113DC" w:rsidP="002C3FED">
            <w:pPr>
              <w:spacing w:line="360" w:lineRule="auto"/>
              <w:rPr>
                <w:rFonts w:cs="Calibri"/>
                <w:sz w:val="20"/>
                <w:szCs w:val="20"/>
              </w:rPr>
            </w:pPr>
          </w:p>
        </w:tc>
      </w:tr>
      <w:tr w:rsidR="007113DC" w:rsidRPr="007113DC" w14:paraId="4BF50054" w14:textId="77777777" w:rsidTr="007058E9">
        <w:tc>
          <w:tcPr>
            <w:tcW w:w="2547" w:type="dxa"/>
            <w:hideMark/>
          </w:tcPr>
          <w:p w14:paraId="3B8BE77E" w14:textId="77777777" w:rsidR="007113DC" w:rsidRPr="007113DC" w:rsidRDefault="007113DC" w:rsidP="002C3FED">
            <w:pPr>
              <w:spacing w:line="360" w:lineRule="auto"/>
              <w:rPr>
                <w:rFonts w:cs="Calibri"/>
                <w:sz w:val="20"/>
                <w:szCs w:val="20"/>
              </w:rPr>
            </w:pPr>
            <w:r w:rsidRPr="007113DC">
              <w:rPr>
                <w:rFonts w:cs="Calibri"/>
                <w:sz w:val="20"/>
                <w:szCs w:val="20"/>
              </w:rPr>
              <w:t>Female (%)</w:t>
            </w:r>
          </w:p>
        </w:tc>
        <w:tc>
          <w:tcPr>
            <w:tcW w:w="1138" w:type="dxa"/>
            <w:hideMark/>
          </w:tcPr>
          <w:p w14:paraId="013C97DB" w14:textId="77777777" w:rsidR="007113DC" w:rsidRPr="007113DC" w:rsidRDefault="007113DC" w:rsidP="002C3FED">
            <w:pPr>
              <w:spacing w:line="360" w:lineRule="auto"/>
              <w:rPr>
                <w:rFonts w:cs="Calibri"/>
                <w:sz w:val="20"/>
                <w:szCs w:val="20"/>
              </w:rPr>
            </w:pPr>
            <w:r w:rsidRPr="007113DC">
              <w:rPr>
                <w:rFonts w:cs="Calibri"/>
                <w:sz w:val="20"/>
                <w:szCs w:val="20"/>
              </w:rPr>
              <w:t>n (%)</w:t>
            </w:r>
          </w:p>
        </w:tc>
        <w:tc>
          <w:tcPr>
            <w:tcW w:w="1276" w:type="dxa"/>
            <w:hideMark/>
          </w:tcPr>
          <w:p w14:paraId="0C9A6030" w14:textId="7A861CC3" w:rsidR="007113DC" w:rsidRPr="007113DC" w:rsidRDefault="009B077E" w:rsidP="002C3FED">
            <w:pPr>
              <w:spacing w:line="360" w:lineRule="auto"/>
              <w:rPr>
                <w:rFonts w:cs="Calibri"/>
                <w:sz w:val="20"/>
                <w:szCs w:val="20"/>
              </w:rPr>
            </w:pPr>
            <w:r>
              <w:rPr>
                <w:rFonts w:cs="Calibri"/>
                <w:sz w:val="20"/>
                <w:szCs w:val="20"/>
              </w:rPr>
              <w:t>2276</w:t>
            </w:r>
            <w:r w:rsidR="009C1E57">
              <w:rPr>
                <w:rFonts w:cs="Calibri"/>
                <w:sz w:val="20"/>
                <w:szCs w:val="20"/>
              </w:rPr>
              <w:t xml:space="preserve"> </w:t>
            </w:r>
            <w:r w:rsidR="00A72634">
              <w:rPr>
                <w:rFonts w:cs="Calibri"/>
                <w:sz w:val="20"/>
                <w:szCs w:val="20"/>
              </w:rPr>
              <w:t>(</w:t>
            </w:r>
            <w:r w:rsidR="007113DC" w:rsidRPr="007113DC">
              <w:rPr>
                <w:rFonts w:cs="Calibri"/>
                <w:sz w:val="20"/>
                <w:szCs w:val="20"/>
              </w:rPr>
              <w:t>80</w:t>
            </w:r>
            <w:r w:rsidR="00A72634">
              <w:rPr>
                <w:rFonts w:cs="Calibri"/>
                <w:sz w:val="20"/>
                <w:szCs w:val="20"/>
              </w:rPr>
              <w:t>)</w:t>
            </w:r>
          </w:p>
        </w:tc>
        <w:tc>
          <w:tcPr>
            <w:tcW w:w="1842" w:type="dxa"/>
            <w:hideMark/>
          </w:tcPr>
          <w:p w14:paraId="1968CAB0" w14:textId="3F484E2B" w:rsidR="007113DC" w:rsidRPr="007113DC" w:rsidRDefault="00E61B02" w:rsidP="002C3FED">
            <w:pPr>
              <w:spacing w:line="360" w:lineRule="auto"/>
              <w:rPr>
                <w:rFonts w:cs="Calibri"/>
                <w:sz w:val="20"/>
                <w:szCs w:val="20"/>
              </w:rPr>
            </w:pPr>
            <w:r>
              <w:rPr>
                <w:rFonts w:cs="Calibri"/>
                <w:sz w:val="20"/>
                <w:szCs w:val="20"/>
              </w:rPr>
              <w:t>6555</w:t>
            </w:r>
            <w:r w:rsidR="009C1E57">
              <w:rPr>
                <w:rFonts w:cs="Calibri"/>
                <w:sz w:val="20"/>
                <w:szCs w:val="20"/>
              </w:rPr>
              <w:t xml:space="preserve"> (</w:t>
            </w:r>
            <w:r w:rsidR="009C1E57" w:rsidRPr="007113DC">
              <w:rPr>
                <w:rFonts w:cs="Calibri"/>
                <w:sz w:val="20"/>
                <w:szCs w:val="20"/>
              </w:rPr>
              <w:t>80</w:t>
            </w:r>
            <w:r w:rsidR="009C1E57">
              <w:rPr>
                <w:rFonts w:cs="Calibri"/>
                <w:sz w:val="20"/>
                <w:szCs w:val="20"/>
              </w:rPr>
              <w:t>)</w:t>
            </w:r>
          </w:p>
        </w:tc>
        <w:tc>
          <w:tcPr>
            <w:tcW w:w="1031" w:type="dxa"/>
            <w:hideMark/>
          </w:tcPr>
          <w:p w14:paraId="64347839" w14:textId="77777777" w:rsidR="007113DC" w:rsidRPr="007113DC" w:rsidRDefault="007113DC" w:rsidP="002C3FED">
            <w:pPr>
              <w:spacing w:line="360" w:lineRule="auto"/>
              <w:rPr>
                <w:rFonts w:cs="Calibri"/>
                <w:sz w:val="20"/>
                <w:szCs w:val="20"/>
              </w:rPr>
            </w:pPr>
            <w:r w:rsidRPr="007113DC">
              <w:rPr>
                <w:rFonts w:cs="Calibri"/>
                <w:sz w:val="20"/>
                <w:szCs w:val="20"/>
              </w:rPr>
              <w:t>&gt;0.30</w:t>
            </w:r>
          </w:p>
        </w:tc>
      </w:tr>
      <w:tr w:rsidR="007113DC" w:rsidRPr="007113DC" w14:paraId="0C123845" w14:textId="77777777" w:rsidTr="007058E9">
        <w:tc>
          <w:tcPr>
            <w:tcW w:w="2547" w:type="dxa"/>
            <w:hideMark/>
          </w:tcPr>
          <w:p w14:paraId="111A81F7" w14:textId="77777777" w:rsidR="007113DC" w:rsidRPr="007113DC" w:rsidRDefault="007113DC" w:rsidP="002C3FED">
            <w:pPr>
              <w:spacing w:line="360" w:lineRule="auto"/>
              <w:rPr>
                <w:rFonts w:cs="Calibri"/>
                <w:sz w:val="20"/>
                <w:szCs w:val="20"/>
              </w:rPr>
            </w:pPr>
            <w:r w:rsidRPr="007113DC">
              <w:rPr>
                <w:rFonts w:cs="Calibri"/>
                <w:sz w:val="20"/>
                <w:szCs w:val="20"/>
              </w:rPr>
              <w:t>Age at index date (years)</w:t>
            </w:r>
          </w:p>
        </w:tc>
        <w:tc>
          <w:tcPr>
            <w:tcW w:w="1138" w:type="dxa"/>
            <w:hideMark/>
          </w:tcPr>
          <w:p w14:paraId="40F8A657" w14:textId="77777777" w:rsidR="007113DC" w:rsidRPr="007113DC" w:rsidRDefault="007113DC" w:rsidP="002C3FED">
            <w:pPr>
              <w:spacing w:line="360" w:lineRule="auto"/>
              <w:rPr>
                <w:rFonts w:cs="Calibri"/>
                <w:sz w:val="20"/>
                <w:szCs w:val="20"/>
              </w:rPr>
            </w:pPr>
            <w:r w:rsidRPr="007113DC">
              <w:rPr>
                <w:rFonts w:cs="Calibri"/>
                <w:sz w:val="20"/>
                <w:szCs w:val="20"/>
              </w:rPr>
              <w:t>Mean (SD)</w:t>
            </w:r>
          </w:p>
        </w:tc>
        <w:tc>
          <w:tcPr>
            <w:tcW w:w="1276" w:type="dxa"/>
            <w:hideMark/>
          </w:tcPr>
          <w:p w14:paraId="1E1227A2" w14:textId="77777777" w:rsidR="007113DC" w:rsidRPr="007113DC" w:rsidRDefault="007113DC" w:rsidP="002C3FED">
            <w:pPr>
              <w:spacing w:line="360" w:lineRule="auto"/>
              <w:rPr>
                <w:rFonts w:cs="Calibri"/>
                <w:sz w:val="20"/>
                <w:szCs w:val="20"/>
              </w:rPr>
            </w:pPr>
            <w:r w:rsidRPr="007113DC">
              <w:rPr>
                <w:rFonts w:cs="Calibri"/>
                <w:sz w:val="20"/>
                <w:szCs w:val="20"/>
              </w:rPr>
              <w:t>63.9 (12.9)</w:t>
            </w:r>
          </w:p>
        </w:tc>
        <w:tc>
          <w:tcPr>
            <w:tcW w:w="1842" w:type="dxa"/>
            <w:hideMark/>
          </w:tcPr>
          <w:p w14:paraId="39872507" w14:textId="77777777" w:rsidR="007113DC" w:rsidRPr="007113DC" w:rsidRDefault="007113DC" w:rsidP="002C3FED">
            <w:pPr>
              <w:spacing w:line="360" w:lineRule="auto"/>
              <w:rPr>
                <w:rFonts w:cs="Calibri"/>
                <w:sz w:val="20"/>
                <w:szCs w:val="20"/>
              </w:rPr>
            </w:pPr>
            <w:r w:rsidRPr="007113DC">
              <w:rPr>
                <w:rFonts w:cs="Calibri"/>
                <w:sz w:val="20"/>
                <w:szCs w:val="20"/>
              </w:rPr>
              <w:t>63.8 (13.1)</w:t>
            </w:r>
          </w:p>
        </w:tc>
        <w:tc>
          <w:tcPr>
            <w:tcW w:w="1031" w:type="dxa"/>
            <w:hideMark/>
          </w:tcPr>
          <w:p w14:paraId="10A459B5" w14:textId="77777777" w:rsidR="007113DC" w:rsidRPr="007113DC" w:rsidRDefault="007113DC" w:rsidP="002C3FED">
            <w:pPr>
              <w:spacing w:line="360" w:lineRule="auto"/>
              <w:rPr>
                <w:rFonts w:cs="Calibri"/>
                <w:sz w:val="20"/>
                <w:szCs w:val="20"/>
              </w:rPr>
            </w:pPr>
            <w:r w:rsidRPr="007113DC">
              <w:rPr>
                <w:rFonts w:cs="Calibri"/>
                <w:sz w:val="20"/>
                <w:szCs w:val="20"/>
              </w:rPr>
              <w:t>&gt;0.30</w:t>
            </w:r>
          </w:p>
        </w:tc>
      </w:tr>
      <w:tr w:rsidR="00996AC4" w:rsidRPr="007113DC" w14:paraId="0367EDF5" w14:textId="77777777" w:rsidTr="007058E9">
        <w:tc>
          <w:tcPr>
            <w:tcW w:w="2547" w:type="dxa"/>
          </w:tcPr>
          <w:p w14:paraId="4856615D" w14:textId="4AE31247" w:rsidR="00996AC4" w:rsidRPr="007113DC" w:rsidRDefault="00996AC4" w:rsidP="002C3FED">
            <w:pPr>
              <w:spacing w:line="360" w:lineRule="auto"/>
              <w:rPr>
                <w:rFonts w:cs="Calibri"/>
                <w:sz w:val="20"/>
                <w:szCs w:val="20"/>
              </w:rPr>
            </w:pPr>
            <w:r>
              <w:rPr>
                <w:rFonts w:cs="Calibri"/>
                <w:sz w:val="20"/>
                <w:szCs w:val="20"/>
              </w:rPr>
              <w:t xml:space="preserve">BMI </w:t>
            </w:r>
            <w:r w:rsidR="001000EB">
              <w:rPr>
                <w:rFonts w:cs="Calibri"/>
                <w:sz w:val="20"/>
                <w:szCs w:val="20"/>
              </w:rPr>
              <w:t>(</w:t>
            </w:r>
            <w:r>
              <w:rPr>
                <w:rFonts w:cs="Calibri"/>
                <w:sz w:val="20"/>
                <w:szCs w:val="20"/>
              </w:rPr>
              <w:t>kg/m</w:t>
            </w:r>
            <w:r w:rsidRPr="00996AC4">
              <w:rPr>
                <w:rFonts w:cs="Calibri"/>
                <w:sz w:val="20"/>
                <w:szCs w:val="20"/>
                <w:vertAlign w:val="superscript"/>
              </w:rPr>
              <w:t>2</w:t>
            </w:r>
            <w:r>
              <w:rPr>
                <w:rFonts w:cs="Calibri"/>
                <w:sz w:val="20"/>
                <w:szCs w:val="20"/>
              </w:rPr>
              <w:t>)</w:t>
            </w:r>
          </w:p>
        </w:tc>
        <w:tc>
          <w:tcPr>
            <w:tcW w:w="1138" w:type="dxa"/>
          </w:tcPr>
          <w:p w14:paraId="34E1F88A" w14:textId="418D2E93" w:rsidR="00996AC4" w:rsidRPr="007113DC" w:rsidRDefault="00996AC4" w:rsidP="002C3FED">
            <w:pPr>
              <w:spacing w:line="360" w:lineRule="auto"/>
              <w:rPr>
                <w:rFonts w:cs="Calibri"/>
                <w:sz w:val="20"/>
                <w:szCs w:val="20"/>
              </w:rPr>
            </w:pPr>
            <w:r w:rsidRPr="00996AC4">
              <w:rPr>
                <w:rFonts w:cs="Calibri"/>
                <w:sz w:val="20"/>
                <w:szCs w:val="20"/>
              </w:rPr>
              <w:t>Mean (SD)</w:t>
            </w:r>
          </w:p>
        </w:tc>
        <w:tc>
          <w:tcPr>
            <w:tcW w:w="1276" w:type="dxa"/>
          </w:tcPr>
          <w:p w14:paraId="5C08921C" w14:textId="492902AD" w:rsidR="00996AC4" w:rsidRPr="007113DC" w:rsidRDefault="00660C6A" w:rsidP="002C3FED">
            <w:pPr>
              <w:spacing w:line="360" w:lineRule="auto"/>
              <w:rPr>
                <w:rFonts w:cs="Calibri"/>
                <w:sz w:val="20"/>
                <w:szCs w:val="20"/>
              </w:rPr>
            </w:pPr>
            <w:r>
              <w:rPr>
                <w:rFonts w:cs="Calibri"/>
                <w:sz w:val="20"/>
                <w:szCs w:val="20"/>
              </w:rPr>
              <w:t>27.5 (5.5) (n=2746)</w:t>
            </w:r>
          </w:p>
        </w:tc>
        <w:tc>
          <w:tcPr>
            <w:tcW w:w="1842" w:type="dxa"/>
          </w:tcPr>
          <w:p w14:paraId="6DD5228C" w14:textId="77777777" w:rsidR="00660C6A" w:rsidRDefault="00B60ED2" w:rsidP="002C3FED">
            <w:pPr>
              <w:spacing w:line="360" w:lineRule="auto"/>
              <w:rPr>
                <w:rFonts w:cs="Calibri"/>
                <w:sz w:val="20"/>
                <w:szCs w:val="20"/>
              </w:rPr>
            </w:pPr>
            <w:r>
              <w:rPr>
                <w:rFonts w:cs="Calibri"/>
                <w:sz w:val="20"/>
                <w:szCs w:val="20"/>
              </w:rPr>
              <w:t xml:space="preserve">26.0 (5.0) </w:t>
            </w:r>
          </w:p>
          <w:p w14:paraId="4FDA1D0E" w14:textId="455876DF" w:rsidR="00996AC4" w:rsidRPr="007113DC" w:rsidRDefault="00B60ED2" w:rsidP="002C3FED">
            <w:pPr>
              <w:spacing w:line="360" w:lineRule="auto"/>
              <w:rPr>
                <w:rFonts w:cs="Calibri"/>
                <w:sz w:val="20"/>
                <w:szCs w:val="20"/>
              </w:rPr>
            </w:pPr>
            <w:r>
              <w:rPr>
                <w:rFonts w:cs="Calibri"/>
                <w:sz w:val="20"/>
                <w:szCs w:val="20"/>
              </w:rPr>
              <w:t>(n=7938)</w:t>
            </w:r>
          </w:p>
        </w:tc>
        <w:tc>
          <w:tcPr>
            <w:tcW w:w="1031" w:type="dxa"/>
          </w:tcPr>
          <w:p w14:paraId="7D99769A" w14:textId="2A854E4F" w:rsidR="00996AC4" w:rsidRPr="007113DC" w:rsidRDefault="00A42272" w:rsidP="002C3FED">
            <w:pPr>
              <w:spacing w:line="360" w:lineRule="auto"/>
              <w:rPr>
                <w:rFonts w:cs="Calibri"/>
                <w:sz w:val="20"/>
                <w:szCs w:val="20"/>
              </w:rPr>
            </w:pPr>
            <w:r>
              <w:rPr>
                <w:rFonts w:cs="Calibri"/>
                <w:sz w:val="20"/>
                <w:szCs w:val="20"/>
              </w:rPr>
              <w:t>&lt;0.001</w:t>
            </w:r>
          </w:p>
        </w:tc>
      </w:tr>
      <w:tr w:rsidR="00996AC4" w:rsidRPr="007113DC" w14:paraId="5BFB62BF" w14:textId="77777777" w:rsidTr="007058E9">
        <w:tc>
          <w:tcPr>
            <w:tcW w:w="2547" w:type="dxa"/>
          </w:tcPr>
          <w:p w14:paraId="4A104C68" w14:textId="23E425DF" w:rsidR="00996AC4" w:rsidRDefault="00996AC4" w:rsidP="002C3FED">
            <w:pPr>
              <w:spacing w:line="360" w:lineRule="auto"/>
              <w:rPr>
                <w:rFonts w:cs="Calibri"/>
                <w:sz w:val="20"/>
                <w:szCs w:val="20"/>
              </w:rPr>
            </w:pPr>
            <w:r>
              <w:rPr>
                <w:rFonts w:cs="Calibri"/>
                <w:sz w:val="20"/>
                <w:szCs w:val="20"/>
              </w:rPr>
              <w:t>BMD femoral neck (g/cm</w:t>
            </w:r>
            <w:r w:rsidRPr="00996AC4">
              <w:rPr>
                <w:rFonts w:cs="Calibri"/>
                <w:sz w:val="20"/>
                <w:szCs w:val="20"/>
                <w:vertAlign w:val="superscript"/>
              </w:rPr>
              <w:t>2</w:t>
            </w:r>
            <w:r>
              <w:rPr>
                <w:rFonts w:cs="Calibri"/>
                <w:sz w:val="20"/>
                <w:szCs w:val="20"/>
              </w:rPr>
              <w:t>)</w:t>
            </w:r>
          </w:p>
        </w:tc>
        <w:tc>
          <w:tcPr>
            <w:tcW w:w="1138" w:type="dxa"/>
          </w:tcPr>
          <w:p w14:paraId="6E50028D" w14:textId="172CBA29" w:rsidR="00996AC4" w:rsidRPr="007113DC" w:rsidRDefault="00996AC4" w:rsidP="002C3FED">
            <w:pPr>
              <w:spacing w:line="360" w:lineRule="auto"/>
              <w:rPr>
                <w:rFonts w:cs="Calibri"/>
                <w:sz w:val="20"/>
                <w:szCs w:val="20"/>
              </w:rPr>
            </w:pPr>
            <w:r w:rsidRPr="00996AC4">
              <w:rPr>
                <w:rFonts w:cs="Calibri"/>
                <w:sz w:val="20"/>
                <w:szCs w:val="20"/>
              </w:rPr>
              <w:t>Mean (SD)</w:t>
            </w:r>
          </w:p>
        </w:tc>
        <w:tc>
          <w:tcPr>
            <w:tcW w:w="1276" w:type="dxa"/>
          </w:tcPr>
          <w:p w14:paraId="0E7ED416" w14:textId="75CABDD0" w:rsidR="00996AC4" w:rsidRPr="007113DC" w:rsidRDefault="00A40076" w:rsidP="002C3FED">
            <w:pPr>
              <w:spacing w:line="360" w:lineRule="auto"/>
              <w:rPr>
                <w:rFonts w:cs="Calibri"/>
                <w:sz w:val="20"/>
                <w:szCs w:val="20"/>
              </w:rPr>
            </w:pPr>
            <w:r>
              <w:rPr>
                <w:rFonts w:cs="Calibri"/>
                <w:sz w:val="20"/>
                <w:szCs w:val="20"/>
              </w:rPr>
              <w:t>0.67 (0.13)</w:t>
            </w:r>
          </w:p>
        </w:tc>
        <w:tc>
          <w:tcPr>
            <w:tcW w:w="1842" w:type="dxa"/>
          </w:tcPr>
          <w:p w14:paraId="329B0305" w14:textId="0E39EB3E" w:rsidR="00996AC4" w:rsidRPr="007113DC" w:rsidRDefault="00B60ED2" w:rsidP="002C3FED">
            <w:pPr>
              <w:spacing w:line="360" w:lineRule="auto"/>
              <w:rPr>
                <w:rFonts w:cs="Calibri"/>
                <w:sz w:val="20"/>
                <w:szCs w:val="20"/>
              </w:rPr>
            </w:pPr>
            <w:r>
              <w:rPr>
                <w:rFonts w:cs="Calibri"/>
                <w:sz w:val="20"/>
                <w:szCs w:val="20"/>
              </w:rPr>
              <w:t>0.69 (0.14)</w:t>
            </w:r>
          </w:p>
        </w:tc>
        <w:tc>
          <w:tcPr>
            <w:tcW w:w="1031" w:type="dxa"/>
          </w:tcPr>
          <w:p w14:paraId="7FCFA50A" w14:textId="157D5239" w:rsidR="00996AC4" w:rsidRPr="007113DC" w:rsidRDefault="00A42272" w:rsidP="002C3FED">
            <w:pPr>
              <w:spacing w:line="360" w:lineRule="auto"/>
              <w:rPr>
                <w:rFonts w:cs="Calibri"/>
                <w:sz w:val="20"/>
                <w:szCs w:val="20"/>
              </w:rPr>
            </w:pPr>
            <w:r>
              <w:rPr>
                <w:rFonts w:cs="Calibri"/>
                <w:sz w:val="20"/>
                <w:szCs w:val="20"/>
              </w:rPr>
              <w:t>&lt;0.001</w:t>
            </w:r>
          </w:p>
        </w:tc>
      </w:tr>
      <w:tr w:rsidR="00B60D60" w:rsidRPr="007113DC" w14:paraId="7731D13F" w14:textId="77777777" w:rsidTr="007058E9">
        <w:tc>
          <w:tcPr>
            <w:tcW w:w="2547" w:type="dxa"/>
          </w:tcPr>
          <w:p w14:paraId="32758DC2" w14:textId="262B060B" w:rsidR="00B60D60" w:rsidRDefault="00B60D60" w:rsidP="00B60D60">
            <w:pPr>
              <w:spacing w:line="360" w:lineRule="auto"/>
              <w:rPr>
                <w:rFonts w:cs="Calibri"/>
                <w:sz w:val="20"/>
                <w:szCs w:val="20"/>
              </w:rPr>
            </w:pPr>
            <w:r>
              <w:rPr>
                <w:rFonts w:cs="Calibri"/>
                <w:sz w:val="20"/>
                <w:szCs w:val="20"/>
              </w:rPr>
              <w:t xml:space="preserve">BMD femoral neck t-score </w:t>
            </w:r>
          </w:p>
        </w:tc>
        <w:tc>
          <w:tcPr>
            <w:tcW w:w="1138" w:type="dxa"/>
          </w:tcPr>
          <w:p w14:paraId="62CC0A31" w14:textId="77C91783" w:rsidR="00B60D60" w:rsidRPr="00996AC4" w:rsidRDefault="00B60D60" w:rsidP="00B60D60">
            <w:pPr>
              <w:spacing w:line="360" w:lineRule="auto"/>
              <w:rPr>
                <w:rFonts w:cs="Calibri"/>
                <w:sz w:val="20"/>
                <w:szCs w:val="20"/>
              </w:rPr>
            </w:pPr>
            <w:r w:rsidRPr="00996AC4">
              <w:rPr>
                <w:rFonts w:cs="Calibri"/>
                <w:sz w:val="20"/>
                <w:szCs w:val="20"/>
              </w:rPr>
              <w:t>Mean (SD)</w:t>
            </w:r>
          </w:p>
        </w:tc>
        <w:tc>
          <w:tcPr>
            <w:tcW w:w="1276" w:type="dxa"/>
          </w:tcPr>
          <w:p w14:paraId="48AFD4EA" w14:textId="7897FC57" w:rsidR="00B60D60" w:rsidRDefault="00B60D60" w:rsidP="00B60D60">
            <w:pPr>
              <w:spacing w:line="360" w:lineRule="auto"/>
              <w:rPr>
                <w:rFonts w:cs="Calibri"/>
                <w:sz w:val="20"/>
                <w:szCs w:val="20"/>
              </w:rPr>
            </w:pPr>
            <w:r>
              <w:rPr>
                <w:rFonts w:cs="Calibri"/>
                <w:sz w:val="20"/>
                <w:szCs w:val="20"/>
              </w:rPr>
              <w:t>-1.57 (1.12)</w:t>
            </w:r>
          </w:p>
        </w:tc>
        <w:tc>
          <w:tcPr>
            <w:tcW w:w="1842" w:type="dxa"/>
          </w:tcPr>
          <w:p w14:paraId="1C87EA0E" w14:textId="79B88A44" w:rsidR="00B60D60" w:rsidRDefault="00B60D60" w:rsidP="00B60D60">
            <w:pPr>
              <w:spacing w:line="360" w:lineRule="auto"/>
              <w:rPr>
                <w:rFonts w:cs="Calibri"/>
                <w:sz w:val="20"/>
                <w:szCs w:val="20"/>
              </w:rPr>
            </w:pPr>
            <w:r>
              <w:rPr>
                <w:rFonts w:cs="Calibri"/>
                <w:sz w:val="20"/>
                <w:szCs w:val="20"/>
              </w:rPr>
              <w:t>-1.43 (1.14)</w:t>
            </w:r>
          </w:p>
        </w:tc>
        <w:tc>
          <w:tcPr>
            <w:tcW w:w="1031" w:type="dxa"/>
          </w:tcPr>
          <w:p w14:paraId="252AD4C8" w14:textId="379D4BDD" w:rsidR="00B60D60" w:rsidRDefault="00B60D60" w:rsidP="00B60D60">
            <w:pPr>
              <w:spacing w:line="360" w:lineRule="auto"/>
              <w:rPr>
                <w:rFonts w:cs="Calibri"/>
                <w:sz w:val="20"/>
                <w:szCs w:val="20"/>
              </w:rPr>
            </w:pPr>
            <w:r>
              <w:rPr>
                <w:rFonts w:cs="Calibri"/>
                <w:sz w:val="20"/>
                <w:szCs w:val="20"/>
              </w:rPr>
              <w:t>&lt;0.001</w:t>
            </w:r>
          </w:p>
        </w:tc>
      </w:tr>
      <w:tr w:rsidR="007113DC" w:rsidRPr="007113DC" w14:paraId="684B66EE" w14:textId="77777777" w:rsidTr="007058E9">
        <w:tc>
          <w:tcPr>
            <w:tcW w:w="2547" w:type="dxa"/>
            <w:hideMark/>
          </w:tcPr>
          <w:p w14:paraId="3205556E" w14:textId="544BC3D0" w:rsidR="007113DC" w:rsidRPr="007113DC" w:rsidRDefault="007113DC" w:rsidP="002C3FED">
            <w:pPr>
              <w:spacing w:line="360" w:lineRule="auto"/>
              <w:rPr>
                <w:rFonts w:cs="Calibri"/>
                <w:sz w:val="20"/>
                <w:szCs w:val="20"/>
              </w:rPr>
            </w:pPr>
            <w:r w:rsidRPr="007113DC">
              <w:rPr>
                <w:rFonts w:cs="Calibri"/>
                <w:sz w:val="20"/>
                <w:szCs w:val="20"/>
              </w:rPr>
              <w:lastRenderedPageBreak/>
              <w:t>Prior fracture</w:t>
            </w:r>
            <w:r w:rsidR="0009332D">
              <w:rPr>
                <w:rFonts w:cs="Calibri"/>
                <w:sz w:val="20"/>
                <w:szCs w:val="20"/>
              </w:rPr>
              <w:t>*</w:t>
            </w:r>
          </w:p>
        </w:tc>
        <w:tc>
          <w:tcPr>
            <w:tcW w:w="1138" w:type="dxa"/>
            <w:hideMark/>
          </w:tcPr>
          <w:p w14:paraId="11AB36CE" w14:textId="77777777" w:rsidR="007113DC" w:rsidRPr="007113DC" w:rsidRDefault="007113DC" w:rsidP="002C3FED">
            <w:pPr>
              <w:spacing w:line="360" w:lineRule="auto"/>
              <w:rPr>
                <w:rFonts w:cs="Calibri"/>
                <w:sz w:val="20"/>
                <w:szCs w:val="20"/>
              </w:rPr>
            </w:pPr>
            <w:r w:rsidRPr="007113DC">
              <w:rPr>
                <w:rFonts w:cs="Calibri"/>
                <w:sz w:val="20"/>
                <w:szCs w:val="20"/>
              </w:rPr>
              <w:t>n (%)</w:t>
            </w:r>
          </w:p>
        </w:tc>
        <w:tc>
          <w:tcPr>
            <w:tcW w:w="1276" w:type="dxa"/>
            <w:hideMark/>
          </w:tcPr>
          <w:p w14:paraId="70622824" w14:textId="77777777" w:rsidR="007113DC" w:rsidRPr="007113DC" w:rsidRDefault="007113DC" w:rsidP="002C3FED">
            <w:pPr>
              <w:spacing w:line="360" w:lineRule="auto"/>
              <w:rPr>
                <w:rFonts w:cs="Calibri"/>
                <w:sz w:val="20"/>
                <w:szCs w:val="20"/>
              </w:rPr>
            </w:pPr>
            <w:r w:rsidRPr="007113DC">
              <w:rPr>
                <w:rFonts w:cs="Calibri"/>
                <w:sz w:val="20"/>
                <w:szCs w:val="20"/>
              </w:rPr>
              <w:t>315 (11.0)</w:t>
            </w:r>
          </w:p>
        </w:tc>
        <w:tc>
          <w:tcPr>
            <w:tcW w:w="1842" w:type="dxa"/>
            <w:hideMark/>
          </w:tcPr>
          <w:p w14:paraId="00AAECD6" w14:textId="77777777" w:rsidR="007113DC" w:rsidRPr="007113DC" w:rsidRDefault="007113DC" w:rsidP="002C3FED">
            <w:pPr>
              <w:spacing w:line="360" w:lineRule="auto"/>
              <w:rPr>
                <w:rFonts w:cs="Calibri"/>
                <w:sz w:val="20"/>
                <w:szCs w:val="20"/>
              </w:rPr>
            </w:pPr>
            <w:r w:rsidRPr="007113DC">
              <w:rPr>
                <w:rFonts w:cs="Calibri"/>
                <w:sz w:val="20"/>
                <w:szCs w:val="20"/>
              </w:rPr>
              <w:t>1064 (13.0)</w:t>
            </w:r>
          </w:p>
        </w:tc>
        <w:tc>
          <w:tcPr>
            <w:tcW w:w="1031" w:type="dxa"/>
            <w:hideMark/>
          </w:tcPr>
          <w:p w14:paraId="384C75AE" w14:textId="77777777" w:rsidR="007113DC" w:rsidRPr="007113DC" w:rsidRDefault="007113DC" w:rsidP="002C3FED">
            <w:pPr>
              <w:spacing w:line="360" w:lineRule="auto"/>
              <w:rPr>
                <w:rFonts w:cs="Calibri"/>
                <w:sz w:val="20"/>
                <w:szCs w:val="20"/>
              </w:rPr>
            </w:pPr>
            <w:r w:rsidRPr="007113DC">
              <w:rPr>
                <w:rFonts w:cs="Calibri"/>
                <w:sz w:val="20"/>
                <w:szCs w:val="20"/>
              </w:rPr>
              <w:t>0.0077</w:t>
            </w:r>
          </w:p>
        </w:tc>
      </w:tr>
      <w:tr w:rsidR="007113DC" w:rsidRPr="007113DC" w14:paraId="45C70587" w14:textId="77777777" w:rsidTr="007058E9">
        <w:tc>
          <w:tcPr>
            <w:tcW w:w="2547" w:type="dxa"/>
            <w:hideMark/>
          </w:tcPr>
          <w:p w14:paraId="2FB8B225" w14:textId="36EC1788" w:rsidR="007113DC" w:rsidRPr="007113DC" w:rsidRDefault="007113DC" w:rsidP="002C3FED">
            <w:pPr>
              <w:spacing w:line="360" w:lineRule="auto"/>
              <w:rPr>
                <w:rFonts w:cs="Calibri"/>
                <w:sz w:val="20"/>
                <w:szCs w:val="20"/>
              </w:rPr>
            </w:pPr>
            <w:r w:rsidRPr="007113DC">
              <w:rPr>
                <w:rFonts w:cs="Calibri"/>
                <w:sz w:val="20"/>
                <w:szCs w:val="20"/>
              </w:rPr>
              <w:t>Diagnosis of osteoporosis</w:t>
            </w:r>
            <w:r w:rsidR="0009332D">
              <w:rPr>
                <w:rFonts w:cs="Calibri"/>
                <w:sz w:val="20"/>
                <w:szCs w:val="20"/>
              </w:rPr>
              <w:t>*</w:t>
            </w:r>
          </w:p>
        </w:tc>
        <w:tc>
          <w:tcPr>
            <w:tcW w:w="1138" w:type="dxa"/>
            <w:hideMark/>
          </w:tcPr>
          <w:p w14:paraId="5B970EAE" w14:textId="77777777" w:rsidR="007113DC" w:rsidRPr="007113DC" w:rsidRDefault="007113DC" w:rsidP="002C3FED">
            <w:pPr>
              <w:spacing w:line="360" w:lineRule="auto"/>
              <w:rPr>
                <w:rFonts w:cs="Calibri"/>
                <w:sz w:val="20"/>
                <w:szCs w:val="20"/>
              </w:rPr>
            </w:pPr>
            <w:r w:rsidRPr="007113DC">
              <w:rPr>
                <w:rFonts w:cs="Calibri"/>
                <w:sz w:val="20"/>
                <w:szCs w:val="20"/>
              </w:rPr>
              <w:t>n (%)</w:t>
            </w:r>
          </w:p>
        </w:tc>
        <w:tc>
          <w:tcPr>
            <w:tcW w:w="1276" w:type="dxa"/>
            <w:hideMark/>
          </w:tcPr>
          <w:p w14:paraId="4D1B0FDD" w14:textId="77777777" w:rsidR="007113DC" w:rsidRPr="007113DC" w:rsidRDefault="007113DC" w:rsidP="002C3FED">
            <w:pPr>
              <w:spacing w:line="360" w:lineRule="auto"/>
              <w:rPr>
                <w:rFonts w:cs="Calibri"/>
                <w:sz w:val="20"/>
                <w:szCs w:val="20"/>
              </w:rPr>
            </w:pPr>
            <w:r w:rsidRPr="007113DC">
              <w:rPr>
                <w:rFonts w:cs="Calibri"/>
                <w:sz w:val="20"/>
                <w:szCs w:val="20"/>
              </w:rPr>
              <w:t>471 (16.5)</w:t>
            </w:r>
          </w:p>
        </w:tc>
        <w:tc>
          <w:tcPr>
            <w:tcW w:w="1842" w:type="dxa"/>
            <w:hideMark/>
          </w:tcPr>
          <w:p w14:paraId="223C6548" w14:textId="77777777" w:rsidR="007113DC" w:rsidRPr="007113DC" w:rsidRDefault="007113DC" w:rsidP="002C3FED">
            <w:pPr>
              <w:spacing w:line="360" w:lineRule="auto"/>
              <w:rPr>
                <w:rFonts w:cs="Calibri"/>
                <w:sz w:val="20"/>
                <w:szCs w:val="20"/>
              </w:rPr>
            </w:pPr>
            <w:r w:rsidRPr="007113DC">
              <w:rPr>
                <w:rFonts w:cs="Calibri"/>
                <w:sz w:val="20"/>
                <w:szCs w:val="20"/>
              </w:rPr>
              <w:t>1584 (19.3)</w:t>
            </w:r>
          </w:p>
        </w:tc>
        <w:tc>
          <w:tcPr>
            <w:tcW w:w="1031" w:type="dxa"/>
            <w:hideMark/>
          </w:tcPr>
          <w:p w14:paraId="02064663" w14:textId="77777777" w:rsidR="007113DC" w:rsidRPr="007113DC" w:rsidRDefault="007113DC" w:rsidP="002C3FED">
            <w:pPr>
              <w:spacing w:line="360" w:lineRule="auto"/>
              <w:rPr>
                <w:rFonts w:cs="Calibri"/>
                <w:sz w:val="20"/>
                <w:szCs w:val="20"/>
              </w:rPr>
            </w:pPr>
            <w:r w:rsidRPr="007113DC">
              <w:rPr>
                <w:rFonts w:cs="Calibri"/>
                <w:sz w:val="20"/>
                <w:szCs w:val="20"/>
              </w:rPr>
              <w:t>&lt;0.001</w:t>
            </w:r>
          </w:p>
        </w:tc>
      </w:tr>
      <w:tr w:rsidR="007113DC" w:rsidRPr="007113DC" w14:paraId="1521659B" w14:textId="77777777" w:rsidTr="007058E9">
        <w:tc>
          <w:tcPr>
            <w:tcW w:w="2547" w:type="dxa"/>
            <w:hideMark/>
          </w:tcPr>
          <w:p w14:paraId="7F2BE368" w14:textId="2ADE4E1B" w:rsidR="007113DC" w:rsidRPr="007113DC" w:rsidRDefault="007113DC" w:rsidP="002C3FED">
            <w:pPr>
              <w:spacing w:line="360" w:lineRule="auto"/>
              <w:rPr>
                <w:rFonts w:cs="Calibri"/>
                <w:sz w:val="20"/>
                <w:szCs w:val="20"/>
              </w:rPr>
            </w:pPr>
            <w:r w:rsidRPr="007113DC">
              <w:rPr>
                <w:rFonts w:cs="Calibri"/>
                <w:sz w:val="20"/>
                <w:szCs w:val="20"/>
              </w:rPr>
              <w:t>Kidney stones</w:t>
            </w:r>
            <w:r w:rsidR="00996AC4">
              <w:rPr>
                <w:rFonts w:cs="Calibri"/>
                <w:sz w:val="20"/>
                <w:szCs w:val="20"/>
              </w:rPr>
              <w:t>*</w:t>
            </w:r>
          </w:p>
        </w:tc>
        <w:tc>
          <w:tcPr>
            <w:tcW w:w="1138" w:type="dxa"/>
            <w:hideMark/>
          </w:tcPr>
          <w:p w14:paraId="51C01C0B" w14:textId="77777777" w:rsidR="007113DC" w:rsidRPr="007113DC" w:rsidRDefault="007113DC" w:rsidP="002C3FED">
            <w:pPr>
              <w:spacing w:line="360" w:lineRule="auto"/>
              <w:rPr>
                <w:rFonts w:cs="Calibri"/>
                <w:sz w:val="20"/>
                <w:szCs w:val="20"/>
              </w:rPr>
            </w:pPr>
            <w:r w:rsidRPr="007113DC">
              <w:rPr>
                <w:rFonts w:cs="Calibri"/>
                <w:sz w:val="20"/>
                <w:szCs w:val="20"/>
              </w:rPr>
              <w:t>n (%)</w:t>
            </w:r>
          </w:p>
        </w:tc>
        <w:tc>
          <w:tcPr>
            <w:tcW w:w="1276" w:type="dxa"/>
            <w:hideMark/>
          </w:tcPr>
          <w:p w14:paraId="5200B739" w14:textId="77777777" w:rsidR="007113DC" w:rsidRPr="007113DC" w:rsidRDefault="007113DC" w:rsidP="002C3FED">
            <w:pPr>
              <w:spacing w:line="360" w:lineRule="auto"/>
              <w:rPr>
                <w:rFonts w:cs="Calibri"/>
                <w:sz w:val="20"/>
                <w:szCs w:val="20"/>
              </w:rPr>
            </w:pPr>
            <w:r w:rsidRPr="007113DC">
              <w:rPr>
                <w:rFonts w:cs="Calibri"/>
                <w:sz w:val="20"/>
                <w:szCs w:val="20"/>
              </w:rPr>
              <w:t>135 (4.7)</w:t>
            </w:r>
          </w:p>
        </w:tc>
        <w:tc>
          <w:tcPr>
            <w:tcW w:w="1842" w:type="dxa"/>
            <w:hideMark/>
          </w:tcPr>
          <w:p w14:paraId="0081EEC3" w14:textId="77777777" w:rsidR="007113DC" w:rsidRPr="007113DC" w:rsidRDefault="007113DC" w:rsidP="002C3FED">
            <w:pPr>
              <w:spacing w:line="360" w:lineRule="auto"/>
              <w:rPr>
                <w:rFonts w:cs="Calibri"/>
                <w:sz w:val="20"/>
                <w:szCs w:val="20"/>
              </w:rPr>
            </w:pPr>
            <w:r w:rsidRPr="007113DC">
              <w:rPr>
                <w:rFonts w:cs="Calibri"/>
                <w:sz w:val="20"/>
                <w:szCs w:val="20"/>
              </w:rPr>
              <w:t>56 (0.7)</w:t>
            </w:r>
          </w:p>
        </w:tc>
        <w:tc>
          <w:tcPr>
            <w:tcW w:w="1031" w:type="dxa"/>
            <w:hideMark/>
          </w:tcPr>
          <w:p w14:paraId="13B15548" w14:textId="77777777" w:rsidR="007113DC" w:rsidRPr="007113DC" w:rsidRDefault="007113DC" w:rsidP="002C3FED">
            <w:pPr>
              <w:spacing w:line="360" w:lineRule="auto"/>
              <w:rPr>
                <w:rFonts w:cs="Calibri"/>
                <w:sz w:val="20"/>
                <w:szCs w:val="20"/>
              </w:rPr>
            </w:pPr>
            <w:r w:rsidRPr="007113DC">
              <w:rPr>
                <w:rFonts w:cs="Calibri"/>
                <w:sz w:val="20"/>
                <w:szCs w:val="20"/>
              </w:rPr>
              <w:t>&lt;0.001</w:t>
            </w:r>
          </w:p>
        </w:tc>
      </w:tr>
      <w:tr w:rsidR="008B71C1" w:rsidRPr="007113DC" w14:paraId="557E444F" w14:textId="77777777" w:rsidTr="007058E9">
        <w:tc>
          <w:tcPr>
            <w:tcW w:w="2547" w:type="dxa"/>
          </w:tcPr>
          <w:p w14:paraId="184341A6" w14:textId="12D78F27" w:rsidR="008B71C1" w:rsidRPr="007113DC" w:rsidRDefault="008B71C1" w:rsidP="008B71C1">
            <w:pPr>
              <w:spacing w:line="360" w:lineRule="auto"/>
              <w:rPr>
                <w:rFonts w:cs="Calibri"/>
                <w:sz w:val="20"/>
                <w:szCs w:val="20"/>
              </w:rPr>
            </w:pPr>
            <w:r>
              <w:rPr>
                <w:rFonts w:cs="Calibri"/>
                <w:sz w:val="20"/>
                <w:szCs w:val="20"/>
              </w:rPr>
              <w:t>Incidence hip fracture**</w:t>
            </w:r>
          </w:p>
        </w:tc>
        <w:tc>
          <w:tcPr>
            <w:tcW w:w="1138" w:type="dxa"/>
          </w:tcPr>
          <w:p w14:paraId="236782DF" w14:textId="77777777" w:rsidR="008B71C1" w:rsidRDefault="008B71C1" w:rsidP="008B71C1">
            <w:pPr>
              <w:spacing w:line="360" w:lineRule="auto"/>
              <w:rPr>
                <w:rFonts w:cs="Calibri"/>
                <w:sz w:val="20"/>
                <w:szCs w:val="20"/>
              </w:rPr>
            </w:pPr>
            <w:r>
              <w:rPr>
                <w:rFonts w:cs="Calibri"/>
                <w:sz w:val="20"/>
                <w:szCs w:val="20"/>
              </w:rPr>
              <w:t xml:space="preserve">/1000 </w:t>
            </w:r>
            <w:proofErr w:type="spellStart"/>
            <w:r>
              <w:rPr>
                <w:rFonts w:cs="Calibri"/>
                <w:sz w:val="20"/>
                <w:szCs w:val="20"/>
              </w:rPr>
              <w:t>p.y</w:t>
            </w:r>
            <w:proofErr w:type="spellEnd"/>
          </w:p>
          <w:p w14:paraId="673A28E9" w14:textId="55145C9C" w:rsidR="008B71C1" w:rsidRPr="007113DC" w:rsidRDefault="008B71C1" w:rsidP="008B71C1">
            <w:pPr>
              <w:spacing w:line="360" w:lineRule="auto"/>
              <w:rPr>
                <w:rFonts w:cs="Calibri"/>
                <w:sz w:val="20"/>
                <w:szCs w:val="20"/>
              </w:rPr>
            </w:pPr>
            <w:r>
              <w:rPr>
                <w:rFonts w:cs="Calibri"/>
                <w:sz w:val="20"/>
                <w:szCs w:val="20"/>
              </w:rPr>
              <w:t>(95% CI)</w:t>
            </w:r>
          </w:p>
        </w:tc>
        <w:tc>
          <w:tcPr>
            <w:tcW w:w="1276" w:type="dxa"/>
          </w:tcPr>
          <w:p w14:paraId="4F861001" w14:textId="77777777" w:rsidR="008B71C1" w:rsidRDefault="008B71C1" w:rsidP="008B71C1">
            <w:pPr>
              <w:spacing w:line="360" w:lineRule="auto"/>
              <w:rPr>
                <w:rFonts w:cs="Calibri"/>
                <w:sz w:val="20"/>
                <w:szCs w:val="20"/>
              </w:rPr>
            </w:pPr>
            <w:r>
              <w:rPr>
                <w:rFonts w:cs="Calibri"/>
                <w:sz w:val="20"/>
                <w:szCs w:val="20"/>
              </w:rPr>
              <w:t xml:space="preserve">8.8 </w:t>
            </w:r>
          </w:p>
          <w:p w14:paraId="3D4067E8" w14:textId="6520D931" w:rsidR="008B71C1" w:rsidRPr="007113DC" w:rsidRDefault="008B71C1" w:rsidP="008B71C1">
            <w:pPr>
              <w:spacing w:line="360" w:lineRule="auto"/>
              <w:rPr>
                <w:rFonts w:cs="Calibri"/>
                <w:sz w:val="20"/>
                <w:szCs w:val="20"/>
              </w:rPr>
            </w:pPr>
            <w:r>
              <w:rPr>
                <w:rFonts w:cs="Calibri"/>
                <w:sz w:val="20"/>
                <w:szCs w:val="20"/>
              </w:rPr>
              <w:t>(6.9-11.1)</w:t>
            </w:r>
          </w:p>
        </w:tc>
        <w:tc>
          <w:tcPr>
            <w:tcW w:w="1842" w:type="dxa"/>
          </w:tcPr>
          <w:p w14:paraId="091B84F4" w14:textId="77777777" w:rsidR="008B71C1" w:rsidRDefault="008B71C1" w:rsidP="008B71C1">
            <w:pPr>
              <w:spacing w:line="360" w:lineRule="auto"/>
              <w:rPr>
                <w:rFonts w:cs="Calibri"/>
                <w:sz w:val="20"/>
                <w:szCs w:val="20"/>
              </w:rPr>
            </w:pPr>
            <w:r>
              <w:rPr>
                <w:rFonts w:cs="Calibri"/>
                <w:sz w:val="20"/>
                <w:szCs w:val="20"/>
              </w:rPr>
              <w:t xml:space="preserve">6.4 </w:t>
            </w:r>
          </w:p>
          <w:p w14:paraId="6ADF1362" w14:textId="7FC8296E" w:rsidR="008B71C1" w:rsidRPr="007113DC" w:rsidRDefault="008B71C1" w:rsidP="008B71C1">
            <w:pPr>
              <w:spacing w:line="360" w:lineRule="auto"/>
              <w:rPr>
                <w:rFonts w:cs="Calibri"/>
                <w:sz w:val="20"/>
                <w:szCs w:val="20"/>
              </w:rPr>
            </w:pPr>
            <w:r>
              <w:rPr>
                <w:rFonts w:cs="Calibri"/>
                <w:sz w:val="20"/>
                <w:szCs w:val="20"/>
              </w:rPr>
              <w:t>(5.7-7.0)</w:t>
            </w:r>
          </w:p>
        </w:tc>
        <w:tc>
          <w:tcPr>
            <w:tcW w:w="1031" w:type="dxa"/>
          </w:tcPr>
          <w:p w14:paraId="0AF78A38" w14:textId="4661D7C6" w:rsidR="008B71C1" w:rsidRPr="007113DC" w:rsidRDefault="008B71C1" w:rsidP="008B71C1">
            <w:pPr>
              <w:spacing w:line="360" w:lineRule="auto"/>
              <w:rPr>
                <w:rFonts w:cs="Calibri"/>
                <w:sz w:val="20"/>
                <w:szCs w:val="20"/>
              </w:rPr>
            </w:pPr>
            <w:r>
              <w:rPr>
                <w:rFonts w:cs="Calibri"/>
                <w:sz w:val="20"/>
                <w:szCs w:val="20"/>
              </w:rPr>
              <w:t>&gt;0.30**</w:t>
            </w:r>
          </w:p>
        </w:tc>
      </w:tr>
      <w:tr w:rsidR="00227F43" w:rsidRPr="007113DC" w14:paraId="7E355B17" w14:textId="77777777" w:rsidTr="007058E9">
        <w:tc>
          <w:tcPr>
            <w:tcW w:w="2547" w:type="dxa"/>
          </w:tcPr>
          <w:p w14:paraId="491F057C" w14:textId="729B8B87" w:rsidR="00227F43" w:rsidRPr="007113DC" w:rsidRDefault="00227F43" w:rsidP="002C3FED">
            <w:pPr>
              <w:spacing w:line="360" w:lineRule="auto"/>
              <w:rPr>
                <w:rFonts w:cs="Calibri"/>
                <w:sz w:val="20"/>
                <w:szCs w:val="20"/>
              </w:rPr>
            </w:pPr>
            <w:r w:rsidRPr="00D72832">
              <w:t xml:space="preserve">Incidence </w:t>
            </w:r>
            <w:r>
              <w:t>other MOF</w:t>
            </w:r>
            <w:r w:rsidR="00600765">
              <w:rPr>
                <w:rFonts w:cs="Calibri"/>
                <w:sz w:val="20"/>
                <w:szCs w:val="20"/>
              </w:rPr>
              <w:t>**</w:t>
            </w:r>
          </w:p>
        </w:tc>
        <w:tc>
          <w:tcPr>
            <w:tcW w:w="1138" w:type="dxa"/>
          </w:tcPr>
          <w:p w14:paraId="17B0F4FB" w14:textId="77777777" w:rsidR="000F253A" w:rsidRPr="000F253A" w:rsidRDefault="000F253A" w:rsidP="002C3FED">
            <w:pPr>
              <w:spacing w:line="360" w:lineRule="auto"/>
              <w:rPr>
                <w:rFonts w:cs="Calibri"/>
                <w:sz w:val="20"/>
                <w:szCs w:val="20"/>
              </w:rPr>
            </w:pPr>
            <w:r w:rsidRPr="000F253A">
              <w:rPr>
                <w:rFonts w:cs="Calibri"/>
                <w:sz w:val="20"/>
                <w:szCs w:val="20"/>
              </w:rPr>
              <w:t xml:space="preserve">/1000 </w:t>
            </w:r>
            <w:proofErr w:type="spellStart"/>
            <w:r w:rsidRPr="000F253A">
              <w:rPr>
                <w:rFonts w:cs="Calibri"/>
                <w:sz w:val="20"/>
                <w:szCs w:val="20"/>
              </w:rPr>
              <w:t>p.y</w:t>
            </w:r>
            <w:proofErr w:type="spellEnd"/>
          </w:p>
          <w:p w14:paraId="46225025" w14:textId="7AB3049E" w:rsidR="00227F43" w:rsidRPr="007113DC" w:rsidRDefault="000F253A" w:rsidP="002C3FED">
            <w:pPr>
              <w:spacing w:line="360" w:lineRule="auto"/>
              <w:rPr>
                <w:rFonts w:cs="Calibri"/>
                <w:sz w:val="20"/>
                <w:szCs w:val="20"/>
              </w:rPr>
            </w:pPr>
            <w:r w:rsidRPr="000F253A">
              <w:rPr>
                <w:rFonts w:cs="Calibri"/>
                <w:sz w:val="20"/>
                <w:szCs w:val="20"/>
              </w:rPr>
              <w:t>(95% CI)</w:t>
            </w:r>
          </w:p>
        </w:tc>
        <w:tc>
          <w:tcPr>
            <w:tcW w:w="1276" w:type="dxa"/>
          </w:tcPr>
          <w:p w14:paraId="5AF7245E" w14:textId="77777777" w:rsidR="00FA4AF7" w:rsidRDefault="001736DC" w:rsidP="002C3FED">
            <w:pPr>
              <w:spacing w:line="360" w:lineRule="auto"/>
              <w:rPr>
                <w:rFonts w:cs="Calibri"/>
                <w:sz w:val="20"/>
                <w:szCs w:val="20"/>
              </w:rPr>
            </w:pPr>
            <w:r>
              <w:rPr>
                <w:rFonts w:cs="Calibri"/>
                <w:sz w:val="20"/>
                <w:szCs w:val="20"/>
              </w:rPr>
              <w:t xml:space="preserve">14.9 </w:t>
            </w:r>
          </w:p>
          <w:p w14:paraId="2D697D13" w14:textId="2EF72946" w:rsidR="00227F43" w:rsidRPr="007113DC" w:rsidRDefault="001736DC" w:rsidP="002C3FED">
            <w:pPr>
              <w:spacing w:line="360" w:lineRule="auto"/>
              <w:rPr>
                <w:rFonts w:cs="Calibri"/>
                <w:sz w:val="20"/>
                <w:szCs w:val="20"/>
              </w:rPr>
            </w:pPr>
            <w:r>
              <w:rPr>
                <w:rFonts w:cs="Calibri"/>
                <w:sz w:val="20"/>
                <w:szCs w:val="20"/>
              </w:rPr>
              <w:t>(12.3-17.8)</w:t>
            </w:r>
          </w:p>
        </w:tc>
        <w:tc>
          <w:tcPr>
            <w:tcW w:w="1842" w:type="dxa"/>
          </w:tcPr>
          <w:p w14:paraId="302EDCEE" w14:textId="77777777" w:rsidR="00FA4AF7" w:rsidRDefault="001736DC" w:rsidP="002C3FED">
            <w:pPr>
              <w:spacing w:line="360" w:lineRule="auto"/>
              <w:rPr>
                <w:rFonts w:cs="Calibri"/>
                <w:sz w:val="20"/>
                <w:szCs w:val="20"/>
              </w:rPr>
            </w:pPr>
            <w:r>
              <w:rPr>
                <w:rFonts w:cs="Calibri"/>
                <w:sz w:val="20"/>
                <w:szCs w:val="20"/>
              </w:rPr>
              <w:t xml:space="preserve">14.3 </w:t>
            </w:r>
          </w:p>
          <w:p w14:paraId="42F00F61" w14:textId="563AFDFE" w:rsidR="00227F43" w:rsidRPr="007113DC" w:rsidRDefault="001736DC" w:rsidP="002C3FED">
            <w:pPr>
              <w:spacing w:line="360" w:lineRule="auto"/>
              <w:rPr>
                <w:rFonts w:cs="Calibri"/>
                <w:sz w:val="20"/>
                <w:szCs w:val="20"/>
              </w:rPr>
            </w:pPr>
            <w:r>
              <w:rPr>
                <w:rFonts w:cs="Calibri"/>
                <w:sz w:val="20"/>
                <w:szCs w:val="20"/>
              </w:rPr>
              <w:t>(13.3-15.3)</w:t>
            </w:r>
          </w:p>
        </w:tc>
        <w:tc>
          <w:tcPr>
            <w:tcW w:w="1031" w:type="dxa"/>
          </w:tcPr>
          <w:p w14:paraId="0E8ACF0A" w14:textId="329F93CF" w:rsidR="00227F43" w:rsidRPr="007113DC" w:rsidRDefault="001736DC" w:rsidP="002C3FED">
            <w:pPr>
              <w:spacing w:line="360" w:lineRule="auto"/>
              <w:rPr>
                <w:rFonts w:cs="Calibri"/>
                <w:sz w:val="20"/>
                <w:szCs w:val="20"/>
              </w:rPr>
            </w:pPr>
            <w:r>
              <w:rPr>
                <w:rFonts w:cs="Calibri"/>
                <w:sz w:val="20"/>
                <w:szCs w:val="20"/>
              </w:rPr>
              <w:t>&gt;0.30</w:t>
            </w:r>
            <w:r w:rsidR="00B116E5">
              <w:rPr>
                <w:rFonts w:cs="Calibri"/>
                <w:sz w:val="20"/>
                <w:szCs w:val="20"/>
              </w:rPr>
              <w:t>*</w:t>
            </w:r>
            <w:r w:rsidR="00053920">
              <w:rPr>
                <w:rFonts w:cs="Calibri"/>
                <w:sz w:val="20"/>
                <w:szCs w:val="20"/>
              </w:rPr>
              <w:t>*</w:t>
            </w:r>
          </w:p>
        </w:tc>
      </w:tr>
      <w:tr w:rsidR="00227F43" w:rsidRPr="007113DC" w14:paraId="5E09FC6D" w14:textId="77777777" w:rsidTr="007058E9">
        <w:tc>
          <w:tcPr>
            <w:tcW w:w="2547" w:type="dxa"/>
          </w:tcPr>
          <w:p w14:paraId="772A606A" w14:textId="7BBFE726" w:rsidR="00227F43" w:rsidRPr="007113DC" w:rsidRDefault="00227F43" w:rsidP="002C3FED">
            <w:pPr>
              <w:spacing w:line="360" w:lineRule="auto"/>
              <w:rPr>
                <w:rFonts w:cs="Calibri"/>
                <w:sz w:val="20"/>
                <w:szCs w:val="20"/>
              </w:rPr>
            </w:pPr>
            <w:r w:rsidRPr="00D72832">
              <w:t xml:space="preserve">Incidence </w:t>
            </w:r>
            <w:r>
              <w:t>MOF</w:t>
            </w:r>
            <w:r w:rsidR="00600765" w:rsidRPr="00600765">
              <w:t>**</w:t>
            </w:r>
          </w:p>
        </w:tc>
        <w:tc>
          <w:tcPr>
            <w:tcW w:w="1138" w:type="dxa"/>
          </w:tcPr>
          <w:p w14:paraId="504FF248" w14:textId="77777777" w:rsidR="000F253A" w:rsidRPr="000F253A" w:rsidRDefault="000F253A" w:rsidP="002C3FED">
            <w:pPr>
              <w:spacing w:line="360" w:lineRule="auto"/>
              <w:rPr>
                <w:rFonts w:cs="Calibri"/>
                <w:sz w:val="20"/>
                <w:szCs w:val="20"/>
              </w:rPr>
            </w:pPr>
            <w:r w:rsidRPr="000F253A">
              <w:rPr>
                <w:rFonts w:cs="Calibri"/>
                <w:sz w:val="20"/>
                <w:szCs w:val="20"/>
              </w:rPr>
              <w:t xml:space="preserve">/1000 </w:t>
            </w:r>
            <w:proofErr w:type="spellStart"/>
            <w:r w:rsidRPr="000F253A">
              <w:rPr>
                <w:rFonts w:cs="Calibri"/>
                <w:sz w:val="20"/>
                <w:szCs w:val="20"/>
              </w:rPr>
              <w:t>p.y</w:t>
            </w:r>
            <w:proofErr w:type="spellEnd"/>
          </w:p>
          <w:p w14:paraId="2FC1B2E7" w14:textId="260E974A" w:rsidR="00227F43" w:rsidRPr="007113DC" w:rsidRDefault="000F253A" w:rsidP="002C3FED">
            <w:pPr>
              <w:spacing w:line="360" w:lineRule="auto"/>
              <w:rPr>
                <w:rFonts w:cs="Calibri"/>
                <w:sz w:val="20"/>
                <w:szCs w:val="20"/>
              </w:rPr>
            </w:pPr>
            <w:r w:rsidRPr="000F253A">
              <w:rPr>
                <w:rFonts w:cs="Calibri"/>
                <w:sz w:val="20"/>
                <w:szCs w:val="20"/>
              </w:rPr>
              <w:t>(95% CI)</w:t>
            </w:r>
          </w:p>
        </w:tc>
        <w:tc>
          <w:tcPr>
            <w:tcW w:w="1276" w:type="dxa"/>
          </w:tcPr>
          <w:p w14:paraId="3E1FE752" w14:textId="77777777" w:rsidR="00FA4AF7" w:rsidRDefault="001736DC" w:rsidP="002C3FED">
            <w:pPr>
              <w:spacing w:line="360" w:lineRule="auto"/>
              <w:rPr>
                <w:rFonts w:cs="Calibri"/>
                <w:sz w:val="20"/>
                <w:szCs w:val="20"/>
              </w:rPr>
            </w:pPr>
            <w:r>
              <w:rPr>
                <w:rFonts w:cs="Calibri"/>
                <w:sz w:val="20"/>
                <w:szCs w:val="20"/>
              </w:rPr>
              <w:t xml:space="preserve">22.2 </w:t>
            </w:r>
          </w:p>
          <w:p w14:paraId="34F90D14" w14:textId="10DE6045" w:rsidR="00227F43" w:rsidRPr="007113DC" w:rsidRDefault="001736DC" w:rsidP="002C3FED">
            <w:pPr>
              <w:spacing w:line="360" w:lineRule="auto"/>
              <w:rPr>
                <w:rFonts w:cs="Calibri"/>
                <w:sz w:val="20"/>
                <w:szCs w:val="20"/>
              </w:rPr>
            </w:pPr>
            <w:r>
              <w:rPr>
                <w:rFonts w:cs="Calibri"/>
                <w:sz w:val="20"/>
                <w:szCs w:val="20"/>
              </w:rPr>
              <w:t>(19.0-25.7)</w:t>
            </w:r>
          </w:p>
        </w:tc>
        <w:tc>
          <w:tcPr>
            <w:tcW w:w="1842" w:type="dxa"/>
          </w:tcPr>
          <w:p w14:paraId="5BED89B6" w14:textId="77777777" w:rsidR="00FA4AF7" w:rsidRDefault="001736DC" w:rsidP="002C3FED">
            <w:pPr>
              <w:spacing w:line="360" w:lineRule="auto"/>
              <w:rPr>
                <w:rFonts w:cs="Calibri"/>
                <w:sz w:val="20"/>
                <w:szCs w:val="20"/>
              </w:rPr>
            </w:pPr>
            <w:r>
              <w:rPr>
                <w:rFonts w:cs="Calibri"/>
                <w:sz w:val="20"/>
                <w:szCs w:val="20"/>
              </w:rPr>
              <w:t xml:space="preserve">19.9 </w:t>
            </w:r>
          </w:p>
          <w:p w14:paraId="517784D7" w14:textId="68FA0DBA" w:rsidR="00227F43" w:rsidRPr="007113DC" w:rsidRDefault="001736DC" w:rsidP="002C3FED">
            <w:pPr>
              <w:spacing w:line="360" w:lineRule="auto"/>
              <w:rPr>
                <w:rFonts w:cs="Calibri"/>
                <w:sz w:val="20"/>
                <w:szCs w:val="20"/>
              </w:rPr>
            </w:pPr>
            <w:r>
              <w:rPr>
                <w:rFonts w:cs="Calibri"/>
                <w:sz w:val="20"/>
                <w:szCs w:val="20"/>
              </w:rPr>
              <w:t>(18.7-21.1)</w:t>
            </w:r>
          </w:p>
        </w:tc>
        <w:tc>
          <w:tcPr>
            <w:tcW w:w="1031" w:type="dxa"/>
          </w:tcPr>
          <w:p w14:paraId="71301E5E" w14:textId="2EF62D9D" w:rsidR="00227F43" w:rsidRPr="007113DC" w:rsidRDefault="001736DC" w:rsidP="002C3FED">
            <w:pPr>
              <w:spacing w:line="360" w:lineRule="auto"/>
              <w:rPr>
                <w:rFonts w:cs="Calibri"/>
                <w:sz w:val="20"/>
                <w:szCs w:val="20"/>
              </w:rPr>
            </w:pPr>
            <w:r>
              <w:rPr>
                <w:rFonts w:cs="Calibri"/>
                <w:sz w:val="20"/>
                <w:szCs w:val="20"/>
              </w:rPr>
              <w:t>&gt;0.30</w:t>
            </w:r>
            <w:r w:rsidR="00B116E5">
              <w:rPr>
                <w:rFonts w:cs="Calibri"/>
                <w:sz w:val="20"/>
                <w:szCs w:val="20"/>
              </w:rPr>
              <w:t>*</w:t>
            </w:r>
            <w:r w:rsidR="00053920">
              <w:rPr>
                <w:rFonts w:cs="Calibri"/>
                <w:sz w:val="20"/>
                <w:szCs w:val="20"/>
              </w:rPr>
              <w:t>*</w:t>
            </w:r>
          </w:p>
        </w:tc>
      </w:tr>
      <w:tr w:rsidR="007113DC" w:rsidRPr="007113DC" w14:paraId="7957AA77" w14:textId="77777777" w:rsidTr="007058E9">
        <w:tc>
          <w:tcPr>
            <w:tcW w:w="2547" w:type="dxa"/>
          </w:tcPr>
          <w:p w14:paraId="3D439E00" w14:textId="22C8CB1E" w:rsidR="007113DC" w:rsidRPr="007113DC" w:rsidRDefault="00227F43" w:rsidP="002C3FED">
            <w:pPr>
              <w:spacing w:line="360" w:lineRule="auto"/>
              <w:rPr>
                <w:rFonts w:cs="Calibri"/>
                <w:sz w:val="20"/>
                <w:szCs w:val="20"/>
              </w:rPr>
            </w:pPr>
            <w:r>
              <w:rPr>
                <w:rFonts w:cs="Calibri"/>
                <w:sz w:val="20"/>
                <w:szCs w:val="20"/>
              </w:rPr>
              <w:t>GR Hip fracture</w:t>
            </w:r>
            <w:r w:rsidR="00E1128E">
              <w:rPr>
                <w:rFonts w:cs="Calibri"/>
                <w:sz w:val="20"/>
                <w:szCs w:val="20"/>
              </w:rPr>
              <w:t xml:space="preserve"> for </w:t>
            </w:r>
            <w:r w:rsidR="002A4290">
              <w:rPr>
                <w:rFonts w:cs="Calibri"/>
                <w:sz w:val="20"/>
                <w:szCs w:val="20"/>
              </w:rPr>
              <w:t xml:space="preserve">femoral </w:t>
            </w:r>
            <w:r w:rsidR="00E1128E">
              <w:rPr>
                <w:rFonts w:cs="Calibri"/>
                <w:sz w:val="20"/>
                <w:szCs w:val="20"/>
              </w:rPr>
              <w:t>neck BMD</w:t>
            </w:r>
            <w:r w:rsidR="00600765">
              <w:rPr>
                <w:rFonts w:cs="Calibri"/>
                <w:sz w:val="20"/>
                <w:szCs w:val="20"/>
              </w:rPr>
              <w:t>**</w:t>
            </w:r>
            <w:r w:rsidR="0028701D">
              <w:rPr>
                <w:rFonts w:cs="Calibri"/>
                <w:sz w:val="20"/>
                <w:szCs w:val="20"/>
              </w:rPr>
              <w:t xml:space="preserve"> </w:t>
            </w:r>
          </w:p>
        </w:tc>
        <w:tc>
          <w:tcPr>
            <w:tcW w:w="1138" w:type="dxa"/>
          </w:tcPr>
          <w:p w14:paraId="071825B8" w14:textId="77777777" w:rsidR="00445458" w:rsidRDefault="00227F43" w:rsidP="002C3FED">
            <w:pPr>
              <w:spacing w:line="360" w:lineRule="auto"/>
              <w:rPr>
                <w:rFonts w:cs="Calibri"/>
                <w:sz w:val="20"/>
                <w:szCs w:val="20"/>
              </w:rPr>
            </w:pPr>
            <w:r>
              <w:rPr>
                <w:rFonts w:cs="Calibri"/>
                <w:sz w:val="20"/>
                <w:szCs w:val="20"/>
              </w:rPr>
              <w:t xml:space="preserve">Mean </w:t>
            </w:r>
          </w:p>
          <w:p w14:paraId="6611280C" w14:textId="0C2874DE" w:rsidR="007113DC" w:rsidRPr="007113DC" w:rsidRDefault="00227F43" w:rsidP="002C3FED">
            <w:pPr>
              <w:spacing w:line="360" w:lineRule="auto"/>
              <w:rPr>
                <w:rFonts w:cs="Calibri"/>
                <w:sz w:val="20"/>
                <w:szCs w:val="20"/>
              </w:rPr>
            </w:pPr>
            <w:r>
              <w:rPr>
                <w:rFonts w:cs="Calibri"/>
                <w:sz w:val="20"/>
                <w:szCs w:val="20"/>
              </w:rPr>
              <w:t>(95% CI)</w:t>
            </w:r>
          </w:p>
        </w:tc>
        <w:tc>
          <w:tcPr>
            <w:tcW w:w="1276" w:type="dxa"/>
          </w:tcPr>
          <w:p w14:paraId="703B7656" w14:textId="77777777" w:rsidR="0082423A" w:rsidRDefault="00F83B5B" w:rsidP="002C3FED">
            <w:pPr>
              <w:spacing w:line="360" w:lineRule="auto"/>
              <w:rPr>
                <w:rFonts w:cs="Calibri"/>
                <w:sz w:val="20"/>
                <w:szCs w:val="20"/>
              </w:rPr>
            </w:pPr>
            <w:r>
              <w:rPr>
                <w:rFonts w:cs="Calibri"/>
                <w:sz w:val="20"/>
                <w:szCs w:val="20"/>
              </w:rPr>
              <w:t xml:space="preserve">1.77 </w:t>
            </w:r>
          </w:p>
          <w:p w14:paraId="3B3A45CD" w14:textId="6B53283C" w:rsidR="00B116E5" w:rsidRPr="007113DC" w:rsidRDefault="00F83B5B" w:rsidP="002C3FED">
            <w:pPr>
              <w:spacing w:line="360" w:lineRule="auto"/>
              <w:rPr>
                <w:rFonts w:cs="Calibri"/>
                <w:sz w:val="20"/>
                <w:szCs w:val="20"/>
              </w:rPr>
            </w:pPr>
            <w:r>
              <w:rPr>
                <w:rFonts w:cs="Calibri"/>
                <w:sz w:val="20"/>
                <w:szCs w:val="20"/>
              </w:rPr>
              <w:t xml:space="preserve">(1.39-2.25) </w:t>
            </w:r>
          </w:p>
        </w:tc>
        <w:tc>
          <w:tcPr>
            <w:tcW w:w="1842" w:type="dxa"/>
          </w:tcPr>
          <w:p w14:paraId="59080F8A" w14:textId="77777777" w:rsidR="0082423A" w:rsidRDefault="002267D6" w:rsidP="002C3FED">
            <w:pPr>
              <w:spacing w:line="360" w:lineRule="auto"/>
              <w:rPr>
                <w:rFonts w:cs="Calibri"/>
                <w:sz w:val="20"/>
                <w:szCs w:val="20"/>
              </w:rPr>
            </w:pPr>
            <w:r>
              <w:rPr>
                <w:rFonts w:cs="Calibri"/>
                <w:sz w:val="20"/>
                <w:szCs w:val="20"/>
              </w:rPr>
              <w:t xml:space="preserve">1.86 </w:t>
            </w:r>
          </w:p>
          <w:p w14:paraId="4594A376" w14:textId="3437BADA" w:rsidR="007113DC" w:rsidRPr="007113DC" w:rsidRDefault="002267D6" w:rsidP="002C3FED">
            <w:pPr>
              <w:spacing w:line="360" w:lineRule="auto"/>
              <w:rPr>
                <w:rFonts w:cs="Calibri"/>
                <w:sz w:val="20"/>
                <w:szCs w:val="20"/>
              </w:rPr>
            </w:pPr>
            <w:r>
              <w:rPr>
                <w:rFonts w:cs="Calibri"/>
                <w:sz w:val="20"/>
                <w:szCs w:val="20"/>
              </w:rPr>
              <w:t>(1.65-2.09)</w:t>
            </w:r>
          </w:p>
        </w:tc>
        <w:tc>
          <w:tcPr>
            <w:tcW w:w="1031" w:type="dxa"/>
          </w:tcPr>
          <w:p w14:paraId="4B329EC5" w14:textId="77777777" w:rsidR="007113DC" w:rsidRDefault="002267D6" w:rsidP="002C3FED">
            <w:pPr>
              <w:spacing w:line="360" w:lineRule="auto"/>
              <w:rPr>
                <w:rFonts w:cs="Calibri"/>
                <w:sz w:val="20"/>
                <w:szCs w:val="20"/>
              </w:rPr>
            </w:pPr>
            <w:r>
              <w:rPr>
                <w:rFonts w:cs="Calibri"/>
                <w:sz w:val="20"/>
                <w:szCs w:val="20"/>
              </w:rPr>
              <w:t>&gt;0.30</w:t>
            </w:r>
          </w:p>
          <w:p w14:paraId="724FC579" w14:textId="45B7923D" w:rsidR="005C798C" w:rsidRPr="007113DC" w:rsidRDefault="005C798C" w:rsidP="002C3FED">
            <w:pPr>
              <w:spacing w:line="360" w:lineRule="auto"/>
              <w:rPr>
                <w:rFonts w:cs="Calibri"/>
                <w:sz w:val="20"/>
                <w:szCs w:val="20"/>
              </w:rPr>
            </w:pPr>
          </w:p>
        </w:tc>
      </w:tr>
      <w:tr w:rsidR="0028701D" w:rsidRPr="007113DC" w14:paraId="17128B9C" w14:textId="77777777" w:rsidTr="00F30C38">
        <w:tc>
          <w:tcPr>
            <w:tcW w:w="2547" w:type="dxa"/>
            <w:tcBorders>
              <w:bottom w:val="nil"/>
            </w:tcBorders>
          </w:tcPr>
          <w:p w14:paraId="2B98718D" w14:textId="67C4FA03" w:rsidR="0028701D" w:rsidRPr="007113DC" w:rsidRDefault="0028701D" w:rsidP="002C3FED">
            <w:pPr>
              <w:spacing w:line="360" w:lineRule="auto"/>
              <w:rPr>
                <w:rFonts w:cs="Calibri"/>
                <w:sz w:val="20"/>
                <w:szCs w:val="20"/>
              </w:rPr>
            </w:pPr>
            <w:r>
              <w:rPr>
                <w:rFonts w:cs="Calibri"/>
                <w:sz w:val="20"/>
                <w:szCs w:val="20"/>
              </w:rPr>
              <w:t xml:space="preserve">GR Other MOF for </w:t>
            </w:r>
            <w:r w:rsidR="002A4290" w:rsidRPr="002A4290">
              <w:rPr>
                <w:rFonts w:cs="Calibri"/>
                <w:sz w:val="20"/>
                <w:szCs w:val="20"/>
              </w:rPr>
              <w:t xml:space="preserve">femoral </w:t>
            </w:r>
            <w:r>
              <w:rPr>
                <w:rFonts w:cs="Calibri"/>
                <w:sz w:val="20"/>
                <w:szCs w:val="20"/>
              </w:rPr>
              <w:t>neck BMD)</w:t>
            </w:r>
            <w:r w:rsidR="00600765">
              <w:t xml:space="preserve"> </w:t>
            </w:r>
            <w:r w:rsidR="00600765" w:rsidRPr="00600765">
              <w:rPr>
                <w:rFonts w:cs="Calibri"/>
                <w:sz w:val="20"/>
                <w:szCs w:val="20"/>
              </w:rPr>
              <w:t>**</w:t>
            </w:r>
          </w:p>
        </w:tc>
        <w:tc>
          <w:tcPr>
            <w:tcW w:w="1138" w:type="dxa"/>
            <w:tcBorders>
              <w:bottom w:val="nil"/>
            </w:tcBorders>
          </w:tcPr>
          <w:p w14:paraId="739B3400" w14:textId="77777777" w:rsidR="00445458" w:rsidRDefault="0028701D" w:rsidP="002C3FED">
            <w:pPr>
              <w:spacing w:line="360" w:lineRule="auto"/>
            </w:pPr>
            <w:r w:rsidRPr="002115E7">
              <w:t>Mean</w:t>
            </w:r>
          </w:p>
          <w:p w14:paraId="1248F422" w14:textId="446BB8BE" w:rsidR="0028701D" w:rsidRPr="007113DC" w:rsidRDefault="0028701D" w:rsidP="002C3FED">
            <w:pPr>
              <w:spacing w:line="360" w:lineRule="auto"/>
              <w:rPr>
                <w:rFonts w:cs="Calibri"/>
                <w:sz w:val="20"/>
                <w:szCs w:val="20"/>
              </w:rPr>
            </w:pPr>
            <w:r w:rsidRPr="002115E7">
              <w:t xml:space="preserve"> (95% CI)</w:t>
            </w:r>
          </w:p>
        </w:tc>
        <w:tc>
          <w:tcPr>
            <w:tcW w:w="1276" w:type="dxa"/>
            <w:tcBorders>
              <w:bottom w:val="nil"/>
            </w:tcBorders>
          </w:tcPr>
          <w:p w14:paraId="7F65EADF" w14:textId="77777777" w:rsidR="0082423A" w:rsidRDefault="008E4721" w:rsidP="002C3FED">
            <w:pPr>
              <w:spacing w:line="360" w:lineRule="auto"/>
              <w:rPr>
                <w:rFonts w:cs="Calibri"/>
                <w:sz w:val="20"/>
                <w:szCs w:val="20"/>
              </w:rPr>
            </w:pPr>
            <w:r>
              <w:rPr>
                <w:rFonts w:cs="Calibri"/>
                <w:sz w:val="20"/>
                <w:szCs w:val="20"/>
              </w:rPr>
              <w:t xml:space="preserve">1.44 </w:t>
            </w:r>
          </w:p>
          <w:p w14:paraId="13CA81E3" w14:textId="254912E0" w:rsidR="00B116E5" w:rsidRPr="007113DC" w:rsidRDefault="008E4721" w:rsidP="002C3FED">
            <w:pPr>
              <w:spacing w:line="360" w:lineRule="auto"/>
              <w:rPr>
                <w:rFonts w:cs="Calibri"/>
                <w:sz w:val="20"/>
                <w:szCs w:val="20"/>
              </w:rPr>
            </w:pPr>
            <w:r>
              <w:rPr>
                <w:rFonts w:cs="Calibri"/>
                <w:sz w:val="20"/>
                <w:szCs w:val="20"/>
              </w:rPr>
              <w:t xml:space="preserve">(1.18-1.76) </w:t>
            </w:r>
          </w:p>
        </w:tc>
        <w:tc>
          <w:tcPr>
            <w:tcW w:w="1842" w:type="dxa"/>
            <w:tcBorders>
              <w:bottom w:val="nil"/>
            </w:tcBorders>
          </w:tcPr>
          <w:p w14:paraId="37FF9B26" w14:textId="77777777" w:rsidR="0082423A" w:rsidRDefault="002267D6" w:rsidP="002C3FED">
            <w:pPr>
              <w:spacing w:line="360" w:lineRule="auto"/>
              <w:rPr>
                <w:rFonts w:cs="Calibri"/>
                <w:sz w:val="20"/>
                <w:szCs w:val="20"/>
              </w:rPr>
            </w:pPr>
            <w:r>
              <w:rPr>
                <w:rFonts w:cs="Calibri"/>
                <w:sz w:val="20"/>
                <w:szCs w:val="20"/>
              </w:rPr>
              <w:t xml:space="preserve">1.45 </w:t>
            </w:r>
          </w:p>
          <w:p w14:paraId="5AE5AA85" w14:textId="03F06281" w:rsidR="0028701D" w:rsidRPr="007113DC" w:rsidRDefault="002267D6" w:rsidP="002C3FED">
            <w:pPr>
              <w:spacing w:line="360" w:lineRule="auto"/>
              <w:rPr>
                <w:rFonts w:cs="Calibri"/>
                <w:sz w:val="20"/>
                <w:szCs w:val="20"/>
              </w:rPr>
            </w:pPr>
            <w:r>
              <w:rPr>
                <w:rFonts w:cs="Calibri"/>
                <w:sz w:val="20"/>
                <w:szCs w:val="20"/>
              </w:rPr>
              <w:t>(1.34-1.57)</w:t>
            </w:r>
          </w:p>
        </w:tc>
        <w:tc>
          <w:tcPr>
            <w:tcW w:w="1031" w:type="dxa"/>
            <w:tcBorders>
              <w:bottom w:val="nil"/>
            </w:tcBorders>
          </w:tcPr>
          <w:p w14:paraId="4F2DB864" w14:textId="6FE6A865" w:rsidR="0028701D" w:rsidRDefault="002267D6" w:rsidP="002C3FED">
            <w:pPr>
              <w:spacing w:line="360" w:lineRule="auto"/>
              <w:rPr>
                <w:rFonts w:cs="Calibri"/>
                <w:sz w:val="20"/>
                <w:szCs w:val="20"/>
              </w:rPr>
            </w:pPr>
            <w:r>
              <w:rPr>
                <w:rFonts w:cs="Calibri"/>
                <w:sz w:val="20"/>
                <w:szCs w:val="20"/>
              </w:rPr>
              <w:t>&gt;0.30</w:t>
            </w:r>
          </w:p>
          <w:p w14:paraId="37CB8DFA" w14:textId="2E721663" w:rsidR="005C798C" w:rsidRPr="007113DC" w:rsidRDefault="005C798C" w:rsidP="002C3FED">
            <w:pPr>
              <w:spacing w:line="360" w:lineRule="auto"/>
              <w:rPr>
                <w:rFonts w:cs="Calibri"/>
                <w:sz w:val="20"/>
                <w:szCs w:val="20"/>
              </w:rPr>
            </w:pPr>
          </w:p>
        </w:tc>
      </w:tr>
      <w:tr w:rsidR="0028701D" w:rsidRPr="007113DC" w14:paraId="452807D6" w14:textId="77777777" w:rsidTr="00F30C38">
        <w:tc>
          <w:tcPr>
            <w:tcW w:w="2547" w:type="dxa"/>
            <w:tcBorders>
              <w:top w:val="nil"/>
              <w:bottom w:val="single" w:sz="4" w:space="0" w:color="auto"/>
            </w:tcBorders>
          </w:tcPr>
          <w:p w14:paraId="3CE80AF4" w14:textId="33FD2DEC" w:rsidR="0028701D" w:rsidRPr="007113DC" w:rsidRDefault="0028701D" w:rsidP="002C3FED">
            <w:pPr>
              <w:spacing w:line="360" w:lineRule="auto"/>
              <w:rPr>
                <w:rFonts w:cs="Calibri"/>
                <w:sz w:val="20"/>
                <w:szCs w:val="20"/>
              </w:rPr>
            </w:pPr>
            <w:r>
              <w:rPr>
                <w:rFonts w:cs="Calibri"/>
                <w:sz w:val="20"/>
                <w:szCs w:val="20"/>
              </w:rPr>
              <w:t xml:space="preserve">GR MOF for </w:t>
            </w:r>
            <w:r w:rsidR="002A4290" w:rsidRPr="002A4290">
              <w:rPr>
                <w:rFonts w:cs="Calibri"/>
                <w:sz w:val="20"/>
                <w:szCs w:val="20"/>
              </w:rPr>
              <w:t xml:space="preserve">femoral </w:t>
            </w:r>
            <w:r>
              <w:rPr>
                <w:rFonts w:cs="Calibri"/>
                <w:sz w:val="20"/>
                <w:szCs w:val="20"/>
              </w:rPr>
              <w:t>neck BMD</w:t>
            </w:r>
            <w:r w:rsidR="00600765" w:rsidRPr="00600765">
              <w:rPr>
                <w:rFonts w:cs="Calibri"/>
                <w:sz w:val="20"/>
                <w:szCs w:val="20"/>
              </w:rPr>
              <w:t>**</w:t>
            </w:r>
            <w:r>
              <w:rPr>
                <w:rFonts w:cs="Calibri"/>
                <w:sz w:val="20"/>
                <w:szCs w:val="20"/>
              </w:rPr>
              <w:t xml:space="preserve"> </w:t>
            </w:r>
          </w:p>
        </w:tc>
        <w:tc>
          <w:tcPr>
            <w:tcW w:w="1138" w:type="dxa"/>
            <w:tcBorders>
              <w:top w:val="nil"/>
              <w:bottom w:val="single" w:sz="4" w:space="0" w:color="auto"/>
            </w:tcBorders>
          </w:tcPr>
          <w:p w14:paraId="02BFD40F" w14:textId="77777777" w:rsidR="00445458" w:rsidRDefault="0028701D" w:rsidP="002C3FED">
            <w:pPr>
              <w:spacing w:line="360" w:lineRule="auto"/>
            </w:pPr>
            <w:r w:rsidRPr="002115E7">
              <w:t xml:space="preserve">Mean </w:t>
            </w:r>
          </w:p>
          <w:p w14:paraId="2CF9037D" w14:textId="2426E22E" w:rsidR="0028701D" w:rsidRPr="007113DC" w:rsidRDefault="0028701D" w:rsidP="002C3FED">
            <w:pPr>
              <w:spacing w:line="360" w:lineRule="auto"/>
              <w:rPr>
                <w:rFonts w:cs="Calibri"/>
                <w:sz w:val="20"/>
                <w:szCs w:val="20"/>
              </w:rPr>
            </w:pPr>
            <w:r w:rsidRPr="002115E7">
              <w:t>(95% CI)</w:t>
            </w:r>
          </w:p>
        </w:tc>
        <w:tc>
          <w:tcPr>
            <w:tcW w:w="1276" w:type="dxa"/>
            <w:tcBorders>
              <w:top w:val="nil"/>
              <w:bottom w:val="single" w:sz="4" w:space="0" w:color="auto"/>
            </w:tcBorders>
          </w:tcPr>
          <w:p w14:paraId="7FE688AD" w14:textId="77777777" w:rsidR="0082423A" w:rsidRDefault="00F83B5B" w:rsidP="002C3FED">
            <w:pPr>
              <w:spacing w:line="360" w:lineRule="auto"/>
              <w:rPr>
                <w:rFonts w:cs="Calibri"/>
                <w:sz w:val="20"/>
                <w:szCs w:val="20"/>
              </w:rPr>
            </w:pPr>
            <w:r>
              <w:rPr>
                <w:rFonts w:cs="Calibri"/>
                <w:sz w:val="20"/>
                <w:szCs w:val="20"/>
              </w:rPr>
              <w:t xml:space="preserve">1.57 </w:t>
            </w:r>
          </w:p>
          <w:p w14:paraId="6807ABDF" w14:textId="63EFC1B1" w:rsidR="00CA0E86" w:rsidRPr="007113DC" w:rsidRDefault="00F83B5B" w:rsidP="002C3FED">
            <w:pPr>
              <w:spacing w:line="360" w:lineRule="auto"/>
              <w:rPr>
                <w:rFonts w:cs="Calibri"/>
                <w:sz w:val="20"/>
                <w:szCs w:val="20"/>
              </w:rPr>
            </w:pPr>
            <w:r>
              <w:rPr>
                <w:rFonts w:cs="Calibri"/>
                <w:sz w:val="20"/>
                <w:szCs w:val="20"/>
              </w:rPr>
              <w:t xml:space="preserve">(1.34-1.84) </w:t>
            </w:r>
          </w:p>
        </w:tc>
        <w:tc>
          <w:tcPr>
            <w:tcW w:w="1842" w:type="dxa"/>
            <w:tcBorders>
              <w:top w:val="nil"/>
              <w:bottom w:val="single" w:sz="4" w:space="0" w:color="auto"/>
            </w:tcBorders>
          </w:tcPr>
          <w:p w14:paraId="5468154D" w14:textId="77777777" w:rsidR="0082423A" w:rsidRDefault="00C515D5" w:rsidP="002C3FED">
            <w:pPr>
              <w:spacing w:line="360" w:lineRule="auto"/>
              <w:rPr>
                <w:rFonts w:cs="Calibri"/>
                <w:sz w:val="20"/>
                <w:szCs w:val="20"/>
              </w:rPr>
            </w:pPr>
            <w:r>
              <w:rPr>
                <w:rFonts w:cs="Calibri"/>
                <w:sz w:val="20"/>
                <w:szCs w:val="20"/>
              </w:rPr>
              <w:t xml:space="preserve">1.55 </w:t>
            </w:r>
          </w:p>
          <w:p w14:paraId="09598592" w14:textId="4A164BD5" w:rsidR="0028701D" w:rsidRPr="007113DC" w:rsidRDefault="00C515D5" w:rsidP="002C3FED">
            <w:pPr>
              <w:spacing w:line="360" w:lineRule="auto"/>
              <w:rPr>
                <w:rFonts w:cs="Calibri"/>
                <w:sz w:val="20"/>
                <w:szCs w:val="20"/>
              </w:rPr>
            </w:pPr>
            <w:r>
              <w:rPr>
                <w:rFonts w:cs="Calibri"/>
                <w:sz w:val="20"/>
                <w:szCs w:val="20"/>
              </w:rPr>
              <w:t>(1.45-1.66)</w:t>
            </w:r>
          </w:p>
        </w:tc>
        <w:tc>
          <w:tcPr>
            <w:tcW w:w="1031" w:type="dxa"/>
            <w:tcBorders>
              <w:top w:val="nil"/>
              <w:bottom w:val="single" w:sz="4" w:space="0" w:color="auto"/>
            </w:tcBorders>
          </w:tcPr>
          <w:p w14:paraId="5FB17B12" w14:textId="77777777" w:rsidR="0028701D" w:rsidRDefault="00CB7921" w:rsidP="002C3FED">
            <w:pPr>
              <w:spacing w:line="360" w:lineRule="auto"/>
              <w:rPr>
                <w:rFonts w:cs="Calibri"/>
                <w:sz w:val="20"/>
                <w:szCs w:val="20"/>
              </w:rPr>
            </w:pPr>
            <w:r>
              <w:rPr>
                <w:rFonts w:cs="Calibri"/>
                <w:sz w:val="20"/>
                <w:szCs w:val="20"/>
              </w:rPr>
              <w:t>&gt;0.30</w:t>
            </w:r>
          </w:p>
          <w:p w14:paraId="4A65F9AC" w14:textId="2A143FE2" w:rsidR="007E5B53" w:rsidRPr="007113DC" w:rsidRDefault="007E5B53" w:rsidP="002C3FED">
            <w:pPr>
              <w:spacing w:line="360" w:lineRule="auto"/>
              <w:rPr>
                <w:rFonts w:cs="Calibri"/>
                <w:sz w:val="20"/>
                <w:szCs w:val="20"/>
              </w:rPr>
            </w:pPr>
          </w:p>
        </w:tc>
      </w:tr>
      <w:tr w:rsidR="0028701D" w:rsidRPr="007113DC" w14:paraId="62D90BE0" w14:textId="77777777" w:rsidTr="00F30C38">
        <w:tc>
          <w:tcPr>
            <w:tcW w:w="7834" w:type="dxa"/>
            <w:gridSpan w:val="5"/>
            <w:tcBorders>
              <w:top w:val="single" w:sz="4" w:space="0" w:color="auto"/>
            </w:tcBorders>
          </w:tcPr>
          <w:p w14:paraId="54552E2B" w14:textId="6FE072A5" w:rsidR="0028701D" w:rsidRPr="007113DC" w:rsidRDefault="0028701D" w:rsidP="002C3FED">
            <w:pPr>
              <w:spacing w:line="360" w:lineRule="auto"/>
              <w:rPr>
                <w:rFonts w:cs="Calibri"/>
                <w:sz w:val="20"/>
                <w:szCs w:val="20"/>
              </w:rPr>
            </w:pPr>
            <w:r>
              <w:rPr>
                <w:rFonts w:cs="Calibri"/>
                <w:sz w:val="20"/>
                <w:szCs w:val="20"/>
              </w:rPr>
              <w:t xml:space="preserve">* </w:t>
            </w:r>
            <w:r w:rsidRPr="00996AC4">
              <w:rPr>
                <w:rFonts w:cs="Calibri"/>
                <w:sz w:val="20"/>
                <w:szCs w:val="20"/>
              </w:rPr>
              <w:t>N=2855 and n=8203</w:t>
            </w:r>
          </w:p>
        </w:tc>
      </w:tr>
      <w:tr w:rsidR="00A94085" w:rsidRPr="007113DC" w14:paraId="2AE784A9" w14:textId="77777777" w:rsidTr="007058E9">
        <w:tc>
          <w:tcPr>
            <w:tcW w:w="7834" w:type="dxa"/>
            <w:gridSpan w:val="5"/>
          </w:tcPr>
          <w:p w14:paraId="0FA43DE7" w14:textId="70D6E23A" w:rsidR="00A94085" w:rsidRDefault="00600765" w:rsidP="002C3FED">
            <w:pPr>
              <w:spacing w:line="360" w:lineRule="auto"/>
              <w:rPr>
                <w:rFonts w:cs="Calibri"/>
                <w:sz w:val="20"/>
                <w:szCs w:val="20"/>
              </w:rPr>
            </w:pPr>
            <w:r w:rsidRPr="00600765">
              <w:rPr>
                <w:rFonts w:cs="Calibri"/>
                <w:sz w:val="20"/>
                <w:szCs w:val="20"/>
              </w:rPr>
              <w:t>**</w:t>
            </w:r>
            <w:r>
              <w:t xml:space="preserve"> </w:t>
            </w:r>
            <w:r w:rsidRPr="00600765">
              <w:rPr>
                <w:rFonts w:cs="Calibri"/>
                <w:sz w:val="20"/>
                <w:szCs w:val="20"/>
              </w:rPr>
              <w:t>Adjusted for sex, current age, current time since index and calendar year</w:t>
            </w:r>
          </w:p>
        </w:tc>
      </w:tr>
      <w:tr w:rsidR="00A94085" w:rsidRPr="007113DC" w14:paraId="6567735A" w14:textId="77777777" w:rsidTr="007058E9">
        <w:tc>
          <w:tcPr>
            <w:tcW w:w="7834" w:type="dxa"/>
            <w:gridSpan w:val="5"/>
          </w:tcPr>
          <w:p w14:paraId="38F9E232" w14:textId="0BBCBAD3" w:rsidR="00A94085" w:rsidRDefault="0040592B" w:rsidP="002C3FED">
            <w:pPr>
              <w:spacing w:line="360" w:lineRule="auto"/>
              <w:rPr>
                <w:rFonts w:cs="Calibri"/>
                <w:sz w:val="20"/>
                <w:szCs w:val="20"/>
              </w:rPr>
            </w:pPr>
            <w:r>
              <w:rPr>
                <w:rFonts w:cs="Calibri"/>
                <w:sz w:val="20"/>
                <w:szCs w:val="20"/>
              </w:rPr>
              <w:t>BMI; Body mass index</w:t>
            </w:r>
          </w:p>
        </w:tc>
      </w:tr>
      <w:tr w:rsidR="006A74FE" w:rsidRPr="007113DC" w14:paraId="1EC1EFDF" w14:textId="77777777" w:rsidTr="007058E9">
        <w:tc>
          <w:tcPr>
            <w:tcW w:w="7834" w:type="dxa"/>
            <w:gridSpan w:val="5"/>
          </w:tcPr>
          <w:p w14:paraId="2B6A0EAE" w14:textId="35EE1357" w:rsidR="006A74FE" w:rsidRDefault="0040592B" w:rsidP="002C3FED">
            <w:pPr>
              <w:spacing w:line="360" w:lineRule="auto"/>
              <w:rPr>
                <w:rFonts w:cs="Calibri"/>
                <w:sz w:val="20"/>
                <w:szCs w:val="20"/>
              </w:rPr>
            </w:pPr>
            <w:r w:rsidRPr="0040592B">
              <w:rPr>
                <w:rFonts w:cs="Calibri"/>
                <w:sz w:val="20"/>
                <w:szCs w:val="20"/>
              </w:rPr>
              <w:t>GR</w:t>
            </w:r>
            <w:r w:rsidR="00807ED5">
              <w:rPr>
                <w:rFonts w:cs="Calibri"/>
                <w:sz w:val="20"/>
                <w:szCs w:val="20"/>
              </w:rPr>
              <w:t>;</w:t>
            </w:r>
            <w:r w:rsidRPr="0040592B">
              <w:rPr>
                <w:rFonts w:cs="Calibri"/>
                <w:sz w:val="20"/>
                <w:szCs w:val="20"/>
              </w:rPr>
              <w:t xml:space="preserve"> HR for fracture per 1 SD decrease in femoral neck BMD</w:t>
            </w:r>
          </w:p>
        </w:tc>
      </w:tr>
    </w:tbl>
    <w:p w14:paraId="06E7DD41" w14:textId="77777777" w:rsidR="007113DC" w:rsidRPr="0028701D" w:rsidRDefault="007113DC" w:rsidP="00531789"/>
    <w:p w14:paraId="54F15480" w14:textId="77777777" w:rsidR="00E47010" w:rsidRPr="00CC24AD" w:rsidRDefault="00E47010" w:rsidP="00E47010">
      <w:pPr>
        <w:spacing w:line="276" w:lineRule="auto"/>
        <w:rPr>
          <w:i/>
          <w:iCs/>
          <w:sz w:val="24"/>
          <w:szCs w:val="24"/>
        </w:rPr>
      </w:pPr>
      <w:r w:rsidRPr="00CC24AD">
        <w:rPr>
          <w:i/>
          <w:iCs/>
          <w:sz w:val="24"/>
          <w:szCs w:val="24"/>
        </w:rPr>
        <w:t>Relation</w:t>
      </w:r>
      <w:r>
        <w:rPr>
          <w:i/>
          <w:iCs/>
          <w:sz w:val="24"/>
          <w:szCs w:val="24"/>
        </w:rPr>
        <w:t xml:space="preserve">ship between femoral neck </w:t>
      </w:r>
      <w:r w:rsidRPr="00CC24AD">
        <w:rPr>
          <w:i/>
          <w:iCs/>
          <w:sz w:val="24"/>
          <w:szCs w:val="24"/>
        </w:rPr>
        <w:t xml:space="preserve">BMD </w:t>
      </w:r>
      <w:r>
        <w:rPr>
          <w:i/>
          <w:iCs/>
          <w:sz w:val="24"/>
          <w:szCs w:val="24"/>
        </w:rPr>
        <w:t xml:space="preserve">and </w:t>
      </w:r>
      <w:r w:rsidRPr="00CC24AD">
        <w:rPr>
          <w:i/>
          <w:iCs/>
          <w:sz w:val="24"/>
          <w:szCs w:val="24"/>
        </w:rPr>
        <w:t>fracture risk</w:t>
      </w:r>
    </w:p>
    <w:p w14:paraId="03EC6E3D" w14:textId="62D43319" w:rsidR="00BE7BB3" w:rsidRDefault="00BE7BB3" w:rsidP="00BE7BB3">
      <w:pPr>
        <w:spacing w:line="276" w:lineRule="auto"/>
        <w:rPr>
          <w:sz w:val="24"/>
          <w:szCs w:val="24"/>
        </w:rPr>
      </w:pPr>
      <w:r w:rsidRPr="00CC24AD">
        <w:rPr>
          <w:sz w:val="24"/>
          <w:szCs w:val="24"/>
        </w:rPr>
        <w:t>The incidence</w:t>
      </w:r>
      <w:r>
        <w:rPr>
          <w:sz w:val="24"/>
          <w:szCs w:val="24"/>
        </w:rPr>
        <w:t>s</w:t>
      </w:r>
      <w:r w:rsidRPr="00CC24AD">
        <w:rPr>
          <w:sz w:val="24"/>
          <w:szCs w:val="24"/>
        </w:rPr>
        <w:t xml:space="preserve"> of hip fracture, other MOF or all MOF </w:t>
      </w:r>
      <w:r>
        <w:rPr>
          <w:sz w:val="24"/>
          <w:szCs w:val="24"/>
        </w:rPr>
        <w:t>were</w:t>
      </w:r>
      <w:r w:rsidRPr="00CC24AD">
        <w:rPr>
          <w:sz w:val="24"/>
          <w:szCs w:val="24"/>
        </w:rPr>
        <w:t xml:space="preserve"> not significantly different between </w:t>
      </w:r>
      <w:r>
        <w:rPr>
          <w:sz w:val="24"/>
          <w:szCs w:val="24"/>
        </w:rPr>
        <w:t xml:space="preserve">the patients with </w:t>
      </w:r>
      <w:r w:rsidR="0046383A">
        <w:rPr>
          <w:sz w:val="24"/>
          <w:szCs w:val="24"/>
        </w:rPr>
        <w:t>PHPT</w:t>
      </w:r>
      <w:r>
        <w:rPr>
          <w:sz w:val="24"/>
          <w:szCs w:val="24"/>
        </w:rPr>
        <w:t xml:space="preserve"> with BMD and the BMD controls (</w:t>
      </w:r>
      <w:r w:rsidR="00925EE8">
        <w:rPr>
          <w:sz w:val="24"/>
          <w:szCs w:val="24"/>
        </w:rPr>
        <w:t xml:space="preserve">see </w:t>
      </w:r>
      <w:r>
        <w:rPr>
          <w:sz w:val="24"/>
          <w:szCs w:val="24"/>
        </w:rPr>
        <w:t xml:space="preserve">Table </w:t>
      </w:r>
      <w:r w:rsidR="00420A73">
        <w:rPr>
          <w:sz w:val="24"/>
          <w:szCs w:val="24"/>
        </w:rPr>
        <w:t>4</w:t>
      </w:r>
      <w:r>
        <w:rPr>
          <w:sz w:val="24"/>
          <w:szCs w:val="24"/>
        </w:rPr>
        <w:t>)</w:t>
      </w:r>
      <w:r w:rsidRPr="00CC24AD">
        <w:rPr>
          <w:sz w:val="24"/>
          <w:szCs w:val="24"/>
        </w:rPr>
        <w:t>.</w:t>
      </w:r>
      <w:r>
        <w:rPr>
          <w:sz w:val="24"/>
          <w:szCs w:val="24"/>
        </w:rPr>
        <w:t xml:space="preserve"> </w:t>
      </w:r>
      <w:r w:rsidR="005A21AA" w:rsidRPr="007255B9">
        <w:rPr>
          <w:rFonts w:ascii="Calibri" w:hAnsi="Calibri" w:cs="Calibri"/>
          <w:sz w:val="24"/>
          <w:szCs w:val="24"/>
        </w:rPr>
        <w:t xml:space="preserve">Although mean femoral neck BMD was significantly lower in </w:t>
      </w:r>
      <w:r w:rsidR="00E80EB7">
        <w:rPr>
          <w:rFonts w:ascii="Calibri" w:hAnsi="Calibri" w:cs="Calibri"/>
          <w:sz w:val="24"/>
          <w:szCs w:val="24"/>
        </w:rPr>
        <w:t>hyperparathyroid patients</w:t>
      </w:r>
      <w:r w:rsidR="00EE0B1D">
        <w:rPr>
          <w:rStyle w:val="CommentReference"/>
        </w:rPr>
        <w:t xml:space="preserve"> </w:t>
      </w:r>
      <w:r w:rsidR="005A21AA" w:rsidRPr="007255B9">
        <w:rPr>
          <w:rFonts w:ascii="Calibri" w:hAnsi="Calibri" w:cs="Calibri"/>
          <w:sz w:val="24"/>
          <w:szCs w:val="24"/>
        </w:rPr>
        <w:t>than in BMD controls, the absolute difference was modest (0.02 g/cm</w:t>
      </w:r>
      <w:r w:rsidR="005A21AA" w:rsidRPr="007255B9">
        <w:rPr>
          <w:rFonts w:ascii="Calibri" w:hAnsi="Calibri" w:cs="Calibri"/>
          <w:sz w:val="24"/>
          <w:szCs w:val="24"/>
          <w:vertAlign w:val="superscript"/>
        </w:rPr>
        <w:t>2</w:t>
      </w:r>
      <w:r w:rsidR="005A21AA" w:rsidRPr="007255B9">
        <w:rPr>
          <w:rFonts w:ascii="Calibri" w:hAnsi="Calibri" w:cs="Calibri"/>
          <w:sz w:val="24"/>
          <w:szCs w:val="24"/>
        </w:rPr>
        <w:t>; Table 3)</w:t>
      </w:r>
      <w:r w:rsidR="005A21AA">
        <w:rPr>
          <w:rFonts w:ascii="Calibri" w:hAnsi="Calibri" w:cs="Calibri"/>
          <w:sz w:val="24"/>
          <w:szCs w:val="24"/>
        </w:rPr>
        <w:t xml:space="preserve"> and </w:t>
      </w:r>
      <w:r w:rsidR="005A21AA" w:rsidRPr="007255B9">
        <w:rPr>
          <w:rFonts w:ascii="Calibri" w:hAnsi="Calibri" w:cs="Calibri"/>
          <w:sz w:val="24"/>
          <w:szCs w:val="24"/>
        </w:rPr>
        <w:t>additional adjustment for BMD</w:t>
      </w:r>
      <w:r w:rsidR="005A21AA">
        <w:rPr>
          <w:rFonts w:ascii="Calibri" w:hAnsi="Calibri" w:cs="Calibri"/>
          <w:sz w:val="24"/>
          <w:szCs w:val="24"/>
        </w:rPr>
        <w:t xml:space="preserve"> showed no effect of PHPT on fracture risk</w:t>
      </w:r>
      <w:r w:rsidR="005A21AA" w:rsidRPr="007255B9">
        <w:rPr>
          <w:rFonts w:ascii="Calibri" w:hAnsi="Calibri" w:cs="Calibri"/>
          <w:sz w:val="24"/>
          <w:szCs w:val="24"/>
        </w:rPr>
        <w:t>.  For hip fracture</w:t>
      </w:r>
      <w:r w:rsidR="00607003">
        <w:rPr>
          <w:rFonts w:ascii="Calibri" w:hAnsi="Calibri" w:cs="Calibri"/>
          <w:sz w:val="24"/>
          <w:szCs w:val="24"/>
        </w:rPr>
        <w:t>,</w:t>
      </w:r>
      <w:r w:rsidR="005A21AA" w:rsidRPr="007255B9">
        <w:rPr>
          <w:rFonts w:ascii="Calibri" w:hAnsi="Calibri" w:cs="Calibri"/>
          <w:sz w:val="24"/>
          <w:szCs w:val="24"/>
        </w:rPr>
        <w:t xml:space="preserve"> the hazard ratio was 0.96 (0.74-1.23) and for MOF was 0.89 (0.76-1.05).  For MOF without hip fracture</w:t>
      </w:r>
      <w:r w:rsidR="00DB18E6">
        <w:rPr>
          <w:rFonts w:ascii="Calibri" w:hAnsi="Calibri" w:cs="Calibri"/>
          <w:sz w:val="24"/>
          <w:szCs w:val="24"/>
        </w:rPr>
        <w:t>,</w:t>
      </w:r>
      <w:r w:rsidR="005A21AA" w:rsidRPr="007255B9">
        <w:rPr>
          <w:rFonts w:ascii="Calibri" w:hAnsi="Calibri" w:cs="Calibri"/>
          <w:sz w:val="24"/>
          <w:szCs w:val="24"/>
        </w:rPr>
        <w:t xml:space="preserve"> the hazard ratio was 0.89 (0.74-1.09).</w:t>
      </w:r>
      <w:r>
        <w:rPr>
          <w:sz w:val="24"/>
          <w:szCs w:val="24"/>
        </w:rPr>
        <w:t xml:space="preserve"> </w:t>
      </w:r>
    </w:p>
    <w:p w14:paraId="6085DCC6" w14:textId="7F7FAEAA" w:rsidR="009E2C6B" w:rsidRPr="00CC24AD" w:rsidRDefault="009E2C6B" w:rsidP="00BE7BB3">
      <w:pPr>
        <w:spacing w:line="276" w:lineRule="auto"/>
        <w:rPr>
          <w:sz w:val="24"/>
          <w:szCs w:val="24"/>
        </w:rPr>
      </w:pPr>
      <w:r>
        <w:rPr>
          <w:rFonts w:ascii="Calibri" w:hAnsi="Calibri" w:cs="Calibri"/>
          <w:sz w:val="24"/>
          <w:szCs w:val="24"/>
        </w:rPr>
        <w:t>In terms of the relationship between BMD and fracture incidence, f</w:t>
      </w:r>
      <w:r w:rsidRPr="007255B9">
        <w:rPr>
          <w:rFonts w:ascii="Calibri" w:hAnsi="Calibri" w:cs="Calibri"/>
          <w:sz w:val="24"/>
          <w:szCs w:val="24"/>
        </w:rPr>
        <w:t xml:space="preserve">or hip fracture the gradient of risk (GR: fracture risk/SD decrement in BMD) was marginally but not significantly lower in </w:t>
      </w:r>
      <w:r w:rsidR="001032D5">
        <w:rPr>
          <w:rFonts w:ascii="Calibri" w:hAnsi="Calibri" w:cs="Calibri"/>
          <w:sz w:val="24"/>
          <w:szCs w:val="24"/>
        </w:rPr>
        <w:t>hyperparathyroid</w:t>
      </w:r>
      <w:r w:rsidRPr="007255B9">
        <w:rPr>
          <w:rFonts w:ascii="Calibri" w:hAnsi="Calibri" w:cs="Calibri"/>
          <w:sz w:val="24"/>
          <w:szCs w:val="24"/>
        </w:rPr>
        <w:t xml:space="preserve"> patients (1.77; 1.39-2.25) compared with </w:t>
      </w:r>
      <w:r w:rsidR="001032D5">
        <w:rPr>
          <w:rFonts w:ascii="Calibri" w:hAnsi="Calibri" w:cs="Calibri"/>
          <w:sz w:val="24"/>
          <w:szCs w:val="24"/>
        </w:rPr>
        <w:t xml:space="preserve">BMD </w:t>
      </w:r>
      <w:r w:rsidRPr="007255B9">
        <w:rPr>
          <w:rFonts w:ascii="Calibri" w:hAnsi="Calibri" w:cs="Calibri"/>
          <w:sz w:val="24"/>
          <w:szCs w:val="24"/>
        </w:rPr>
        <w:t>controls (1.86;1.65, 2.09; p&gt;0.30).  For other MOFs or all MOF</w:t>
      </w:r>
      <w:r w:rsidR="00002D2E">
        <w:rPr>
          <w:rFonts w:ascii="Calibri" w:hAnsi="Calibri" w:cs="Calibri"/>
          <w:sz w:val="24"/>
          <w:szCs w:val="24"/>
        </w:rPr>
        <w:t>s</w:t>
      </w:r>
      <w:r w:rsidR="00FC41D6">
        <w:rPr>
          <w:rFonts w:ascii="Calibri" w:hAnsi="Calibri" w:cs="Calibri"/>
          <w:sz w:val="24"/>
          <w:szCs w:val="24"/>
        </w:rPr>
        <w:t>,</w:t>
      </w:r>
      <w:r w:rsidRPr="007255B9">
        <w:rPr>
          <w:rFonts w:ascii="Calibri" w:hAnsi="Calibri" w:cs="Calibri"/>
          <w:sz w:val="24"/>
          <w:szCs w:val="24"/>
        </w:rPr>
        <w:t xml:space="preserve"> the gradient of risk was almost identical to that seen in the BMD referral cohort (see Table </w:t>
      </w:r>
      <w:r w:rsidR="006F7E32">
        <w:rPr>
          <w:rFonts w:ascii="Calibri" w:hAnsi="Calibri" w:cs="Calibri"/>
          <w:sz w:val="24"/>
          <w:szCs w:val="24"/>
        </w:rPr>
        <w:t>4</w:t>
      </w:r>
      <w:r w:rsidRPr="007255B9">
        <w:rPr>
          <w:rFonts w:ascii="Calibri" w:hAnsi="Calibri" w:cs="Calibri"/>
          <w:sz w:val="24"/>
          <w:szCs w:val="24"/>
        </w:rPr>
        <w:t>).</w:t>
      </w:r>
    </w:p>
    <w:p w14:paraId="51D8D620" w14:textId="2EBC917D" w:rsidR="00577A96" w:rsidRPr="007255B9" w:rsidRDefault="00577A96" w:rsidP="00577A96">
      <w:pPr>
        <w:spacing w:line="276" w:lineRule="auto"/>
        <w:rPr>
          <w:rFonts w:ascii="Calibri" w:hAnsi="Calibri" w:cs="Calibri"/>
          <w:sz w:val="24"/>
          <w:szCs w:val="24"/>
        </w:rPr>
      </w:pPr>
      <w:r w:rsidRPr="007255B9">
        <w:rPr>
          <w:rFonts w:ascii="Calibri" w:hAnsi="Calibri" w:cs="Calibri"/>
          <w:sz w:val="24"/>
          <w:szCs w:val="24"/>
        </w:rPr>
        <w:t xml:space="preserve">The relationship between femoral neck BMD and fracture risk is shown in Figure </w:t>
      </w:r>
      <w:r w:rsidR="00C85E33">
        <w:rPr>
          <w:rFonts w:ascii="Calibri" w:hAnsi="Calibri" w:cs="Calibri"/>
          <w:sz w:val="24"/>
          <w:szCs w:val="24"/>
        </w:rPr>
        <w:t>4</w:t>
      </w:r>
      <w:r w:rsidRPr="007255B9">
        <w:rPr>
          <w:rFonts w:ascii="Calibri" w:hAnsi="Calibri" w:cs="Calibri"/>
          <w:sz w:val="24"/>
          <w:szCs w:val="24"/>
        </w:rPr>
        <w:t xml:space="preserve">. </w:t>
      </w:r>
      <w:r w:rsidR="009F6D04">
        <w:rPr>
          <w:rFonts w:ascii="Calibri" w:hAnsi="Calibri" w:cs="Calibri"/>
          <w:sz w:val="24"/>
          <w:szCs w:val="24"/>
        </w:rPr>
        <w:t xml:space="preserve"> </w:t>
      </w:r>
      <w:r w:rsidRPr="007255B9">
        <w:rPr>
          <w:rFonts w:ascii="Calibri" w:hAnsi="Calibri" w:cs="Calibri"/>
          <w:sz w:val="24"/>
          <w:szCs w:val="24"/>
        </w:rPr>
        <w:t xml:space="preserve">Given that the gradient of risk was very similar in patients and controls, differences were largely due to the differences, albeit not significant, in the incidence of fracture.  For MOF, patients </w:t>
      </w:r>
      <w:r w:rsidRPr="007255B9">
        <w:rPr>
          <w:rFonts w:ascii="Calibri" w:hAnsi="Calibri" w:cs="Calibri"/>
          <w:sz w:val="24"/>
          <w:szCs w:val="24"/>
        </w:rPr>
        <w:lastRenderedPageBreak/>
        <w:t>with</w:t>
      </w:r>
      <w:r>
        <w:rPr>
          <w:rFonts w:ascii="Calibri" w:hAnsi="Calibri" w:cs="Calibri"/>
          <w:sz w:val="24"/>
          <w:szCs w:val="24"/>
        </w:rPr>
        <w:t xml:space="preserve"> </w:t>
      </w:r>
      <w:r w:rsidR="0046383A">
        <w:rPr>
          <w:rFonts w:ascii="Calibri" w:hAnsi="Calibri" w:cs="Calibri"/>
          <w:sz w:val="24"/>
          <w:szCs w:val="24"/>
        </w:rPr>
        <w:t>PHPT</w:t>
      </w:r>
      <w:r w:rsidRPr="007255B9">
        <w:rPr>
          <w:rFonts w:ascii="Calibri" w:hAnsi="Calibri" w:cs="Calibri"/>
          <w:sz w:val="24"/>
          <w:szCs w:val="24"/>
        </w:rPr>
        <w:t xml:space="preserve"> had a slightly higher fracture risk for any given BMD that varied by 8-16% according to BMD.  In the case of hip fracture, the risk was 46-86% higher for a given BMD.  </w:t>
      </w:r>
    </w:p>
    <w:p w14:paraId="4560BA1D" w14:textId="76732EFB" w:rsidR="00105FED" w:rsidRPr="007255B9" w:rsidRDefault="00BE3585" w:rsidP="007255B9">
      <w:pPr>
        <w:spacing w:line="276" w:lineRule="auto"/>
        <w:rPr>
          <w:rFonts w:ascii="Calibri" w:hAnsi="Calibri" w:cs="Calibri"/>
          <w:sz w:val="24"/>
          <w:szCs w:val="24"/>
        </w:rPr>
      </w:pPr>
      <w:r>
        <w:rPr>
          <w:noProof/>
          <w:lang w:val="da-DK" w:eastAsia="da-DK"/>
        </w:rPr>
        <w:drawing>
          <wp:anchor distT="0" distB="0" distL="114300" distR="114300" simplePos="0" relativeHeight="251666944" behindDoc="0" locked="0" layoutInCell="1" allowOverlap="1" wp14:anchorId="747F9A2A" wp14:editId="4D5AE004">
            <wp:simplePos x="0" y="0"/>
            <wp:positionH relativeFrom="column">
              <wp:posOffset>319087</wp:posOffset>
            </wp:positionH>
            <wp:positionV relativeFrom="paragraph">
              <wp:posOffset>199072</wp:posOffset>
            </wp:positionV>
            <wp:extent cx="5048250" cy="2652395"/>
            <wp:effectExtent l="0" t="0" r="0"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rcRect t="11965" r="11921" b="5742"/>
                    <a:stretch/>
                  </pic:blipFill>
                  <pic:spPr bwMode="auto">
                    <a:xfrm>
                      <a:off x="0" y="0"/>
                      <a:ext cx="5048250" cy="26523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D803AE0" w14:textId="62741906" w:rsidR="00AC4470" w:rsidRDefault="00AC4470" w:rsidP="007A0AC4"/>
    <w:p w14:paraId="4A30B0AA" w14:textId="3D0D8B54" w:rsidR="002F081F" w:rsidRPr="00CF6D09" w:rsidRDefault="002F081F" w:rsidP="00CF6D09">
      <w:pPr>
        <w:ind w:left="851" w:right="662"/>
        <w:rPr>
          <w:sz w:val="20"/>
          <w:szCs w:val="20"/>
        </w:rPr>
      </w:pPr>
      <w:r w:rsidRPr="00CF6D09">
        <w:rPr>
          <w:b/>
          <w:bCs/>
          <w:sz w:val="20"/>
          <w:szCs w:val="20"/>
        </w:rPr>
        <w:t>Fig</w:t>
      </w:r>
      <w:r w:rsidR="00C45485" w:rsidRPr="00CF6D09">
        <w:rPr>
          <w:b/>
          <w:bCs/>
          <w:sz w:val="20"/>
          <w:szCs w:val="20"/>
        </w:rPr>
        <w:t xml:space="preserve"> </w:t>
      </w:r>
      <w:r w:rsidR="00C85E33">
        <w:rPr>
          <w:b/>
          <w:bCs/>
          <w:sz w:val="20"/>
          <w:szCs w:val="20"/>
        </w:rPr>
        <w:t>4</w:t>
      </w:r>
      <w:r w:rsidRPr="00CF6D09">
        <w:rPr>
          <w:b/>
          <w:bCs/>
          <w:sz w:val="20"/>
          <w:szCs w:val="20"/>
        </w:rPr>
        <w:t xml:space="preserve">. </w:t>
      </w:r>
      <w:r w:rsidRPr="00CF6D09">
        <w:rPr>
          <w:sz w:val="20"/>
          <w:szCs w:val="20"/>
        </w:rPr>
        <w:t xml:space="preserve">Schematic diagram illustrating the relation between </w:t>
      </w:r>
      <w:r w:rsidR="00EF1A31">
        <w:rPr>
          <w:sz w:val="20"/>
          <w:szCs w:val="20"/>
        </w:rPr>
        <w:t>hip fracture (H</w:t>
      </w:r>
      <w:r w:rsidR="00C4721D">
        <w:rPr>
          <w:sz w:val="20"/>
          <w:szCs w:val="20"/>
        </w:rPr>
        <w:t xml:space="preserve">F), </w:t>
      </w:r>
      <w:r w:rsidRPr="00CF6D09">
        <w:rPr>
          <w:sz w:val="20"/>
          <w:szCs w:val="20"/>
        </w:rPr>
        <w:t xml:space="preserve">MOF risk and BMD in patients with </w:t>
      </w:r>
      <w:r w:rsidR="00C0135F" w:rsidRPr="00C0135F">
        <w:rPr>
          <w:sz w:val="20"/>
          <w:szCs w:val="20"/>
        </w:rPr>
        <w:t>PHPT</w:t>
      </w:r>
      <w:r w:rsidR="00C0135F" w:rsidRPr="00C0135F" w:rsidDel="00C0135F">
        <w:rPr>
          <w:sz w:val="20"/>
          <w:szCs w:val="20"/>
        </w:rPr>
        <w:t xml:space="preserve"> </w:t>
      </w:r>
      <w:r w:rsidR="00C171E4">
        <w:rPr>
          <w:sz w:val="20"/>
          <w:szCs w:val="20"/>
        </w:rPr>
        <w:t>(</w:t>
      </w:r>
      <w:r w:rsidRPr="00CF6D09">
        <w:rPr>
          <w:sz w:val="20"/>
          <w:szCs w:val="20"/>
        </w:rPr>
        <w:t xml:space="preserve">and population controls.  </w:t>
      </w:r>
      <w:r w:rsidR="004B1FBF" w:rsidRPr="00CF6D09">
        <w:rPr>
          <w:sz w:val="20"/>
          <w:szCs w:val="20"/>
        </w:rPr>
        <w:t xml:space="preserve">For the </w:t>
      </w:r>
      <w:r w:rsidR="00892049">
        <w:rPr>
          <w:sz w:val="20"/>
          <w:szCs w:val="20"/>
        </w:rPr>
        <w:t>empirical data</w:t>
      </w:r>
      <w:r w:rsidR="004B1FBF" w:rsidRPr="00CF6D09">
        <w:rPr>
          <w:sz w:val="20"/>
          <w:szCs w:val="20"/>
        </w:rPr>
        <w:t xml:space="preserve"> on BMD, </w:t>
      </w:r>
      <w:r w:rsidR="000859FF" w:rsidRPr="00CF6D09">
        <w:rPr>
          <w:sz w:val="20"/>
          <w:szCs w:val="20"/>
        </w:rPr>
        <w:t>fracture</w:t>
      </w:r>
      <w:r w:rsidR="004B1FBF" w:rsidRPr="00CF6D09">
        <w:rPr>
          <w:sz w:val="20"/>
          <w:szCs w:val="20"/>
        </w:rPr>
        <w:t xml:space="preserve"> risk and gradient of ri</w:t>
      </w:r>
      <w:r w:rsidR="000859FF" w:rsidRPr="00CF6D09">
        <w:rPr>
          <w:sz w:val="20"/>
          <w:szCs w:val="20"/>
        </w:rPr>
        <w:t xml:space="preserve">sk see Table </w:t>
      </w:r>
      <w:r w:rsidR="00F22860">
        <w:rPr>
          <w:sz w:val="20"/>
          <w:szCs w:val="20"/>
        </w:rPr>
        <w:t>4</w:t>
      </w:r>
      <w:r w:rsidR="003F014F">
        <w:rPr>
          <w:sz w:val="20"/>
          <w:szCs w:val="20"/>
        </w:rPr>
        <w:t>.</w:t>
      </w:r>
    </w:p>
    <w:p w14:paraId="447D2B3C" w14:textId="225D24E7" w:rsidR="00A6747F" w:rsidRPr="001F7C30" w:rsidRDefault="00A6747F" w:rsidP="00AB0546">
      <w:pPr>
        <w:rPr>
          <w:i/>
          <w:iCs/>
          <w:sz w:val="24"/>
          <w:szCs w:val="24"/>
        </w:rPr>
      </w:pPr>
      <w:r w:rsidRPr="001F7C30">
        <w:rPr>
          <w:i/>
          <w:iCs/>
          <w:sz w:val="24"/>
          <w:szCs w:val="24"/>
        </w:rPr>
        <w:t>Sensitivity analysis</w:t>
      </w:r>
    </w:p>
    <w:p w14:paraId="6026A630" w14:textId="58526551" w:rsidR="00990404" w:rsidRPr="001F7C30" w:rsidRDefault="00990404" w:rsidP="00AB0546">
      <w:pPr>
        <w:rPr>
          <w:sz w:val="24"/>
          <w:szCs w:val="24"/>
        </w:rPr>
      </w:pPr>
      <w:r w:rsidRPr="001F7C30">
        <w:rPr>
          <w:sz w:val="24"/>
          <w:szCs w:val="24"/>
        </w:rPr>
        <w:t>Censoring by time diminishe</w:t>
      </w:r>
      <w:r w:rsidR="00F448FD" w:rsidRPr="001F7C30">
        <w:rPr>
          <w:sz w:val="24"/>
          <w:szCs w:val="24"/>
        </w:rPr>
        <w:t>d</w:t>
      </w:r>
      <w:r w:rsidRPr="001F7C30">
        <w:rPr>
          <w:sz w:val="24"/>
          <w:szCs w:val="24"/>
        </w:rPr>
        <w:t xml:space="preserve"> the number of events.  Notwithstanding, the fracture and death risk remain</w:t>
      </w:r>
      <w:r w:rsidR="00F448FD" w:rsidRPr="001F7C30">
        <w:rPr>
          <w:sz w:val="24"/>
          <w:szCs w:val="24"/>
        </w:rPr>
        <w:t>ed</w:t>
      </w:r>
      <w:r w:rsidRPr="001F7C30">
        <w:rPr>
          <w:sz w:val="24"/>
          <w:szCs w:val="24"/>
        </w:rPr>
        <w:t xml:space="preserve"> significantly increased, as shown in table </w:t>
      </w:r>
      <w:r w:rsidR="00AB0546" w:rsidRPr="001F7C30">
        <w:rPr>
          <w:sz w:val="24"/>
          <w:szCs w:val="24"/>
        </w:rPr>
        <w:t>5.</w:t>
      </w:r>
    </w:p>
    <w:p w14:paraId="45C25ADA" w14:textId="493C481E" w:rsidR="00990404" w:rsidRPr="001F7C30" w:rsidRDefault="001F1A45" w:rsidP="00990404">
      <w:pPr>
        <w:ind w:left="720"/>
        <w:rPr>
          <w:sz w:val="20"/>
          <w:szCs w:val="20"/>
        </w:rPr>
      </w:pPr>
      <w:r w:rsidRPr="001F7C30">
        <w:rPr>
          <w:b/>
          <w:bCs/>
          <w:sz w:val="20"/>
          <w:szCs w:val="20"/>
        </w:rPr>
        <w:t>Table 5.</w:t>
      </w:r>
      <w:r w:rsidRPr="001F7C30">
        <w:rPr>
          <w:sz w:val="20"/>
          <w:szCs w:val="20"/>
        </w:rPr>
        <w:t xml:space="preserve">  The e</w:t>
      </w:r>
      <w:r w:rsidR="002F2486" w:rsidRPr="001F7C30">
        <w:rPr>
          <w:sz w:val="20"/>
          <w:szCs w:val="20"/>
        </w:rPr>
        <w:t xml:space="preserve">ffect of </w:t>
      </w:r>
      <w:r w:rsidR="00C51FD4" w:rsidRPr="001F7C30">
        <w:rPr>
          <w:sz w:val="20"/>
          <w:szCs w:val="20"/>
        </w:rPr>
        <w:t>censoring</w:t>
      </w:r>
      <w:r w:rsidR="002F2486" w:rsidRPr="001F7C30">
        <w:rPr>
          <w:sz w:val="20"/>
          <w:szCs w:val="20"/>
        </w:rPr>
        <w:t xml:space="preserve"> </w:t>
      </w:r>
      <w:proofErr w:type="gramStart"/>
      <w:r w:rsidR="002F2486" w:rsidRPr="001F7C30">
        <w:rPr>
          <w:sz w:val="20"/>
          <w:szCs w:val="20"/>
        </w:rPr>
        <w:t>follow</w:t>
      </w:r>
      <w:proofErr w:type="gramEnd"/>
      <w:r w:rsidR="002F2486" w:rsidRPr="001F7C30">
        <w:rPr>
          <w:sz w:val="20"/>
          <w:szCs w:val="20"/>
        </w:rPr>
        <w:t xml:space="preserve"> up to one year in cases and controls</w:t>
      </w:r>
      <w:r w:rsidR="00C51FD4" w:rsidRPr="001F7C30">
        <w:rPr>
          <w:sz w:val="20"/>
          <w:szCs w:val="20"/>
        </w:rPr>
        <w:t xml:space="preserve"> on the ha</w:t>
      </w:r>
      <w:r w:rsidR="00D56416" w:rsidRPr="001F7C30">
        <w:rPr>
          <w:sz w:val="20"/>
          <w:szCs w:val="20"/>
        </w:rPr>
        <w:t>zard ratio (HR) and 95% confidence interval (CI)</w:t>
      </w:r>
      <w:r w:rsidR="00AA2C53" w:rsidRPr="001F7C30">
        <w:rPr>
          <w:sz w:val="20"/>
          <w:szCs w:val="20"/>
        </w:rPr>
        <w:t xml:space="preserve"> for death, hip fracture and major osteoporoti</w:t>
      </w:r>
      <w:r w:rsidR="001E527F" w:rsidRPr="001F7C30">
        <w:rPr>
          <w:sz w:val="20"/>
          <w:szCs w:val="20"/>
        </w:rPr>
        <w:t>c fracture.</w:t>
      </w:r>
    </w:p>
    <w:tbl>
      <w:tblPr>
        <w:tblStyle w:val="TableGrid"/>
        <w:tblW w:w="0" w:type="auto"/>
        <w:tblInd w:w="409" w:type="dxa"/>
        <w:tblLook w:val="04A0" w:firstRow="1" w:lastRow="0" w:firstColumn="1" w:lastColumn="0" w:noHBand="0" w:noVBand="1"/>
      </w:tblPr>
      <w:tblGrid>
        <w:gridCol w:w="2835"/>
        <w:gridCol w:w="1701"/>
        <w:gridCol w:w="828"/>
        <w:gridCol w:w="283"/>
        <w:gridCol w:w="1701"/>
        <w:gridCol w:w="851"/>
      </w:tblGrid>
      <w:tr w:rsidR="00990404" w:rsidRPr="001F7C30" w14:paraId="517E3CC5" w14:textId="77777777" w:rsidTr="007730ED">
        <w:tc>
          <w:tcPr>
            <w:tcW w:w="2835" w:type="dxa"/>
          </w:tcPr>
          <w:p w14:paraId="4C2427C0" w14:textId="77777777" w:rsidR="00990404" w:rsidRPr="001F7C30" w:rsidRDefault="00990404" w:rsidP="00EB797B"/>
        </w:tc>
        <w:tc>
          <w:tcPr>
            <w:tcW w:w="2529" w:type="dxa"/>
            <w:gridSpan w:val="2"/>
          </w:tcPr>
          <w:p w14:paraId="2215C053" w14:textId="2CF691FE" w:rsidR="00990404" w:rsidRPr="001F7C30" w:rsidRDefault="00C83A2A" w:rsidP="00EB797B">
            <w:r w:rsidRPr="001F7C30">
              <w:t>Principal analysis</w:t>
            </w:r>
          </w:p>
        </w:tc>
        <w:tc>
          <w:tcPr>
            <w:tcW w:w="283" w:type="dxa"/>
          </w:tcPr>
          <w:p w14:paraId="3780063F" w14:textId="77777777" w:rsidR="00990404" w:rsidRPr="001F7C30" w:rsidRDefault="00990404" w:rsidP="00EB797B"/>
        </w:tc>
        <w:tc>
          <w:tcPr>
            <w:tcW w:w="2552" w:type="dxa"/>
            <w:gridSpan w:val="2"/>
          </w:tcPr>
          <w:p w14:paraId="457C6D69" w14:textId="77777777" w:rsidR="00990404" w:rsidRPr="001F7C30" w:rsidRDefault="00990404" w:rsidP="00EB797B">
            <w:r w:rsidRPr="001F7C30">
              <w:t>Censoring at 1 year</w:t>
            </w:r>
          </w:p>
        </w:tc>
      </w:tr>
      <w:tr w:rsidR="00990404" w:rsidRPr="001F7C30" w14:paraId="4DAEED4C" w14:textId="77777777" w:rsidTr="007730ED">
        <w:tc>
          <w:tcPr>
            <w:tcW w:w="2835" w:type="dxa"/>
          </w:tcPr>
          <w:p w14:paraId="72EE336C" w14:textId="77777777" w:rsidR="00990404" w:rsidRPr="001F7C30" w:rsidRDefault="00990404" w:rsidP="00EB797B">
            <w:r w:rsidRPr="001F7C30">
              <w:t>Outcome</w:t>
            </w:r>
          </w:p>
        </w:tc>
        <w:tc>
          <w:tcPr>
            <w:tcW w:w="1701" w:type="dxa"/>
          </w:tcPr>
          <w:p w14:paraId="3737989E" w14:textId="77777777" w:rsidR="00990404" w:rsidRPr="001F7C30" w:rsidRDefault="00990404" w:rsidP="00EB797B">
            <w:r w:rsidRPr="001F7C30">
              <w:t>HR (95% CI)</w:t>
            </w:r>
          </w:p>
        </w:tc>
        <w:tc>
          <w:tcPr>
            <w:tcW w:w="828" w:type="dxa"/>
          </w:tcPr>
          <w:p w14:paraId="6AE6ABE7" w14:textId="77777777" w:rsidR="00990404" w:rsidRPr="001F7C30" w:rsidRDefault="00990404" w:rsidP="00EB797B">
            <w:r w:rsidRPr="001F7C30">
              <w:t>p</w:t>
            </w:r>
          </w:p>
        </w:tc>
        <w:tc>
          <w:tcPr>
            <w:tcW w:w="283" w:type="dxa"/>
          </w:tcPr>
          <w:p w14:paraId="2E5DBA33" w14:textId="77777777" w:rsidR="00990404" w:rsidRPr="001F7C30" w:rsidRDefault="00990404" w:rsidP="00EB797B"/>
        </w:tc>
        <w:tc>
          <w:tcPr>
            <w:tcW w:w="1701" w:type="dxa"/>
          </w:tcPr>
          <w:p w14:paraId="5CBD04FA" w14:textId="77777777" w:rsidR="00990404" w:rsidRPr="001F7C30" w:rsidRDefault="00990404" w:rsidP="00EB797B">
            <w:r w:rsidRPr="001F7C30">
              <w:t>HR (95% CI)</w:t>
            </w:r>
          </w:p>
        </w:tc>
        <w:tc>
          <w:tcPr>
            <w:tcW w:w="851" w:type="dxa"/>
          </w:tcPr>
          <w:p w14:paraId="5A74CB7A" w14:textId="77777777" w:rsidR="00990404" w:rsidRPr="001F7C30" w:rsidRDefault="00990404" w:rsidP="00EB797B">
            <w:r w:rsidRPr="001F7C30">
              <w:t>p</w:t>
            </w:r>
          </w:p>
        </w:tc>
      </w:tr>
      <w:tr w:rsidR="00990404" w:rsidRPr="001F7C30" w14:paraId="562FBA63" w14:textId="77777777" w:rsidTr="007730ED">
        <w:tc>
          <w:tcPr>
            <w:tcW w:w="2835" w:type="dxa"/>
          </w:tcPr>
          <w:p w14:paraId="4AD25E9E" w14:textId="77777777" w:rsidR="00990404" w:rsidRPr="001F7C30" w:rsidRDefault="00990404" w:rsidP="00EB797B">
            <w:r w:rsidRPr="001F7C30">
              <w:t>Death</w:t>
            </w:r>
          </w:p>
        </w:tc>
        <w:tc>
          <w:tcPr>
            <w:tcW w:w="1701" w:type="dxa"/>
            <w:shd w:val="clear" w:color="auto" w:fill="auto"/>
          </w:tcPr>
          <w:p w14:paraId="03849D5B" w14:textId="77777777" w:rsidR="00990404" w:rsidRPr="001F7C30" w:rsidRDefault="00990404" w:rsidP="00EB797B">
            <w:pPr>
              <w:rPr>
                <w:rFonts w:ascii="Calibri" w:eastAsia="Times New Roman" w:hAnsi="Calibri" w:cs="Calibri"/>
                <w:lang w:val="sv-SE" w:eastAsia="sv-SE"/>
              </w:rPr>
            </w:pPr>
            <w:r w:rsidRPr="001F7C30">
              <w:t>1.52 (1.44-1.60)</w:t>
            </w:r>
          </w:p>
        </w:tc>
        <w:tc>
          <w:tcPr>
            <w:tcW w:w="828" w:type="dxa"/>
            <w:shd w:val="clear" w:color="auto" w:fill="auto"/>
          </w:tcPr>
          <w:p w14:paraId="11956A41" w14:textId="77777777" w:rsidR="00990404" w:rsidRPr="001F7C30" w:rsidRDefault="00990404" w:rsidP="00EB797B">
            <w:pPr>
              <w:rPr>
                <w:rFonts w:ascii="Calibri" w:eastAsia="Times New Roman" w:hAnsi="Calibri" w:cs="Calibri"/>
                <w:lang w:val="sv-SE" w:eastAsia="sv-SE"/>
              </w:rPr>
            </w:pPr>
            <w:r w:rsidRPr="001F7C30">
              <w:t>&lt;0.001</w:t>
            </w:r>
          </w:p>
        </w:tc>
        <w:tc>
          <w:tcPr>
            <w:tcW w:w="283" w:type="dxa"/>
          </w:tcPr>
          <w:p w14:paraId="2C19E9F3" w14:textId="77777777" w:rsidR="00990404" w:rsidRPr="001F7C30" w:rsidRDefault="00990404" w:rsidP="00EB797B">
            <w:pPr>
              <w:jc w:val="center"/>
            </w:pPr>
          </w:p>
        </w:tc>
        <w:tc>
          <w:tcPr>
            <w:tcW w:w="1701" w:type="dxa"/>
          </w:tcPr>
          <w:p w14:paraId="7930DACD" w14:textId="77777777" w:rsidR="00990404" w:rsidRPr="001F7C30" w:rsidRDefault="00990404" w:rsidP="00EB797B">
            <w:pPr>
              <w:jc w:val="center"/>
            </w:pPr>
            <w:r w:rsidRPr="001F7C30">
              <w:t>1.60 (1.40-1.83)</w:t>
            </w:r>
          </w:p>
        </w:tc>
        <w:tc>
          <w:tcPr>
            <w:tcW w:w="851" w:type="dxa"/>
          </w:tcPr>
          <w:p w14:paraId="6246EE45" w14:textId="77777777" w:rsidR="00990404" w:rsidRPr="001F7C30" w:rsidRDefault="00990404" w:rsidP="00EB797B">
            <w:r w:rsidRPr="001F7C30">
              <w:t>&lt;0.001</w:t>
            </w:r>
          </w:p>
        </w:tc>
      </w:tr>
      <w:tr w:rsidR="00990404" w:rsidRPr="001F7C30" w14:paraId="50871B59" w14:textId="77777777" w:rsidTr="007730ED">
        <w:tc>
          <w:tcPr>
            <w:tcW w:w="2835" w:type="dxa"/>
          </w:tcPr>
          <w:p w14:paraId="000E4255" w14:textId="423112B3" w:rsidR="00990404" w:rsidRPr="001F7C30" w:rsidRDefault="00990404" w:rsidP="00EB797B">
            <w:r w:rsidRPr="001F7C30">
              <w:t>M</w:t>
            </w:r>
            <w:r w:rsidR="00455363" w:rsidRPr="001F7C30">
              <w:t>ajor osteoporotic fracture</w:t>
            </w:r>
          </w:p>
        </w:tc>
        <w:tc>
          <w:tcPr>
            <w:tcW w:w="1701" w:type="dxa"/>
            <w:shd w:val="clear" w:color="auto" w:fill="auto"/>
          </w:tcPr>
          <w:p w14:paraId="3E136C9A" w14:textId="77777777" w:rsidR="00990404" w:rsidRPr="001F7C30" w:rsidRDefault="00990404" w:rsidP="00EB797B">
            <w:r w:rsidRPr="001F7C30">
              <w:t>1.36 (1.24-1.50)</w:t>
            </w:r>
          </w:p>
        </w:tc>
        <w:tc>
          <w:tcPr>
            <w:tcW w:w="828" w:type="dxa"/>
            <w:shd w:val="clear" w:color="auto" w:fill="auto"/>
          </w:tcPr>
          <w:p w14:paraId="0A3A32DB" w14:textId="77777777" w:rsidR="00990404" w:rsidRPr="001F7C30" w:rsidRDefault="00990404" w:rsidP="00EB797B">
            <w:r w:rsidRPr="001F7C30">
              <w:t>&lt;0.001</w:t>
            </w:r>
          </w:p>
        </w:tc>
        <w:tc>
          <w:tcPr>
            <w:tcW w:w="283" w:type="dxa"/>
          </w:tcPr>
          <w:p w14:paraId="75BDB3AD" w14:textId="77777777" w:rsidR="00990404" w:rsidRPr="001F7C30" w:rsidRDefault="00990404" w:rsidP="00EB797B">
            <w:pPr>
              <w:jc w:val="center"/>
            </w:pPr>
          </w:p>
        </w:tc>
        <w:tc>
          <w:tcPr>
            <w:tcW w:w="1701" w:type="dxa"/>
          </w:tcPr>
          <w:p w14:paraId="09A2F5ED" w14:textId="77777777" w:rsidR="00990404" w:rsidRPr="001F7C30" w:rsidRDefault="00990404" w:rsidP="00EB797B">
            <w:pPr>
              <w:jc w:val="center"/>
            </w:pPr>
            <w:r w:rsidRPr="001F7C30">
              <w:t>1.68 (1.41, 2.00)</w:t>
            </w:r>
          </w:p>
        </w:tc>
        <w:tc>
          <w:tcPr>
            <w:tcW w:w="851" w:type="dxa"/>
          </w:tcPr>
          <w:p w14:paraId="4BC14529" w14:textId="77777777" w:rsidR="00990404" w:rsidRPr="001F7C30" w:rsidRDefault="00990404" w:rsidP="00EB797B">
            <w:r w:rsidRPr="001F7C30">
              <w:t>&lt;0.001</w:t>
            </w:r>
          </w:p>
        </w:tc>
      </w:tr>
      <w:tr w:rsidR="00990404" w:rsidRPr="001F1A45" w14:paraId="12A97F1D" w14:textId="77777777" w:rsidTr="007730ED">
        <w:tc>
          <w:tcPr>
            <w:tcW w:w="2835" w:type="dxa"/>
          </w:tcPr>
          <w:p w14:paraId="6A30FCEC" w14:textId="77777777" w:rsidR="00990404" w:rsidRPr="001F7C30" w:rsidRDefault="00990404" w:rsidP="00EB797B">
            <w:r w:rsidRPr="001F7C30">
              <w:t>Hip fracture</w:t>
            </w:r>
          </w:p>
        </w:tc>
        <w:tc>
          <w:tcPr>
            <w:tcW w:w="1701" w:type="dxa"/>
            <w:shd w:val="clear" w:color="auto" w:fill="auto"/>
          </w:tcPr>
          <w:p w14:paraId="7463D088" w14:textId="77777777" w:rsidR="00990404" w:rsidRPr="001F7C30" w:rsidRDefault="00990404" w:rsidP="00EB797B">
            <w:r w:rsidRPr="001F7C30">
              <w:t>1.48 (1.29-1.69)</w:t>
            </w:r>
          </w:p>
        </w:tc>
        <w:tc>
          <w:tcPr>
            <w:tcW w:w="828" w:type="dxa"/>
            <w:shd w:val="clear" w:color="auto" w:fill="auto"/>
          </w:tcPr>
          <w:p w14:paraId="3443F9B4" w14:textId="01144FD7" w:rsidR="00990404" w:rsidRPr="001F7C30" w:rsidRDefault="001E527F" w:rsidP="00EB797B">
            <w:r w:rsidRPr="001F7C30">
              <w:t>&lt;0.001</w:t>
            </w:r>
          </w:p>
        </w:tc>
        <w:tc>
          <w:tcPr>
            <w:tcW w:w="283" w:type="dxa"/>
          </w:tcPr>
          <w:p w14:paraId="2ECF3174" w14:textId="77777777" w:rsidR="00990404" w:rsidRPr="001F7C30" w:rsidRDefault="00990404" w:rsidP="00EB797B">
            <w:pPr>
              <w:jc w:val="center"/>
            </w:pPr>
          </w:p>
        </w:tc>
        <w:tc>
          <w:tcPr>
            <w:tcW w:w="1701" w:type="dxa"/>
          </w:tcPr>
          <w:p w14:paraId="5DA8F86B" w14:textId="77777777" w:rsidR="00990404" w:rsidRPr="001F7C30" w:rsidRDefault="00990404" w:rsidP="00EB797B">
            <w:pPr>
              <w:jc w:val="center"/>
            </w:pPr>
            <w:r w:rsidRPr="001F7C30">
              <w:t>2.27 (1.77, 2.90)</w:t>
            </w:r>
          </w:p>
        </w:tc>
        <w:tc>
          <w:tcPr>
            <w:tcW w:w="851" w:type="dxa"/>
          </w:tcPr>
          <w:p w14:paraId="364F1370" w14:textId="77777777" w:rsidR="00990404" w:rsidRPr="001E527F" w:rsidRDefault="00990404" w:rsidP="00EB797B">
            <w:r w:rsidRPr="001F7C30">
              <w:t>&lt;0.001</w:t>
            </w:r>
          </w:p>
        </w:tc>
      </w:tr>
    </w:tbl>
    <w:p w14:paraId="1CE6AC63" w14:textId="77777777" w:rsidR="007255B9" w:rsidRDefault="007255B9">
      <w:pPr>
        <w:rPr>
          <w:b/>
          <w:bCs/>
        </w:rPr>
      </w:pPr>
    </w:p>
    <w:p w14:paraId="49744167" w14:textId="77777777" w:rsidR="00691002" w:rsidRDefault="00691002">
      <w:pPr>
        <w:rPr>
          <w:b/>
          <w:bCs/>
        </w:rPr>
      </w:pPr>
    </w:p>
    <w:p w14:paraId="5E65DF2C" w14:textId="26453E50" w:rsidR="006A099E" w:rsidRPr="00803F1A" w:rsidRDefault="006A099E" w:rsidP="00803F1A">
      <w:pPr>
        <w:spacing w:line="276" w:lineRule="auto"/>
        <w:rPr>
          <w:rFonts w:ascii="Calibri" w:hAnsi="Calibri" w:cs="Calibri"/>
          <w:b/>
          <w:bCs/>
          <w:sz w:val="24"/>
          <w:szCs w:val="24"/>
        </w:rPr>
      </w:pPr>
      <w:r w:rsidRPr="00803F1A">
        <w:rPr>
          <w:rFonts w:ascii="Calibri" w:hAnsi="Calibri" w:cs="Calibri"/>
          <w:b/>
          <w:bCs/>
          <w:sz w:val="24"/>
          <w:szCs w:val="24"/>
        </w:rPr>
        <w:t>Discussion</w:t>
      </w:r>
    </w:p>
    <w:p w14:paraId="05203B94" w14:textId="7F282A96" w:rsidR="000E3C86" w:rsidRPr="00803F1A" w:rsidRDefault="00E81177" w:rsidP="00803F1A">
      <w:pPr>
        <w:spacing w:line="276" w:lineRule="auto"/>
        <w:rPr>
          <w:rFonts w:ascii="Calibri" w:hAnsi="Calibri" w:cs="Calibri"/>
          <w:sz w:val="24"/>
          <w:szCs w:val="24"/>
        </w:rPr>
      </w:pPr>
      <w:r w:rsidRPr="00803F1A">
        <w:rPr>
          <w:rFonts w:ascii="Calibri" w:hAnsi="Calibri" w:cs="Calibri"/>
          <w:sz w:val="24"/>
          <w:szCs w:val="24"/>
        </w:rPr>
        <w:t xml:space="preserve">The present study </w:t>
      </w:r>
      <w:r w:rsidR="008F7D21" w:rsidRPr="00803F1A">
        <w:rPr>
          <w:rFonts w:ascii="Calibri" w:hAnsi="Calibri" w:cs="Calibri"/>
          <w:sz w:val="24"/>
          <w:szCs w:val="24"/>
        </w:rPr>
        <w:t xml:space="preserve">identifies </w:t>
      </w:r>
      <w:r w:rsidRPr="00803F1A">
        <w:rPr>
          <w:rFonts w:ascii="Calibri" w:hAnsi="Calibri" w:cs="Calibri"/>
          <w:sz w:val="24"/>
          <w:szCs w:val="24"/>
        </w:rPr>
        <w:t>several characteristi</w:t>
      </w:r>
      <w:r w:rsidR="00D13185" w:rsidRPr="00803F1A">
        <w:rPr>
          <w:rFonts w:ascii="Calibri" w:hAnsi="Calibri" w:cs="Calibri"/>
          <w:sz w:val="24"/>
          <w:szCs w:val="24"/>
        </w:rPr>
        <w:t xml:space="preserve">cs of </w:t>
      </w:r>
      <w:bookmarkStart w:id="13" w:name="_Hlk90414396"/>
      <w:r w:rsidR="008F52B5">
        <w:rPr>
          <w:rFonts w:ascii="Calibri" w:hAnsi="Calibri" w:cs="Calibri"/>
          <w:sz w:val="24"/>
          <w:szCs w:val="24"/>
        </w:rPr>
        <w:t>PHPT</w:t>
      </w:r>
      <w:bookmarkEnd w:id="13"/>
      <w:r w:rsidR="00FD2484">
        <w:rPr>
          <w:rFonts w:ascii="Calibri" w:hAnsi="Calibri" w:cs="Calibri"/>
          <w:sz w:val="24"/>
          <w:szCs w:val="24"/>
        </w:rPr>
        <w:t xml:space="preserve"> </w:t>
      </w:r>
      <w:r w:rsidR="008F52B5">
        <w:rPr>
          <w:rFonts w:ascii="Calibri" w:hAnsi="Calibri" w:cs="Calibri"/>
          <w:sz w:val="24"/>
          <w:szCs w:val="24"/>
        </w:rPr>
        <w:t>t</w:t>
      </w:r>
      <w:r w:rsidR="008F7D21" w:rsidRPr="00803F1A">
        <w:rPr>
          <w:rFonts w:ascii="Calibri" w:hAnsi="Calibri" w:cs="Calibri"/>
          <w:sz w:val="24"/>
          <w:szCs w:val="24"/>
        </w:rPr>
        <w:t xml:space="preserve">hat are relevant for the calculation </w:t>
      </w:r>
      <w:r w:rsidR="00E3773A" w:rsidRPr="00803F1A">
        <w:rPr>
          <w:rFonts w:ascii="Calibri" w:hAnsi="Calibri" w:cs="Calibri"/>
          <w:sz w:val="24"/>
          <w:szCs w:val="24"/>
        </w:rPr>
        <w:t>of fracture</w:t>
      </w:r>
      <w:r w:rsidR="00D13185" w:rsidRPr="00803F1A">
        <w:rPr>
          <w:rFonts w:ascii="Calibri" w:hAnsi="Calibri" w:cs="Calibri"/>
          <w:sz w:val="24"/>
          <w:szCs w:val="24"/>
        </w:rPr>
        <w:t xml:space="preserve"> probability</w:t>
      </w:r>
      <w:r w:rsidR="008A006D" w:rsidRPr="00803F1A">
        <w:rPr>
          <w:rFonts w:ascii="Calibri" w:hAnsi="Calibri" w:cs="Calibri"/>
          <w:sz w:val="24"/>
          <w:szCs w:val="24"/>
        </w:rPr>
        <w:t xml:space="preserve">. </w:t>
      </w:r>
      <w:r w:rsidR="00A605EA" w:rsidRPr="00803F1A">
        <w:rPr>
          <w:rFonts w:ascii="Calibri" w:hAnsi="Calibri" w:cs="Calibri"/>
          <w:sz w:val="24"/>
          <w:szCs w:val="24"/>
        </w:rPr>
        <w:t xml:space="preserve"> The </w:t>
      </w:r>
      <w:r w:rsidR="00CE636C" w:rsidRPr="00803F1A">
        <w:rPr>
          <w:rFonts w:ascii="Calibri" w:hAnsi="Calibri" w:cs="Calibri"/>
          <w:sz w:val="24"/>
          <w:szCs w:val="24"/>
        </w:rPr>
        <w:t xml:space="preserve">risk of both hip fracture and other </w:t>
      </w:r>
      <w:r w:rsidR="00D65F70" w:rsidRPr="00803F1A">
        <w:rPr>
          <w:rFonts w:ascii="Calibri" w:hAnsi="Calibri" w:cs="Calibri"/>
          <w:sz w:val="24"/>
          <w:szCs w:val="24"/>
        </w:rPr>
        <w:t xml:space="preserve">major </w:t>
      </w:r>
      <w:r w:rsidR="00CE636C" w:rsidRPr="00803F1A">
        <w:rPr>
          <w:rFonts w:ascii="Calibri" w:hAnsi="Calibri" w:cs="Calibri"/>
          <w:sz w:val="24"/>
          <w:szCs w:val="24"/>
        </w:rPr>
        <w:t xml:space="preserve">osteoporotic fractures </w:t>
      </w:r>
      <w:r w:rsidR="00D65F70" w:rsidRPr="00803F1A">
        <w:rPr>
          <w:rFonts w:ascii="Calibri" w:hAnsi="Calibri" w:cs="Calibri"/>
          <w:sz w:val="24"/>
          <w:szCs w:val="24"/>
        </w:rPr>
        <w:t>was</w:t>
      </w:r>
      <w:r w:rsidR="00E3773A" w:rsidRPr="00803F1A">
        <w:rPr>
          <w:rFonts w:ascii="Calibri" w:hAnsi="Calibri" w:cs="Calibri"/>
          <w:sz w:val="24"/>
          <w:szCs w:val="24"/>
        </w:rPr>
        <w:t xml:space="preserve"> increased</w:t>
      </w:r>
      <w:r w:rsidR="00ED5777" w:rsidRPr="00803F1A">
        <w:rPr>
          <w:rFonts w:ascii="Calibri" w:hAnsi="Calibri" w:cs="Calibri"/>
          <w:sz w:val="24"/>
          <w:szCs w:val="24"/>
        </w:rPr>
        <w:t xml:space="preserve"> in line with the </w:t>
      </w:r>
      <w:r w:rsidR="00DB549C" w:rsidRPr="00803F1A">
        <w:rPr>
          <w:rFonts w:ascii="Calibri" w:hAnsi="Calibri" w:cs="Calibri"/>
          <w:sz w:val="24"/>
          <w:szCs w:val="24"/>
        </w:rPr>
        <w:t>published exp</w:t>
      </w:r>
      <w:r w:rsidR="007D5893" w:rsidRPr="00803F1A">
        <w:rPr>
          <w:rFonts w:ascii="Calibri" w:hAnsi="Calibri" w:cs="Calibri"/>
          <w:sz w:val="24"/>
          <w:szCs w:val="24"/>
        </w:rPr>
        <w:t>erience [</w:t>
      </w:r>
      <w:r w:rsidR="00686CDC">
        <w:rPr>
          <w:rFonts w:ascii="Calibri" w:hAnsi="Calibri" w:cs="Calibri"/>
          <w:sz w:val="24"/>
          <w:szCs w:val="24"/>
        </w:rPr>
        <w:t>10, 21</w:t>
      </w:r>
      <w:r w:rsidR="001C2C4C">
        <w:rPr>
          <w:rFonts w:ascii="Calibri" w:hAnsi="Calibri" w:cs="Calibri"/>
          <w:sz w:val="24"/>
          <w:szCs w:val="24"/>
        </w:rPr>
        <w:t>,</w:t>
      </w:r>
      <w:r w:rsidR="0047266F">
        <w:rPr>
          <w:rFonts w:ascii="Calibri" w:hAnsi="Calibri" w:cs="Calibri"/>
          <w:sz w:val="24"/>
          <w:szCs w:val="24"/>
        </w:rPr>
        <w:t xml:space="preserve"> </w:t>
      </w:r>
      <w:r w:rsidR="00686CDC" w:rsidRPr="00686CDC">
        <w:rPr>
          <w:rFonts w:ascii="Calibri" w:hAnsi="Calibri" w:cs="Calibri"/>
          <w:sz w:val="24"/>
          <w:szCs w:val="24"/>
        </w:rPr>
        <w:t>22</w:t>
      </w:r>
      <w:r w:rsidR="0047266F" w:rsidRPr="00686CDC">
        <w:rPr>
          <w:rFonts w:ascii="Calibri" w:hAnsi="Calibri" w:cs="Calibri"/>
          <w:sz w:val="24"/>
          <w:szCs w:val="24"/>
        </w:rPr>
        <w:t>,</w:t>
      </w:r>
      <w:r w:rsidR="0047266F">
        <w:rPr>
          <w:rFonts w:ascii="Calibri" w:hAnsi="Calibri" w:cs="Calibri"/>
          <w:sz w:val="24"/>
          <w:szCs w:val="24"/>
        </w:rPr>
        <w:t xml:space="preserve"> </w:t>
      </w:r>
      <w:r w:rsidR="00686CDC">
        <w:rPr>
          <w:rFonts w:ascii="Calibri" w:hAnsi="Calibri" w:cs="Calibri"/>
          <w:sz w:val="24"/>
          <w:szCs w:val="24"/>
        </w:rPr>
        <w:t>23</w:t>
      </w:r>
      <w:r w:rsidR="0047266F">
        <w:rPr>
          <w:rFonts w:ascii="Calibri" w:hAnsi="Calibri" w:cs="Calibri"/>
          <w:sz w:val="24"/>
          <w:szCs w:val="24"/>
        </w:rPr>
        <w:t xml:space="preserve">, </w:t>
      </w:r>
      <w:r w:rsidR="00686CDC">
        <w:rPr>
          <w:rFonts w:ascii="Calibri" w:hAnsi="Calibri" w:cs="Calibri"/>
          <w:sz w:val="24"/>
          <w:szCs w:val="24"/>
        </w:rPr>
        <w:t>24</w:t>
      </w:r>
      <w:r w:rsidR="00F20A11">
        <w:rPr>
          <w:rFonts w:ascii="Calibri" w:hAnsi="Calibri" w:cs="Calibri"/>
          <w:sz w:val="24"/>
          <w:szCs w:val="24"/>
        </w:rPr>
        <w:t xml:space="preserve">, </w:t>
      </w:r>
      <w:r w:rsidR="00686CDC">
        <w:rPr>
          <w:rFonts w:ascii="Calibri" w:hAnsi="Calibri" w:cs="Calibri"/>
          <w:sz w:val="24"/>
          <w:szCs w:val="24"/>
        </w:rPr>
        <w:t>25</w:t>
      </w:r>
      <w:r w:rsidR="00890CF5">
        <w:rPr>
          <w:rFonts w:ascii="Calibri" w:hAnsi="Calibri" w:cs="Calibri"/>
          <w:sz w:val="24"/>
          <w:szCs w:val="24"/>
        </w:rPr>
        <w:t>]</w:t>
      </w:r>
      <w:r w:rsidR="001A53E3" w:rsidRPr="00803F1A">
        <w:rPr>
          <w:rFonts w:ascii="Calibri" w:hAnsi="Calibri" w:cs="Calibri"/>
          <w:sz w:val="24"/>
          <w:szCs w:val="24"/>
        </w:rPr>
        <w:t xml:space="preserve">.  </w:t>
      </w:r>
      <w:r w:rsidR="00B6161C" w:rsidRPr="00803F1A">
        <w:rPr>
          <w:rFonts w:ascii="Calibri" w:hAnsi="Calibri" w:cs="Calibri"/>
          <w:sz w:val="24"/>
          <w:szCs w:val="24"/>
        </w:rPr>
        <w:t xml:space="preserve"> </w:t>
      </w:r>
      <w:r w:rsidR="00533A37" w:rsidRPr="00803F1A">
        <w:rPr>
          <w:rFonts w:ascii="Calibri" w:hAnsi="Calibri" w:cs="Calibri"/>
          <w:sz w:val="24"/>
          <w:szCs w:val="24"/>
        </w:rPr>
        <w:t xml:space="preserve"> </w:t>
      </w:r>
      <w:r w:rsidR="0003179E" w:rsidRPr="00803F1A">
        <w:rPr>
          <w:rFonts w:ascii="Calibri" w:hAnsi="Calibri" w:cs="Calibri"/>
          <w:sz w:val="24"/>
          <w:szCs w:val="24"/>
        </w:rPr>
        <w:t>It is notable that hazard ratios were less than those reported in early studies</w:t>
      </w:r>
      <w:r w:rsidR="00117BEB" w:rsidRPr="00803F1A">
        <w:rPr>
          <w:rFonts w:ascii="Calibri" w:hAnsi="Calibri" w:cs="Calibri"/>
          <w:sz w:val="24"/>
          <w:szCs w:val="24"/>
        </w:rPr>
        <w:t xml:space="preserve"> [</w:t>
      </w:r>
      <w:r w:rsidR="00C72155">
        <w:rPr>
          <w:rFonts w:ascii="Calibri" w:hAnsi="Calibri" w:cs="Calibri"/>
          <w:sz w:val="24"/>
          <w:szCs w:val="24"/>
        </w:rPr>
        <w:t>10</w:t>
      </w:r>
      <w:r w:rsidR="00890CF5">
        <w:rPr>
          <w:rFonts w:ascii="Calibri" w:hAnsi="Calibri" w:cs="Calibri"/>
          <w:sz w:val="24"/>
          <w:szCs w:val="24"/>
        </w:rPr>
        <w:t xml:space="preserve">] </w:t>
      </w:r>
      <w:r w:rsidR="00733F1B" w:rsidRPr="00803F1A">
        <w:rPr>
          <w:rFonts w:ascii="Calibri" w:hAnsi="Calibri" w:cs="Calibri"/>
          <w:sz w:val="24"/>
          <w:szCs w:val="24"/>
        </w:rPr>
        <w:t>but consistent with a recent study [</w:t>
      </w:r>
      <w:r w:rsidR="00C72155">
        <w:rPr>
          <w:rFonts w:ascii="Calibri" w:hAnsi="Calibri" w:cs="Calibri"/>
          <w:sz w:val="24"/>
          <w:szCs w:val="24"/>
        </w:rPr>
        <w:t>21</w:t>
      </w:r>
      <w:r w:rsidR="00890CF5">
        <w:rPr>
          <w:rFonts w:ascii="Calibri" w:hAnsi="Calibri" w:cs="Calibri"/>
          <w:sz w:val="24"/>
          <w:szCs w:val="24"/>
        </w:rPr>
        <w:t xml:space="preserve">] </w:t>
      </w:r>
      <w:r w:rsidR="00A72AC3" w:rsidRPr="00803F1A">
        <w:rPr>
          <w:rFonts w:ascii="Calibri" w:hAnsi="Calibri" w:cs="Calibri"/>
          <w:sz w:val="24"/>
          <w:szCs w:val="24"/>
        </w:rPr>
        <w:t>reflecting the increasing presentation of mil</w:t>
      </w:r>
      <w:r w:rsidR="0055312C" w:rsidRPr="00803F1A">
        <w:rPr>
          <w:rFonts w:ascii="Calibri" w:hAnsi="Calibri" w:cs="Calibri"/>
          <w:sz w:val="24"/>
          <w:szCs w:val="24"/>
        </w:rPr>
        <w:t xml:space="preserve">der cases of </w:t>
      </w:r>
      <w:r w:rsidR="00F22F57" w:rsidRPr="00F22F57">
        <w:rPr>
          <w:rFonts w:ascii="Calibri" w:hAnsi="Calibri" w:cs="Calibri"/>
          <w:sz w:val="24"/>
          <w:szCs w:val="24"/>
        </w:rPr>
        <w:t>PHPT</w:t>
      </w:r>
      <w:r w:rsidR="0055312C" w:rsidRPr="00803F1A">
        <w:rPr>
          <w:rFonts w:ascii="Calibri" w:hAnsi="Calibri" w:cs="Calibri"/>
          <w:sz w:val="24"/>
          <w:szCs w:val="24"/>
        </w:rPr>
        <w:t>.</w:t>
      </w:r>
      <w:r w:rsidR="00AD4554" w:rsidRPr="00803F1A">
        <w:rPr>
          <w:rFonts w:ascii="Calibri" w:hAnsi="Calibri" w:cs="Calibri"/>
          <w:sz w:val="24"/>
          <w:szCs w:val="24"/>
        </w:rPr>
        <w:t xml:space="preserve"> </w:t>
      </w:r>
      <w:r w:rsidR="0022609F" w:rsidRPr="00803F1A">
        <w:rPr>
          <w:rFonts w:ascii="Calibri" w:hAnsi="Calibri" w:cs="Calibri"/>
          <w:sz w:val="24"/>
          <w:szCs w:val="24"/>
        </w:rPr>
        <w:t xml:space="preserve">The present study also confirms that the risk of death </w:t>
      </w:r>
      <w:r w:rsidR="00CB35D2" w:rsidRPr="00803F1A">
        <w:rPr>
          <w:rFonts w:ascii="Calibri" w:hAnsi="Calibri" w:cs="Calibri"/>
          <w:sz w:val="24"/>
          <w:szCs w:val="24"/>
        </w:rPr>
        <w:t xml:space="preserve">is increased in </w:t>
      </w:r>
      <w:r w:rsidR="00A87E75" w:rsidRPr="00F22F57">
        <w:rPr>
          <w:rFonts w:ascii="Calibri" w:hAnsi="Calibri" w:cs="Calibri"/>
          <w:sz w:val="24"/>
          <w:szCs w:val="24"/>
        </w:rPr>
        <w:t>PHPT</w:t>
      </w:r>
      <w:r w:rsidR="00A87E75">
        <w:rPr>
          <w:rFonts w:ascii="Calibri" w:hAnsi="Calibri" w:cs="Calibri"/>
          <w:sz w:val="24"/>
          <w:szCs w:val="24"/>
        </w:rPr>
        <w:t xml:space="preserve">, </w:t>
      </w:r>
      <w:r w:rsidR="00A87E75" w:rsidRPr="00F22F57" w:rsidDel="00F22F57">
        <w:rPr>
          <w:rFonts w:ascii="Calibri" w:hAnsi="Calibri" w:cs="Calibri"/>
          <w:sz w:val="24"/>
          <w:szCs w:val="24"/>
        </w:rPr>
        <w:t>particularly</w:t>
      </w:r>
      <w:r w:rsidR="000C1516" w:rsidRPr="000C1516">
        <w:rPr>
          <w:rFonts w:ascii="Calibri" w:hAnsi="Calibri" w:cs="Calibri"/>
          <w:sz w:val="24"/>
          <w:szCs w:val="24"/>
        </w:rPr>
        <w:t xml:space="preserve"> in patients with the more severe </w:t>
      </w:r>
      <w:r w:rsidR="000C1516">
        <w:rPr>
          <w:rFonts w:ascii="Calibri" w:hAnsi="Calibri" w:cs="Calibri"/>
          <w:sz w:val="24"/>
          <w:szCs w:val="24"/>
        </w:rPr>
        <w:t>h</w:t>
      </w:r>
      <w:r w:rsidR="00CC5063">
        <w:rPr>
          <w:rFonts w:ascii="Calibri" w:hAnsi="Calibri" w:cs="Calibri"/>
          <w:sz w:val="24"/>
          <w:szCs w:val="24"/>
        </w:rPr>
        <w:t>ypercalcaemia</w:t>
      </w:r>
      <w:r w:rsidR="000C1516" w:rsidRPr="000C1516" w:rsidDel="00F22F57">
        <w:rPr>
          <w:rFonts w:ascii="Calibri" w:hAnsi="Calibri" w:cs="Calibri"/>
          <w:sz w:val="24"/>
          <w:szCs w:val="24"/>
        </w:rPr>
        <w:t xml:space="preserve"> </w:t>
      </w:r>
      <w:r w:rsidR="00282887" w:rsidRPr="00803F1A">
        <w:rPr>
          <w:rFonts w:ascii="Calibri" w:hAnsi="Calibri" w:cs="Calibri"/>
          <w:sz w:val="24"/>
          <w:szCs w:val="24"/>
        </w:rPr>
        <w:t>[</w:t>
      </w:r>
      <w:r w:rsidR="00C72155">
        <w:rPr>
          <w:rFonts w:ascii="Calibri" w:hAnsi="Calibri" w:cs="Calibri"/>
          <w:sz w:val="24"/>
          <w:szCs w:val="24"/>
        </w:rPr>
        <w:t xml:space="preserve">3, </w:t>
      </w:r>
      <w:r w:rsidR="00B040AC">
        <w:rPr>
          <w:rFonts w:ascii="Calibri" w:hAnsi="Calibri" w:cs="Calibri"/>
          <w:sz w:val="24"/>
          <w:szCs w:val="24"/>
        </w:rPr>
        <w:t>14</w:t>
      </w:r>
      <w:r w:rsidR="00C72155">
        <w:rPr>
          <w:rFonts w:ascii="Calibri" w:hAnsi="Calibri" w:cs="Calibri"/>
          <w:sz w:val="24"/>
          <w:szCs w:val="24"/>
        </w:rPr>
        <w:t>, 21, 26,</w:t>
      </w:r>
      <w:r w:rsidR="00617F2A" w:rsidRPr="0005482C">
        <w:rPr>
          <w:rFonts w:ascii="Calibri" w:hAnsi="Calibri" w:cs="Calibri"/>
          <w:sz w:val="24"/>
          <w:szCs w:val="24"/>
        </w:rPr>
        <w:t>]</w:t>
      </w:r>
      <w:r w:rsidR="00503A7F" w:rsidRPr="0005482C">
        <w:rPr>
          <w:rFonts w:ascii="Calibri" w:hAnsi="Calibri" w:cs="Calibri"/>
          <w:sz w:val="24"/>
          <w:szCs w:val="24"/>
        </w:rPr>
        <w:t>.</w:t>
      </w:r>
      <w:r w:rsidR="00503A7F" w:rsidRPr="00803F1A">
        <w:rPr>
          <w:rFonts w:ascii="Calibri" w:hAnsi="Calibri" w:cs="Calibri"/>
          <w:sz w:val="24"/>
          <w:szCs w:val="24"/>
        </w:rPr>
        <w:t xml:space="preserve"> </w:t>
      </w:r>
      <w:r w:rsidR="00617F2A" w:rsidRPr="00803F1A">
        <w:rPr>
          <w:rFonts w:ascii="Calibri" w:hAnsi="Calibri" w:cs="Calibri"/>
          <w:sz w:val="24"/>
          <w:szCs w:val="24"/>
        </w:rPr>
        <w:t xml:space="preserve"> </w:t>
      </w:r>
      <w:r w:rsidR="0055312C" w:rsidRPr="00803F1A">
        <w:rPr>
          <w:rFonts w:ascii="Calibri" w:hAnsi="Calibri" w:cs="Calibri"/>
          <w:sz w:val="24"/>
          <w:szCs w:val="24"/>
        </w:rPr>
        <w:t xml:space="preserve"> </w:t>
      </w:r>
      <w:r w:rsidR="000F5C8E" w:rsidRPr="00803F1A">
        <w:rPr>
          <w:rFonts w:ascii="Calibri" w:hAnsi="Calibri" w:cs="Calibri"/>
          <w:sz w:val="24"/>
          <w:szCs w:val="24"/>
        </w:rPr>
        <w:t>The increased</w:t>
      </w:r>
      <w:r w:rsidR="001A53E3" w:rsidRPr="00803F1A">
        <w:rPr>
          <w:rFonts w:ascii="Calibri" w:hAnsi="Calibri" w:cs="Calibri"/>
          <w:sz w:val="24"/>
          <w:szCs w:val="24"/>
        </w:rPr>
        <w:t xml:space="preserve"> </w:t>
      </w:r>
      <w:r w:rsidR="001A53E3" w:rsidRPr="00803F1A">
        <w:rPr>
          <w:rFonts w:ascii="Calibri" w:hAnsi="Calibri" w:cs="Calibri"/>
          <w:sz w:val="24"/>
          <w:szCs w:val="24"/>
        </w:rPr>
        <w:lastRenderedPageBreak/>
        <w:t xml:space="preserve">risk of death </w:t>
      </w:r>
      <w:r w:rsidR="005F2EA8" w:rsidRPr="00803F1A">
        <w:rPr>
          <w:rFonts w:ascii="Calibri" w:hAnsi="Calibri" w:cs="Calibri"/>
          <w:sz w:val="24"/>
          <w:szCs w:val="24"/>
        </w:rPr>
        <w:t xml:space="preserve">acts as a competing hazard </w:t>
      </w:r>
      <w:r w:rsidR="00DC0B7F" w:rsidRPr="00803F1A">
        <w:rPr>
          <w:rFonts w:ascii="Calibri" w:hAnsi="Calibri" w:cs="Calibri"/>
          <w:sz w:val="24"/>
          <w:szCs w:val="24"/>
        </w:rPr>
        <w:t>for</w:t>
      </w:r>
      <w:r w:rsidR="005F2EA8" w:rsidRPr="00803F1A">
        <w:rPr>
          <w:rFonts w:ascii="Calibri" w:hAnsi="Calibri" w:cs="Calibri"/>
          <w:sz w:val="24"/>
          <w:szCs w:val="24"/>
        </w:rPr>
        <w:t xml:space="preserve"> the calculation of fracture probability</w:t>
      </w:r>
      <w:r w:rsidR="00CA02E9" w:rsidRPr="00803F1A">
        <w:rPr>
          <w:rFonts w:ascii="Calibri" w:hAnsi="Calibri" w:cs="Calibri"/>
          <w:sz w:val="24"/>
          <w:szCs w:val="24"/>
        </w:rPr>
        <w:t xml:space="preserve"> </w:t>
      </w:r>
      <w:r w:rsidR="00EB49EA" w:rsidRPr="00803F1A">
        <w:rPr>
          <w:rFonts w:ascii="Calibri" w:hAnsi="Calibri" w:cs="Calibri"/>
          <w:sz w:val="24"/>
          <w:szCs w:val="24"/>
        </w:rPr>
        <w:t>but</w:t>
      </w:r>
      <w:r w:rsidR="00CA02E9" w:rsidRPr="00803F1A">
        <w:rPr>
          <w:rFonts w:ascii="Calibri" w:hAnsi="Calibri" w:cs="Calibri"/>
          <w:sz w:val="24"/>
          <w:szCs w:val="24"/>
        </w:rPr>
        <w:t xml:space="preserve"> in the present study</w:t>
      </w:r>
      <w:r w:rsidR="00EB49EA" w:rsidRPr="00803F1A">
        <w:rPr>
          <w:rFonts w:ascii="Calibri" w:hAnsi="Calibri" w:cs="Calibri"/>
          <w:sz w:val="24"/>
          <w:szCs w:val="24"/>
        </w:rPr>
        <w:t xml:space="preserve">, </w:t>
      </w:r>
      <w:r w:rsidR="00156715" w:rsidRPr="00803F1A">
        <w:rPr>
          <w:rFonts w:ascii="Calibri" w:hAnsi="Calibri" w:cs="Calibri"/>
          <w:sz w:val="24"/>
          <w:szCs w:val="24"/>
        </w:rPr>
        <w:t>fracture</w:t>
      </w:r>
      <w:r w:rsidR="00EB49EA" w:rsidRPr="00803F1A">
        <w:rPr>
          <w:rFonts w:ascii="Calibri" w:hAnsi="Calibri" w:cs="Calibri"/>
          <w:sz w:val="24"/>
          <w:szCs w:val="24"/>
        </w:rPr>
        <w:t xml:space="preserve"> probabilities were </w:t>
      </w:r>
      <w:r w:rsidR="00EA2796" w:rsidRPr="00803F1A">
        <w:rPr>
          <w:rFonts w:ascii="Calibri" w:hAnsi="Calibri" w:cs="Calibri"/>
          <w:sz w:val="24"/>
          <w:szCs w:val="24"/>
        </w:rPr>
        <w:t xml:space="preserve">still higher in patients with </w:t>
      </w:r>
      <w:r w:rsidR="00F22F57" w:rsidRPr="00F22F57">
        <w:rPr>
          <w:rFonts w:ascii="Calibri" w:hAnsi="Calibri" w:cs="Calibri"/>
          <w:sz w:val="24"/>
          <w:szCs w:val="24"/>
        </w:rPr>
        <w:t>PHPT</w:t>
      </w:r>
      <w:r w:rsidR="00F22F57" w:rsidRPr="00F22F57" w:rsidDel="00F22F57">
        <w:rPr>
          <w:rFonts w:ascii="Calibri" w:hAnsi="Calibri" w:cs="Calibri"/>
          <w:sz w:val="24"/>
          <w:szCs w:val="24"/>
        </w:rPr>
        <w:t xml:space="preserve"> </w:t>
      </w:r>
      <w:r w:rsidR="00EA2796" w:rsidRPr="00803F1A">
        <w:rPr>
          <w:rFonts w:ascii="Calibri" w:hAnsi="Calibri" w:cs="Calibri"/>
          <w:sz w:val="24"/>
          <w:szCs w:val="24"/>
        </w:rPr>
        <w:t xml:space="preserve">than in </w:t>
      </w:r>
      <w:r w:rsidR="001F11D5" w:rsidRPr="00803F1A">
        <w:rPr>
          <w:rFonts w:ascii="Calibri" w:hAnsi="Calibri" w:cs="Calibri"/>
          <w:sz w:val="24"/>
          <w:szCs w:val="24"/>
        </w:rPr>
        <w:t>population-based</w:t>
      </w:r>
      <w:r w:rsidR="00EA2796" w:rsidRPr="00803F1A">
        <w:rPr>
          <w:rFonts w:ascii="Calibri" w:hAnsi="Calibri" w:cs="Calibri"/>
          <w:sz w:val="24"/>
          <w:szCs w:val="24"/>
        </w:rPr>
        <w:t xml:space="preserve"> </w:t>
      </w:r>
      <w:r w:rsidR="00E5598B" w:rsidRPr="00803F1A">
        <w:rPr>
          <w:rFonts w:ascii="Calibri" w:hAnsi="Calibri" w:cs="Calibri"/>
          <w:sz w:val="24"/>
          <w:szCs w:val="24"/>
        </w:rPr>
        <w:t xml:space="preserve">controls. </w:t>
      </w:r>
      <w:r w:rsidR="00F4213E" w:rsidRPr="00803F1A">
        <w:rPr>
          <w:rFonts w:ascii="Calibri" w:hAnsi="Calibri" w:cs="Calibri"/>
          <w:sz w:val="24"/>
          <w:szCs w:val="24"/>
        </w:rPr>
        <w:t xml:space="preserve"> </w:t>
      </w:r>
      <w:r w:rsidR="0034634D" w:rsidRPr="00803F1A">
        <w:rPr>
          <w:rFonts w:ascii="Calibri" w:hAnsi="Calibri" w:cs="Calibri"/>
          <w:sz w:val="24"/>
          <w:szCs w:val="24"/>
        </w:rPr>
        <w:t xml:space="preserve">However, cases had a higher </w:t>
      </w:r>
      <w:r w:rsidR="00B71AF7" w:rsidRPr="00803F1A">
        <w:rPr>
          <w:rFonts w:ascii="Calibri" w:hAnsi="Calibri" w:cs="Calibri"/>
          <w:sz w:val="24"/>
          <w:szCs w:val="24"/>
        </w:rPr>
        <w:t xml:space="preserve">recent history of fracture than controls </w:t>
      </w:r>
      <w:r w:rsidR="00B13285" w:rsidRPr="00803F1A">
        <w:rPr>
          <w:rFonts w:ascii="Calibri" w:hAnsi="Calibri" w:cs="Calibri"/>
          <w:sz w:val="24"/>
          <w:szCs w:val="24"/>
        </w:rPr>
        <w:t>(11.4 vs. 8.3 %</w:t>
      </w:r>
      <w:r w:rsidR="005A7F04" w:rsidRPr="00803F1A">
        <w:rPr>
          <w:rFonts w:ascii="Calibri" w:hAnsi="Calibri" w:cs="Calibri"/>
          <w:sz w:val="24"/>
          <w:szCs w:val="24"/>
        </w:rPr>
        <w:t xml:space="preserve">, </w:t>
      </w:r>
      <w:r w:rsidR="00EF1BF9" w:rsidRPr="00803F1A">
        <w:rPr>
          <w:rFonts w:ascii="Calibri" w:hAnsi="Calibri" w:cs="Calibri"/>
          <w:sz w:val="24"/>
          <w:szCs w:val="24"/>
        </w:rPr>
        <w:t>respectively) and</w:t>
      </w:r>
      <w:r w:rsidR="00B71AF7" w:rsidRPr="00803F1A">
        <w:rPr>
          <w:rFonts w:ascii="Calibri" w:hAnsi="Calibri" w:cs="Calibri"/>
          <w:sz w:val="24"/>
          <w:szCs w:val="24"/>
        </w:rPr>
        <w:t xml:space="preserve"> a prior fracture </w:t>
      </w:r>
      <w:r w:rsidR="002F2A1F" w:rsidRPr="00803F1A">
        <w:rPr>
          <w:rFonts w:ascii="Calibri" w:hAnsi="Calibri" w:cs="Calibri"/>
          <w:sz w:val="24"/>
          <w:szCs w:val="24"/>
        </w:rPr>
        <w:t>has</w:t>
      </w:r>
      <w:r w:rsidR="001F11D5" w:rsidRPr="00803F1A">
        <w:rPr>
          <w:rFonts w:ascii="Calibri" w:hAnsi="Calibri" w:cs="Calibri"/>
          <w:sz w:val="24"/>
          <w:szCs w:val="24"/>
        </w:rPr>
        <w:t xml:space="preserve"> a </w:t>
      </w:r>
      <w:r w:rsidR="00A45DD2" w:rsidRPr="00803F1A">
        <w:rPr>
          <w:rFonts w:ascii="Calibri" w:hAnsi="Calibri" w:cs="Calibri"/>
          <w:sz w:val="24"/>
          <w:szCs w:val="24"/>
        </w:rPr>
        <w:t>well-established</w:t>
      </w:r>
      <w:r w:rsidR="002F2A1F" w:rsidRPr="00803F1A">
        <w:rPr>
          <w:rFonts w:ascii="Calibri" w:hAnsi="Calibri" w:cs="Calibri"/>
          <w:sz w:val="24"/>
          <w:szCs w:val="24"/>
        </w:rPr>
        <w:t xml:space="preserve"> independent effect on fracture probability</w:t>
      </w:r>
      <w:r w:rsidR="00EE132E" w:rsidRPr="00803F1A">
        <w:rPr>
          <w:rFonts w:ascii="Calibri" w:hAnsi="Calibri" w:cs="Calibri"/>
          <w:sz w:val="24"/>
          <w:szCs w:val="24"/>
        </w:rPr>
        <w:t xml:space="preserve"> [</w:t>
      </w:r>
      <w:r w:rsidR="00B040AC">
        <w:rPr>
          <w:rFonts w:ascii="Calibri" w:hAnsi="Calibri" w:cs="Calibri"/>
          <w:sz w:val="24"/>
          <w:szCs w:val="24"/>
        </w:rPr>
        <w:t>7</w:t>
      </w:r>
      <w:r w:rsidR="0091738B">
        <w:rPr>
          <w:rFonts w:ascii="Calibri" w:hAnsi="Calibri" w:cs="Calibri"/>
          <w:sz w:val="24"/>
          <w:szCs w:val="24"/>
        </w:rPr>
        <w:t>,</w:t>
      </w:r>
      <w:r w:rsidR="00195294">
        <w:rPr>
          <w:rFonts w:ascii="Calibri" w:hAnsi="Calibri" w:cs="Calibri"/>
          <w:sz w:val="24"/>
          <w:szCs w:val="24"/>
        </w:rPr>
        <w:t xml:space="preserve"> </w:t>
      </w:r>
      <w:r w:rsidR="00195294" w:rsidRPr="0005482C">
        <w:rPr>
          <w:rFonts w:ascii="Calibri" w:hAnsi="Calibri" w:cs="Calibri"/>
          <w:sz w:val="24"/>
          <w:szCs w:val="24"/>
        </w:rPr>
        <w:t>2</w:t>
      </w:r>
      <w:r w:rsidR="00B040AC">
        <w:rPr>
          <w:rFonts w:ascii="Calibri" w:hAnsi="Calibri" w:cs="Calibri"/>
          <w:sz w:val="24"/>
          <w:szCs w:val="24"/>
        </w:rPr>
        <w:t>7</w:t>
      </w:r>
      <w:r w:rsidR="0005482C">
        <w:rPr>
          <w:rFonts w:ascii="Calibri" w:hAnsi="Calibri" w:cs="Calibri"/>
          <w:sz w:val="24"/>
          <w:szCs w:val="24"/>
        </w:rPr>
        <w:t xml:space="preserve">].  </w:t>
      </w:r>
      <w:r w:rsidR="00504F57" w:rsidRPr="00803F1A">
        <w:rPr>
          <w:rFonts w:ascii="Calibri" w:hAnsi="Calibri" w:cs="Calibri"/>
          <w:sz w:val="24"/>
          <w:szCs w:val="24"/>
        </w:rPr>
        <w:t xml:space="preserve">When </w:t>
      </w:r>
      <w:r w:rsidR="00504F57">
        <w:rPr>
          <w:rFonts w:ascii="Calibri" w:hAnsi="Calibri" w:cs="Calibri"/>
          <w:sz w:val="24"/>
          <w:szCs w:val="24"/>
        </w:rPr>
        <w:t xml:space="preserve">probabilities from </w:t>
      </w:r>
      <w:r w:rsidR="00504F57" w:rsidRPr="00803F1A">
        <w:rPr>
          <w:rFonts w:ascii="Calibri" w:hAnsi="Calibri" w:cs="Calibri"/>
          <w:sz w:val="24"/>
          <w:szCs w:val="24"/>
        </w:rPr>
        <w:t xml:space="preserve">cases and controls </w:t>
      </w:r>
      <w:r w:rsidR="00504F57">
        <w:rPr>
          <w:rFonts w:ascii="Calibri" w:hAnsi="Calibri" w:cs="Calibri"/>
          <w:sz w:val="24"/>
          <w:szCs w:val="24"/>
        </w:rPr>
        <w:t>were compared setting a</w:t>
      </w:r>
      <w:r w:rsidR="00504F57" w:rsidRPr="00803F1A">
        <w:rPr>
          <w:rFonts w:ascii="Calibri" w:hAnsi="Calibri" w:cs="Calibri"/>
          <w:sz w:val="24"/>
          <w:szCs w:val="24"/>
        </w:rPr>
        <w:t xml:space="preserve"> recent history of fracture </w:t>
      </w:r>
      <w:r w:rsidR="00504F57">
        <w:rPr>
          <w:rFonts w:ascii="Calibri" w:hAnsi="Calibri" w:cs="Calibri"/>
          <w:sz w:val="24"/>
          <w:szCs w:val="24"/>
        </w:rPr>
        <w:t xml:space="preserve">to </w:t>
      </w:r>
      <w:r w:rsidR="0065410A">
        <w:rPr>
          <w:rFonts w:ascii="Calibri" w:hAnsi="Calibri" w:cs="Calibri"/>
          <w:sz w:val="24"/>
          <w:szCs w:val="24"/>
        </w:rPr>
        <w:t>‘</w:t>
      </w:r>
      <w:r w:rsidR="00504F57">
        <w:rPr>
          <w:rFonts w:ascii="Calibri" w:hAnsi="Calibri" w:cs="Calibri"/>
          <w:sz w:val="24"/>
          <w:szCs w:val="24"/>
        </w:rPr>
        <w:t>no</w:t>
      </w:r>
      <w:r w:rsidR="0065410A">
        <w:rPr>
          <w:rFonts w:ascii="Calibri" w:hAnsi="Calibri" w:cs="Calibri"/>
          <w:sz w:val="24"/>
          <w:szCs w:val="24"/>
        </w:rPr>
        <w:t>’</w:t>
      </w:r>
      <w:r w:rsidR="0074342C" w:rsidRPr="00803F1A">
        <w:rPr>
          <w:rFonts w:ascii="Calibri" w:hAnsi="Calibri" w:cs="Calibri"/>
          <w:sz w:val="24"/>
          <w:szCs w:val="24"/>
        </w:rPr>
        <w:t xml:space="preserve">, the differences in fracture probability were </w:t>
      </w:r>
      <w:r w:rsidR="00551B43">
        <w:rPr>
          <w:rFonts w:ascii="Calibri" w:hAnsi="Calibri" w:cs="Calibri"/>
          <w:sz w:val="24"/>
          <w:szCs w:val="24"/>
        </w:rPr>
        <w:t>similar</w:t>
      </w:r>
      <w:r w:rsidR="00A75D04" w:rsidRPr="00803F1A">
        <w:rPr>
          <w:rFonts w:ascii="Calibri" w:hAnsi="Calibri" w:cs="Calibri"/>
          <w:sz w:val="24"/>
          <w:szCs w:val="24"/>
        </w:rPr>
        <w:t xml:space="preserve">.  </w:t>
      </w:r>
      <w:r w:rsidR="006626E5" w:rsidRPr="00803F1A">
        <w:rPr>
          <w:rFonts w:ascii="Calibri" w:hAnsi="Calibri" w:cs="Calibri"/>
          <w:sz w:val="24"/>
          <w:szCs w:val="24"/>
        </w:rPr>
        <w:t xml:space="preserve">Had we been able to </w:t>
      </w:r>
      <w:r w:rsidR="00A75D04" w:rsidRPr="00803F1A">
        <w:rPr>
          <w:rFonts w:ascii="Calibri" w:hAnsi="Calibri" w:cs="Calibri"/>
          <w:sz w:val="24"/>
          <w:szCs w:val="24"/>
        </w:rPr>
        <w:t xml:space="preserve">adjust for other </w:t>
      </w:r>
      <w:r w:rsidR="006626E5" w:rsidRPr="00803F1A">
        <w:rPr>
          <w:rFonts w:ascii="Calibri" w:hAnsi="Calibri" w:cs="Calibri"/>
          <w:sz w:val="24"/>
          <w:szCs w:val="24"/>
        </w:rPr>
        <w:t>clinical</w:t>
      </w:r>
      <w:r w:rsidR="00A75D04" w:rsidRPr="00803F1A">
        <w:rPr>
          <w:rFonts w:ascii="Calibri" w:hAnsi="Calibri" w:cs="Calibri"/>
          <w:sz w:val="24"/>
          <w:szCs w:val="24"/>
        </w:rPr>
        <w:t xml:space="preserve"> </w:t>
      </w:r>
      <w:r w:rsidR="006626E5" w:rsidRPr="00803F1A">
        <w:rPr>
          <w:rFonts w:ascii="Calibri" w:hAnsi="Calibri" w:cs="Calibri"/>
          <w:sz w:val="24"/>
          <w:szCs w:val="24"/>
        </w:rPr>
        <w:t>risk factors</w:t>
      </w:r>
      <w:r w:rsidR="007819AA" w:rsidRPr="00803F1A">
        <w:rPr>
          <w:rFonts w:ascii="Calibri" w:hAnsi="Calibri" w:cs="Calibri"/>
          <w:sz w:val="24"/>
          <w:szCs w:val="24"/>
        </w:rPr>
        <w:t xml:space="preserve">, it is </w:t>
      </w:r>
      <w:r w:rsidR="00A91D00">
        <w:rPr>
          <w:rFonts w:ascii="Calibri" w:hAnsi="Calibri" w:cs="Calibri"/>
          <w:sz w:val="24"/>
          <w:szCs w:val="24"/>
        </w:rPr>
        <w:t>possible</w:t>
      </w:r>
      <w:r w:rsidR="007819AA" w:rsidRPr="00803F1A">
        <w:rPr>
          <w:rFonts w:ascii="Calibri" w:hAnsi="Calibri" w:cs="Calibri"/>
          <w:sz w:val="24"/>
          <w:szCs w:val="24"/>
        </w:rPr>
        <w:t xml:space="preserve"> that differences in fracture probability would have been less</w:t>
      </w:r>
      <w:r w:rsidR="00DB6171" w:rsidRPr="00803F1A">
        <w:rPr>
          <w:rFonts w:ascii="Calibri" w:hAnsi="Calibri" w:cs="Calibri"/>
          <w:sz w:val="24"/>
          <w:szCs w:val="24"/>
        </w:rPr>
        <w:t>.</w:t>
      </w:r>
      <w:r w:rsidR="00EE132E" w:rsidRPr="00803F1A">
        <w:rPr>
          <w:rFonts w:ascii="Calibri" w:hAnsi="Calibri" w:cs="Calibri"/>
          <w:sz w:val="24"/>
          <w:szCs w:val="24"/>
        </w:rPr>
        <w:t xml:space="preserve"> </w:t>
      </w:r>
      <w:r w:rsidR="00FC1279">
        <w:rPr>
          <w:rFonts w:ascii="Calibri" w:hAnsi="Calibri" w:cs="Calibri"/>
          <w:sz w:val="24"/>
          <w:szCs w:val="24"/>
        </w:rPr>
        <w:t xml:space="preserve">  </w:t>
      </w:r>
    </w:p>
    <w:p w14:paraId="4DAB716B" w14:textId="332B5FC4" w:rsidR="00CF0DBE" w:rsidRPr="00803F1A" w:rsidRDefault="00A63C41" w:rsidP="00803F1A">
      <w:pPr>
        <w:spacing w:line="276" w:lineRule="auto"/>
        <w:rPr>
          <w:rFonts w:ascii="Calibri" w:hAnsi="Calibri" w:cs="Calibri"/>
          <w:sz w:val="24"/>
          <w:szCs w:val="24"/>
        </w:rPr>
      </w:pPr>
      <w:r w:rsidRPr="00803F1A">
        <w:rPr>
          <w:rFonts w:ascii="Calibri" w:hAnsi="Calibri" w:cs="Calibri"/>
          <w:sz w:val="24"/>
          <w:szCs w:val="24"/>
        </w:rPr>
        <w:t>The presen</w:t>
      </w:r>
      <w:r w:rsidR="005C12D3" w:rsidRPr="00803F1A">
        <w:rPr>
          <w:rFonts w:ascii="Calibri" w:hAnsi="Calibri" w:cs="Calibri"/>
          <w:sz w:val="24"/>
          <w:szCs w:val="24"/>
        </w:rPr>
        <w:t>tation of fracture probabilities in the present study differs from FRAX i</w:t>
      </w:r>
      <w:r w:rsidR="00671465" w:rsidRPr="00803F1A">
        <w:rPr>
          <w:rFonts w:ascii="Calibri" w:hAnsi="Calibri" w:cs="Calibri"/>
          <w:sz w:val="24"/>
          <w:szCs w:val="24"/>
        </w:rPr>
        <w:t xml:space="preserve">n that full </w:t>
      </w:r>
      <w:r w:rsidR="00ED2D65" w:rsidRPr="00803F1A">
        <w:rPr>
          <w:rFonts w:ascii="Calibri" w:hAnsi="Calibri" w:cs="Calibri"/>
          <w:sz w:val="24"/>
          <w:szCs w:val="24"/>
        </w:rPr>
        <w:t>account</w:t>
      </w:r>
      <w:r w:rsidR="00671465" w:rsidRPr="00803F1A">
        <w:rPr>
          <w:rFonts w:ascii="Calibri" w:hAnsi="Calibri" w:cs="Calibri"/>
          <w:sz w:val="24"/>
          <w:szCs w:val="24"/>
        </w:rPr>
        <w:t xml:space="preserve"> cannot be made of additional risk factor</w:t>
      </w:r>
      <w:r w:rsidR="00ED2D65" w:rsidRPr="00803F1A">
        <w:rPr>
          <w:rFonts w:ascii="Calibri" w:hAnsi="Calibri" w:cs="Calibri"/>
          <w:sz w:val="24"/>
          <w:szCs w:val="24"/>
        </w:rPr>
        <w:t>s</w:t>
      </w:r>
      <w:r w:rsidR="00671465" w:rsidRPr="00803F1A">
        <w:rPr>
          <w:rFonts w:ascii="Calibri" w:hAnsi="Calibri" w:cs="Calibri"/>
          <w:sz w:val="24"/>
          <w:szCs w:val="24"/>
        </w:rPr>
        <w:t xml:space="preserve"> that contribute to fracture probability</w:t>
      </w:r>
      <w:r w:rsidR="00ED2D65" w:rsidRPr="00803F1A">
        <w:rPr>
          <w:rFonts w:ascii="Calibri" w:hAnsi="Calibri" w:cs="Calibri"/>
          <w:sz w:val="24"/>
          <w:szCs w:val="24"/>
        </w:rPr>
        <w:t xml:space="preserve"> in </w:t>
      </w:r>
      <w:r w:rsidR="00053CBE" w:rsidRPr="00803F1A">
        <w:rPr>
          <w:rFonts w:ascii="Calibri" w:hAnsi="Calibri" w:cs="Calibri"/>
          <w:sz w:val="24"/>
          <w:szCs w:val="24"/>
        </w:rPr>
        <w:t xml:space="preserve">FRAX models.  We </w:t>
      </w:r>
      <w:r w:rsidR="00B93D46" w:rsidRPr="00803F1A">
        <w:rPr>
          <w:rFonts w:ascii="Calibri" w:hAnsi="Calibri" w:cs="Calibri"/>
          <w:sz w:val="24"/>
          <w:szCs w:val="24"/>
        </w:rPr>
        <w:t>could,</w:t>
      </w:r>
      <w:r w:rsidR="00053CBE" w:rsidRPr="00803F1A">
        <w:rPr>
          <w:rFonts w:ascii="Calibri" w:hAnsi="Calibri" w:cs="Calibri"/>
          <w:sz w:val="24"/>
          <w:szCs w:val="24"/>
        </w:rPr>
        <w:t xml:space="preserve"> </w:t>
      </w:r>
      <w:r w:rsidR="00E076D3" w:rsidRPr="00803F1A">
        <w:rPr>
          <w:rFonts w:ascii="Calibri" w:hAnsi="Calibri" w:cs="Calibri"/>
          <w:sz w:val="24"/>
          <w:szCs w:val="24"/>
        </w:rPr>
        <w:t>however, characterise the effect of BMD</w:t>
      </w:r>
      <w:r w:rsidR="000603AA" w:rsidRPr="00803F1A">
        <w:rPr>
          <w:rFonts w:ascii="Calibri" w:hAnsi="Calibri" w:cs="Calibri"/>
          <w:sz w:val="24"/>
          <w:szCs w:val="24"/>
        </w:rPr>
        <w:t xml:space="preserve">.  The </w:t>
      </w:r>
      <w:r w:rsidR="00D6279C" w:rsidRPr="00803F1A">
        <w:rPr>
          <w:rFonts w:ascii="Calibri" w:hAnsi="Calibri" w:cs="Calibri"/>
          <w:sz w:val="24"/>
          <w:szCs w:val="24"/>
        </w:rPr>
        <w:t xml:space="preserve">relationship between </w:t>
      </w:r>
      <w:r w:rsidR="00AE433E" w:rsidRPr="00803F1A">
        <w:rPr>
          <w:rFonts w:ascii="Calibri" w:hAnsi="Calibri" w:cs="Calibri"/>
          <w:sz w:val="24"/>
          <w:szCs w:val="24"/>
        </w:rPr>
        <w:t xml:space="preserve">differences in </w:t>
      </w:r>
      <w:r w:rsidR="00B93D46" w:rsidRPr="00803F1A">
        <w:rPr>
          <w:rFonts w:ascii="Calibri" w:hAnsi="Calibri" w:cs="Calibri"/>
          <w:sz w:val="24"/>
          <w:szCs w:val="24"/>
        </w:rPr>
        <w:t>femoral neck BMD</w:t>
      </w:r>
      <w:r w:rsidR="006D3090" w:rsidRPr="00803F1A">
        <w:rPr>
          <w:rFonts w:ascii="Calibri" w:hAnsi="Calibri" w:cs="Calibri"/>
          <w:sz w:val="24"/>
          <w:szCs w:val="24"/>
        </w:rPr>
        <w:t xml:space="preserve"> and </w:t>
      </w:r>
      <w:r w:rsidR="00192FD9" w:rsidRPr="00803F1A">
        <w:rPr>
          <w:rFonts w:ascii="Calibri" w:hAnsi="Calibri" w:cs="Calibri"/>
          <w:sz w:val="24"/>
          <w:szCs w:val="24"/>
        </w:rPr>
        <w:t xml:space="preserve">differences in </w:t>
      </w:r>
      <w:r w:rsidR="00D6279C" w:rsidRPr="00803F1A">
        <w:rPr>
          <w:rFonts w:ascii="Calibri" w:hAnsi="Calibri" w:cs="Calibri"/>
          <w:sz w:val="24"/>
          <w:szCs w:val="24"/>
        </w:rPr>
        <w:t>fracture incidence</w:t>
      </w:r>
      <w:r w:rsidR="00192FD9" w:rsidRPr="00803F1A">
        <w:rPr>
          <w:rFonts w:ascii="Calibri" w:hAnsi="Calibri" w:cs="Calibri"/>
          <w:sz w:val="24"/>
          <w:szCs w:val="24"/>
        </w:rPr>
        <w:t>, termed the gradient of risk,</w:t>
      </w:r>
      <w:r w:rsidR="006D3090" w:rsidRPr="00803F1A">
        <w:rPr>
          <w:rFonts w:ascii="Calibri" w:hAnsi="Calibri" w:cs="Calibri"/>
          <w:sz w:val="24"/>
          <w:szCs w:val="24"/>
        </w:rPr>
        <w:t xml:space="preserve"> was very similar in </w:t>
      </w:r>
      <w:r w:rsidR="00551C18" w:rsidRPr="00551C18">
        <w:rPr>
          <w:rFonts w:ascii="Calibri" w:hAnsi="Calibri" w:cs="Calibri"/>
          <w:sz w:val="24"/>
          <w:szCs w:val="24"/>
        </w:rPr>
        <w:t>PHPT</w:t>
      </w:r>
      <w:r w:rsidR="00551C18" w:rsidRPr="00551C18" w:rsidDel="00551C18">
        <w:rPr>
          <w:rFonts w:ascii="Calibri" w:hAnsi="Calibri" w:cs="Calibri"/>
          <w:sz w:val="24"/>
          <w:szCs w:val="24"/>
        </w:rPr>
        <w:t xml:space="preserve"> </w:t>
      </w:r>
      <w:r w:rsidR="006D3090" w:rsidRPr="00803F1A">
        <w:rPr>
          <w:rFonts w:ascii="Calibri" w:hAnsi="Calibri" w:cs="Calibri"/>
          <w:sz w:val="24"/>
          <w:szCs w:val="24"/>
        </w:rPr>
        <w:t>to that of the BMD controls</w:t>
      </w:r>
      <w:r w:rsidR="00770805" w:rsidRPr="00803F1A">
        <w:rPr>
          <w:rFonts w:ascii="Calibri" w:hAnsi="Calibri" w:cs="Calibri"/>
          <w:sz w:val="24"/>
          <w:szCs w:val="24"/>
        </w:rPr>
        <w:t xml:space="preserve">.  </w:t>
      </w:r>
      <w:r w:rsidR="00B62D18" w:rsidRPr="00803F1A">
        <w:rPr>
          <w:rFonts w:ascii="Calibri" w:hAnsi="Calibri" w:cs="Calibri"/>
          <w:sz w:val="24"/>
          <w:szCs w:val="24"/>
        </w:rPr>
        <w:t>Notwithstanding, for any given BMD, the fracture risk was higher than that seen in the BMD control</w:t>
      </w:r>
      <w:r w:rsidR="00B62D18">
        <w:rPr>
          <w:rFonts w:ascii="Calibri" w:hAnsi="Calibri" w:cs="Calibri"/>
          <w:sz w:val="24"/>
          <w:szCs w:val="24"/>
        </w:rPr>
        <w:t xml:space="preserve">s in keeping with </w:t>
      </w:r>
      <w:r w:rsidR="00B62D18" w:rsidRPr="00803F1A">
        <w:rPr>
          <w:rFonts w:ascii="Calibri" w:hAnsi="Calibri" w:cs="Calibri"/>
          <w:sz w:val="24"/>
          <w:szCs w:val="24"/>
        </w:rPr>
        <w:t>a view that the quality of bone</w:t>
      </w:r>
      <w:r w:rsidR="00B62D18">
        <w:rPr>
          <w:rFonts w:ascii="Calibri" w:hAnsi="Calibri" w:cs="Calibri"/>
          <w:sz w:val="24"/>
          <w:szCs w:val="24"/>
        </w:rPr>
        <w:t xml:space="preserve"> in PHPT</w:t>
      </w:r>
      <w:r w:rsidR="00B62D18" w:rsidRPr="00803F1A">
        <w:rPr>
          <w:rFonts w:ascii="Calibri" w:hAnsi="Calibri" w:cs="Calibri"/>
          <w:sz w:val="24"/>
          <w:szCs w:val="24"/>
        </w:rPr>
        <w:t xml:space="preserve"> is impaired in compariso</w:t>
      </w:r>
      <w:r w:rsidR="00B62D18">
        <w:rPr>
          <w:rFonts w:ascii="Calibri" w:hAnsi="Calibri" w:cs="Calibri"/>
          <w:sz w:val="24"/>
          <w:szCs w:val="24"/>
        </w:rPr>
        <w:t>n</w:t>
      </w:r>
      <w:r w:rsidR="00B62D18" w:rsidRPr="00803F1A">
        <w:rPr>
          <w:rFonts w:ascii="Calibri" w:hAnsi="Calibri" w:cs="Calibri"/>
          <w:sz w:val="24"/>
          <w:szCs w:val="24"/>
        </w:rPr>
        <w:t xml:space="preserve"> with the controls </w:t>
      </w:r>
      <w:r w:rsidR="00A979C4">
        <w:rPr>
          <w:rFonts w:ascii="Calibri" w:hAnsi="Calibri" w:cs="Calibri"/>
          <w:sz w:val="24"/>
          <w:szCs w:val="24"/>
        </w:rPr>
        <w:t>[</w:t>
      </w:r>
      <w:r w:rsidR="00B040AC">
        <w:rPr>
          <w:rFonts w:ascii="Calibri" w:hAnsi="Calibri" w:cs="Calibri"/>
          <w:sz w:val="24"/>
          <w:szCs w:val="24"/>
        </w:rPr>
        <w:t xml:space="preserve">28, 29, </w:t>
      </w:r>
      <w:r w:rsidR="00B040AC" w:rsidRPr="00A979C4">
        <w:rPr>
          <w:rFonts w:ascii="Calibri" w:hAnsi="Calibri" w:cs="Calibri"/>
          <w:sz w:val="24"/>
          <w:szCs w:val="24"/>
        </w:rPr>
        <w:t>30</w:t>
      </w:r>
      <w:r w:rsidR="00E429FF" w:rsidRPr="00A979C4">
        <w:rPr>
          <w:rFonts w:ascii="Calibri" w:hAnsi="Calibri" w:cs="Calibri"/>
          <w:sz w:val="24"/>
          <w:szCs w:val="24"/>
        </w:rPr>
        <w:t>]</w:t>
      </w:r>
      <w:r w:rsidR="00B62D18" w:rsidRPr="00A979C4">
        <w:rPr>
          <w:rFonts w:ascii="Calibri" w:hAnsi="Calibri" w:cs="Calibri"/>
          <w:sz w:val="24"/>
          <w:szCs w:val="24"/>
        </w:rPr>
        <w:t>.</w:t>
      </w:r>
      <w:r w:rsidR="00B62D18" w:rsidRPr="00803F1A">
        <w:rPr>
          <w:rFonts w:ascii="Calibri" w:hAnsi="Calibri" w:cs="Calibri"/>
          <w:sz w:val="24"/>
          <w:szCs w:val="24"/>
        </w:rPr>
        <w:t xml:space="preserve">  </w:t>
      </w:r>
      <w:r w:rsidR="00AB4294" w:rsidRPr="00803F1A">
        <w:rPr>
          <w:rFonts w:ascii="Calibri" w:hAnsi="Calibri" w:cs="Calibri"/>
          <w:sz w:val="24"/>
          <w:szCs w:val="24"/>
        </w:rPr>
        <w:t xml:space="preserve">It should be recalled that the BMD controls were not </w:t>
      </w:r>
      <w:r w:rsidR="0082689C" w:rsidRPr="00803F1A">
        <w:rPr>
          <w:rFonts w:ascii="Calibri" w:hAnsi="Calibri" w:cs="Calibri"/>
          <w:sz w:val="24"/>
          <w:szCs w:val="24"/>
        </w:rPr>
        <w:t>drawn from the general population</w:t>
      </w:r>
      <w:r w:rsidR="009A101C" w:rsidRPr="00803F1A">
        <w:rPr>
          <w:rFonts w:ascii="Calibri" w:hAnsi="Calibri" w:cs="Calibri"/>
          <w:sz w:val="24"/>
          <w:szCs w:val="24"/>
        </w:rPr>
        <w:t xml:space="preserve"> but a BMD referral population predominately for the assessment of osteoporosis</w:t>
      </w:r>
      <w:r w:rsidR="007E5B55" w:rsidRPr="00803F1A">
        <w:rPr>
          <w:rFonts w:ascii="Calibri" w:hAnsi="Calibri" w:cs="Calibri"/>
          <w:sz w:val="24"/>
          <w:szCs w:val="24"/>
        </w:rPr>
        <w:t>.</w:t>
      </w:r>
      <w:r w:rsidR="00A32B95" w:rsidRPr="00803F1A">
        <w:rPr>
          <w:rFonts w:ascii="Calibri" w:hAnsi="Calibri" w:cs="Calibri"/>
          <w:sz w:val="24"/>
          <w:szCs w:val="24"/>
        </w:rPr>
        <w:t xml:space="preserve">  </w:t>
      </w:r>
      <w:r w:rsidR="0026108D" w:rsidRPr="00803F1A">
        <w:rPr>
          <w:rFonts w:ascii="Calibri" w:hAnsi="Calibri" w:cs="Calibri"/>
          <w:sz w:val="24"/>
          <w:szCs w:val="24"/>
        </w:rPr>
        <w:t xml:space="preserve">It is possible, therefore, that </w:t>
      </w:r>
      <w:r w:rsidR="004A409D" w:rsidRPr="00803F1A">
        <w:rPr>
          <w:rFonts w:ascii="Calibri" w:hAnsi="Calibri" w:cs="Calibri"/>
          <w:sz w:val="24"/>
          <w:szCs w:val="24"/>
        </w:rPr>
        <w:t>differences in BMD-independent risk factors for fracture might also account</w:t>
      </w:r>
      <w:r w:rsidR="00DC3D46" w:rsidRPr="00803F1A">
        <w:rPr>
          <w:rFonts w:ascii="Calibri" w:hAnsi="Calibri" w:cs="Calibri"/>
          <w:sz w:val="24"/>
          <w:szCs w:val="24"/>
        </w:rPr>
        <w:t xml:space="preserve"> for the greater fracture ri</w:t>
      </w:r>
      <w:r w:rsidR="002B0CC3" w:rsidRPr="00803F1A">
        <w:rPr>
          <w:rFonts w:ascii="Calibri" w:hAnsi="Calibri" w:cs="Calibri"/>
          <w:sz w:val="24"/>
          <w:szCs w:val="24"/>
        </w:rPr>
        <w:t xml:space="preserve">sk for any given BMD.  </w:t>
      </w:r>
      <w:r w:rsidR="00C66476" w:rsidRPr="00803F1A">
        <w:rPr>
          <w:rFonts w:ascii="Calibri" w:hAnsi="Calibri" w:cs="Calibri"/>
          <w:sz w:val="24"/>
          <w:szCs w:val="24"/>
        </w:rPr>
        <w:t>The prevalence of one such factor</w:t>
      </w:r>
      <w:r w:rsidR="00BE71EC" w:rsidRPr="00803F1A">
        <w:rPr>
          <w:rFonts w:ascii="Calibri" w:hAnsi="Calibri" w:cs="Calibri"/>
          <w:sz w:val="24"/>
          <w:szCs w:val="24"/>
        </w:rPr>
        <w:t xml:space="preserve">, namely a prior fracture, was </w:t>
      </w:r>
      <w:r w:rsidR="00A752E7" w:rsidRPr="00803F1A">
        <w:rPr>
          <w:rFonts w:ascii="Calibri" w:hAnsi="Calibri" w:cs="Calibri"/>
          <w:sz w:val="24"/>
          <w:szCs w:val="24"/>
        </w:rPr>
        <w:t xml:space="preserve">however </w:t>
      </w:r>
      <w:r w:rsidR="00A347E7">
        <w:rPr>
          <w:rFonts w:ascii="Calibri" w:hAnsi="Calibri" w:cs="Calibri"/>
          <w:sz w:val="24"/>
          <w:szCs w:val="24"/>
        </w:rPr>
        <w:t>lower</w:t>
      </w:r>
      <w:r w:rsidR="00A752E7" w:rsidRPr="00803F1A">
        <w:rPr>
          <w:rFonts w:ascii="Calibri" w:hAnsi="Calibri" w:cs="Calibri"/>
          <w:sz w:val="24"/>
          <w:szCs w:val="24"/>
        </w:rPr>
        <w:t xml:space="preserve"> among cases </w:t>
      </w:r>
      <w:r w:rsidR="00A347E7">
        <w:rPr>
          <w:rFonts w:ascii="Calibri" w:hAnsi="Calibri" w:cs="Calibri"/>
          <w:sz w:val="24"/>
          <w:szCs w:val="24"/>
        </w:rPr>
        <w:t>than</w:t>
      </w:r>
      <w:r w:rsidR="00A752E7" w:rsidRPr="00803F1A">
        <w:rPr>
          <w:rFonts w:ascii="Calibri" w:hAnsi="Calibri" w:cs="Calibri"/>
          <w:sz w:val="24"/>
          <w:szCs w:val="24"/>
        </w:rPr>
        <w:t xml:space="preserve"> BMD controls</w:t>
      </w:r>
      <w:r w:rsidR="008F4ED9">
        <w:rPr>
          <w:rFonts w:ascii="Calibri" w:hAnsi="Calibri" w:cs="Calibri"/>
          <w:sz w:val="24"/>
          <w:szCs w:val="24"/>
        </w:rPr>
        <w:t xml:space="preserve"> and barely affected</w:t>
      </w:r>
      <w:r w:rsidR="006A527A">
        <w:rPr>
          <w:rFonts w:ascii="Calibri" w:hAnsi="Calibri" w:cs="Calibri"/>
          <w:sz w:val="24"/>
          <w:szCs w:val="24"/>
        </w:rPr>
        <w:t xml:space="preserve"> our results</w:t>
      </w:r>
      <w:r w:rsidR="00A752E7" w:rsidRPr="00803F1A">
        <w:rPr>
          <w:rFonts w:ascii="Calibri" w:hAnsi="Calibri" w:cs="Calibri"/>
          <w:sz w:val="24"/>
          <w:szCs w:val="24"/>
        </w:rPr>
        <w:t>.</w:t>
      </w:r>
      <w:r w:rsidR="00CF0DBE" w:rsidRPr="00803F1A">
        <w:rPr>
          <w:rFonts w:ascii="Calibri" w:hAnsi="Calibri" w:cs="Calibri"/>
          <w:sz w:val="24"/>
          <w:szCs w:val="24"/>
        </w:rPr>
        <w:t xml:space="preserve"> </w:t>
      </w:r>
    </w:p>
    <w:p w14:paraId="3DC99480" w14:textId="3CF564DF" w:rsidR="00F80F72" w:rsidRDefault="007E4969" w:rsidP="00803F1A">
      <w:pPr>
        <w:spacing w:line="276" w:lineRule="auto"/>
        <w:rPr>
          <w:rFonts w:ascii="Calibri" w:hAnsi="Calibri" w:cs="Calibri"/>
          <w:sz w:val="24"/>
          <w:szCs w:val="24"/>
        </w:rPr>
      </w:pPr>
      <w:r w:rsidRPr="00803F1A">
        <w:rPr>
          <w:rFonts w:ascii="Calibri" w:hAnsi="Calibri" w:cs="Calibri"/>
          <w:sz w:val="24"/>
          <w:szCs w:val="24"/>
        </w:rPr>
        <w:t>It is of interest that the severity of the disease as judged by baseline serum calcium or PTH had no effect on fracture risk.  In contrast, the more severe the disease, the higher the mortality and thus, the lower the fracture probability</w:t>
      </w:r>
      <w:r w:rsidR="00157760" w:rsidRPr="00803F1A">
        <w:rPr>
          <w:rFonts w:ascii="Calibri" w:hAnsi="Calibri" w:cs="Calibri"/>
          <w:sz w:val="24"/>
          <w:szCs w:val="24"/>
        </w:rPr>
        <w:t xml:space="preserve">. </w:t>
      </w:r>
      <w:r w:rsidRPr="00803F1A">
        <w:rPr>
          <w:rFonts w:ascii="Calibri" w:hAnsi="Calibri" w:cs="Calibri"/>
          <w:sz w:val="24"/>
          <w:szCs w:val="24"/>
        </w:rPr>
        <w:t xml:space="preserve"> </w:t>
      </w:r>
      <w:r w:rsidR="00157760" w:rsidRPr="00803F1A">
        <w:rPr>
          <w:rFonts w:ascii="Calibri" w:hAnsi="Calibri" w:cs="Calibri"/>
          <w:sz w:val="24"/>
          <w:szCs w:val="24"/>
        </w:rPr>
        <w:t>Thus,</w:t>
      </w:r>
      <w:r w:rsidR="00AD203B" w:rsidRPr="00803F1A">
        <w:rPr>
          <w:rFonts w:ascii="Calibri" w:hAnsi="Calibri" w:cs="Calibri"/>
          <w:sz w:val="24"/>
          <w:szCs w:val="24"/>
        </w:rPr>
        <w:t xml:space="preserve"> </w:t>
      </w:r>
      <w:r w:rsidR="0088415A">
        <w:rPr>
          <w:rFonts w:ascii="Calibri" w:hAnsi="Calibri" w:cs="Calibri"/>
          <w:sz w:val="24"/>
          <w:szCs w:val="24"/>
        </w:rPr>
        <w:t xml:space="preserve">a </w:t>
      </w:r>
      <w:r w:rsidR="002B4CC6" w:rsidRPr="00803F1A">
        <w:rPr>
          <w:rFonts w:ascii="Calibri" w:hAnsi="Calibri" w:cs="Calibri"/>
          <w:sz w:val="24"/>
          <w:szCs w:val="24"/>
        </w:rPr>
        <w:t xml:space="preserve">modest </w:t>
      </w:r>
      <w:r w:rsidR="00582A02" w:rsidRPr="00803F1A">
        <w:rPr>
          <w:rFonts w:ascii="Calibri" w:hAnsi="Calibri" w:cs="Calibri"/>
          <w:sz w:val="24"/>
          <w:szCs w:val="24"/>
        </w:rPr>
        <w:t xml:space="preserve">effect of </w:t>
      </w:r>
      <w:r w:rsidR="00C96445">
        <w:rPr>
          <w:rFonts w:ascii="Calibri" w:hAnsi="Calibri" w:cs="Calibri"/>
          <w:sz w:val="24"/>
          <w:szCs w:val="24"/>
        </w:rPr>
        <w:t>PHPT</w:t>
      </w:r>
      <w:r w:rsidR="004F1926" w:rsidRPr="00803F1A">
        <w:rPr>
          <w:rFonts w:ascii="Calibri" w:hAnsi="Calibri" w:cs="Calibri"/>
          <w:sz w:val="24"/>
          <w:szCs w:val="24"/>
        </w:rPr>
        <w:t xml:space="preserve"> </w:t>
      </w:r>
      <w:r w:rsidR="00582A02" w:rsidRPr="00803F1A">
        <w:rPr>
          <w:rFonts w:ascii="Calibri" w:hAnsi="Calibri" w:cs="Calibri"/>
          <w:sz w:val="24"/>
          <w:szCs w:val="24"/>
        </w:rPr>
        <w:t xml:space="preserve">on fracture probability </w:t>
      </w:r>
      <w:r w:rsidR="00A428CE" w:rsidRPr="00803F1A">
        <w:rPr>
          <w:rFonts w:ascii="Calibri" w:hAnsi="Calibri" w:cs="Calibri"/>
          <w:sz w:val="24"/>
          <w:szCs w:val="24"/>
        </w:rPr>
        <w:t xml:space="preserve">due to the higher death hazard </w:t>
      </w:r>
      <w:r w:rsidR="00582A02" w:rsidRPr="00803F1A">
        <w:rPr>
          <w:rFonts w:ascii="Calibri" w:hAnsi="Calibri" w:cs="Calibri"/>
          <w:sz w:val="24"/>
          <w:szCs w:val="24"/>
        </w:rPr>
        <w:t>mask</w:t>
      </w:r>
      <w:r w:rsidR="000420B3" w:rsidRPr="00803F1A">
        <w:rPr>
          <w:rFonts w:ascii="Calibri" w:hAnsi="Calibri" w:cs="Calibri"/>
          <w:sz w:val="24"/>
          <w:szCs w:val="24"/>
        </w:rPr>
        <w:t>s the</w:t>
      </w:r>
      <w:r w:rsidR="00190B2A" w:rsidRPr="00803F1A">
        <w:rPr>
          <w:rFonts w:ascii="Calibri" w:hAnsi="Calibri" w:cs="Calibri"/>
          <w:sz w:val="24"/>
          <w:szCs w:val="24"/>
        </w:rPr>
        <w:t xml:space="preserve"> fact that fracture risk is </w:t>
      </w:r>
      <w:r w:rsidR="0088415A">
        <w:rPr>
          <w:rFonts w:ascii="Calibri" w:hAnsi="Calibri" w:cs="Calibri"/>
          <w:sz w:val="24"/>
          <w:szCs w:val="24"/>
        </w:rPr>
        <w:t>markedly</w:t>
      </w:r>
      <w:r w:rsidR="00190B2A" w:rsidRPr="00803F1A">
        <w:rPr>
          <w:rFonts w:ascii="Calibri" w:hAnsi="Calibri" w:cs="Calibri"/>
          <w:sz w:val="24"/>
          <w:szCs w:val="24"/>
        </w:rPr>
        <w:t xml:space="preserve"> </w:t>
      </w:r>
      <w:r w:rsidR="008A44A5" w:rsidRPr="00803F1A">
        <w:rPr>
          <w:rFonts w:ascii="Calibri" w:hAnsi="Calibri" w:cs="Calibri"/>
          <w:sz w:val="24"/>
          <w:szCs w:val="24"/>
        </w:rPr>
        <w:t>increased.</w:t>
      </w:r>
      <w:r w:rsidR="00860F5A" w:rsidRPr="00803F1A">
        <w:rPr>
          <w:rFonts w:ascii="Calibri" w:hAnsi="Calibri" w:cs="Calibri"/>
          <w:sz w:val="24"/>
          <w:szCs w:val="24"/>
        </w:rPr>
        <w:t xml:space="preserve">  </w:t>
      </w:r>
      <w:r w:rsidR="00BD76B8" w:rsidRPr="00803F1A">
        <w:rPr>
          <w:rFonts w:ascii="Calibri" w:hAnsi="Calibri" w:cs="Calibri"/>
          <w:sz w:val="24"/>
          <w:szCs w:val="24"/>
        </w:rPr>
        <w:t xml:space="preserve">This </w:t>
      </w:r>
      <w:r w:rsidR="00877B29" w:rsidRPr="00803F1A">
        <w:rPr>
          <w:rFonts w:ascii="Calibri" w:hAnsi="Calibri" w:cs="Calibri"/>
          <w:sz w:val="24"/>
          <w:szCs w:val="24"/>
        </w:rPr>
        <w:t xml:space="preserve">has implications </w:t>
      </w:r>
      <w:r w:rsidR="0018133C" w:rsidRPr="00803F1A">
        <w:rPr>
          <w:rFonts w:ascii="Calibri" w:hAnsi="Calibri" w:cs="Calibri"/>
          <w:sz w:val="24"/>
          <w:szCs w:val="24"/>
        </w:rPr>
        <w:t>for</w:t>
      </w:r>
      <w:r w:rsidR="00877B29" w:rsidRPr="00803F1A">
        <w:rPr>
          <w:rFonts w:ascii="Calibri" w:hAnsi="Calibri" w:cs="Calibri"/>
          <w:sz w:val="24"/>
          <w:szCs w:val="24"/>
        </w:rPr>
        <w:t xml:space="preserve"> the </w:t>
      </w:r>
      <w:r w:rsidR="0018133C" w:rsidRPr="00803F1A">
        <w:rPr>
          <w:rFonts w:ascii="Calibri" w:hAnsi="Calibri" w:cs="Calibri"/>
          <w:sz w:val="24"/>
          <w:szCs w:val="24"/>
        </w:rPr>
        <w:t xml:space="preserve">management of </w:t>
      </w:r>
      <w:r w:rsidR="00C96445">
        <w:rPr>
          <w:rFonts w:ascii="Calibri" w:hAnsi="Calibri" w:cs="Calibri"/>
          <w:sz w:val="24"/>
          <w:szCs w:val="24"/>
        </w:rPr>
        <w:t>PHPT</w:t>
      </w:r>
      <w:r w:rsidR="004F1926" w:rsidRPr="00803F1A">
        <w:rPr>
          <w:rFonts w:ascii="Calibri" w:hAnsi="Calibri" w:cs="Calibri"/>
          <w:sz w:val="24"/>
          <w:szCs w:val="24"/>
        </w:rPr>
        <w:t xml:space="preserve"> in </w:t>
      </w:r>
      <w:r w:rsidR="008A44A5" w:rsidRPr="00803F1A">
        <w:rPr>
          <w:rFonts w:ascii="Calibri" w:hAnsi="Calibri" w:cs="Calibri"/>
          <w:sz w:val="24"/>
          <w:szCs w:val="24"/>
        </w:rPr>
        <w:t>that conservative treatment</w:t>
      </w:r>
      <w:r w:rsidR="00205DE3" w:rsidRPr="00803F1A">
        <w:rPr>
          <w:rFonts w:ascii="Calibri" w:hAnsi="Calibri" w:cs="Calibri"/>
          <w:sz w:val="24"/>
          <w:szCs w:val="24"/>
        </w:rPr>
        <w:t xml:space="preserve"> in mild </w:t>
      </w:r>
      <w:r w:rsidR="00C96445">
        <w:rPr>
          <w:rFonts w:ascii="Calibri" w:hAnsi="Calibri" w:cs="Calibri"/>
          <w:sz w:val="24"/>
          <w:szCs w:val="24"/>
        </w:rPr>
        <w:t>PHPT</w:t>
      </w:r>
      <w:r w:rsidR="00207BBB" w:rsidRPr="00803F1A">
        <w:rPr>
          <w:rFonts w:ascii="Calibri" w:hAnsi="Calibri" w:cs="Calibri"/>
          <w:sz w:val="24"/>
          <w:szCs w:val="24"/>
        </w:rPr>
        <w:t xml:space="preserve"> </w:t>
      </w:r>
      <w:r w:rsidR="00AE7053" w:rsidRPr="00803F1A">
        <w:rPr>
          <w:rFonts w:ascii="Calibri" w:hAnsi="Calibri" w:cs="Calibri"/>
          <w:sz w:val="24"/>
          <w:szCs w:val="24"/>
        </w:rPr>
        <w:t>appears to</w:t>
      </w:r>
      <w:r w:rsidR="00205DE3" w:rsidRPr="00803F1A">
        <w:rPr>
          <w:rFonts w:ascii="Calibri" w:hAnsi="Calibri" w:cs="Calibri"/>
          <w:sz w:val="24"/>
          <w:szCs w:val="24"/>
        </w:rPr>
        <w:t xml:space="preserve"> be associated with the same fracture </w:t>
      </w:r>
      <w:r w:rsidR="00AE7053" w:rsidRPr="00803F1A">
        <w:rPr>
          <w:rFonts w:ascii="Calibri" w:hAnsi="Calibri" w:cs="Calibri"/>
          <w:sz w:val="24"/>
          <w:szCs w:val="24"/>
        </w:rPr>
        <w:t xml:space="preserve">risk as in severe cases that would preferentially be referred </w:t>
      </w:r>
      <w:r w:rsidR="000D01B9" w:rsidRPr="00803F1A">
        <w:rPr>
          <w:rFonts w:ascii="Calibri" w:hAnsi="Calibri" w:cs="Calibri"/>
          <w:sz w:val="24"/>
          <w:szCs w:val="24"/>
        </w:rPr>
        <w:t>for parathyroidectomy</w:t>
      </w:r>
      <w:r w:rsidR="00634341" w:rsidRPr="00803F1A">
        <w:rPr>
          <w:rFonts w:ascii="Calibri" w:hAnsi="Calibri" w:cs="Calibri"/>
          <w:sz w:val="24"/>
          <w:szCs w:val="24"/>
        </w:rPr>
        <w:t xml:space="preserve"> </w:t>
      </w:r>
      <w:r w:rsidR="001C3713">
        <w:rPr>
          <w:rFonts w:ascii="Calibri" w:hAnsi="Calibri" w:cs="Calibri"/>
          <w:sz w:val="24"/>
          <w:szCs w:val="24"/>
        </w:rPr>
        <w:t>[</w:t>
      </w:r>
      <w:r w:rsidR="001C3713" w:rsidRPr="00804391">
        <w:rPr>
          <w:rFonts w:ascii="Calibri" w:hAnsi="Calibri" w:cs="Calibri"/>
          <w:sz w:val="24"/>
          <w:szCs w:val="24"/>
        </w:rPr>
        <w:t>2, 5</w:t>
      </w:r>
      <w:r w:rsidR="001C3713">
        <w:rPr>
          <w:rFonts w:ascii="Calibri" w:hAnsi="Calibri" w:cs="Calibri"/>
          <w:sz w:val="24"/>
          <w:szCs w:val="24"/>
        </w:rPr>
        <w:t xml:space="preserve">, </w:t>
      </w:r>
      <w:r w:rsidR="00B040AC">
        <w:rPr>
          <w:rFonts w:ascii="Calibri" w:hAnsi="Calibri" w:cs="Calibri"/>
          <w:sz w:val="24"/>
          <w:szCs w:val="24"/>
        </w:rPr>
        <w:t>6, 10</w:t>
      </w:r>
      <w:r w:rsidR="001C3713">
        <w:rPr>
          <w:rFonts w:ascii="Calibri" w:hAnsi="Calibri" w:cs="Calibri"/>
          <w:sz w:val="24"/>
          <w:szCs w:val="24"/>
        </w:rPr>
        <w:t>]</w:t>
      </w:r>
      <w:r w:rsidR="000D01B9" w:rsidRPr="00803F1A">
        <w:rPr>
          <w:rFonts w:ascii="Calibri" w:hAnsi="Calibri" w:cs="Calibri"/>
          <w:sz w:val="24"/>
          <w:szCs w:val="24"/>
        </w:rPr>
        <w:t xml:space="preserve">.  </w:t>
      </w:r>
      <w:r w:rsidR="00295D76" w:rsidRPr="00803F1A">
        <w:rPr>
          <w:rFonts w:ascii="Calibri" w:hAnsi="Calibri" w:cs="Calibri"/>
          <w:sz w:val="24"/>
          <w:szCs w:val="24"/>
        </w:rPr>
        <w:t>An increased fracture ri</w:t>
      </w:r>
      <w:r w:rsidR="004A1447" w:rsidRPr="00803F1A">
        <w:rPr>
          <w:rFonts w:ascii="Calibri" w:hAnsi="Calibri" w:cs="Calibri"/>
          <w:sz w:val="24"/>
          <w:szCs w:val="24"/>
        </w:rPr>
        <w:t>s</w:t>
      </w:r>
      <w:r w:rsidR="00295D76" w:rsidRPr="00803F1A">
        <w:rPr>
          <w:rFonts w:ascii="Calibri" w:hAnsi="Calibri" w:cs="Calibri"/>
          <w:sz w:val="24"/>
          <w:szCs w:val="24"/>
        </w:rPr>
        <w:t xml:space="preserve">k was </w:t>
      </w:r>
      <w:r w:rsidR="004A1447" w:rsidRPr="00803F1A">
        <w:rPr>
          <w:rFonts w:ascii="Calibri" w:hAnsi="Calibri" w:cs="Calibri"/>
          <w:sz w:val="24"/>
          <w:szCs w:val="24"/>
        </w:rPr>
        <w:t xml:space="preserve">also </w:t>
      </w:r>
      <w:r w:rsidR="00295D76" w:rsidRPr="00803F1A">
        <w:rPr>
          <w:rFonts w:ascii="Calibri" w:hAnsi="Calibri" w:cs="Calibri"/>
          <w:sz w:val="24"/>
          <w:szCs w:val="24"/>
        </w:rPr>
        <w:t xml:space="preserve">evident </w:t>
      </w:r>
      <w:r w:rsidR="004A1447" w:rsidRPr="00803F1A">
        <w:rPr>
          <w:rFonts w:ascii="Calibri" w:hAnsi="Calibri" w:cs="Calibri"/>
          <w:sz w:val="24"/>
          <w:szCs w:val="24"/>
        </w:rPr>
        <w:t xml:space="preserve">in the present study </w:t>
      </w:r>
      <w:r w:rsidR="00295D76" w:rsidRPr="00803F1A">
        <w:rPr>
          <w:rFonts w:ascii="Calibri" w:hAnsi="Calibri" w:cs="Calibri"/>
          <w:sz w:val="24"/>
          <w:szCs w:val="24"/>
        </w:rPr>
        <w:t xml:space="preserve">when we </w:t>
      </w:r>
      <w:r w:rsidR="004239CF" w:rsidRPr="00803F1A">
        <w:rPr>
          <w:rFonts w:ascii="Calibri" w:hAnsi="Calibri" w:cs="Calibri"/>
          <w:sz w:val="24"/>
          <w:szCs w:val="24"/>
        </w:rPr>
        <w:t>excluded patients who underwent parathyroidectomy</w:t>
      </w:r>
      <w:r w:rsidR="00CF1C5F" w:rsidRPr="00803F1A">
        <w:rPr>
          <w:rFonts w:ascii="Calibri" w:hAnsi="Calibri" w:cs="Calibri"/>
          <w:sz w:val="24"/>
          <w:szCs w:val="24"/>
        </w:rPr>
        <w:t>. These findings</w:t>
      </w:r>
      <w:r w:rsidR="003B2805" w:rsidRPr="00803F1A">
        <w:rPr>
          <w:rFonts w:ascii="Calibri" w:hAnsi="Calibri" w:cs="Calibri"/>
          <w:sz w:val="24"/>
          <w:szCs w:val="24"/>
        </w:rPr>
        <w:t xml:space="preserve"> suggest</w:t>
      </w:r>
      <w:r w:rsidR="0053036E" w:rsidRPr="00803F1A">
        <w:rPr>
          <w:rFonts w:ascii="Calibri" w:hAnsi="Calibri" w:cs="Calibri"/>
          <w:sz w:val="24"/>
          <w:szCs w:val="24"/>
        </w:rPr>
        <w:t xml:space="preserve">, contrary to most </w:t>
      </w:r>
      <w:r w:rsidR="0053036E" w:rsidRPr="00804391">
        <w:rPr>
          <w:rFonts w:ascii="Calibri" w:hAnsi="Calibri" w:cs="Calibri"/>
          <w:sz w:val="24"/>
          <w:szCs w:val="24"/>
        </w:rPr>
        <w:t>guideli</w:t>
      </w:r>
      <w:r w:rsidR="001D0C86" w:rsidRPr="00804391">
        <w:rPr>
          <w:rFonts w:ascii="Calibri" w:hAnsi="Calibri" w:cs="Calibri"/>
          <w:sz w:val="24"/>
          <w:szCs w:val="24"/>
        </w:rPr>
        <w:t>nes</w:t>
      </w:r>
      <w:r w:rsidR="00F1315A" w:rsidRPr="00804391">
        <w:rPr>
          <w:rFonts w:ascii="Calibri" w:hAnsi="Calibri" w:cs="Calibri"/>
          <w:sz w:val="24"/>
          <w:szCs w:val="24"/>
        </w:rPr>
        <w:t xml:space="preserve"> [</w:t>
      </w:r>
      <w:r w:rsidR="00F05858" w:rsidRPr="00804391">
        <w:rPr>
          <w:rFonts w:ascii="Calibri" w:hAnsi="Calibri" w:cs="Calibri"/>
          <w:sz w:val="24"/>
          <w:szCs w:val="24"/>
        </w:rPr>
        <w:t xml:space="preserve">2, </w:t>
      </w:r>
      <w:r w:rsidR="009855CE" w:rsidRPr="00804391">
        <w:rPr>
          <w:rFonts w:ascii="Calibri" w:hAnsi="Calibri" w:cs="Calibri"/>
          <w:sz w:val="24"/>
          <w:szCs w:val="24"/>
        </w:rPr>
        <w:t>3, 5</w:t>
      </w:r>
      <w:r w:rsidR="00804391">
        <w:rPr>
          <w:rFonts w:ascii="Calibri" w:hAnsi="Calibri" w:cs="Calibri"/>
          <w:sz w:val="24"/>
          <w:szCs w:val="24"/>
        </w:rPr>
        <w:t>, 6</w:t>
      </w:r>
      <w:r w:rsidR="00B44166" w:rsidRPr="00804391">
        <w:rPr>
          <w:rFonts w:ascii="Calibri" w:hAnsi="Calibri" w:cs="Calibri"/>
          <w:sz w:val="24"/>
          <w:szCs w:val="24"/>
        </w:rPr>
        <w:t>]</w:t>
      </w:r>
      <w:r w:rsidR="009D2906" w:rsidRPr="00804391">
        <w:rPr>
          <w:rFonts w:ascii="Calibri" w:hAnsi="Calibri" w:cs="Calibri"/>
          <w:sz w:val="24"/>
          <w:szCs w:val="24"/>
        </w:rPr>
        <w:t>,</w:t>
      </w:r>
      <w:r w:rsidR="003B2805" w:rsidRPr="00804391">
        <w:rPr>
          <w:rFonts w:ascii="Calibri" w:hAnsi="Calibri" w:cs="Calibri"/>
          <w:sz w:val="24"/>
          <w:szCs w:val="24"/>
        </w:rPr>
        <w:t xml:space="preserve"> tha</w:t>
      </w:r>
      <w:r w:rsidR="003B2805" w:rsidRPr="00803F1A">
        <w:rPr>
          <w:rFonts w:ascii="Calibri" w:hAnsi="Calibri" w:cs="Calibri"/>
          <w:sz w:val="24"/>
          <w:szCs w:val="24"/>
        </w:rPr>
        <w:t xml:space="preserve">t </w:t>
      </w:r>
      <w:r w:rsidR="00DD4A70" w:rsidRPr="00803F1A">
        <w:rPr>
          <w:rFonts w:ascii="Calibri" w:hAnsi="Calibri" w:cs="Calibri"/>
          <w:sz w:val="24"/>
          <w:szCs w:val="24"/>
        </w:rPr>
        <w:t>parath</w:t>
      </w:r>
      <w:r w:rsidR="001E735C">
        <w:rPr>
          <w:rFonts w:ascii="Calibri" w:hAnsi="Calibri" w:cs="Calibri"/>
          <w:sz w:val="24"/>
          <w:szCs w:val="24"/>
        </w:rPr>
        <w:t>y</w:t>
      </w:r>
      <w:r w:rsidR="00DD4A70" w:rsidRPr="00803F1A">
        <w:rPr>
          <w:rFonts w:ascii="Calibri" w:hAnsi="Calibri" w:cs="Calibri"/>
          <w:sz w:val="24"/>
          <w:szCs w:val="24"/>
        </w:rPr>
        <w:t>roidectomy should b</w:t>
      </w:r>
      <w:r w:rsidR="00FD5F83" w:rsidRPr="00803F1A">
        <w:rPr>
          <w:rFonts w:ascii="Calibri" w:hAnsi="Calibri" w:cs="Calibri"/>
          <w:sz w:val="24"/>
          <w:szCs w:val="24"/>
        </w:rPr>
        <w:t>e</w:t>
      </w:r>
      <w:r w:rsidR="00DD4A70" w:rsidRPr="00803F1A">
        <w:rPr>
          <w:rFonts w:ascii="Calibri" w:hAnsi="Calibri" w:cs="Calibri"/>
          <w:sz w:val="24"/>
          <w:szCs w:val="24"/>
        </w:rPr>
        <w:t xml:space="preserve"> considered irrespective of the degree of hypercalcaemia</w:t>
      </w:r>
      <w:r w:rsidR="00353382" w:rsidRPr="00803F1A">
        <w:rPr>
          <w:rFonts w:ascii="Calibri" w:hAnsi="Calibri" w:cs="Calibri"/>
          <w:sz w:val="24"/>
          <w:szCs w:val="24"/>
        </w:rPr>
        <w:t>.</w:t>
      </w:r>
      <w:r w:rsidR="0030031B" w:rsidRPr="00803F1A">
        <w:rPr>
          <w:rFonts w:ascii="Calibri" w:hAnsi="Calibri" w:cs="Calibri"/>
          <w:sz w:val="24"/>
          <w:szCs w:val="24"/>
        </w:rPr>
        <w:t xml:space="preserve"> </w:t>
      </w:r>
      <w:r w:rsidR="001A08DC">
        <w:rPr>
          <w:rFonts w:ascii="Calibri" w:hAnsi="Calibri" w:cs="Calibri"/>
          <w:sz w:val="24"/>
          <w:szCs w:val="24"/>
        </w:rPr>
        <w:t>The argument would be considerably strengthened</w:t>
      </w:r>
      <w:r w:rsidR="003C592A">
        <w:rPr>
          <w:rFonts w:ascii="Calibri" w:hAnsi="Calibri" w:cs="Calibri"/>
          <w:sz w:val="24"/>
          <w:szCs w:val="24"/>
        </w:rPr>
        <w:t xml:space="preserve"> if fracture risk was decreased in such patients after parath</w:t>
      </w:r>
      <w:r w:rsidR="000D7916">
        <w:rPr>
          <w:rFonts w:ascii="Calibri" w:hAnsi="Calibri" w:cs="Calibri"/>
          <w:sz w:val="24"/>
          <w:szCs w:val="24"/>
        </w:rPr>
        <w:t>y</w:t>
      </w:r>
      <w:r w:rsidR="003C592A">
        <w:rPr>
          <w:rFonts w:ascii="Calibri" w:hAnsi="Calibri" w:cs="Calibri"/>
          <w:sz w:val="24"/>
          <w:szCs w:val="24"/>
        </w:rPr>
        <w:t>roidectomy.</w:t>
      </w:r>
      <w:r w:rsidR="00911D4B" w:rsidRPr="00911D4B">
        <w:t xml:space="preserve"> </w:t>
      </w:r>
      <w:r w:rsidR="00911D4B">
        <w:t xml:space="preserve"> </w:t>
      </w:r>
      <w:r w:rsidR="00911D4B">
        <w:rPr>
          <w:rFonts w:ascii="Calibri" w:hAnsi="Calibri" w:cs="Calibri"/>
          <w:sz w:val="24"/>
          <w:szCs w:val="24"/>
        </w:rPr>
        <w:t>It is of interest that</w:t>
      </w:r>
      <w:r w:rsidR="00D34CC6">
        <w:rPr>
          <w:rFonts w:ascii="Calibri" w:hAnsi="Calibri" w:cs="Calibri"/>
          <w:sz w:val="24"/>
          <w:szCs w:val="24"/>
        </w:rPr>
        <w:t xml:space="preserve"> a recently published </w:t>
      </w:r>
      <w:r w:rsidR="00D34CC6" w:rsidRPr="00911D4B">
        <w:rPr>
          <w:rFonts w:ascii="Calibri" w:hAnsi="Calibri" w:cs="Calibri"/>
          <w:sz w:val="24"/>
          <w:szCs w:val="24"/>
        </w:rPr>
        <w:t>prospective</w:t>
      </w:r>
      <w:r w:rsidR="00D34CC6" w:rsidRPr="00D34CC6">
        <w:rPr>
          <w:rFonts w:ascii="Calibri" w:hAnsi="Calibri" w:cs="Calibri"/>
          <w:sz w:val="24"/>
          <w:szCs w:val="24"/>
        </w:rPr>
        <w:t xml:space="preserve"> controlled trial </w:t>
      </w:r>
      <w:r w:rsidR="00D34CC6">
        <w:rPr>
          <w:rFonts w:ascii="Calibri" w:hAnsi="Calibri" w:cs="Calibri"/>
          <w:sz w:val="24"/>
          <w:szCs w:val="24"/>
        </w:rPr>
        <w:t xml:space="preserve">showed </w:t>
      </w:r>
      <w:r w:rsidR="00D34CC6" w:rsidRPr="00D35444">
        <w:rPr>
          <w:rFonts w:ascii="Calibri" w:hAnsi="Calibri" w:cs="Calibri"/>
          <w:sz w:val="24"/>
          <w:szCs w:val="24"/>
        </w:rPr>
        <w:t xml:space="preserve">no </w:t>
      </w:r>
      <w:r w:rsidR="00911D4B" w:rsidRPr="00D35444">
        <w:rPr>
          <w:rFonts w:ascii="Calibri" w:hAnsi="Calibri" w:cs="Calibri"/>
          <w:sz w:val="24"/>
          <w:szCs w:val="24"/>
        </w:rPr>
        <w:t xml:space="preserve">apparent </w:t>
      </w:r>
      <w:r w:rsidR="00D34CC6" w:rsidRPr="00D35444">
        <w:rPr>
          <w:rFonts w:ascii="Calibri" w:hAnsi="Calibri" w:cs="Calibri"/>
          <w:sz w:val="24"/>
          <w:szCs w:val="24"/>
        </w:rPr>
        <w:t>effect of parathyroidectomy</w:t>
      </w:r>
      <w:r w:rsidR="001D314E" w:rsidRPr="00D35444">
        <w:rPr>
          <w:rFonts w:ascii="Calibri" w:hAnsi="Calibri" w:cs="Calibri"/>
          <w:sz w:val="24"/>
          <w:szCs w:val="24"/>
        </w:rPr>
        <w:t xml:space="preserve"> in mild </w:t>
      </w:r>
      <w:r w:rsidR="00F02438" w:rsidRPr="00D35444">
        <w:rPr>
          <w:rFonts w:ascii="Calibri" w:hAnsi="Calibri" w:cs="Calibri"/>
          <w:sz w:val="24"/>
          <w:szCs w:val="24"/>
        </w:rPr>
        <w:t>PHPT on</w:t>
      </w:r>
      <w:r w:rsidR="00911D4B" w:rsidRPr="00D35444">
        <w:rPr>
          <w:rFonts w:ascii="Calibri" w:hAnsi="Calibri" w:cs="Calibri"/>
          <w:sz w:val="24"/>
          <w:szCs w:val="24"/>
        </w:rPr>
        <w:t xml:space="preserve"> fracture and survival benefit [</w:t>
      </w:r>
      <w:r w:rsidR="00804391">
        <w:rPr>
          <w:rFonts w:ascii="Calibri" w:hAnsi="Calibri" w:cs="Calibri"/>
          <w:sz w:val="24"/>
          <w:szCs w:val="24"/>
        </w:rPr>
        <w:t>31</w:t>
      </w:r>
      <w:r w:rsidR="00911D4B" w:rsidRPr="00911D4B">
        <w:rPr>
          <w:rFonts w:ascii="Calibri" w:hAnsi="Calibri" w:cs="Calibri"/>
          <w:sz w:val="24"/>
          <w:szCs w:val="24"/>
        </w:rPr>
        <w:t xml:space="preserve">] but the study was much underpowered.  </w:t>
      </w:r>
    </w:p>
    <w:p w14:paraId="6A1F8522" w14:textId="1A4D1859" w:rsidR="00F211CA" w:rsidRPr="00F211CA" w:rsidRDefault="00C33EDC" w:rsidP="00F211CA">
      <w:pPr>
        <w:spacing w:line="276" w:lineRule="auto"/>
        <w:rPr>
          <w:rFonts w:ascii="Calibri" w:hAnsi="Calibri" w:cs="Calibri"/>
          <w:sz w:val="24"/>
          <w:szCs w:val="24"/>
        </w:rPr>
      </w:pPr>
      <w:r>
        <w:rPr>
          <w:rFonts w:ascii="Calibri" w:hAnsi="Calibri" w:cs="Calibri"/>
          <w:sz w:val="24"/>
          <w:szCs w:val="24"/>
        </w:rPr>
        <w:t>A strength of the present study is the large num</w:t>
      </w:r>
      <w:r w:rsidR="00D85E59">
        <w:rPr>
          <w:rFonts w:ascii="Calibri" w:hAnsi="Calibri" w:cs="Calibri"/>
          <w:sz w:val="24"/>
          <w:szCs w:val="24"/>
        </w:rPr>
        <w:t>ber of patients available for assessment and follow up</w:t>
      </w:r>
      <w:r w:rsidR="00731A9B">
        <w:rPr>
          <w:rFonts w:ascii="Calibri" w:hAnsi="Calibri" w:cs="Calibri"/>
          <w:sz w:val="24"/>
          <w:szCs w:val="24"/>
        </w:rPr>
        <w:t>.</w:t>
      </w:r>
      <w:r w:rsidR="006D7959">
        <w:rPr>
          <w:rFonts w:ascii="Calibri" w:hAnsi="Calibri" w:cs="Calibri"/>
          <w:sz w:val="24"/>
          <w:szCs w:val="24"/>
        </w:rPr>
        <w:t xml:space="preserve">  </w:t>
      </w:r>
      <w:r w:rsidR="00625623">
        <w:rPr>
          <w:rFonts w:ascii="Calibri" w:hAnsi="Calibri" w:cs="Calibri"/>
          <w:sz w:val="24"/>
          <w:szCs w:val="24"/>
        </w:rPr>
        <w:t xml:space="preserve">We were able to capture all cases, </w:t>
      </w:r>
      <w:r w:rsidR="005B2B15">
        <w:rPr>
          <w:rFonts w:ascii="Calibri" w:hAnsi="Calibri" w:cs="Calibri"/>
          <w:sz w:val="24"/>
          <w:szCs w:val="24"/>
        </w:rPr>
        <w:t>both inpatient and outpatient that came to hospital attention</w:t>
      </w:r>
      <w:r w:rsidR="00207C3C">
        <w:rPr>
          <w:rFonts w:ascii="Calibri" w:hAnsi="Calibri" w:cs="Calibri"/>
          <w:sz w:val="24"/>
          <w:szCs w:val="24"/>
        </w:rPr>
        <w:t xml:space="preserve">.  </w:t>
      </w:r>
      <w:r w:rsidR="00AA4ED4">
        <w:rPr>
          <w:rFonts w:ascii="Calibri" w:hAnsi="Calibri" w:cs="Calibri"/>
          <w:sz w:val="24"/>
          <w:szCs w:val="24"/>
        </w:rPr>
        <w:t>Additionally</w:t>
      </w:r>
      <w:r w:rsidR="000F0FD4" w:rsidRPr="000F0FD4">
        <w:rPr>
          <w:rFonts w:ascii="Calibri" w:hAnsi="Calibri" w:cs="Calibri"/>
          <w:sz w:val="24"/>
          <w:szCs w:val="24"/>
        </w:rPr>
        <w:t xml:space="preserve">, data on serum calcium </w:t>
      </w:r>
      <w:r w:rsidR="00AA4ED4">
        <w:rPr>
          <w:rFonts w:ascii="Calibri" w:hAnsi="Calibri" w:cs="Calibri"/>
          <w:sz w:val="24"/>
          <w:szCs w:val="24"/>
        </w:rPr>
        <w:t>and</w:t>
      </w:r>
      <w:r w:rsidR="000F0FD4" w:rsidRPr="000F0FD4">
        <w:rPr>
          <w:rFonts w:ascii="Calibri" w:hAnsi="Calibri" w:cs="Calibri"/>
          <w:sz w:val="24"/>
          <w:szCs w:val="24"/>
        </w:rPr>
        <w:t xml:space="preserve"> PTH </w:t>
      </w:r>
      <w:r w:rsidR="00B54CC4">
        <w:rPr>
          <w:rFonts w:ascii="Calibri" w:hAnsi="Calibri" w:cs="Calibri"/>
          <w:sz w:val="24"/>
          <w:szCs w:val="24"/>
        </w:rPr>
        <w:t>were</w:t>
      </w:r>
      <w:r w:rsidR="000F0FD4" w:rsidRPr="000F0FD4">
        <w:rPr>
          <w:rFonts w:ascii="Calibri" w:hAnsi="Calibri" w:cs="Calibri"/>
          <w:sz w:val="24"/>
          <w:szCs w:val="24"/>
        </w:rPr>
        <w:t xml:space="preserve"> available, </w:t>
      </w:r>
      <w:r w:rsidR="00AA4ED4">
        <w:rPr>
          <w:rFonts w:ascii="Calibri" w:hAnsi="Calibri" w:cs="Calibri"/>
          <w:sz w:val="24"/>
          <w:szCs w:val="24"/>
        </w:rPr>
        <w:t xml:space="preserve">permitting an assessment of the </w:t>
      </w:r>
      <w:r w:rsidR="00E06269">
        <w:rPr>
          <w:rFonts w:ascii="Calibri" w:hAnsi="Calibri" w:cs="Calibri"/>
          <w:sz w:val="24"/>
          <w:szCs w:val="24"/>
        </w:rPr>
        <w:t xml:space="preserve">severity of </w:t>
      </w:r>
      <w:r w:rsidR="001B6E24">
        <w:rPr>
          <w:rFonts w:ascii="Calibri" w:hAnsi="Calibri" w:cs="Calibri"/>
          <w:sz w:val="24"/>
          <w:szCs w:val="24"/>
        </w:rPr>
        <w:t>PHPT</w:t>
      </w:r>
      <w:r w:rsidR="000F0FD4" w:rsidRPr="000F0FD4">
        <w:rPr>
          <w:rFonts w:ascii="Calibri" w:hAnsi="Calibri" w:cs="Calibri"/>
          <w:sz w:val="24"/>
          <w:szCs w:val="24"/>
        </w:rPr>
        <w:t xml:space="preserve">. </w:t>
      </w:r>
      <w:r w:rsidR="00E06269">
        <w:rPr>
          <w:rFonts w:ascii="Calibri" w:hAnsi="Calibri" w:cs="Calibri"/>
          <w:sz w:val="24"/>
          <w:szCs w:val="24"/>
        </w:rPr>
        <w:t xml:space="preserve"> </w:t>
      </w:r>
      <w:r w:rsidR="00F211CA" w:rsidRPr="00F211CA">
        <w:rPr>
          <w:rFonts w:ascii="Calibri" w:hAnsi="Calibri" w:cs="Calibri"/>
          <w:sz w:val="24"/>
          <w:szCs w:val="24"/>
        </w:rPr>
        <w:t xml:space="preserve">The present study has several limitations. </w:t>
      </w:r>
      <w:r w:rsidR="00F211CA">
        <w:rPr>
          <w:rFonts w:ascii="Calibri" w:hAnsi="Calibri" w:cs="Calibri"/>
          <w:sz w:val="24"/>
          <w:szCs w:val="24"/>
        </w:rPr>
        <w:t xml:space="preserve"> </w:t>
      </w:r>
      <w:r w:rsidR="008E776F">
        <w:rPr>
          <w:rFonts w:ascii="Calibri" w:hAnsi="Calibri" w:cs="Calibri"/>
          <w:sz w:val="24"/>
          <w:szCs w:val="24"/>
        </w:rPr>
        <w:t xml:space="preserve">We studied </w:t>
      </w:r>
      <w:r w:rsidR="003E2752" w:rsidRPr="003E2752">
        <w:rPr>
          <w:rFonts w:ascii="Calibri" w:hAnsi="Calibri" w:cs="Calibri"/>
          <w:sz w:val="24"/>
          <w:szCs w:val="24"/>
        </w:rPr>
        <w:t xml:space="preserve">predominantly </w:t>
      </w:r>
      <w:r w:rsidR="008E776F">
        <w:rPr>
          <w:rFonts w:ascii="Calibri" w:hAnsi="Calibri" w:cs="Calibri"/>
          <w:sz w:val="24"/>
          <w:szCs w:val="24"/>
        </w:rPr>
        <w:t xml:space="preserve">a </w:t>
      </w:r>
      <w:r w:rsidR="003E2752" w:rsidRPr="003E2752">
        <w:rPr>
          <w:rFonts w:ascii="Calibri" w:hAnsi="Calibri" w:cs="Calibri"/>
          <w:sz w:val="24"/>
          <w:szCs w:val="24"/>
        </w:rPr>
        <w:t xml:space="preserve">white </w:t>
      </w:r>
      <w:r w:rsidR="004C3DD9" w:rsidRPr="003E2752">
        <w:rPr>
          <w:rFonts w:ascii="Calibri" w:hAnsi="Calibri" w:cs="Calibri"/>
          <w:sz w:val="24"/>
          <w:szCs w:val="24"/>
        </w:rPr>
        <w:t>population,</w:t>
      </w:r>
      <w:r w:rsidR="008E776F">
        <w:rPr>
          <w:rFonts w:ascii="Calibri" w:hAnsi="Calibri" w:cs="Calibri"/>
          <w:sz w:val="24"/>
          <w:szCs w:val="24"/>
        </w:rPr>
        <w:t xml:space="preserve"> and our findings may not pertain to other</w:t>
      </w:r>
      <w:r w:rsidR="00525783">
        <w:rPr>
          <w:rFonts w:ascii="Calibri" w:hAnsi="Calibri" w:cs="Calibri"/>
          <w:sz w:val="24"/>
          <w:szCs w:val="24"/>
        </w:rPr>
        <w:t xml:space="preserve"> </w:t>
      </w:r>
      <w:r w:rsidR="00525783">
        <w:rPr>
          <w:rFonts w:ascii="Calibri" w:hAnsi="Calibri" w:cs="Calibri"/>
          <w:sz w:val="24"/>
          <w:szCs w:val="24"/>
        </w:rPr>
        <w:lastRenderedPageBreak/>
        <w:t xml:space="preserve">ethnicities. </w:t>
      </w:r>
      <w:r w:rsidR="003E2752" w:rsidRPr="003E2752">
        <w:rPr>
          <w:rFonts w:ascii="Calibri" w:hAnsi="Calibri" w:cs="Calibri"/>
          <w:sz w:val="24"/>
          <w:szCs w:val="24"/>
        </w:rPr>
        <w:t xml:space="preserve"> </w:t>
      </w:r>
      <w:r w:rsidR="00FD79D0">
        <w:rPr>
          <w:rFonts w:ascii="Calibri" w:hAnsi="Calibri" w:cs="Calibri"/>
          <w:sz w:val="24"/>
          <w:szCs w:val="24"/>
        </w:rPr>
        <w:t>W</w:t>
      </w:r>
      <w:r w:rsidR="00FD79D0" w:rsidRPr="00FD79D0">
        <w:rPr>
          <w:rFonts w:ascii="Calibri" w:hAnsi="Calibri" w:cs="Calibri"/>
          <w:sz w:val="24"/>
          <w:szCs w:val="24"/>
        </w:rPr>
        <w:t xml:space="preserve">e did not </w:t>
      </w:r>
      <w:r w:rsidR="00190516">
        <w:rPr>
          <w:rFonts w:ascii="Calibri" w:hAnsi="Calibri" w:cs="Calibri"/>
          <w:sz w:val="24"/>
          <w:szCs w:val="24"/>
        </w:rPr>
        <w:t>register</w:t>
      </w:r>
      <w:r w:rsidR="00E86456">
        <w:rPr>
          <w:rFonts w:ascii="Calibri" w:hAnsi="Calibri" w:cs="Calibri"/>
          <w:sz w:val="24"/>
          <w:szCs w:val="24"/>
        </w:rPr>
        <w:t xml:space="preserve"> the</w:t>
      </w:r>
      <w:r w:rsidR="00FD79D0" w:rsidRPr="00FD79D0">
        <w:rPr>
          <w:rFonts w:ascii="Calibri" w:hAnsi="Calibri" w:cs="Calibri"/>
          <w:sz w:val="24"/>
          <w:szCs w:val="24"/>
        </w:rPr>
        <w:t xml:space="preserve"> use of drugs </w:t>
      </w:r>
      <w:r w:rsidR="00946792">
        <w:rPr>
          <w:rFonts w:ascii="Calibri" w:hAnsi="Calibri" w:cs="Calibri"/>
          <w:sz w:val="24"/>
          <w:szCs w:val="24"/>
        </w:rPr>
        <w:t xml:space="preserve">such as </w:t>
      </w:r>
      <w:r w:rsidR="00190516">
        <w:rPr>
          <w:rFonts w:ascii="Calibri" w:hAnsi="Calibri" w:cs="Calibri"/>
          <w:sz w:val="24"/>
          <w:szCs w:val="24"/>
        </w:rPr>
        <w:t xml:space="preserve">lithium or thiazides </w:t>
      </w:r>
      <w:r w:rsidR="00FD79D0" w:rsidRPr="00FD79D0">
        <w:rPr>
          <w:rFonts w:ascii="Calibri" w:hAnsi="Calibri" w:cs="Calibri"/>
          <w:sz w:val="24"/>
          <w:szCs w:val="24"/>
        </w:rPr>
        <w:t>among participants</w:t>
      </w:r>
      <w:r w:rsidR="00E86456">
        <w:rPr>
          <w:rFonts w:ascii="Calibri" w:hAnsi="Calibri" w:cs="Calibri"/>
          <w:sz w:val="24"/>
          <w:szCs w:val="24"/>
        </w:rPr>
        <w:t xml:space="preserve">. </w:t>
      </w:r>
      <w:r w:rsidR="00946792">
        <w:rPr>
          <w:rFonts w:ascii="Calibri" w:hAnsi="Calibri" w:cs="Calibri"/>
          <w:sz w:val="24"/>
          <w:szCs w:val="24"/>
        </w:rPr>
        <w:t xml:space="preserve"> </w:t>
      </w:r>
      <w:r w:rsidR="00E43E93">
        <w:rPr>
          <w:rFonts w:ascii="Calibri" w:hAnsi="Calibri" w:cs="Calibri"/>
          <w:sz w:val="24"/>
          <w:szCs w:val="24"/>
        </w:rPr>
        <w:t>T</w:t>
      </w:r>
      <w:r w:rsidR="003C12F5">
        <w:rPr>
          <w:rFonts w:ascii="Calibri" w:hAnsi="Calibri" w:cs="Calibri"/>
          <w:sz w:val="24"/>
          <w:szCs w:val="24"/>
        </w:rPr>
        <w:t>he granularity of the data available did not permi</w:t>
      </w:r>
      <w:r w:rsidR="00930039">
        <w:rPr>
          <w:rFonts w:ascii="Calibri" w:hAnsi="Calibri" w:cs="Calibri"/>
          <w:sz w:val="24"/>
          <w:szCs w:val="24"/>
        </w:rPr>
        <w:t xml:space="preserve">t a detailed analysis of all clinical risk factors that </w:t>
      </w:r>
      <w:r w:rsidR="005C3FC3">
        <w:rPr>
          <w:rFonts w:ascii="Calibri" w:hAnsi="Calibri" w:cs="Calibri"/>
          <w:sz w:val="24"/>
          <w:szCs w:val="24"/>
        </w:rPr>
        <w:t xml:space="preserve">contribute to fracture probability. </w:t>
      </w:r>
      <w:r w:rsidR="008753C4">
        <w:rPr>
          <w:rFonts w:ascii="Calibri" w:hAnsi="Calibri" w:cs="Calibri"/>
          <w:sz w:val="24"/>
          <w:szCs w:val="24"/>
        </w:rPr>
        <w:t xml:space="preserve"> </w:t>
      </w:r>
      <w:r w:rsidR="00E43E93">
        <w:rPr>
          <w:rFonts w:ascii="Calibri" w:hAnsi="Calibri" w:cs="Calibri"/>
          <w:sz w:val="24"/>
          <w:szCs w:val="24"/>
        </w:rPr>
        <w:t>This applies to the cases</w:t>
      </w:r>
      <w:r w:rsidR="001169E8">
        <w:rPr>
          <w:rFonts w:ascii="Calibri" w:hAnsi="Calibri" w:cs="Calibri"/>
          <w:sz w:val="24"/>
          <w:szCs w:val="24"/>
        </w:rPr>
        <w:t xml:space="preserve">, population-based </w:t>
      </w:r>
      <w:proofErr w:type="gramStart"/>
      <w:r w:rsidR="001169E8">
        <w:rPr>
          <w:rFonts w:ascii="Calibri" w:hAnsi="Calibri" w:cs="Calibri"/>
          <w:sz w:val="24"/>
          <w:szCs w:val="24"/>
        </w:rPr>
        <w:t>controls</w:t>
      </w:r>
      <w:proofErr w:type="gramEnd"/>
      <w:r w:rsidR="001169E8">
        <w:rPr>
          <w:rFonts w:ascii="Calibri" w:hAnsi="Calibri" w:cs="Calibri"/>
          <w:sz w:val="24"/>
          <w:szCs w:val="24"/>
        </w:rPr>
        <w:t xml:space="preserve"> and the BMD control</w:t>
      </w:r>
      <w:r w:rsidR="00E626A2">
        <w:rPr>
          <w:rFonts w:ascii="Calibri" w:hAnsi="Calibri" w:cs="Calibri"/>
          <w:sz w:val="24"/>
          <w:szCs w:val="24"/>
        </w:rPr>
        <w:t xml:space="preserve">s.  </w:t>
      </w:r>
      <w:r w:rsidR="00BF0BBB">
        <w:rPr>
          <w:rFonts w:ascii="Calibri" w:hAnsi="Calibri" w:cs="Calibri"/>
          <w:sz w:val="24"/>
          <w:szCs w:val="24"/>
        </w:rPr>
        <w:t>It is notable that</w:t>
      </w:r>
      <w:r w:rsidR="00237E3E">
        <w:rPr>
          <w:rFonts w:ascii="Calibri" w:hAnsi="Calibri" w:cs="Calibri"/>
          <w:sz w:val="24"/>
          <w:szCs w:val="24"/>
        </w:rPr>
        <w:t xml:space="preserve"> </w:t>
      </w:r>
      <w:r w:rsidR="005A3C46" w:rsidRPr="005A3C46">
        <w:rPr>
          <w:rFonts w:ascii="Calibri" w:hAnsi="Calibri" w:cs="Calibri"/>
          <w:sz w:val="24"/>
          <w:szCs w:val="24"/>
        </w:rPr>
        <w:t xml:space="preserve">cases referred for </w:t>
      </w:r>
      <w:r w:rsidR="00237E3E">
        <w:rPr>
          <w:rFonts w:ascii="Calibri" w:hAnsi="Calibri" w:cs="Calibri"/>
          <w:sz w:val="24"/>
          <w:szCs w:val="24"/>
        </w:rPr>
        <w:t>parathyroidectomy</w:t>
      </w:r>
      <w:r w:rsidR="005A3C46" w:rsidRPr="005A3C46">
        <w:rPr>
          <w:rFonts w:ascii="Calibri" w:hAnsi="Calibri" w:cs="Calibri"/>
          <w:sz w:val="24"/>
          <w:szCs w:val="24"/>
        </w:rPr>
        <w:t xml:space="preserve"> </w:t>
      </w:r>
      <w:r w:rsidR="00CA3AF6">
        <w:rPr>
          <w:rFonts w:ascii="Calibri" w:hAnsi="Calibri" w:cs="Calibri"/>
          <w:sz w:val="24"/>
          <w:szCs w:val="24"/>
        </w:rPr>
        <w:t xml:space="preserve">had </w:t>
      </w:r>
      <w:r w:rsidR="005A3C46" w:rsidRPr="005A3C46">
        <w:rPr>
          <w:rFonts w:ascii="Calibri" w:hAnsi="Calibri" w:cs="Calibri"/>
          <w:sz w:val="24"/>
          <w:szCs w:val="24"/>
        </w:rPr>
        <w:t xml:space="preserve">a shorter follow up than cases managed conservatively.   </w:t>
      </w:r>
      <w:r w:rsidR="00CA3AF6">
        <w:rPr>
          <w:rFonts w:ascii="Calibri" w:hAnsi="Calibri" w:cs="Calibri"/>
          <w:sz w:val="24"/>
          <w:szCs w:val="24"/>
        </w:rPr>
        <w:t xml:space="preserve">Comparisons with an unequal </w:t>
      </w:r>
      <w:r w:rsidR="00AD6C80">
        <w:rPr>
          <w:rFonts w:ascii="Calibri" w:hAnsi="Calibri" w:cs="Calibri"/>
          <w:sz w:val="24"/>
          <w:szCs w:val="24"/>
        </w:rPr>
        <w:t xml:space="preserve">length of follow up </w:t>
      </w:r>
      <w:r w:rsidR="005A3C46" w:rsidRPr="005A3C46">
        <w:rPr>
          <w:rFonts w:ascii="Calibri" w:hAnsi="Calibri" w:cs="Calibri"/>
          <w:sz w:val="24"/>
          <w:szCs w:val="24"/>
        </w:rPr>
        <w:t xml:space="preserve">would have been problematic with Cox regression.  However, with Poisson model as used in the present study, the current age and current time since baseline are used and adjusted </w:t>
      </w:r>
      <w:r w:rsidR="005A3C46" w:rsidRPr="002F1B15">
        <w:rPr>
          <w:rFonts w:ascii="Calibri" w:hAnsi="Calibri" w:cs="Calibri"/>
          <w:sz w:val="24"/>
          <w:szCs w:val="24"/>
        </w:rPr>
        <w:t>for in the model.</w:t>
      </w:r>
      <w:r w:rsidR="006037EC" w:rsidRPr="002F1B15">
        <w:rPr>
          <w:rFonts w:ascii="Calibri" w:hAnsi="Calibri" w:cs="Calibri"/>
          <w:sz w:val="24"/>
          <w:szCs w:val="24"/>
        </w:rPr>
        <w:t xml:space="preserve">  Moreover, censoring data to one year o</w:t>
      </w:r>
      <w:r w:rsidR="00B94A2C" w:rsidRPr="002F1B15">
        <w:rPr>
          <w:rFonts w:ascii="Calibri" w:hAnsi="Calibri" w:cs="Calibri"/>
          <w:sz w:val="24"/>
          <w:szCs w:val="24"/>
        </w:rPr>
        <w:t>f</w:t>
      </w:r>
      <w:r w:rsidR="006037EC" w:rsidRPr="002F1B15">
        <w:rPr>
          <w:rFonts w:ascii="Calibri" w:hAnsi="Calibri" w:cs="Calibri"/>
          <w:sz w:val="24"/>
          <w:szCs w:val="24"/>
        </w:rPr>
        <w:t xml:space="preserve"> follo</w:t>
      </w:r>
      <w:r w:rsidR="00B94A2C" w:rsidRPr="002F1B15">
        <w:rPr>
          <w:rFonts w:ascii="Calibri" w:hAnsi="Calibri" w:cs="Calibri"/>
          <w:sz w:val="24"/>
          <w:szCs w:val="24"/>
        </w:rPr>
        <w:t xml:space="preserve">w </w:t>
      </w:r>
      <w:r w:rsidR="006037EC" w:rsidRPr="002F1B15">
        <w:rPr>
          <w:rFonts w:ascii="Calibri" w:hAnsi="Calibri" w:cs="Calibri"/>
          <w:sz w:val="24"/>
          <w:szCs w:val="24"/>
        </w:rPr>
        <w:t>up in cases and controls,</w:t>
      </w:r>
      <w:r w:rsidR="002A1164" w:rsidRPr="002F1B15">
        <w:rPr>
          <w:rFonts w:ascii="Calibri" w:hAnsi="Calibri" w:cs="Calibri"/>
          <w:sz w:val="24"/>
          <w:szCs w:val="24"/>
        </w:rPr>
        <w:t xml:space="preserve"> strengthened rather than weakened the </w:t>
      </w:r>
      <w:r w:rsidR="00993632" w:rsidRPr="002F1B15">
        <w:rPr>
          <w:rFonts w:ascii="Calibri" w:hAnsi="Calibri" w:cs="Calibri"/>
          <w:sz w:val="24"/>
          <w:szCs w:val="24"/>
        </w:rPr>
        <w:t>effect of PHPT on the risk of death and fracture.</w:t>
      </w:r>
    </w:p>
    <w:p w14:paraId="614933D2" w14:textId="00A79BB4" w:rsidR="00A55D63" w:rsidRDefault="00F211CA" w:rsidP="00F211CA">
      <w:pPr>
        <w:spacing w:line="276" w:lineRule="auto"/>
        <w:rPr>
          <w:rFonts w:ascii="Calibri" w:hAnsi="Calibri" w:cs="Calibri"/>
          <w:sz w:val="24"/>
          <w:szCs w:val="24"/>
        </w:rPr>
      </w:pPr>
      <w:r w:rsidRPr="00F211CA">
        <w:rPr>
          <w:rFonts w:ascii="Calibri" w:hAnsi="Calibri" w:cs="Calibri"/>
          <w:sz w:val="24"/>
          <w:szCs w:val="24"/>
        </w:rPr>
        <w:t>In conclusion, the risk of</w:t>
      </w:r>
      <w:r w:rsidR="00CC7797">
        <w:rPr>
          <w:rFonts w:ascii="Calibri" w:hAnsi="Calibri" w:cs="Calibri"/>
          <w:sz w:val="24"/>
          <w:szCs w:val="24"/>
        </w:rPr>
        <w:t xml:space="preserve"> </w:t>
      </w:r>
      <w:r w:rsidR="00213C0F">
        <w:rPr>
          <w:rFonts w:ascii="Calibri" w:hAnsi="Calibri" w:cs="Calibri"/>
          <w:sz w:val="24"/>
          <w:szCs w:val="24"/>
        </w:rPr>
        <w:t>hip a</w:t>
      </w:r>
      <w:r w:rsidR="00CC7797">
        <w:rPr>
          <w:rFonts w:ascii="Calibri" w:hAnsi="Calibri" w:cs="Calibri"/>
          <w:sz w:val="24"/>
          <w:szCs w:val="24"/>
        </w:rPr>
        <w:t>n</w:t>
      </w:r>
      <w:r w:rsidR="00213C0F">
        <w:rPr>
          <w:rFonts w:ascii="Calibri" w:hAnsi="Calibri" w:cs="Calibri"/>
          <w:sz w:val="24"/>
          <w:szCs w:val="24"/>
        </w:rPr>
        <w:t>d other major osteoporotic fracture</w:t>
      </w:r>
      <w:r w:rsidRPr="00F211CA">
        <w:rPr>
          <w:rFonts w:ascii="Calibri" w:hAnsi="Calibri" w:cs="Calibri"/>
          <w:sz w:val="24"/>
          <w:szCs w:val="24"/>
        </w:rPr>
        <w:t xml:space="preserve"> </w:t>
      </w:r>
      <w:r w:rsidR="00CC7797">
        <w:rPr>
          <w:rFonts w:ascii="Calibri" w:hAnsi="Calibri" w:cs="Calibri"/>
          <w:sz w:val="24"/>
          <w:szCs w:val="24"/>
        </w:rPr>
        <w:t xml:space="preserve">is increased in </w:t>
      </w:r>
      <w:r w:rsidR="001B6E24">
        <w:rPr>
          <w:rFonts w:ascii="Calibri" w:hAnsi="Calibri" w:cs="Calibri"/>
          <w:sz w:val="24"/>
          <w:szCs w:val="24"/>
        </w:rPr>
        <w:t>PHPT</w:t>
      </w:r>
      <w:r w:rsidR="002F76AA">
        <w:rPr>
          <w:rFonts w:ascii="Calibri" w:hAnsi="Calibri" w:cs="Calibri"/>
          <w:sz w:val="24"/>
          <w:szCs w:val="24"/>
        </w:rPr>
        <w:t xml:space="preserve"> </w:t>
      </w:r>
      <w:r w:rsidR="007967D1">
        <w:rPr>
          <w:rFonts w:ascii="Calibri" w:hAnsi="Calibri" w:cs="Calibri"/>
          <w:sz w:val="24"/>
          <w:szCs w:val="24"/>
        </w:rPr>
        <w:t>irrespective of the disease severity</w:t>
      </w:r>
      <w:r w:rsidR="00B6207A">
        <w:rPr>
          <w:rFonts w:ascii="Calibri" w:hAnsi="Calibri" w:cs="Calibri"/>
          <w:sz w:val="24"/>
          <w:szCs w:val="24"/>
        </w:rPr>
        <w:t xml:space="preserve"> and BMD</w:t>
      </w:r>
      <w:r w:rsidR="007967D1">
        <w:rPr>
          <w:rFonts w:ascii="Calibri" w:hAnsi="Calibri" w:cs="Calibri"/>
          <w:sz w:val="24"/>
          <w:szCs w:val="24"/>
        </w:rPr>
        <w:t xml:space="preserve">.  </w:t>
      </w:r>
      <w:r w:rsidR="002011C7">
        <w:rPr>
          <w:rFonts w:ascii="Calibri" w:hAnsi="Calibri" w:cs="Calibri"/>
          <w:sz w:val="24"/>
          <w:szCs w:val="24"/>
        </w:rPr>
        <w:t xml:space="preserve">Fracture probability is </w:t>
      </w:r>
      <w:r w:rsidR="00E27239">
        <w:rPr>
          <w:rFonts w:ascii="Calibri" w:hAnsi="Calibri" w:cs="Calibri"/>
          <w:sz w:val="24"/>
          <w:szCs w:val="24"/>
        </w:rPr>
        <w:t xml:space="preserve">less </w:t>
      </w:r>
      <w:r w:rsidR="002011C7">
        <w:rPr>
          <w:rFonts w:ascii="Calibri" w:hAnsi="Calibri" w:cs="Calibri"/>
          <w:sz w:val="24"/>
          <w:szCs w:val="24"/>
        </w:rPr>
        <w:t>affected due to the competing effect of mortality.</w:t>
      </w:r>
      <w:r w:rsidR="00EB183B">
        <w:rPr>
          <w:rFonts w:ascii="Calibri" w:hAnsi="Calibri" w:cs="Calibri"/>
          <w:sz w:val="24"/>
          <w:szCs w:val="24"/>
        </w:rPr>
        <w:t xml:space="preserve">  The increase in mortality</w:t>
      </w:r>
      <w:r w:rsidR="002B6B44">
        <w:rPr>
          <w:rFonts w:ascii="Calibri" w:hAnsi="Calibri" w:cs="Calibri"/>
          <w:sz w:val="24"/>
          <w:szCs w:val="24"/>
        </w:rPr>
        <w:t xml:space="preserve"> and fracture risk in patients treated conservatively </w:t>
      </w:r>
      <w:r w:rsidR="00045681">
        <w:rPr>
          <w:rFonts w:ascii="Calibri" w:hAnsi="Calibri" w:cs="Calibri"/>
          <w:sz w:val="24"/>
          <w:szCs w:val="24"/>
        </w:rPr>
        <w:t xml:space="preserve">argue against conservative management of </w:t>
      </w:r>
      <w:r w:rsidR="00EA7648">
        <w:rPr>
          <w:rFonts w:ascii="Calibri" w:hAnsi="Calibri" w:cs="Calibri"/>
          <w:sz w:val="24"/>
          <w:szCs w:val="24"/>
        </w:rPr>
        <w:t>apparently</w:t>
      </w:r>
      <w:r w:rsidR="00045681">
        <w:rPr>
          <w:rFonts w:ascii="Calibri" w:hAnsi="Calibri" w:cs="Calibri"/>
          <w:sz w:val="24"/>
          <w:szCs w:val="24"/>
        </w:rPr>
        <w:t xml:space="preserve"> asymptomatic patients with PH</w:t>
      </w:r>
      <w:r w:rsidR="00EA7648">
        <w:rPr>
          <w:rFonts w:ascii="Calibri" w:hAnsi="Calibri" w:cs="Calibri"/>
          <w:sz w:val="24"/>
          <w:szCs w:val="24"/>
        </w:rPr>
        <w:t>PT.</w:t>
      </w:r>
    </w:p>
    <w:p w14:paraId="2492562B" w14:textId="324FE071" w:rsidR="00C64563" w:rsidRDefault="00C64563" w:rsidP="00F211CA">
      <w:pPr>
        <w:spacing w:line="276" w:lineRule="auto"/>
        <w:rPr>
          <w:rFonts w:ascii="Calibri" w:hAnsi="Calibri" w:cs="Calibri"/>
          <w:b/>
          <w:bCs/>
          <w:sz w:val="24"/>
          <w:szCs w:val="24"/>
        </w:rPr>
      </w:pPr>
      <w:r w:rsidRPr="00C64563">
        <w:rPr>
          <w:rFonts w:ascii="Calibri" w:hAnsi="Calibri" w:cs="Calibri"/>
          <w:b/>
          <w:bCs/>
          <w:sz w:val="24"/>
          <w:szCs w:val="24"/>
        </w:rPr>
        <w:t>Competing interests</w:t>
      </w:r>
    </w:p>
    <w:p w14:paraId="1A15FC03" w14:textId="241AC2CE" w:rsidR="00D801FD" w:rsidRDefault="00D801FD" w:rsidP="00F211CA">
      <w:pPr>
        <w:spacing w:line="276" w:lineRule="auto"/>
        <w:rPr>
          <w:rFonts w:ascii="Calibri" w:eastAsia="Times New Roman" w:hAnsi="Calibri" w:cs="Calibri"/>
          <w:sz w:val="24"/>
          <w:szCs w:val="24"/>
          <w:lang w:eastAsia="en-GB"/>
        </w:rPr>
      </w:pPr>
      <w:r w:rsidRPr="00D801FD">
        <w:rPr>
          <w:rFonts w:ascii="Calibri" w:eastAsia="Times New Roman" w:hAnsi="Calibri" w:cs="Calibri"/>
          <w:sz w:val="24"/>
          <w:szCs w:val="24"/>
          <w:lang w:eastAsia="en-GB"/>
        </w:rPr>
        <w:t>JA Kanis led the team that developed FRAX as director of the WHO Collaborating Centre for Metabolic Bone Diseases</w:t>
      </w:r>
      <w:r>
        <w:rPr>
          <w:rFonts w:ascii="Calibri" w:eastAsia="Times New Roman" w:hAnsi="Calibri" w:cs="Calibri"/>
          <w:sz w:val="24"/>
          <w:szCs w:val="24"/>
          <w:lang w:eastAsia="en-GB"/>
        </w:rPr>
        <w:t xml:space="preserve">. </w:t>
      </w:r>
      <w:r w:rsidRPr="00D801FD">
        <w:rPr>
          <w:rFonts w:ascii="Calibri" w:eastAsia="Times New Roman" w:hAnsi="Calibri" w:cs="Calibri"/>
          <w:sz w:val="24"/>
          <w:szCs w:val="24"/>
          <w:lang w:eastAsia="en-GB"/>
        </w:rPr>
        <w:t xml:space="preserve"> EV McCloskey, WD Leslie, M Lorentzon, NC Harvey, E Liu, L Vandenput and H Johansson are members of the FRAX team.</w:t>
      </w:r>
      <w:r w:rsidR="00E80597">
        <w:rPr>
          <w:rFonts w:ascii="Calibri" w:eastAsia="Times New Roman" w:hAnsi="Calibri" w:cs="Calibri"/>
          <w:sz w:val="24"/>
          <w:szCs w:val="24"/>
          <w:lang w:eastAsia="en-GB"/>
        </w:rPr>
        <w:t xml:space="preserve"> </w:t>
      </w:r>
      <w:r w:rsidRPr="00D801FD">
        <w:rPr>
          <w:rFonts w:ascii="Calibri" w:eastAsia="Times New Roman" w:hAnsi="Calibri" w:cs="Calibri"/>
          <w:sz w:val="24"/>
          <w:szCs w:val="24"/>
          <w:lang w:eastAsia="en-GB"/>
        </w:rPr>
        <w:t xml:space="preserve"> JA Kanis reports no additional competing interests.</w:t>
      </w:r>
    </w:p>
    <w:p w14:paraId="5CBF930E" w14:textId="4E54648B" w:rsidR="0015772B" w:rsidRDefault="0015772B" w:rsidP="00F211CA">
      <w:pPr>
        <w:spacing w:line="276" w:lineRule="auto"/>
        <w:rPr>
          <w:rFonts w:ascii="Calibri" w:eastAsia="Times New Roman" w:hAnsi="Calibri" w:cs="Calibri"/>
          <w:sz w:val="24"/>
          <w:szCs w:val="24"/>
          <w:lang w:eastAsia="en-GB"/>
        </w:rPr>
      </w:pPr>
      <w:r w:rsidRPr="0015772B">
        <w:rPr>
          <w:rFonts w:ascii="Calibri" w:eastAsia="Times New Roman" w:hAnsi="Calibri" w:cs="Calibri"/>
          <w:sz w:val="24"/>
          <w:szCs w:val="24"/>
          <w:lang w:eastAsia="en-GB"/>
        </w:rPr>
        <w:t xml:space="preserve">NC Harvey has received consultancy/lecture fees/honoraria/grant funding from Alliance for Better Bone Health, Amgen, MSD, Eli Lilly, Radius Health, </w:t>
      </w:r>
      <w:proofErr w:type="spellStart"/>
      <w:r w:rsidRPr="0015772B">
        <w:rPr>
          <w:rFonts w:ascii="Calibri" w:eastAsia="Times New Roman" w:hAnsi="Calibri" w:cs="Calibri"/>
          <w:sz w:val="24"/>
          <w:szCs w:val="24"/>
          <w:lang w:eastAsia="en-GB"/>
        </w:rPr>
        <w:t>Servier</w:t>
      </w:r>
      <w:proofErr w:type="spellEnd"/>
      <w:r w:rsidRPr="0015772B">
        <w:rPr>
          <w:rFonts w:ascii="Calibri" w:eastAsia="Times New Roman" w:hAnsi="Calibri" w:cs="Calibri"/>
          <w:sz w:val="24"/>
          <w:szCs w:val="24"/>
          <w:lang w:eastAsia="en-GB"/>
        </w:rPr>
        <w:t xml:space="preserve">, Shire, UCB, Consilient Healthcare and </w:t>
      </w:r>
      <w:proofErr w:type="spellStart"/>
      <w:r w:rsidRPr="0015772B">
        <w:rPr>
          <w:rFonts w:ascii="Calibri" w:eastAsia="Times New Roman" w:hAnsi="Calibri" w:cs="Calibri"/>
          <w:sz w:val="24"/>
          <w:szCs w:val="24"/>
          <w:lang w:eastAsia="en-GB"/>
        </w:rPr>
        <w:t>Internis</w:t>
      </w:r>
      <w:proofErr w:type="spellEnd"/>
      <w:r w:rsidRPr="0015772B">
        <w:rPr>
          <w:rFonts w:ascii="Calibri" w:eastAsia="Times New Roman" w:hAnsi="Calibri" w:cs="Calibri"/>
          <w:sz w:val="24"/>
          <w:szCs w:val="24"/>
          <w:lang w:eastAsia="en-GB"/>
        </w:rPr>
        <w:t xml:space="preserve"> Pharma.</w:t>
      </w:r>
    </w:p>
    <w:p w14:paraId="504E0E80" w14:textId="5A856B8B" w:rsidR="000E167D" w:rsidRDefault="000E167D" w:rsidP="00F211CA">
      <w:pPr>
        <w:spacing w:line="276" w:lineRule="auto"/>
        <w:rPr>
          <w:rFonts w:ascii="Calibri" w:eastAsia="Times New Roman" w:hAnsi="Calibri" w:cs="Calibri"/>
          <w:sz w:val="24"/>
          <w:szCs w:val="24"/>
          <w:lang w:eastAsia="en-GB"/>
        </w:rPr>
      </w:pPr>
      <w:r w:rsidRPr="000E167D">
        <w:rPr>
          <w:rFonts w:ascii="Calibri" w:eastAsia="Times New Roman" w:hAnsi="Calibri" w:cs="Calibri"/>
          <w:sz w:val="24"/>
          <w:szCs w:val="24"/>
          <w:lang w:eastAsia="en-GB"/>
        </w:rPr>
        <w:t xml:space="preserve">M Lorentzon has received lecture fees from Amgen, Lilly, </w:t>
      </w:r>
      <w:proofErr w:type="spellStart"/>
      <w:r w:rsidRPr="000E167D">
        <w:rPr>
          <w:rFonts w:ascii="Calibri" w:eastAsia="Times New Roman" w:hAnsi="Calibri" w:cs="Calibri"/>
          <w:sz w:val="24"/>
          <w:szCs w:val="24"/>
          <w:lang w:eastAsia="en-GB"/>
        </w:rPr>
        <w:t>Meda</w:t>
      </w:r>
      <w:proofErr w:type="spellEnd"/>
      <w:r w:rsidRPr="000E167D">
        <w:rPr>
          <w:rFonts w:ascii="Calibri" w:eastAsia="Times New Roman" w:hAnsi="Calibri" w:cs="Calibri"/>
          <w:sz w:val="24"/>
          <w:szCs w:val="24"/>
          <w:lang w:eastAsia="en-GB"/>
        </w:rPr>
        <w:t xml:space="preserve">, </w:t>
      </w:r>
      <w:proofErr w:type="spellStart"/>
      <w:r w:rsidRPr="000E167D">
        <w:rPr>
          <w:rFonts w:ascii="Calibri" w:eastAsia="Times New Roman" w:hAnsi="Calibri" w:cs="Calibri"/>
          <w:sz w:val="24"/>
          <w:szCs w:val="24"/>
          <w:lang w:eastAsia="en-GB"/>
        </w:rPr>
        <w:t>Renapharma</w:t>
      </w:r>
      <w:proofErr w:type="spellEnd"/>
      <w:r w:rsidRPr="000E167D">
        <w:rPr>
          <w:rFonts w:ascii="Calibri" w:eastAsia="Times New Roman" w:hAnsi="Calibri" w:cs="Calibri"/>
          <w:sz w:val="24"/>
          <w:szCs w:val="24"/>
          <w:lang w:eastAsia="en-GB"/>
        </w:rPr>
        <w:t xml:space="preserve"> and UCB Pharma and consulting fees from Amgen, Radius Health, UCB Pharma, </w:t>
      </w:r>
      <w:proofErr w:type="spellStart"/>
      <w:r w:rsidRPr="000E167D">
        <w:rPr>
          <w:rFonts w:ascii="Calibri" w:eastAsia="Times New Roman" w:hAnsi="Calibri" w:cs="Calibri"/>
          <w:sz w:val="24"/>
          <w:szCs w:val="24"/>
          <w:lang w:eastAsia="en-GB"/>
        </w:rPr>
        <w:t>Renapharma</w:t>
      </w:r>
      <w:proofErr w:type="spellEnd"/>
      <w:r w:rsidRPr="000E167D">
        <w:rPr>
          <w:rFonts w:ascii="Calibri" w:eastAsia="Times New Roman" w:hAnsi="Calibri" w:cs="Calibri"/>
          <w:sz w:val="24"/>
          <w:szCs w:val="24"/>
          <w:lang w:eastAsia="en-GB"/>
        </w:rPr>
        <w:t xml:space="preserve"> and Consilient Health, all outside the presented work.</w:t>
      </w:r>
    </w:p>
    <w:p w14:paraId="75192476" w14:textId="776E0D5A" w:rsidR="0091429E" w:rsidRDefault="0091429E" w:rsidP="00F211CA">
      <w:pPr>
        <w:spacing w:line="276" w:lineRule="auto"/>
        <w:rPr>
          <w:rFonts w:ascii="Calibri" w:eastAsia="Times New Roman" w:hAnsi="Calibri" w:cs="Calibri"/>
          <w:sz w:val="24"/>
          <w:szCs w:val="24"/>
          <w:lang w:eastAsia="en-GB"/>
        </w:rPr>
      </w:pPr>
      <w:r w:rsidRPr="0091429E">
        <w:rPr>
          <w:rFonts w:ascii="Calibri" w:eastAsia="Times New Roman" w:hAnsi="Calibri" w:cs="Calibri"/>
          <w:sz w:val="24"/>
          <w:szCs w:val="24"/>
          <w:lang w:eastAsia="en-GB"/>
        </w:rPr>
        <w:t xml:space="preserve">EV McCloskey has received consultancy/lecture fees/grant funding/honoraria from </w:t>
      </w:r>
      <w:proofErr w:type="spellStart"/>
      <w:r w:rsidRPr="0091429E">
        <w:rPr>
          <w:rFonts w:ascii="Calibri" w:eastAsia="Times New Roman" w:hAnsi="Calibri" w:cs="Calibri"/>
          <w:sz w:val="24"/>
          <w:szCs w:val="24"/>
          <w:lang w:eastAsia="en-GB"/>
        </w:rPr>
        <w:t>AgNovos</w:t>
      </w:r>
      <w:proofErr w:type="spellEnd"/>
      <w:r w:rsidRPr="0091429E">
        <w:rPr>
          <w:rFonts w:ascii="Calibri" w:eastAsia="Times New Roman" w:hAnsi="Calibri" w:cs="Calibri"/>
          <w:sz w:val="24"/>
          <w:szCs w:val="24"/>
          <w:lang w:eastAsia="en-GB"/>
        </w:rPr>
        <w:t xml:space="preserve">, Amgen, AstraZeneca, Consilient Healthcare, Fresenius </w:t>
      </w:r>
      <w:proofErr w:type="spellStart"/>
      <w:r w:rsidRPr="0091429E">
        <w:rPr>
          <w:rFonts w:ascii="Calibri" w:eastAsia="Times New Roman" w:hAnsi="Calibri" w:cs="Calibri"/>
          <w:sz w:val="24"/>
          <w:szCs w:val="24"/>
          <w:lang w:eastAsia="en-GB"/>
        </w:rPr>
        <w:t>Kabi</w:t>
      </w:r>
      <w:proofErr w:type="spellEnd"/>
      <w:r w:rsidRPr="0091429E">
        <w:rPr>
          <w:rFonts w:ascii="Calibri" w:eastAsia="Times New Roman" w:hAnsi="Calibri" w:cs="Calibri"/>
          <w:sz w:val="24"/>
          <w:szCs w:val="24"/>
          <w:lang w:eastAsia="en-GB"/>
        </w:rPr>
        <w:t xml:space="preserve">, Gilead, GSK, Hologic, </w:t>
      </w:r>
      <w:proofErr w:type="spellStart"/>
      <w:r w:rsidRPr="0091429E">
        <w:rPr>
          <w:rFonts w:ascii="Calibri" w:eastAsia="Times New Roman" w:hAnsi="Calibri" w:cs="Calibri"/>
          <w:sz w:val="24"/>
          <w:szCs w:val="24"/>
          <w:lang w:eastAsia="en-GB"/>
        </w:rPr>
        <w:t>Internis</w:t>
      </w:r>
      <w:proofErr w:type="spellEnd"/>
      <w:r w:rsidRPr="0091429E">
        <w:rPr>
          <w:rFonts w:ascii="Calibri" w:eastAsia="Times New Roman" w:hAnsi="Calibri" w:cs="Calibri"/>
          <w:sz w:val="24"/>
          <w:szCs w:val="24"/>
          <w:lang w:eastAsia="en-GB"/>
        </w:rPr>
        <w:t xml:space="preserve">, Lilly, Merck, Novartis, Pfizer, Radius Health, </w:t>
      </w:r>
      <w:proofErr w:type="spellStart"/>
      <w:r w:rsidRPr="0091429E">
        <w:rPr>
          <w:rFonts w:ascii="Calibri" w:eastAsia="Times New Roman" w:hAnsi="Calibri" w:cs="Calibri"/>
          <w:sz w:val="24"/>
          <w:szCs w:val="24"/>
          <w:lang w:eastAsia="en-GB"/>
        </w:rPr>
        <w:t>Redx</w:t>
      </w:r>
      <w:proofErr w:type="spellEnd"/>
      <w:r w:rsidRPr="0091429E">
        <w:rPr>
          <w:rFonts w:ascii="Calibri" w:eastAsia="Times New Roman" w:hAnsi="Calibri" w:cs="Calibri"/>
          <w:sz w:val="24"/>
          <w:szCs w:val="24"/>
          <w:lang w:eastAsia="en-GB"/>
        </w:rPr>
        <w:t xml:space="preserve"> Oncology, Roche, Sanofi Aventis, UCB, </w:t>
      </w:r>
      <w:proofErr w:type="spellStart"/>
      <w:r w:rsidRPr="0091429E">
        <w:rPr>
          <w:rFonts w:ascii="Calibri" w:eastAsia="Times New Roman" w:hAnsi="Calibri" w:cs="Calibri"/>
          <w:sz w:val="24"/>
          <w:szCs w:val="24"/>
          <w:lang w:eastAsia="en-GB"/>
        </w:rPr>
        <w:t>ViiV</w:t>
      </w:r>
      <w:proofErr w:type="spellEnd"/>
      <w:r w:rsidRPr="0091429E">
        <w:rPr>
          <w:rFonts w:ascii="Calibri" w:eastAsia="Times New Roman" w:hAnsi="Calibri" w:cs="Calibri"/>
          <w:sz w:val="24"/>
          <w:szCs w:val="24"/>
          <w:lang w:eastAsia="en-GB"/>
        </w:rPr>
        <w:t xml:space="preserve">, Warner Chilcott and I3 </w:t>
      </w:r>
      <w:proofErr w:type="spellStart"/>
      <w:r w:rsidRPr="0091429E">
        <w:rPr>
          <w:rFonts w:ascii="Calibri" w:eastAsia="Times New Roman" w:hAnsi="Calibri" w:cs="Calibri"/>
          <w:sz w:val="24"/>
          <w:szCs w:val="24"/>
          <w:lang w:eastAsia="en-GB"/>
        </w:rPr>
        <w:t>Innovus</w:t>
      </w:r>
      <w:proofErr w:type="spellEnd"/>
      <w:r w:rsidRPr="0091429E">
        <w:rPr>
          <w:rFonts w:ascii="Calibri" w:eastAsia="Times New Roman" w:hAnsi="Calibri" w:cs="Calibri"/>
          <w:sz w:val="24"/>
          <w:szCs w:val="24"/>
          <w:lang w:eastAsia="en-GB"/>
        </w:rPr>
        <w:t>.</w:t>
      </w:r>
    </w:p>
    <w:p w14:paraId="0FC1BA03" w14:textId="1B935627" w:rsidR="00285AE0" w:rsidRDefault="00204559" w:rsidP="00F211CA">
      <w:pPr>
        <w:spacing w:line="276" w:lineRule="auto"/>
        <w:rPr>
          <w:rFonts w:ascii="Calibri" w:eastAsia="Times New Roman" w:hAnsi="Calibri" w:cs="Calibri"/>
          <w:sz w:val="24"/>
          <w:szCs w:val="24"/>
          <w:lang w:eastAsia="en-GB"/>
        </w:rPr>
      </w:pPr>
      <w:r w:rsidRPr="00204559">
        <w:rPr>
          <w:rFonts w:ascii="Calibri" w:eastAsia="Times New Roman" w:hAnsi="Calibri" w:cs="Calibri"/>
          <w:sz w:val="24"/>
          <w:szCs w:val="24"/>
          <w:lang w:eastAsia="en-GB"/>
        </w:rPr>
        <w:t>E</w:t>
      </w:r>
      <w:r>
        <w:rPr>
          <w:rFonts w:ascii="Calibri" w:eastAsia="Times New Roman" w:hAnsi="Calibri" w:cs="Calibri"/>
          <w:sz w:val="24"/>
          <w:szCs w:val="24"/>
          <w:lang w:eastAsia="en-GB"/>
        </w:rPr>
        <w:t xml:space="preserve"> </w:t>
      </w:r>
      <w:r w:rsidR="00FF4D89" w:rsidRPr="00204559">
        <w:rPr>
          <w:rFonts w:ascii="Calibri" w:eastAsia="Times New Roman" w:hAnsi="Calibri" w:cs="Calibri"/>
          <w:sz w:val="24"/>
          <w:szCs w:val="24"/>
          <w:lang w:eastAsia="en-GB"/>
        </w:rPr>
        <w:t>Liu</w:t>
      </w:r>
      <w:r w:rsidR="00FF4D89">
        <w:rPr>
          <w:rFonts w:ascii="Calibri" w:eastAsia="Times New Roman" w:hAnsi="Calibri" w:cs="Calibri"/>
          <w:sz w:val="24"/>
          <w:szCs w:val="24"/>
          <w:lang w:eastAsia="en-GB"/>
        </w:rPr>
        <w:t xml:space="preserve">, </w:t>
      </w:r>
      <w:r w:rsidR="00FF4D89" w:rsidRPr="00204559">
        <w:rPr>
          <w:rFonts w:ascii="Calibri" w:eastAsia="Times New Roman" w:hAnsi="Calibri" w:cs="Calibri"/>
          <w:sz w:val="24"/>
          <w:szCs w:val="24"/>
          <w:lang w:eastAsia="en-GB"/>
        </w:rPr>
        <w:t>L</w:t>
      </w:r>
      <w:r>
        <w:rPr>
          <w:rFonts w:ascii="Calibri" w:eastAsia="Times New Roman" w:hAnsi="Calibri" w:cs="Calibri"/>
          <w:sz w:val="24"/>
          <w:szCs w:val="24"/>
          <w:lang w:eastAsia="en-GB"/>
        </w:rPr>
        <w:t xml:space="preserve"> </w:t>
      </w:r>
      <w:r w:rsidRPr="00204559">
        <w:rPr>
          <w:rFonts w:ascii="Calibri" w:eastAsia="Times New Roman" w:hAnsi="Calibri" w:cs="Calibri"/>
          <w:sz w:val="24"/>
          <w:szCs w:val="24"/>
          <w:lang w:eastAsia="en-GB"/>
        </w:rPr>
        <w:t>Vandenput</w:t>
      </w:r>
      <w:r w:rsidR="00FC03F5" w:rsidRPr="00FC03F5">
        <w:rPr>
          <w:rFonts w:ascii="Calibri" w:eastAsia="Times New Roman" w:hAnsi="Calibri" w:cs="Calibri"/>
          <w:sz w:val="24"/>
          <w:szCs w:val="24"/>
          <w:lang w:eastAsia="en-GB"/>
        </w:rPr>
        <w:t xml:space="preserve"> </w:t>
      </w:r>
      <w:r w:rsidR="00C322C3">
        <w:rPr>
          <w:rFonts w:ascii="Calibri" w:eastAsia="Times New Roman" w:hAnsi="Calibri" w:cs="Calibri"/>
          <w:sz w:val="24"/>
          <w:szCs w:val="24"/>
          <w:lang w:eastAsia="en-GB"/>
        </w:rPr>
        <w:t xml:space="preserve">and </w:t>
      </w:r>
      <w:r w:rsidR="00C322C3" w:rsidRPr="00C322C3">
        <w:rPr>
          <w:rFonts w:ascii="Calibri" w:eastAsia="Times New Roman" w:hAnsi="Calibri" w:cs="Calibri"/>
          <w:sz w:val="24"/>
          <w:szCs w:val="24"/>
          <w:lang w:eastAsia="en-GB"/>
        </w:rPr>
        <w:t xml:space="preserve">H Johansson </w:t>
      </w:r>
      <w:r w:rsidR="00285AE0" w:rsidRPr="00285AE0">
        <w:rPr>
          <w:rFonts w:ascii="Calibri" w:eastAsia="Times New Roman" w:hAnsi="Calibri" w:cs="Calibri"/>
          <w:sz w:val="24"/>
          <w:szCs w:val="24"/>
          <w:lang w:eastAsia="en-GB"/>
        </w:rPr>
        <w:t>declare no competing interests in relation to this work.</w:t>
      </w:r>
    </w:p>
    <w:p w14:paraId="386010C6" w14:textId="77777777" w:rsidR="00D81E2C" w:rsidRDefault="00AD10B4" w:rsidP="00F211CA">
      <w:pPr>
        <w:spacing w:line="276" w:lineRule="auto"/>
        <w:rPr>
          <w:rFonts w:ascii="Calibri" w:hAnsi="Calibri" w:cs="Calibri"/>
          <w:sz w:val="24"/>
          <w:szCs w:val="24"/>
        </w:rPr>
      </w:pPr>
      <w:bookmarkStart w:id="14" w:name="_Hlk95387899"/>
      <w:r w:rsidRPr="00AD10B4">
        <w:rPr>
          <w:rFonts w:ascii="Calibri" w:hAnsi="Calibri" w:cs="Calibri"/>
          <w:sz w:val="24"/>
          <w:szCs w:val="24"/>
        </w:rPr>
        <w:t xml:space="preserve">R Bouillon </w:t>
      </w:r>
      <w:r w:rsidR="00D81E2C">
        <w:rPr>
          <w:rFonts w:ascii="Calibri" w:hAnsi="Calibri" w:cs="Calibri"/>
          <w:sz w:val="24"/>
          <w:szCs w:val="24"/>
        </w:rPr>
        <w:t xml:space="preserve">has </w:t>
      </w:r>
      <w:r w:rsidRPr="00AD10B4">
        <w:rPr>
          <w:rFonts w:ascii="Calibri" w:hAnsi="Calibri" w:cs="Calibri"/>
          <w:sz w:val="24"/>
          <w:szCs w:val="24"/>
        </w:rPr>
        <w:t xml:space="preserve">received lecture fees from FAES </w:t>
      </w:r>
      <w:proofErr w:type="spellStart"/>
      <w:r w:rsidRPr="00AD10B4">
        <w:rPr>
          <w:rFonts w:ascii="Calibri" w:hAnsi="Calibri" w:cs="Calibri"/>
          <w:sz w:val="24"/>
          <w:szCs w:val="24"/>
        </w:rPr>
        <w:t>Farma</w:t>
      </w:r>
      <w:proofErr w:type="spellEnd"/>
      <w:r w:rsidRPr="00AD10B4">
        <w:rPr>
          <w:rFonts w:ascii="Calibri" w:hAnsi="Calibri" w:cs="Calibri"/>
          <w:sz w:val="24"/>
          <w:szCs w:val="24"/>
        </w:rPr>
        <w:t xml:space="preserve"> (Spain) and </w:t>
      </w:r>
      <w:proofErr w:type="spellStart"/>
      <w:r w:rsidRPr="00AD10B4">
        <w:rPr>
          <w:rFonts w:ascii="Calibri" w:hAnsi="Calibri" w:cs="Calibri"/>
          <w:sz w:val="24"/>
          <w:szCs w:val="24"/>
        </w:rPr>
        <w:t>Abiogen</w:t>
      </w:r>
      <w:proofErr w:type="spellEnd"/>
      <w:r w:rsidRPr="00AD10B4">
        <w:rPr>
          <w:rFonts w:ascii="Calibri" w:hAnsi="Calibri" w:cs="Calibri"/>
          <w:sz w:val="24"/>
          <w:szCs w:val="24"/>
        </w:rPr>
        <w:t xml:space="preserve"> (Italy)</w:t>
      </w:r>
    </w:p>
    <w:p w14:paraId="332D4ED8" w14:textId="390CE889" w:rsidR="0003185A" w:rsidRDefault="00073F8F" w:rsidP="00F211CA">
      <w:pPr>
        <w:spacing w:line="276" w:lineRule="auto"/>
        <w:rPr>
          <w:rFonts w:ascii="Calibri" w:hAnsi="Calibri" w:cs="Calibri"/>
          <w:sz w:val="24"/>
          <w:szCs w:val="24"/>
        </w:rPr>
      </w:pPr>
      <w:r w:rsidRPr="00073F8F">
        <w:rPr>
          <w:rFonts w:ascii="Calibri" w:hAnsi="Calibri" w:cs="Calibri"/>
          <w:sz w:val="24"/>
          <w:szCs w:val="24"/>
        </w:rPr>
        <w:t xml:space="preserve">B Abrahamsen has received consultancy/lecture fees/grant funding/honoraria from Amgen, Gedeon </w:t>
      </w:r>
      <w:r w:rsidR="004F0AA0" w:rsidRPr="00073F8F">
        <w:rPr>
          <w:rFonts w:ascii="Calibri" w:hAnsi="Calibri" w:cs="Calibri"/>
          <w:sz w:val="24"/>
          <w:szCs w:val="24"/>
        </w:rPr>
        <w:t>Richter, Kyowa</w:t>
      </w:r>
      <w:r w:rsidRPr="00073F8F">
        <w:rPr>
          <w:rFonts w:ascii="Calibri" w:hAnsi="Calibri" w:cs="Calibri"/>
          <w:sz w:val="24"/>
          <w:szCs w:val="24"/>
        </w:rPr>
        <w:t>-</w:t>
      </w:r>
      <w:proofErr w:type="gramStart"/>
      <w:r w:rsidRPr="00073F8F">
        <w:rPr>
          <w:rFonts w:ascii="Calibri" w:hAnsi="Calibri" w:cs="Calibri"/>
          <w:sz w:val="24"/>
          <w:szCs w:val="24"/>
        </w:rPr>
        <w:t>Kirin,  Novartis</w:t>
      </w:r>
      <w:proofErr w:type="gramEnd"/>
      <w:r w:rsidRPr="00073F8F">
        <w:rPr>
          <w:rFonts w:ascii="Calibri" w:hAnsi="Calibri" w:cs="Calibri"/>
          <w:sz w:val="24"/>
          <w:szCs w:val="24"/>
        </w:rPr>
        <w:t xml:space="preserve">, </w:t>
      </w:r>
      <w:proofErr w:type="spellStart"/>
      <w:r w:rsidRPr="00073F8F">
        <w:rPr>
          <w:rFonts w:ascii="Calibri" w:hAnsi="Calibri" w:cs="Calibri"/>
          <w:sz w:val="24"/>
          <w:szCs w:val="24"/>
        </w:rPr>
        <w:t>Pharmacosmos</w:t>
      </w:r>
      <w:proofErr w:type="spellEnd"/>
      <w:r w:rsidRPr="00073F8F">
        <w:rPr>
          <w:rFonts w:ascii="Calibri" w:hAnsi="Calibri" w:cs="Calibri"/>
          <w:sz w:val="24"/>
          <w:szCs w:val="24"/>
        </w:rPr>
        <w:t>, UCB</w:t>
      </w:r>
    </w:p>
    <w:p w14:paraId="2542D50E" w14:textId="3F41A6B0" w:rsidR="0096252A" w:rsidRPr="00BE67AF" w:rsidRDefault="0096252A" w:rsidP="00F211CA">
      <w:pPr>
        <w:spacing w:line="276" w:lineRule="auto"/>
        <w:rPr>
          <w:rFonts w:ascii="Calibri" w:hAnsi="Calibri" w:cs="Calibri"/>
          <w:sz w:val="24"/>
          <w:szCs w:val="24"/>
        </w:rPr>
      </w:pPr>
      <w:r w:rsidRPr="0096252A">
        <w:rPr>
          <w:rFonts w:ascii="Calibri" w:hAnsi="Calibri" w:cs="Calibri"/>
          <w:sz w:val="24"/>
          <w:szCs w:val="24"/>
        </w:rPr>
        <w:t xml:space="preserve">L Rejnmark has received consultancy/lecture fees/grant funding/honoraria from Takeda </w:t>
      </w:r>
      <w:r w:rsidR="004F0AA0" w:rsidRPr="0096252A">
        <w:rPr>
          <w:rFonts w:ascii="Calibri" w:hAnsi="Calibri" w:cs="Calibri"/>
          <w:sz w:val="24"/>
          <w:szCs w:val="24"/>
        </w:rPr>
        <w:t>Pharma,</w:t>
      </w:r>
      <w:r w:rsidRPr="0096252A">
        <w:rPr>
          <w:rFonts w:ascii="Calibri" w:hAnsi="Calibri" w:cs="Calibri"/>
          <w:sz w:val="24"/>
          <w:szCs w:val="24"/>
        </w:rPr>
        <w:t xml:space="preserve"> </w:t>
      </w:r>
      <w:proofErr w:type="spellStart"/>
      <w:r w:rsidRPr="0096252A">
        <w:rPr>
          <w:rFonts w:ascii="Calibri" w:hAnsi="Calibri" w:cs="Calibri"/>
          <w:sz w:val="24"/>
          <w:szCs w:val="24"/>
        </w:rPr>
        <w:t>Ascendis</w:t>
      </w:r>
      <w:proofErr w:type="spellEnd"/>
      <w:r w:rsidRPr="0096252A">
        <w:rPr>
          <w:rFonts w:ascii="Calibri" w:hAnsi="Calibri" w:cs="Calibri"/>
          <w:sz w:val="24"/>
          <w:szCs w:val="24"/>
        </w:rPr>
        <w:t xml:space="preserve"> Pharma and Kyowa-Kirin International.</w:t>
      </w:r>
    </w:p>
    <w:bookmarkEnd w:id="14"/>
    <w:p w14:paraId="6F871F9D" w14:textId="47BEA0B4" w:rsidR="00B61629" w:rsidRPr="004745A1" w:rsidRDefault="004745A1" w:rsidP="00F211CA">
      <w:pPr>
        <w:spacing w:line="276" w:lineRule="auto"/>
        <w:rPr>
          <w:rFonts w:ascii="Calibri" w:hAnsi="Calibri" w:cs="Calibri"/>
          <w:b/>
          <w:bCs/>
          <w:sz w:val="24"/>
          <w:szCs w:val="24"/>
        </w:rPr>
      </w:pPr>
      <w:r w:rsidRPr="004745A1">
        <w:rPr>
          <w:rFonts w:ascii="Calibri" w:hAnsi="Calibri" w:cs="Calibri"/>
          <w:b/>
          <w:bCs/>
          <w:sz w:val="24"/>
          <w:szCs w:val="24"/>
        </w:rPr>
        <w:lastRenderedPageBreak/>
        <w:t>References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
        <w:gridCol w:w="7765"/>
      </w:tblGrid>
      <w:tr w:rsidR="006C1334" w:rsidRPr="00AF231D" w14:paraId="335A32F4" w14:textId="77777777" w:rsidTr="008766BA">
        <w:tc>
          <w:tcPr>
            <w:tcW w:w="581" w:type="dxa"/>
          </w:tcPr>
          <w:p w14:paraId="30272C9D" w14:textId="7E130FDC" w:rsidR="006C1334" w:rsidRPr="00045717" w:rsidRDefault="006C1334" w:rsidP="00357109">
            <w:pPr>
              <w:spacing w:before="240"/>
              <w:jc w:val="right"/>
              <w:rPr>
                <w:rFonts w:ascii="Calibri" w:hAnsi="Calibri" w:cs="Calibri"/>
                <w:sz w:val="24"/>
                <w:szCs w:val="24"/>
              </w:rPr>
            </w:pPr>
            <w:r>
              <w:rPr>
                <w:rFonts w:ascii="Calibri" w:hAnsi="Calibri" w:cs="Calibri"/>
                <w:sz w:val="24"/>
                <w:szCs w:val="24"/>
              </w:rPr>
              <w:t>1.</w:t>
            </w:r>
          </w:p>
        </w:tc>
        <w:tc>
          <w:tcPr>
            <w:tcW w:w="7765" w:type="dxa"/>
          </w:tcPr>
          <w:p w14:paraId="4CD570EE" w14:textId="77777777" w:rsidR="006C1334" w:rsidRPr="00045717" w:rsidRDefault="006C1334" w:rsidP="00D61DBD">
            <w:pPr>
              <w:spacing w:before="240"/>
              <w:rPr>
                <w:rFonts w:ascii="Calibri" w:hAnsi="Calibri" w:cs="Calibri"/>
                <w:sz w:val="24"/>
                <w:szCs w:val="24"/>
              </w:rPr>
            </w:pPr>
            <w:proofErr w:type="spellStart"/>
            <w:r w:rsidRPr="00045717">
              <w:rPr>
                <w:rFonts w:ascii="Calibri" w:hAnsi="Calibri" w:cs="Calibri"/>
                <w:sz w:val="24"/>
                <w:szCs w:val="24"/>
              </w:rPr>
              <w:t>Bilezikian</w:t>
            </w:r>
            <w:proofErr w:type="spellEnd"/>
            <w:r w:rsidRPr="00045717">
              <w:rPr>
                <w:rFonts w:ascii="Calibri" w:hAnsi="Calibri" w:cs="Calibri"/>
                <w:sz w:val="24"/>
                <w:szCs w:val="24"/>
              </w:rPr>
              <w:t xml:space="preserve"> JP (2018) Primary Hyperparathyroidism. J Clin Endocrinol Metab 103: 3993-4004.</w:t>
            </w:r>
          </w:p>
        </w:tc>
      </w:tr>
      <w:tr w:rsidR="006C1334" w:rsidRPr="00AF231D" w14:paraId="768E5A2A" w14:textId="77777777" w:rsidTr="008766BA">
        <w:tc>
          <w:tcPr>
            <w:tcW w:w="581" w:type="dxa"/>
          </w:tcPr>
          <w:p w14:paraId="69114F81" w14:textId="62B0D59F" w:rsidR="006C1334" w:rsidRPr="00045717" w:rsidRDefault="006C1334" w:rsidP="00F52B1B">
            <w:pPr>
              <w:spacing w:before="240"/>
              <w:jc w:val="right"/>
              <w:rPr>
                <w:rFonts w:ascii="Calibri" w:hAnsi="Calibri" w:cs="Calibri"/>
                <w:sz w:val="24"/>
                <w:szCs w:val="24"/>
              </w:rPr>
            </w:pPr>
            <w:r w:rsidRPr="00045717">
              <w:rPr>
                <w:rFonts w:ascii="Calibri" w:hAnsi="Calibri" w:cs="Calibri"/>
                <w:sz w:val="24"/>
                <w:szCs w:val="24"/>
              </w:rPr>
              <w:t>2.</w:t>
            </w:r>
          </w:p>
        </w:tc>
        <w:tc>
          <w:tcPr>
            <w:tcW w:w="7765" w:type="dxa"/>
          </w:tcPr>
          <w:p w14:paraId="6885F82A" w14:textId="19E87CAB" w:rsidR="006C1334" w:rsidRPr="00045717" w:rsidRDefault="006C1334" w:rsidP="00F52B1B">
            <w:pPr>
              <w:spacing w:before="240"/>
              <w:rPr>
                <w:rFonts w:ascii="Calibri" w:hAnsi="Calibri" w:cs="Calibri"/>
                <w:sz w:val="24"/>
                <w:szCs w:val="24"/>
              </w:rPr>
            </w:pPr>
            <w:proofErr w:type="spellStart"/>
            <w:r w:rsidRPr="00045717">
              <w:rPr>
                <w:rFonts w:ascii="Calibri" w:hAnsi="Calibri" w:cs="Calibri"/>
                <w:sz w:val="24"/>
                <w:szCs w:val="24"/>
              </w:rPr>
              <w:t>Bilezikian</w:t>
            </w:r>
            <w:proofErr w:type="spellEnd"/>
            <w:r w:rsidRPr="00045717">
              <w:rPr>
                <w:rFonts w:ascii="Calibri" w:hAnsi="Calibri" w:cs="Calibri"/>
                <w:sz w:val="24"/>
                <w:szCs w:val="24"/>
              </w:rPr>
              <w:t xml:space="preserve"> JP, Brandi ML, Eastell R, Silverberg SJ, </w:t>
            </w:r>
            <w:proofErr w:type="spellStart"/>
            <w:r w:rsidRPr="00045717">
              <w:rPr>
                <w:rFonts w:ascii="Calibri" w:hAnsi="Calibri" w:cs="Calibri"/>
                <w:sz w:val="24"/>
                <w:szCs w:val="24"/>
              </w:rPr>
              <w:t>Udelsman</w:t>
            </w:r>
            <w:proofErr w:type="spellEnd"/>
            <w:r w:rsidRPr="00045717">
              <w:rPr>
                <w:rFonts w:ascii="Calibri" w:hAnsi="Calibri" w:cs="Calibri"/>
                <w:sz w:val="24"/>
                <w:szCs w:val="24"/>
              </w:rPr>
              <w:t xml:space="preserve"> R, </w:t>
            </w:r>
            <w:proofErr w:type="spellStart"/>
            <w:r w:rsidRPr="00045717">
              <w:rPr>
                <w:rFonts w:ascii="Calibri" w:hAnsi="Calibri" w:cs="Calibri"/>
                <w:sz w:val="24"/>
                <w:szCs w:val="24"/>
              </w:rPr>
              <w:t>Marcocci</w:t>
            </w:r>
            <w:proofErr w:type="spellEnd"/>
            <w:r w:rsidRPr="00045717">
              <w:rPr>
                <w:rFonts w:ascii="Calibri" w:hAnsi="Calibri" w:cs="Calibri"/>
                <w:sz w:val="24"/>
                <w:szCs w:val="24"/>
              </w:rPr>
              <w:t xml:space="preserve"> C, Potts JT Jr (2014) Guidelines for the management of asymptomatic primary hyperparathyroidism: summary statement from the fourth international workshop. J Clin Endocrinol Metab 99: 3561–69</w:t>
            </w:r>
          </w:p>
        </w:tc>
      </w:tr>
      <w:tr w:rsidR="006C1334" w:rsidRPr="00AF231D" w14:paraId="283963E1" w14:textId="77777777" w:rsidTr="008766BA">
        <w:tc>
          <w:tcPr>
            <w:tcW w:w="581" w:type="dxa"/>
          </w:tcPr>
          <w:p w14:paraId="790E6914" w14:textId="35002F58" w:rsidR="006C1334" w:rsidRPr="00045717" w:rsidRDefault="006C1334" w:rsidP="00F52B1B">
            <w:pPr>
              <w:spacing w:before="240"/>
              <w:jc w:val="right"/>
              <w:rPr>
                <w:rFonts w:ascii="Calibri" w:hAnsi="Calibri" w:cs="Calibri"/>
                <w:sz w:val="24"/>
                <w:szCs w:val="24"/>
              </w:rPr>
            </w:pPr>
            <w:r w:rsidRPr="00045717">
              <w:rPr>
                <w:rFonts w:ascii="Calibri" w:hAnsi="Calibri" w:cs="Calibri"/>
                <w:sz w:val="24"/>
                <w:szCs w:val="24"/>
              </w:rPr>
              <w:t>3.</w:t>
            </w:r>
          </w:p>
        </w:tc>
        <w:tc>
          <w:tcPr>
            <w:tcW w:w="7765" w:type="dxa"/>
          </w:tcPr>
          <w:p w14:paraId="30C24763" w14:textId="2A9ABA43" w:rsidR="006C1334" w:rsidRPr="00045717" w:rsidRDefault="006C1334" w:rsidP="00F52B1B">
            <w:pPr>
              <w:spacing w:before="240"/>
              <w:rPr>
                <w:rFonts w:ascii="Calibri" w:hAnsi="Calibri" w:cs="Calibri"/>
                <w:sz w:val="24"/>
                <w:szCs w:val="24"/>
              </w:rPr>
            </w:pPr>
            <w:r w:rsidRPr="00045717">
              <w:rPr>
                <w:rFonts w:ascii="Calibri" w:hAnsi="Calibri" w:cs="Calibri"/>
                <w:sz w:val="24"/>
                <w:szCs w:val="24"/>
              </w:rPr>
              <w:t xml:space="preserve">Wilhelm SM, Wang TS, </w:t>
            </w:r>
            <w:proofErr w:type="spellStart"/>
            <w:r w:rsidRPr="00045717">
              <w:rPr>
                <w:rFonts w:ascii="Calibri" w:hAnsi="Calibri" w:cs="Calibri"/>
                <w:sz w:val="24"/>
                <w:szCs w:val="24"/>
              </w:rPr>
              <w:t>Ruan</w:t>
            </w:r>
            <w:proofErr w:type="spellEnd"/>
            <w:r w:rsidRPr="00045717">
              <w:rPr>
                <w:rFonts w:ascii="Calibri" w:hAnsi="Calibri" w:cs="Calibri"/>
                <w:sz w:val="24"/>
                <w:szCs w:val="24"/>
              </w:rPr>
              <w:t xml:space="preserve"> DT, Lee JA, Asa SL, Duh QY, Doherty GM, Herrera MF, </w:t>
            </w:r>
            <w:proofErr w:type="spellStart"/>
            <w:r w:rsidRPr="00045717">
              <w:rPr>
                <w:rFonts w:ascii="Calibri" w:hAnsi="Calibri" w:cs="Calibri"/>
                <w:sz w:val="24"/>
                <w:szCs w:val="24"/>
              </w:rPr>
              <w:t>Pasieka</w:t>
            </w:r>
            <w:proofErr w:type="spellEnd"/>
            <w:r w:rsidRPr="00045717">
              <w:rPr>
                <w:rFonts w:ascii="Calibri" w:hAnsi="Calibri" w:cs="Calibri"/>
                <w:sz w:val="24"/>
                <w:szCs w:val="24"/>
              </w:rPr>
              <w:t xml:space="preserve"> JL, Perrier ND, Silverberg SJ, Solórzano CC, Sturgeon C, </w:t>
            </w:r>
            <w:proofErr w:type="spellStart"/>
            <w:r w:rsidRPr="00045717">
              <w:rPr>
                <w:rFonts w:ascii="Calibri" w:hAnsi="Calibri" w:cs="Calibri"/>
                <w:sz w:val="24"/>
                <w:szCs w:val="24"/>
              </w:rPr>
              <w:t>Tublin</w:t>
            </w:r>
            <w:proofErr w:type="spellEnd"/>
            <w:r w:rsidRPr="00045717">
              <w:rPr>
                <w:rFonts w:ascii="Calibri" w:hAnsi="Calibri" w:cs="Calibri"/>
                <w:sz w:val="24"/>
                <w:szCs w:val="24"/>
              </w:rPr>
              <w:t xml:space="preserve"> ME, </w:t>
            </w:r>
            <w:proofErr w:type="spellStart"/>
            <w:r w:rsidRPr="00045717">
              <w:rPr>
                <w:rFonts w:ascii="Calibri" w:hAnsi="Calibri" w:cs="Calibri"/>
                <w:sz w:val="24"/>
                <w:szCs w:val="24"/>
              </w:rPr>
              <w:t>Udelsman</w:t>
            </w:r>
            <w:proofErr w:type="spellEnd"/>
            <w:r w:rsidRPr="00045717">
              <w:rPr>
                <w:rFonts w:ascii="Calibri" w:hAnsi="Calibri" w:cs="Calibri"/>
                <w:sz w:val="24"/>
                <w:szCs w:val="24"/>
              </w:rPr>
              <w:t xml:space="preserve"> R, Carty SE (2016) The American Association of Endocrine Surgeons guidelines for definitive management of primary hyperparathyroidism. JAMA Surgery 151: 959-968. </w:t>
            </w:r>
          </w:p>
        </w:tc>
      </w:tr>
      <w:tr w:rsidR="006C1334" w:rsidRPr="00AF231D" w14:paraId="02AC5C36" w14:textId="77777777" w:rsidTr="008766BA">
        <w:tc>
          <w:tcPr>
            <w:tcW w:w="581" w:type="dxa"/>
          </w:tcPr>
          <w:p w14:paraId="54BDD6DD" w14:textId="6325231A" w:rsidR="006C1334" w:rsidRPr="00045717" w:rsidRDefault="006C1334" w:rsidP="00F52B1B">
            <w:pPr>
              <w:spacing w:before="240"/>
              <w:jc w:val="right"/>
              <w:rPr>
                <w:rFonts w:ascii="Calibri" w:hAnsi="Calibri" w:cs="Calibri"/>
                <w:sz w:val="24"/>
                <w:szCs w:val="24"/>
              </w:rPr>
            </w:pPr>
            <w:r w:rsidRPr="00045717">
              <w:rPr>
                <w:rFonts w:ascii="Calibri" w:hAnsi="Calibri" w:cs="Calibri"/>
                <w:sz w:val="24"/>
                <w:szCs w:val="24"/>
              </w:rPr>
              <w:t>4.</w:t>
            </w:r>
          </w:p>
        </w:tc>
        <w:tc>
          <w:tcPr>
            <w:tcW w:w="7765" w:type="dxa"/>
          </w:tcPr>
          <w:p w14:paraId="409DD976" w14:textId="3BF580A3" w:rsidR="006C1334" w:rsidRPr="00045717" w:rsidRDefault="006C1334" w:rsidP="00F52B1B">
            <w:pPr>
              <w:spacing w:before="240"/>
              <w:rPr>
                <w:rFonts w:ascii="Calibri" w:hAnsi="Calibri" w:cs="Calibri"/>
                <w:sz w:val="24"/>
                <w:szCs w:val="24"/>
              </w:rPr>
            </w:pPr>
            <w:proofErr w:type="spellStart"/>
            <w:r w:rsidRPr="00045717">
              <w:rPr>
                <w:rFonts w:ascii="Calibri" w:hAnsi="Calibri" w:cs="Calibri"/>
                <w:sz w:val="24"/>
                <w:szCs w:val="24"/>
              </w:rPr>
              <w:t>Seib</w:t>
            </w:r>
            <w:proofErr w:type="spellEnd"/>
            <w:r w:rsidRPr="00045717">
              <w:rPr>
                <w:rFonts w:ascii="Calibri" w:hAnsi="Calibri" w:cs="Calibri"/>
                <w:sz w:val="24"/>
                <w:szCs w:val="24"/>
              </w:rPr>
              <w:t xml:space="preserve"> CD, Meng T, Suh I, Harris AHS, </w:t>
            </w:r>
            <w:proofErr w:type="spellStart"/>
            <w:r w:rsidRPr="00045717">
              <w:rPr>
                <w:rFonts w:ascii="Calibri" w:hAnsi="Calibri" w:cs="Calibri"/>
                <w:sz w:val="24"/>
                <w:szCs w:val="24"/>
              </w:rPr>
              <w:t>Covinsky</w:t>
            </w:r>
            <w:proofErr w:type="spellEnd"/>
            <w:r w:rsidRPr="00045717">
              <w:rPr>
                <w:rFonts w:ascii="Calibri" w:hAnsi="Calibri" w:cs="Calibri"/>
                <w:sz w:val="24"/>
                <w:szCs w:val="24"/>
              </w:rPr>
              <w:t xml:space="preserve"> KE, </w:t>
            </w:r>
            <w:proofErr w:type="spellStart"/>
            <w:r w:rsidRPr="00045717">
              <w:rPr>
                <w:rFonts w:ascii="Calibri" w:hAnsi="Calibri" w:cs="Calibri"/>
                <w:sz w:val="24"/>
                <w:szCs w:val="24"/>
              </w:rPr>
              <w:t>Shoback</w:t>
            </w:r>
            <w:proofErr w:type="spellEnd"/>
            <w:r w:rsidRPr="00045717">
              <w:rPr>
                <w:rFonts w:ascii="Calibri" w:hAnsi="Calibri" w:cs="Calibri"/>
                <w:sz w:val="24"/>
                <w:szCs w:val="24"/>
              </w:rPr>
              <w:t xml:space="preserve"> DM, </w:t>
            </w:r>
            <w:proofErr w:type="spellStart"/>
            <w:r w:rsidRPr="00045717">
              <w:rPr>
                <w:rFonts w:ascii="Calibri" w:hAnsi="Calibri" w:cs="Calibri"/>
                <w:sz w:val="24"/>
                <w:szCs w:val="24"/>
              </w:rPr>
              <w:t>Trickey</w:t>
            </w:r>
            <w:proofErr w:type="spellEnd"/>
            <w:r w:rsidRPr="00045717">
              <w:rPr>
                <w:rFonts w:ascii="Calibri" w:hAnsi="Calibri" w:cs="Calibri"/>
                <w:sz w:val="24"/>
                <w:szCs w:val="24"/>
              </w:rPr>
              <w:t xml:space="preserve"> AW, </w:t>
            </w:r>
            <w:proofErr w:type="spellStart"/>
            <w:r w:rsidRPr="00045717">
              <w:rPr>
                <w:rFonts w:ascii="Calibri" w:hAnsi="Calibri" w:cs="Calibri"/>
                <w:sz w:val="24"/>
                <w:szCs w:val="24"/>
              </w:rPr>
              <w:t>Kebebew</w:t>
            </w:r>
            <w:proofErr w:type="spellEnd"/>
            <w:r w:rsidRPr="00045717">
              <w:rPr>
                <w:rFonts w:ascii="Calibri" w:hAnsi="Calibri" w:cs="Calibri"/>
                <w:sz w:val="24"/>
                <w:szCs w:val="24"/>
              </w:rPr>
              <w:t xml:space="preserve"> E, Tamura MK</w:t>
            </w:r>
            <w:r>
              <w:rPr>
                <w:rFonts w:ascii="Calibri" w:hAnsi="Calibri" w:cs="Calibri"/>
                <w:sz w:val="24"/>
                <w:szCs w:val="24"/>
              </w:rPr>
              <w:t xml:space="preserve"> (2022) </w:t>
            </w:r>
            <w:r w:rsidRPr="00045717">
              <w:rPr>
                <w:rFonts w:ascii="Calibri" w:hAnsi="Calibri" w:cs="Calibri"/>
                <w:sz w:val="24"/>
                <w:szCs w:val="24"/>
              </w:rPr>
              <w:t>Risk of Fracture Among Older Adults with Primary Hyperparathyroidism Receiving Parathyroidectomy vs Nonoperative Management. JAMA Intern Med</w:t>
            </w:r>
            <w:r>
              <w:rPr>
                <w:rFonts w:ascii="Calibri" w:hAnsi="Calibri" w:cs="Calibri"/>
                <w:sz w:val="24"/>
                <w:szCs w:val="24"/>
              </w:rPr>
              <w:t xml:space="preserve"> </w:t>
            </w:r>
            <w:r w:rsidRPr="00045717">
              <w:rPr>
                <w:rFonts w:ascii="Calibri" w:hAnsi="Calibri" w:cs="Calibri"/>
                <w:sz w:val="24"/>
                <w:szCs w:val="24"/>
              </w:rPr>
              <w:t>182</w:t>
            </w:r>
            <w:r>
              <w:rPr>
                <w:rFonts w:ascii="Calibri" w:hAnsi="Calibri" w:cs="Calibri"/>
                <w:sz w:val="24"/>
                <w:szCs w:val="24"/>
              </w:rPr>
              <w:t xml:space="preserve">: </w:t>
            </w:r>
            <w:r w:rsidRPr="00045717">
              <w:rPr>
                <w:rFonts w:ascii="Calibri" w:hAnsi="Calibri" w:cs="Calibri"/>
                <w:sz w:val="24"/>
                <w:szCs w:val="24"/>
              </w:rPr>
              <w:t>10-18. doi: 10.1001/jamainternmed.2021.6437.</w:t>
            </w:r>
          </w:p>
        </w:tc>
      </w:tr>
      <w:tr w:rsidR="006C1334" w:rsidRPr="00AF231D" w14:paraId="58975254" w14:textId="77777777" w:rsidTr="008766BA">
        <w:tc>
          <w:tcPr>
            <w:tcW w:w="581" w:type="dxa"/>
          </w:tcPr>
          <w:p w14:paraId="27356015" w14:textId="22C07803" w:rsidR="006C1334" w:rsidRPr="00045717" w:rsidRDefault="006C1334" w:rsidP="00F52B1B">
            <w:pPr>
              <w:spacing w:before="240"/>
              <w:jc w:val="right"/>
              <w:rPr>
                <w:rFonts w:ascii="Calibri" w:hAnsi="Calibri" w:cs="Calibri"/>
                <w:sz w:val="24"/>
                <w:szCs w:val="24"/>
              </w:rPr>
            </w:pPr>
            <w:r w:rsidRPr="00045717">
              <w:rPr>
                <w:rFonts w:ascii="Calibri" w:hAnsi="Calibri" w:cs="Calibri"/>
                <w:sz w:val="24"/>
                <w:szCs w:val="24"/>
              </w:rPr>
              <w:t>5.</w:t>
            </w:r>
          </w:p>
        </w:tc>
        <w:tc>
          <w:tcPr>
            <w:tcW w:w="7765" w:type="dxa"/>
          </w:tcPr>
          <w:p w14:paraId="42B944F5" w14:textId="7A91CEB3" w:rsidR="006C1334" w:rsidRPr="00045717" w:rsidRDefault="006C1334" w:rsidP="00F52B1B">
            <w:pPr>
              <w:spacing w:before="240"/>
              <w:rPr>
                <w:rFonts w:ascii="Calibri" w:hAnsi="Calibri" w:cs="Calibri"/>
                <w:sz w:val="24"/>
                <w:szCs w:val="24"/>
              </w:rPr>
            </w:pPr>
            <w:r w:rsidRPr="00045717">
              <w:rPr>
                <w:rFonts w:ascii="Calibri" w:hAnsi="Calibri" w:cs="Calibri"/>
                <w:sz w:val="24"/>
                <w:szCs w:val="24"/>
              </w:rPr>
              <w:t xml:space="preserve">Khan AA, Hanley DA, Rizzoli R, </w:t>
            </w:r>
            <w:proofErr w:type="spellStart"/>
            <w:r w:rsidRPr="00045717">
              <w:rPr>
                <w:rFonts w:ascii="Calibri" w:hAnsi="Calibri" w:cs="Calibri"/>
                <w:sz w:val="24"/>
                <w:szCs w:val="24"/>
              </w:rPr>
              <w:t>Bollerslev</w:t>
            </w:r>
            <w:proofErr w:type="spellEnd"/>
            <w:r w:rsidRPr="00045717">
              <w:rPr>
                <w:rFonts w:ascii="Calibri" w:hAnsi="Calibri" w:cs="Calibri"/>
                <w:sz w:val="24"/>
                <w:szCs w:val="24"/>
              </w:rPr>
              <w:t xml:space="preserve"> J, Young JE, </w:t>
            </w:r>
            <w:proofErr w:type="spellStart"/>
            <w:r w:rsidRPr="00045717">
              <w:rPr>
                <w:rFonts w:ascii="Calibri" w:hAnsi="Calibri" w:cs="Calibri"/>
                <w:sz w:val="24"/>
                <w:szCs w:val="24"/>
              </w:rPr>
              <w:t>Rejnmark</w:t>
            </w:r>
            <w:proofErr w:type="spellEnd"/>
            <w:r w:rsidRPr="00045717">
              <w:rPr>
                <w:rFonts w:ascii="Calibri" w:hAnsi="Calibri" w:cs="Calibri"/>
                <w:sz w:val="24"/>
                <w:szCs w:val="24"/>
              </w:rPr>
              <w:t xml:space="preserve"> L, </w:t>
            </w:r>
            <w:proofErr w:type="spellStart"/>
            <w:r w:rsidRPr="00045717">
              <w:rPr>
                <w:rFonts w:ascii="Calibri" w:hAnsi="Calibri" w:cs="Calibri"/>
                <w:sz w:val="24"/>
                <w:szCs w:val="24"/>
              </w:rPr>
              <w:t>Thakker</w:t>
            </w:r>
            <w:proofErr w:type="spellEnd"/>
            <w:r w:rsidRPr="00045717">
              <w:rPr>
                <w:rFonts w:ascii="Calibri" w:hAnsi="Calibri" w:cs="Calibri"/>
                <w:sz w:val="24"/>
                <w:szCs w:val="24"/>
              </w:rPr>
              <w:t xml:space="preserve"> R, </w:t>
            </w:r>
            <w:proofErr w:type="spellStart"/>
            <w:r w:rsidRPr="00045717">
              <w:rPr>
                <w:rFonts w:ascii="Calibri" w:hAnsi="Calibri" w:cs="Calibri"/>
                <w:sz w:val="24"/>
                <w:szCs w:val="24"/>
              </w:rPr>
              <w:t>D'Amour</w:t>
            </w:r>
            <w:proofErr w:type="spellEnd"/>
            <w:r w:rsidRPr="00045717">
              <w:rPr>
                <w:rFonts w:ascii="Calibri" w:hAnsi="Calibri" w:cs="Calibri"/>
                <w:sz w:val="24"/>
                <w:szCs w:val="24"/>
              </w:rPr>
              <w:t xml:space="preserve"> P, Paul T, Van </w:t>
            </w:r>
            <w:proofErr w:type="spellStart"/>
            <w:r w:rsidRPr="00045717">
              <w:rPr>
                <w:rFonts w:ascii="Calibri" w:hAnsi="Calibri" w:cs="Calibri"/>
                <w:sz w:val="24"/>
                <w:szCs w:val="24"/>
              </w:rPr>
              <w:t>Uum</w:t>
            </w:r>
            <w:proofErr w:type="spellEnd"/>
            <w:r w:rsidRPr="00045717">
              <w:rPr>
                <w:rFonts w:ascii="Calibri" w:hAnsi="Calibri" w:cs="Calibri"/>
                <w:sz w:val="24"/>
                <w:szCs w:val="24"/>
              </w:rPr>
              <w:t xml:space="preserve"> S, </w:t>
            </w:r>
            <w:proofErr w:type="spellStart"/>
            <w:r w:rsidRPr="00045717">
              <w:rPr>
                <w:rFonts w:ascii="Calibri" w:hAnsi="Calibri" w:cs="Calibri"/>
                <w:sz w:val="24"/>
                <w:szCs w:val="24"/>
              </w:rPr>
              <w:t>Shrayyef</w:t>
            </w:r>
            <w:proofErr w:type="spellEnd"/>
            <w:r w:rsidRPr="00045717">
              <w:rPr>
                <w:rFonts w:ascii="Calibri" w:hAnsi="Calibri" w:cs="Calibri"/>
                <w:sz w:val="24"/>
                <w:szCs w:val="24"/>
              </w:rPr>
              <w:t xml:space="preserve"> MZ, Goltzman D, Kaiser S, Cusano NE, Bouillon R, </w:t>
            </w:r>
            <w:proofErr w:type="spellStart"/>
            <w:r w:rsidRPr="00045717">
              <w:rPr>
                <w:rFonts w:ascii="Calibri" w:hAnsi="Calibri" w:cs="Calibri"/>
                <w:sz w:val="24"/>
                <w:szCs w:val="24"/>
              </w:rPr>
              <w:t>Mosekilde</w:t>
            </w:r>
            <w:proofErr w:type="spellEnd"/>
            <w:r w:rsidRPr="00045717">
              <w:rPr>
                <w:rFonts w:ascii="Calibri" w:hAnsi="Calibri" w:cs="Calibri"/>
                <w:sz w:val="24"/>
                <w:szCs w:val="24"/>
              </w:rPr>
              <w:t xml:space="preserve"> L, Kung AW, Rao SD, </w:t>
            </w:r>
            <w:proofErr w:type="spellStart"/>
            <w:r w:rsidRPr="00045717">
              <w:rPr>
                <w:rFonts w:ascii="Calibri" w:hAnsi="Calibri" w:cs="Calibri"/>
                <w:sz w:val="24"/>
                <w:szCs w:val="24"/>
              </w:rPr>
              <w:t>Bhadada</w:t>
            </w:r>
            <w:proofErr w:type="spellEnd"/>
            <w:r w:rsidRPr="00045717">
              <w:rPr>
                <w:rFonts w:ascii="Calibri" w:hAnsi="Calibri" w:cs="Calibri"/>
                <w:sz w:val="24"/>
                <w:szCs w:val="24"/>
              </w:rPr>
              <w:t xml:space="preserve"> SK, Clarke BL, Liu J, Duh Q, Lewiecki EM, Bandeira F, Eastell R, </w:t>
            </w:r>
            <w:proofErr w:type="spellStart"/>
            <w:r w:rsidRPr="00045717">
              <w:rPr>
                <w:rFonts w:ascii="Calibri" w:hAnsi="Calibri" w:cs="Calibri"/>
                <w:sz w:val="24"/>
                <w:szCs w:val="24"/>
              </w:rPr>
              <w:t>Marcocci</w:t>
            </w:r>
            <w:proofErr w:type="spellEnd"/>
            <w:r w:rsidRPr="00045717">
              <w:rPr>
                <w:rFonts w:ascii="Calibri" w:hAnsi="Calibri" w:cs="Calibri"/>
                <w:sz w:val="24"/>
                <w:szCs w:val="24"/>
              </w:rPr>
              <w:t xml:space="preserve"> C, Silverberg SJ, </w:t>
            </w:r>
            <w:proofErr w:type="spellStart"/>
            <w:r w:rsidRPr="00045717">
              <w:rPr>
                <w:rFonts w:ascii="Calibri" w:hAnsi="Calibri" w:cs="Calibri"/>
                <w:sz w:val="24"/>
                <w:szCs w:val="24"/>
              </w:rPr>
              <w:t>Udelsman</w:t>
            </w:r>
            <w:proofErr w:type="spellEnd"/>
            <w:r w:rsidRPr="00045717">
              <w:rPr>
                <w:rFonts w:ascii="Calibri" w:hAnsi="Calibri" w:cs="Calibri"/>
                <w:sz w:val="24"/>
                <w:szCs w:val="24"/>
              </w:rPr>
              <w:t xml:space="preserve"> R, Davison KS, Potts JT Jr, Brandi ML, </w:t>
            </w:r>
            <w:proofErr w:type="spellStart"/>
            <w:r w:rsidRPr="00045717">
              <w:rPr>
                <w:rFonts w:ascii="Calibri" w:hAnsi="Calibri" w:cs="Calibri"/>
                <w:sz w:val="24"/>
                <w:szCs w:val="24"/>
              </w:rPr>
              <w:t>Bilezikian</w:t>
            </w:r>
            <w:proofErr w:type="spellEnd"/>
            <w:r w:rsidRPr="00045717">
              <w:rPr>
                <w:rFonts w:ascii="Calibri" w:hAnsi="Calibri" w:cs="Calibri"/>
                <w:sz w:val="24"/>
                <w:szCs w:val="24"/>
              </w:rPr>
              <w:t xml:space="preserve"> JP (2017) Primary hyperparathyroidism: review and recommendations on evaluation, diagnosis, and management. A Canadian and international consensus. Osteoporos Int 28: 1-19.</w:t>
            </w:r>
          </w:p>
        </w:tc>
      </w:tr>
      <w:tr w:rsidR="006C1334" w:rsidRPr="00AF231D" w14:paraId="442BD805" w14:textId="77777777" w:rsidTr="008766BA">
        <w:tc>
          <w:tcPr>
            <w:tcW w:w="581" w:type="dxa"/>
          </w:tcPr>
          <w:p w14:paraId="205A32BA" w14:textId="4C0FD4AD" w:rsidR="006C1334" w:rsidRPr="00045717" w:rsidRDefault="006C1334" w:rsidP="00F52B1B">
            <w:pPr>
              <w:spacing w:before="240"/>
              <w:jc w:val="right"/>
              <w:rPr>
                <w:rFonts w:ascii="Calibri" w:hAnsi="Calibri" w:cs="Calibri"/>
                <w:sz w:val="24"/>
                <w:szCs w:val="24"/>
              </w:rPr>
            </w:pPr>
            <w:r>
              <w:rPr>
                <w:rFonts w:ascii="Calibri" w:hAnsi="Calibri" w:cs="Calibri"/>
                <w:sz w:val="24"/>
                <w:szCs w:val="24"/>
              </w:rPr>
              <w:t>6.</w:t>
            </w:r>
          </w:p>
        </w:tc>
        <w:tc>
          <w:tcPr>
            <w:tcW w:w="7765" w:type="dxa"/>
          </w:tcPr>
          <w:p w14:paraId="6873F932" w14:textId="168A49F0" w:rsidR="006C1334" w:rsidRPr="00045717" w:rsidRDefault="006C1334" w:rsidP="00F52B1B">
            <w:pPr>
              <w:spacing w:before="240"/>
              <w:rPr>
                <w:rFonts w:ascii="Calibri" w:hAnsi="Calibri" w:cs="Calibri"/>
                <w:sz w:val="24"/>
                <w:szCs w:val="24"/>
              </w:rPr>
            </w:pPr>
            <w:proofErr w:type="spellStart"/>
            <w:r w:rsidRPr="00BC43F2">
              <w:rPr>
                <w:rFonts w:ascii="Calibri" w:hAnsi="Calibri" w:cs="Calibri"/>
                <w:sz w:val="24"/>
                <w:szCs w:val="24"/>
              </w:rPr>
              <w:t>Bilezikian</w:t>
            </w:r>
            <w:proofErr w:type="spellEnd"/>
            <w:r w:rsidRPr="00BC43F2">
              <w:rPr>
                <w:rFonts w:ascii="Calibri" w:hAnsi="Calibri" w:cs="Calibri"/>
                <w:sz w:val="24"/>
                <w:szCs w:val="24"/>
              </w:rPr>
              <w:t xml:space="preserve"> JP, Silverberg SJ, Bandeira F, </w:t>
            </w:r>
            <w:proofErr w:type="spellStart"/>
            <w:r w:rsidRPr="00BC43F2">
              <w:rPr>
                <w:rFonts w:ascii="Calibri" w:hAnsi="Calibri" w:cs="Calibri"/>
                <w:sz w:val="24"/>
                <w:szCs w:val="24"/>
              </w:rPr>
              <w:t>Cetani</w:t>
            </w:r>
            <w:proofErr w:type="spellEnd"/>
            <w:r w:rsidRPr="00BC43F2">
              <w:rPr>
                <w:rFonts w:ascii="Calibri" w:hAnsi="Calibri" w:cs="Calibri"/>
                <w:sz w:val="24"/>
                <w:szCs w:val="24"/>
              </w:rPr>
              <w:t xml:space="preserve"> F, Chandran M, Cusano NE, Ebeling PR, </w:t>
            </w:r>
            <w:proofErr w:type="spellStart"/>
            <w:r w:rsidRPr="00BC43F2">
              <w:rPr>
                <w:rFonts w:ascii="Calibri" w:hAnsi="Calibri" w:cs="Calibri"/>
                <w:sz w:val="24"/>
                <w:szCs w:val="24"/>
              </w:rPr>
              <w:t>Formenti</w:t>
            </w:r>
            <w:proofErr w:type="spellEnd"/>
            <w:r w:rsidRPr="00BC43F2">
              <w:rPr>
                <w:rFonts w:ascii="Calibri" w:hAnsi="Calibri" w:cs="Calibri"/>
                <w:sz w:val="24"/>
                <w:szCs w:val="24"/>
              </w:rPr>
              <w:t xml:space="preserve"> AM, Frost M, Gosnell J, Lewiecki EM, Singer FR, Gittoes N, Khan AA, </w:t>
            </w:r>
            <w:proofErr w:type="spellStart"/>
            <w:r w:rsidRPr="00BC43F2">
              <w:rPr>
                <w:rFonts w:ascii="Calibri" w:hAnsi="Calibri" w:cs="Calibri"/>
                <w:sz w:val="24"/>
                <w:szCs w:val="24"/>
              </w:rPr>
              <w:t>Marcocci</w:t>
            </w:r>
            <w:proofErr w:type="spellEnd"/>
            <w:r w:rsidRPr="00BC43F2">
              <w:rPr>
                <w:rFonts w:ascii="Calibri" w:hAnsi="Calibri" w:cs="Calibri"/>
                <w:sz w:val="24"/>
                <w:szCs w:val="24"/>
              </w:rPr>
              <w:t xml:space="preserve"> C, </w:t>
            </w:r>
            <w:proofErr w:type="spellStart"/>
            <w:r w:rsidRPr="00BC43F2">
              <w:rPr>
                <w:rFonts w:ascii="Calibri" w:hAnsi="Calibri" w:cs="Calibri"/>
                <w:sz w:val="24"/>
                <w:szCs w:val="24"/>
              </w:rPr>
              <w:t>Rejnmark</w:t>
            </w:r>
            <w:proofErr w:type="spellEnd"/>
            <w:r w:rsidRPr="00BC43F2">
              <w:rPr>
                <w:rFonts w:ascii="Calibri" w:hAnsi="Calibri" w:cs="Calibri"/>
                <w:sz w:val="24"/>
                <w:szCs w:val="24"/>
              </w:rPr>
              <w:t xml:space="preserve"> L, Ye Z, </w:t>
            </w:r>
            <w:proofErr w:type="spellStart"/>
            <w:r w:rsidRPr="00BC43F2">
              <w:rPr>
                <w:rFonts w:ascii="Calibri" w:hAnsi="Calibri" w:cs="Calibri"/>
                <w:sz w:val="24"/>
                <w:szCs w:val="24"/>
              </w:rPr>
              <w:t>Guyatt</w:t>
            </w:r>
            <w:proofErr w:type="spellEnd"/>
            <w:r w:rsidRPr="00BC43F2">
              <w:rPr>
                <w:rFonts w:ascii="Calibri" w:hAnsi="Calibri" w:cs="Calibri"/>
                <w:sz w:val="24"/>
                <w:szCs w:val="24"/>
              </w:rPr>
              <w:t xml:space="preserve"> G, Potts JT. Task Force #8: Management of Primary Hyperparathyroidism. J Bone Miner Res. 2022 Aug 28. doi: 10.1002/jbmr.4682. Epub ahead of print.</w:t>
            </w:r>
          </w:p>
        </w:tc>
      </w:tr>
      <w:tr w:rsidR="006C1334" w:rsidRPr="00AF231D" w14:paraId="7ACD82F6" w14:textId="77777777" w:rsidTr="008766BA">
        <w:tc>
          <w:tcPr>
            <w:tcW w:w="581" w:type="dxa"/>
          </w:tcPr>
          <w:p w14:paraId="4A846517" w14:textId="71B63A8F" w:rsidR="006C1334" w:rsidRPr="00045717" w:rsidRDefault="006C1334" w:rsidP="00F52B1B">
            <w:pPr>
              <w:spacing w:before="240"/>
              <w:jc w:val="right"/>
              <w:rPr>
                <w:rFonts w:ascii="Calibri" w:hAnsi="Calibri" w:cs="Calibri"/>
                <w:sz w:val="24"/>
                <w:szCs w:val="24"/>
              </w:rPr>
            </w:pPr>
            <w:r w:rsidRPr="00045717">
              <w:rPr>
                <w:rFonts w:ascii="Calibri" w:hAnsi="Calibri" w:cs="Calibri"/>
                <w:sz w:val="24"/>
                <w:szCs w:val="24"/>
              </w:rPr>
              <w:t>7.</w:t>
            </w:r>
          </w:p>
        </w:tc>
        <w:tc>
          <w:tcPr>
            <w:tcW w:w="7765" w:type="dxa"/>
          </w:tcPr>
          <w:p w14:paraId="686EB974" w14:textId="0D6C9E20" w:rsidR="006C1334" w:rsidRPr="00045717" w:rsidRDefault="006C1334" w:rsidP="00F52B1B">
            <w:pPr>
              <w:spacing w:before="240"/>
              <w:rPr>
                <w:rFonts w:ascii="Calibri" w:hAnsi="Calibri" w:cs="Calibri"/>
                <w:sz w:val="24"/>
                <w:szCs w:val="24"/>
              </w:rPr>
            </w:pPr>
            <w:r w:rsidRPr="00045717">
              <w:rPr>
                <w:rFonts w:ascii="Calibri" w:hAnsi="Calibri" w:cs="Calibri"/>
                <w:sz w:val="24"/>
                <w:szCs w:val="24"/>
              </w:rPr>
              <w:t xml:space="preserve">Kanis JA on behalf of the World Health Organization Scientific Group (2007) Assessment of osteoporosis at the primary health-care level. Technical Report.  WHO Collaborating Centre, University of Sheffield, UK. Available at </w:t>
            </w:r>
            <w:hyperlink r:id="rId15" w:history="1">
              <w:r w:rsidRPr="000030B6">
                <w:rPr>
                  <w:rStyle w:val="Hyperlink"/>
                  <w:rFonts w:ascii="Calibri" w:hAnsi="Calibri" w:cs="Calibri"/>
                  <w:sz w:val="24"/>
                  <w:szCs w:val="24"/>
                </w:rPr>
                <w:t>https://www.sheffield.ac.uk/FRAX/pdfs/WHO_Technical_Report.pdf</w:t>
              </w:r>
            </w:hyperlink>
            <w:r>
              <w:rPr>
                <w:rFonts w:ascii="Calibri" w:hAnsi="Calibri" w:cs="Calibri"/>
                <w:sz w:val="24"/>
                <w:szCs w:val="24"/>
              </w:rPr>
              <w:t>, accessed 4 April 2022</w:t>
            </w:r>
          </w:p>
        </w:tc>
      </w:tr>
      <w:tr w:rsidR="006C1334" w:rsidRPr="00AF231D" w14:paraId="330C3360" w14:textId="77777777" w:rsidTr="008766BA">
        <w:tc>
          <w:tcPr>
            <w:tcW w:w="581" w:type="dxa"/>
          </w:tcPr>
          <w:p w14:paraId="78F6FFDF" w14:textId="76F16D57" w:rsidR="006C1334" w:rsidRPr="00045717" w:rsidRDefault="006C1334" w:rsidP="00F52B1B">
            <w:pPr>
              <w:spacing w:before="240"/>
              <w:jc w:val="right"/>
              <w:rPr>
                <w:rFonts w:ascii="Calibri" w:hAnsi="Calibri" w:cs="Calibri"/>
                <w:sz w:val="24"/>
                <w:szCs w:val="24"/>
              </w:rPr>
            </w:pPr>
            <w:r w:rsidRPr="00045717">
              <w:rPr>
                <w:rFonts w:ascii="Calibri" w:hAnsi="Calibri" w:cs="Calibri"/>
                <w:sz w:val="24"/>
                <w:szCs w:val="24"/>
              </w:rPr>
              <w:t>8.</w:t>
            </w:r>
          </w:p>
        </w:tc>
        <w:tc>
          <w:tcPr>
            <w:tcW w:w="7765" w:type="dxa"/>
          </w:tcPr>
          <w:p w14:paraId="1ED6D73E" w14:textId="338693D5" w:rsidR="006C1334" w:rsidRPr="00045717" w:rsidRDefault="006C1334" w:rsidP="00F52B1B">
            <w:pPr>
              <w:spacing w:before="240"/>
              <w:rPr>
                <w:rFonts w:ascii="Calibri" w:hAnsi="Calibri" w:cs="Calibri"/>
                <w:sz w:val="24"/>
                <w:szCs w:val="24"/>
              </w:rPr>
            </w:pPr>
            <w:r w:rsidRPr="00045717">
              <w:rPr>
                <w:rFonts w:ascii="Calibri" w:hAnsi="Calibri" w:cs="Calibri"/>
                <w:sz w:val="24"/>
                <w:szCs w:val="24"/>
              </w:rPr>
              <w:t xml:space="preserve">Kanis JA, Johansson H, Harvey </w:t>
            </w:r>
            <w:proofErr w:type="gramStart"/>
            <w:r w:rsidRPr="00045717">
              <w:rPr>
                <w:rFonts w:ascii="Calibri" w:hAnsi="Calibri" w:cs="Calibri"/>
                <w:sz w:val="24"/>
                <w:szCs w:val="24"/>
              </w:rPr>
              <w:t>NC</w:t>
            </w:r>
            <w:proofErr w:type="gramEnd"/>
            <w:r w:rsidRPr="00045717">
              <w:rPr>
                <w:rFonts w:ascii="Calibri" w:hAnsi="Calibri" w:cs="Calibri"/>
                <w:sz w:val="24"/>
                <w:szCs w:val="24"/>
              </w:rPr>
              <w:t xml:space="preserve"> and McCloskey EV (2018) A brief history of FRAX. Arch Osteoporos 13: 118. DOI: 10.1007/s11657-018-0510-0.</w:t>
            </w:r>
          </w:p>
        </w:tc>
      </w:tr>
      <w:tr w:rsidR="006C1334" w:rsidRPr="00AF231D" w14:paraId="415DC712" w14:textId="77777777" w:rsidTr="008766BA">
        <w:tc>
          <w:tcPr>
            <w:tcW w:w="581" w:type="dxa"/>
          </w:tcPr>
          <w:p w14:paraId="757DB4DC" w14:textId="26FCAA4D" w:rsidR="006C1334" w:rsidRPr="00045717" w:rsidRDefault="006C1334" w:rsidP="00F52B1B">
            <w:pPr>
              <w:spacing w:before="240"/>
              <w:jc w:val="right"/>
              <w:rPr>
                <w:rFonts w:ascii="Calibri" w:hAnsi="Calibri" w:cs="Calibri"/>
                <w:sz w:val="24"/>
                <w:szCs w:val="24"/>
              </w:rPr>
            </w:pPr>
            <w:r w:rsidRPr="00045717">
              <w:rPr>
                <w:rFonts w:ascii="Calibri" w:hAnsi="Calibri" w:cs="Calibri"/>
                <w:sz w:val="24"/>
                <w:szCs w:val="24"/>
              </w:rPr>
              <w:t>9.</w:t>
            </w:r>
          </w:p>
        </w:tc>
        <w:tc>
          <w:tcPr>
            <w:tcW w:w="7765" w:type="dxa"/>
          </w:tcPr>
          <w:p w14:paraId="78ED442F" w14:textId="17FE949B" w:rsidR="006C1334" w:rsidRPr="00045717" w:rsidRDefault="006C1334" w:rsidP="00F52B1B">
            <w:pPr>
              <w:spacing w:before="240"/>
              <w:rPr>
                <w:rFonts w:ascii="Calibri" w:hAnsi="Calibri" w:cs="Calibri"/>
                <w:sz w:val="24"/>
                <w:szCs w:val="24"/>
              </w:rPr>
            </w:pPr>
            <w:r w:rsidRPr="00045717">
              <w:rPr>
                <w:rFonts w:ascii="Calibri" w:hAnsi="Calibri" w:cs="Calibri"/>
                <w:sz w:val="24"/>
                <w:szCs w:val="24"/>
              </w:rPr>
              <w:t xml:space="preserve">Kanis JA, Harvey NC, Cooper C, Johansson H, Odén A, McCloskey EV; Advisory Board of the National Osteoporosis Guideline Group. (2016) A systematic </w:t>
            </w:r>
            <w:r w:rsidRPr="00045717">
              <w:rPr>
                <w:rFonts w:ascii="Calibri" w:hAnsi="Calibri" w:cs="Calibri"/>
                <w:sz w:val="24"/>
                <w:szCs w:val="24"/>
              </w:rPr>
              <w:lastRenderedPageBreak/>
              <w:t>review of intervention thresholds based on FRAX: a report prepared for the National Osteoporosis Guideline Group and the International Osteoporosis Foundation. Arch Osteoporos 11:25. doi: 10.1007/s11657-016-0278-z.</w:t>
            </w:r>
          </w:p>
        </w:tc>
      </w:tr>
      <w:tr w:rsidR="006C1334" w:rsidRPr="00AF231D" w14:paraId="7F101C42" w14:textId="77777777" w:rsidTr="008766BA">
        <w:tc>
          <w:tcPr>
            <w:tcW w:w="581" w:type="dxa"/>
          </w:tcPr>
          <w:p w14:paraId="5E9BB5DA" w14:textId="6479CA07" w:rsidR="006C1334" w:rsidRPr="00045717" w:rsidRDefault="006C1334" w:rsidP="00F52B1B">
            <w:pPr>
              <w:spacing w:before="240"/>
              <w:jc w:val="right"/>
              <w:rPr>
                <w:rFonts w:ascii="Calibri" w:hAnsi="Calibri" w:cs="Calibri"/>
                <w:sz w:val="24"/>
                <w:szCs w:val="24"/>
              </w:rPr>
            </w:pPr>
            <w:r>
              <w:rPr>
                <w:rFonts w:ascii="Calibri" w:hAnsi="Calibri" w:cs="Calibri"/>
                <w:sz w:val="24"/>
                <w:szCs w:val="24"/>
              </w:rPr>
              <w:lastRenderedPageBreak/>
              <w:t>10.</w:t>
            </w:r>
          </w:p>
        </w:tc>
        <w:tc>
          <w:tcPr>
            <w:tcW w:w="7765" w:type="dxa"/>
          </w:tcPr>
          <w:p w14:paraId="06F4F964" w14:textId="460DCDD9" w:rsidR="006C1334" w:rsidRPr="00045717" w:rsidRDefault="006C1334" w:rsidP="00F52B1B">
            <w:pPr>
              <w:spacing w:before="240"/>
              <w:rPr>
                <w:rFonts w:ascii="Calibri" w:hAnsi="Calibri" w:cs="Calibri"/>
                <w:sz w:val="24"/>
                <w:szCs w:val="24"/>
              </w:rPr>
            </w:pPr>
            <w:proofErr w:type="spellStart"/>
            <w:r w:rsidRPr="00AE14E1">
              <w:rPr>
                <w:rFonts w:ascii="Calibri" w:hAnsi="Calibri" w:cs="Calibri"/>
                <w:sz w:val="24"/>
                <w:szCs w:val="24"/>
              </w:rPr>
              <w:t>Ejlsmark-Svensson</w:t>
            </w:r>
            <w:proofErr w:type="spellEnd"/>
            <w:r w:rsidRPr="00AE14E1">
              <w:rPr>
                <w:rFonts w:ascii="Calibri" w:hAnsi="Calibri" w:cs="Calibri"/>
                <w:sz w:val="24"/>
                <w:szCs w:val="24"/>
              </w:rPr>
              <w:t xml:space="preserve"> H, </w:t>
            </w:r>
            <w:proofErr w:type="spellStart"/>
            <w:r w:rsidRPr="00AE14E1">
              <w:rPr>
                <w:rFonts w:ascii="Calibri" w:hAnsi="Calibri" w:cs="Calibri"/>
                <w:sz w:val="24"/>
                <w:szCs w:val="24"/>
              </w:rPr>
              <w:t>Rolighed</w:t>
            </w:r>
            <w:proofErr w:type="spellEnd"/>
            <w:r w:rsidRPr="00AE14E1">
              <w:rPr>
                <w:rFonts w:ascii="Calibri" w:hAnsi="Calibri" w:cs="Calibri"/>
                <w:sz w:val="24"/>
                <w:szCs w:val="24"/>
              </w:rPr>
              <w:t xml:space="preserve"> L, </w:t>
            </w:r>
            <w:proofErr w:type="spellStart"/>
            <w:r w:rsidRPr="00AE14E1">
              <w:rPr>
                <w:rFonts w:ascii="Calibri" w:hAnsi="Calibri" w:cs="Calibri"/>
                <w:sz w:val="24"/>
                <w:szCs w:val="24"/>
              </w:rPr>
              <w:t>Harsløf</w:t>
            </w:r>
            <w:proofErr w:type="spellEnd"/>
            <w:r w:rsidRPr="00AE14E1">
              <w:rPr>
                <w:rFonts w:ascii="Calibri" w:hAnsi="Calibri" w:cs="Calibri"/>
                <w:sz w:val="24"/>
                <w:szCs w:val="24"/>
              </w:rPr>
              <w:t xml:space="preserve"> T, </w:t>
            </w:r>
            <w:proofErr w:type="spellStart"/>
            <w:r w:rsidRPr="00AE14E1">
              <w:rPr>
                <w:rFonts w:ascii="Calibri" w:hAnsi="Calibri" w:cs="Calibri"/>
                <w:sz w:val="24"/>
                <w:szCs w:val="24"/>
              </w:rPr>
              <w:t>Rejnmark</w:t>
            </w:r>
            <w:proofErr w:type="spellEnd"/>
            <w:r w:rsidRPr="00AE14E1">
              <w:rPr>
                <w:rFonts w:ascii="Calibri" w:hAnsi="Calibri" w:cs="Calibri"/>
                <w:sz w:val="24"/>
                <w:szCs w:val="24"/>
              </w:rPr>
              <w:t xml:space="preserve"> L (2021) Risk of fractures in primary hyperparathyroidism: a systematic review and meta-analysis. Osteoporos Int   32: 1053-1060.</w:t>
            </w:r>
          </w:p>
        </w:tc>
      </w:tr>
      <w:tr w:rsidR="006C1334" w:rsidRPr="00AF231D" w14:paraId="11C5D4DA" w14:textId="77777777" w:rsidTr="008766BA">
        <w:tc>
          <w:tcPr>
            <w:tcW w:w="581" w:type="dxa"/>
          </w:tcPr>
          <w:p w14:paraId="1D2D7DBE" w14:textId="06F0F853" w:rsidR="006C1334" w:rsidRPr="00045717" w:rsidRDefault="006C1334" w:rsidP="00F52B1B">
            <w:pPr>
              <w:spacing w:before="240"/>
              <w:jc w:val="right"/>
              <w:rPr>
                <w:rFonts w:ascii="Calibri" w:hAnsi="Calibri" w:cs="Calibri"/>
                <w:sz w:val="24"/>
                <w:szCs w:val="24"/>
              </w:rPr>
            </w:pPr>
            <w:r>
              <w:rPr>
                <w:rFonts w:ascii="Calibri" w:hAnsi="Calibri" w:cs="Calibri"/>
                <w:sz w:val="24"/>
                <w:szCs w:val="24"/>
              </w:rPr>
              <w:t>11.</w:t>
            </w:r>
          </w:p>
        </w:tc>
        <w:tc>
          <w:tcPr>
            <w:tcW w:w="7765" w:type="dxa"/>
          </w:tcPr>
          <w:p w14:paraId="5A127957" w14:textId="5FF5D1B0" w:rsidR="006C1334" w:rsidRPr="00045717" w:rsidRDefault="006C1334" w:rsidP="00F52B1B">
            <w:pPr>
              <w:spacing w:before="240"/>
              <w:rPr>
                <w:rFonts w:ascii="Calibri" w:hAnsi="Calibri" w:cs="Calibri"/>
                <w:sz w:val="24"/>
                <w:szCs w:val="24"/>
              </w:rPr>
            </w:pPr>
            <w:r w:rsidRPr="002A32E6">
              <w:rPr>
                <w:sz w:val="24"/>
                <w:szCs w:val="24"/>
              </w:rPr>
              <w:t xml:space="preserve">Wilhelm SM, Wang TS, </w:t>
            </w:r>
            <w:proofErr w:type="spellStart"/>
            <w:r w:rsidRPr="002A32E6">
              <w:rPr>
                <w:sz w:val="24"/>
                <w:szCs w:val="24"/>
              </w:rPr>
              <w:t>Ruan</w:t>
            </w:r>
            <w:proofErr w:type="spellEnd"/>
            <w:r w:rsidRPr="002A32E6">
              <w:rPr>
                <w:sz w:val="24"/>
                <w:szCs w:val="24"/>
              </w:rPr>
              <w:t xml:space="preserve"> DT, Lee JA, Asa SL, Duh QY, Doherty GM, Herrera MF, </w:t>
            </w:r>
            <w:proofErr w:type="spellStart"/>
            <w:r w:rsidRPr="002A32E6">
              <w:rPr>
                <w:sz w:val="24"/>
                <w:szCs w:val="24"/>
              </w:rPr>
              <w:t>Pasieka</w:t>
            </w:r>
            <w:proofErr w:type="spellEnd"/>
            <w:r w:rsidRPr="002A32E6">
              <w:rPr>
                <w:sz w:val="24"/>
                <w:szCs w:val="24"/>
              </w:rPr>
              <w:t xml:space="preserve"> JL, Perrier ND, Silverberg SJ, Solórzano CC, Sturgeon C, </w:t>
            </w:r>
            <w:proofErr w:type="spellStart"/>
            <w:r w:rsidRPr="002A32E6">
              <w:rPr>
                <w:sz w:val="24"/>
                <w:szCs w:val="24"/>
              </w:rPr>
              <w:t>Tublin</w:t>
            </w:r>
            <w:proofErr w:type="spellEnd"/>
            <w:r w:rsidRPr="002A32E6">
              <w:rPr>
                <w:sz w:val="24"/>
                <w:szCs w:val="24"/>
              </w:rPr>
              <w:t xml:space="preserve"> ME, </w:t>
            </w:r>
            <w:proofErr w:type="spellStart"/>
            <w:r w:rsidRPr="002A32E6">
              <w:rPr>
                <w:sz w:val="24"/>
                <w:szCs w:val="24"/>
              </w:rPr>
              <w:t>Udelsman</w:t>
            </w:r>
            <w:proofErr w:type="spellEnd"/>
            <w:r w:rsidRPr="002A32E6">
              <w:rPr>
                <w:sz w:val="24"/>
                <w:szCs w:val="24"/>
              </w:rPr>
              <w:t xml:space="preserve"> R, Carty SE (2016) The American Association of Endocrine Surgeons guidelines for definitive management of primary hyperparathyroidism. JAMA Surgery 151: 959-968.</w:t>
            </w:r>
          </w:p>
        </w:tc>
      </w:tr>
      <w:tr w:rsidR="006C1334" w:rsidRPr="00AF231D" w14:paraId="280BDC98" w14:textId="77777777" w:rsidTr="008766BA">
        <w:tc>
          <w:tcPr>
            <w:tcW w:w="581" w:type="dxa"/>
          </w:tcPr>
          <w:p w14:paraId="58E4991C" w14:textId="59D34CBC" w:rsidR="006C1334" w:rsidRPr="00045717" w:rsidRDefault="006C1334" w:rsidP="00F52B1B">
            <w:pPr>
              <w:spacing w:before="240"/>
              <w:jc w:val="right"/>
              <w:rPr>
                <w:rFonts w:ascii="Calibri" w:hAnsi="Calibri" w:cs="Calibri"/>
                <w:sz w:val="24"/>
                <w:szCs w:val="24"/>
              </w:rPr>
            </w:pPr>
            <w:r>
              <w:rPr>
                <w:rFonts w:ascii="Calibri" w:hAnsi="Calibri" w:cs="Calibri"/>
                <w:sz w:val="24"/>
                <w:szCs w:val="24"/>
              </w:rPr>
              <w:t>12.</w:t>
            </w:r>
          </w:p>
        </w:tc>
        <w:tc>
          <w:tcPr>
            <w:tcW w:w="7765" w:type="dxa"/>
          </w:tcPr>
          <w:p w14:paraId="305AD78C" w14:textId="20E948E1" w:rsidR="006C1334" w:rsidRPr="00045717" w:rsidRDefault="006C1334" w:rsidP="00F52B1B">
            <w:pPr>
              <w:spacing w:before="240"/>
              <w:rPr>
                <w:rFonts w:ascii="Calibri" w:hAnsi="Calibri" w:cs="Calibri"/>
                <w:sz w:val="24"/>
                <w:szCs w:val="24"/>
              </w:rPr>
            </w:pPr>
            <w:r w:rsidRPr="006A114A">
              <w:rPr>
                <w:rFonts w:ascii="Calibri" w:hAnsi="Calibri" w:cs="Calibri"/>
                <w:sz w:val="24"/>
                <w:szCs w:val="24"/>
              </w:rPr>
              <w:t>Axelsson KF, Wallander M, Johansson H, Harvey N, Vandenput L, McCloskey E, Liu E, Kanis JA, Litsne H, Lorentzon M (2022) Analysis of comorbidities, clinical outcomes, and parathyroidectomy in adults with primary hyperparathyroidism. Journal of the American Medical Association Network Open. Jun 1;5(6): e2215396. doi: 10.1001/jamanetworkopen.2022.15396.</w:t>
            </w:r>
          </w:p>
        </w:tc>
      </w:tr>
      <w:tr w:rsidR="006C1334" w:rsidRPr="00AF231D" w14:paraId="27EA2CF7" w14:textId="77777777" w:rsidTr="008766BA">
        <w:tc>
          <w:tcPr>
            <w:tcW w:w="581" w:type="dxa"/>
          </w:tcPr>
          <w:p w14:paraId="387154D0" w14:textId="3B41B397" w:rsidR="006C1334" w:rsidRPr="00045717" w:rsidRDefault="006C1334" w:rsidP="00F52B1B">
            <w:pPr>
              <w:spacing w:before="240"/>
              <w:jc w:val="right"/>
              <w:rPr>
                <w:rFonts w:ascii="Calibri" w:hAnsi="Calibri" w:cs="Calibri"/>
                <w:sz w:val="24"/>
                <w:szCs w:val="24"/>
              </w:rPr>
            </w:pPr>
            <w:r>
              <w:rPr>
                <w:rFonts w:ascii="Calibri" w:hAnsi="Calibri" w:cs="Calibri"/>
                <w:sz w:val="24"/>
                <w:szCs w:val="24"/>
              </w:rPr>
              <w:t>13.</w:t>
            </w:r>
          </w:p>
        </w:tc>
        <w:tc>
          <w:tcPr>
            <w:tcW w:w="7765" w:type="dxa"/>
          </w:tcPr>
          <w:p w14:paraId="2A194EA1" w14:textId="6101011A" w:rsidR="006C1334" w:rsidRPr="00045717" w:rsidRDefault="006C1334" w:rsidP="00F52B1B">
            <w:pPr>
              <w:spacing w:before="240"/>
              <w:rPr>
                <w:rFonts w:ascii="Calibri" w:hAnsi="Calibri" w:cs="Calibri"/>
                <w:sz w:val="24"/>
                <w:szCs w:val="24"/>
              </w:rPr>
            </w:pPr>
            <w:r w:rsidRPr="00234FDE">
              <w:rPr>
                <w:rFonts w:ascii="Calibri" w:hAnsi="Calibri" w:cs="Calibri"/>
                <w:sz w:val="24"/>
                <w:szCs w:val="24"/>
              </w:rPr>
              <w:t xml:space="preserve">Yu N, </w:t>
            </w:r>
            <w:proofErr w:type="spellStart"/>
            <w:r w:rsidRPr="00234FDE">
              <w:rPr>
                <w:rFonts w:ascii="Calibri" w:hAnsi="Calibri" w:cs="Calibri"/>
                <w:sz w:val="24"/>
                <w:szCs w:val="24"/>
              </w:rPr>
              <w:t>Donnan</w:t>
            </w:r>
            <w:proofErr w:type="spellEnd"/>
            <w:r w:rsidRPr="00234FDE">
              <w:rPr>
                <w:rFonts w:ascii="Calibri" w:hAnsi="Calibri" w:cs="Calibri"/>
                <w:sz w:val="24"/>
                <w:szCs w:val="24"/>
              </w:rPr>
              <w:t xml:space="preserve"> PT, Flynn RW, Murphy MJ, Smith D, Rudman A, Leese GP (2010) Increased mortality and morbidity in mild primary hyperparathyroid patients. The Parathyroid Epidemiology and Audit Research Study (PEARS). Clin Endocrinol (Oxf) 73: 30-4.</w:t>
            </w:r>
          </w:p>
        </w:tc>
      </w:tr>
      <w:tr w:rsidR="006C1334" w:rsidRPr="00AF231D" w14:paraId="6BA1812D" w14:textId="77777777" w:rsidTr="008766BA">
        <w:tc>
          <w:tcPr>
            <w:tcW w:w="581" w:type="dxa"/>
          </w:tcPr>
          <w:p w14:paraId="0E4910B0" w14:textId="299C99AB" w:rsidR="006C1334" w:rsidRPr="00045717" w:rsidRDefault="006C1334" w:rsidP="00F52B1B">
            <w:pPr>
              <w:spacing w:before="240"/>
              <w:jc w:val="right"/>
              <w:rPr>
                <w:rFonts w:ascii="Calibri" w:hAnsi="Calibri" w:cs="Calibri"/>
                <w:sz w:val="24"/>
                <w:szCs w:val="24"/>
              </w:rPr>
            </w:pPr>
            <w:r>
              <w:rPr>
                <w:rFonts w:ascii="Calibri" w:hAnsi="Calibri" w:cs="Calibri"/>
                <w:sz w:val="24"/>
                <w:szCs w:val="24"/>
              </w:rPr>
              <w:t>14.</w:t>
            </w:r>
          </w:p>
        </w:tc>
        <w:tc>
          <w:tcPr>
            <w:tcW w:w="7765" w:type="dxa"/>
          </w:tcPr>
          <w:p w14:paraId="5D178DA3" w14:textId="31D337ED" w:rsidR="006C1334" w:rsidRPr="00F52B1B" w:rsidRDefault="006C1334" w:rsidP="00F52B1B">
            <w:pPr>
              <w:spacing w:before="240"/>
              <w:rPr>
                <w:rFonts w:ascii="Calibri" w:hAnsi="Calibri" w:cs="Calibri"/>
                <w:sz w:val="24"/>
                <w:szCs w:val="24"/>
              </w:rPr>
            </w:pPr>
            <w:proofErr w:type="spellStart"/>
            <w:r w:rsidRPr="00A050E8">
              <w:rPr>
                <w:rFonts w:ascii="Calibri" w:hAnsi="Calibri" w:cs="Calibri"/>
                <w:sz w:val="24"/>
                <w:szCs w:val="24"/>
              </w:rPr>
              <w:t>Wermers</w:t>
            </w:r>
            <w:proofErr w:type="spellEnd"/>
            <w:r w:rsidRPr="00A050E8">
              <w:rPr>
                <w:rFonts w:ascii="Calibri" w:hAnsi="Calibri" w:cs="Calibri"/>
                <w:sz w:val="24"/>
                <w:szCs w:val="24"/>
              </w:rPr>
              <w:t xml:space="preserve"> RA, </w:t>
            </w:r>
            <w:proofErr w:type="spellStart"/>
            <w:r w:rsidRPr="00A050E8">
              <w:rPr>
                <w:rFonts w:ascii="Calibri" w:hAnsi="Calibri" w:cs="Calibri"/>
                <w:sz w:val="24"/>
                <w:szCs w:val="24"/>
              </w:rPr>
              <w:t>Griebeler</w:t>
            </w:r>
            <w:proofErr w:type="spellEnd"/>
            <w:r w:rsidRPr="00A050E8">
              <w:rPr>
                <w:rFonts w:ascii="Calibri" w:hAnsi="Calibri" w:cs="Calibri"/>
                <w:sz w:val="24"/>
                <w:szCs w:val="24"/>
              </w:rPr>
              <w:t xml:space="preserve"> ML, Thapa P, Hathcock MA, Kearns AE (2021) Survival in primary hyperparathyroidism over five decades (1965-2010) a population-based retrospective study. Bone. 152: 116099. doi: 10.1016/j.bone.2021.116099</w:t>
            </w:r>
          </w:p>
        </w:tc>
      </w:tr>
      <w:tr w:rsidR="006C1334" w:rsidRPr="00AF231D" w14:paraId="357CE941" w14:textId="77777777" w:rsidTr="008766BA">
        <w:tc>
          <w:tcPr>
            <w:tcW w:w="581" w:type="dxa"/>
          </w:tcPr>
          <w:p w14:paraId="2306592C" w14:textId="005B251E" w:rsidR="006C1334" w:rsidRPr="00045717" w:rsidRDefault="006C1334" w:rsidP="00F52B1B">
            <w:pPr>
              <w:spacing w:before="240"/>
              <w:jc w:val="right"/>
              <w:rPr>
                <w:rFonts w:ascii="Calibri" w:hAnsi="Calibri" w:cs="Calibri"/>
                <w:sz w:val="24"/>
                <w:szCs w:val="24"/>
              </w:rPr>
            </w:pPr>
            <w:r>
              <w:rPr>
                <w:rFonts w:ascii="Calibri" w:hAnsi="Calibri" w:cs="Calibri"/>
                <w:sz w:val="24"/>
                <w:szCs w:val="24"/>
              </w:rPr>
              <w:t>15.</w:t>
            </w:r>
            <w:r w:rsidRPr="00045717">
              <w:rPr>
                <w:rFonts w:ascii="Calibri" w:hAnsi="Calibri" w:cs="Calibri"/>
                <w:sz w:val="24"/>
                <w:szCs w:val="24"/>
              </w:rPr>
              <w:t>.</w:t>
            </w:r>
          </w:p>
        </w:tc>
        <w:tc>
          <w:tcPr>
            <w:tcW w:w="7765" w:type="dxa"/>
          </w:tcPr>
          <w:p w14:paraId="14FC7E10" w14:textId="1FA5D23C" w:rsidR="006C1334" w:rsidRPr="00045717" w:rsidRDefault="006C1334" w:rsidP="00F52B1B">
            <w:pPr>
              <w:spacing w:before="240"/>
              <w:rPr>
                <w:rFonts w:ascii="Calibri" w:hAnsi="Calibri" w:cs="Calibri"/>
                <w:sz w:val="24"/>
                <w:szCs w:val="24"/>
              </w:rPr>
            </w:pPr>
            <w:r w:rsidRPr="00045717">
              <w:rPr>
                <w:rFonts w:ascii="Calibri" w:hAnsi="Calibri" w:cs="Calibri"/>
                <w:sz w:val="24"/>
                <w:szCs w:val="24"/>
              </w:rPr>
              <w:t xml:space="preserve">Schmidt M, Schmidt SA, </w:t>
            </w:r>
            <w:proofErr w:type="spellStart"/>
            <w:r w:rsidRPr="00045717">
              <w:rPr>
                <w:rFonts w:ascii="Calibri" w:hAnsi="Calibri" w:cs="Calibri"/>
                <w:sz w:val="24"/>
                <w:szCs w:val="24"/>
              </w:rPr>
              <w:t>Sandegaard</w:t>
            </w:r>
            <w:proofErr w:type="spellEnd"/>
            <w:r w:rsidRPr="00045717">
              <w:rPr>
                <w:rFonts w:ascii="Calibri" w:hAnsi="Calibri" w:cs="Calibri"/>
                <w:sz w:val="24"/>
                <w:szCs w:val="24"/>
              </w:rPr>
              <w:t xml:space="preserve"> JL, Ehrenstein V, Pedersen L, Sorensen HT (2015) The Danish National Patient Registry: a review of content, data quality, and research potential. Clin Epidemiol</w:t>
            </w:r>
            <w:r>
              <w:rPr>
                <w:rFonts w:ascii="Calibri" w:hAnsi="Calibri" w:cs="Calibri"/>
                <w:sz w:val="24"/>
                <w:szCs w:val="24"/>
              </w:rPr>
              <w:t xml:space="preserve"> </w:t>
            </w:r>
            <w:r w:rsidRPr="00045717">
              <w:rPr>
                <w:rFonts w:ascii="Calibri" w:hAnsi="Calibri" w:cs="Calibri"/>
                <w:sz w:val="24"/>
                <w:szCs w:val="24"/>
              </w:rPr>
              <w:t>7:</w:t>
            </w:r>
            <w:r>
              <w:rPr>
                <w:rFonts w:ascii="Calibri" w:hAnsi="Calibri" w:cs="Calibri"/>
                <w:sz w:val="24"/>
                <w:szCs w:val="24"/>
              </w:rPr>
              <w:t xml:space="preserve"> </w:t>
            </w:r>
            <w:r w:rsidRPr="00045717">
              <w:rPr>
                <w:rFonts w:ascii="Calibri" w:hAnsi="Calibri" w:cs="Calibri"/>
                <w:sz w:val="24"/>
                <w:szCs w:val="24"/>
              </w:rPr>
              <w:t>449-90.</w:t>
            </w:r>
          </w:p>
        </w:tc>
      </w:tr>
      <w:tr w:rsidR="006C1334" w:rsidRPr="00AF231D" w14:paraId="5AAC30FC" w14:textId="77777777" w:rsidTr="008766BA">
        <w:tc>
          <w:tcPr>
            <w:tcW w:w="581" w:type="dxa"/>
          </w:tcPr>
          <w:p w14:paraId="64E8210E" w14:textId="01B8F02D" w:rsidR="006C1334" w:rsidRPr="00045717" w:rsidRDefault="006C1334" w:rsidP="00F52B1B">
            <w:pPr>
              <w:spacing w:before="240"/>
              <w:jc w:val="right"/>
              <w:rPr>
                <w:rFonts w:ascii="Calibri" w:hAnsi="Calibri" w:cs="Calibri"/>
                <w:sz w:val="24"/>
                <w:szCs w:val="24"/>
              </w:rPr>
            </w:pPr>
            <w:r>
              <w:rPr>
                <w:rFonts w:ascii="Calibri" w:hAnsi="Calibri" w:cs="Calibri"/>
                <w:sz w:val="24"/>
                <w:szCs w:val="24"/>
              </w:rPr>
              <w:t>16</w:t>
            </w:r>
            <w:r w:rsidRPr="00045717">
              <w:rPr>
                <w:rFonts w:ascii="Calibri" w:hAnsi="Calibri" w:cs="Calibri"/>
                <w:sz w:val="24"/>
                <w:szCs w:val="24"/>
              </w:rPr>
              <w:t>.</w:t>
            </w:r>
          </w:p>
        </w:tc>
        <w:tc>
          <w:tcPr>
            <w:tcW w:w="7765" w:type="dxa"/>
          </w:tcPr>
          <w:p w14:paraId="286C37FA" w14:textId="77777777" w:rsidR="006C1334" w:rsidRPr="00045717" w:rsidRDefault="006C1334" w:rsidP="00F52B1B">
            <w:pPr>
              <w:spacing w:before="240"/>
              <w:rPr>
                <w:rFonts w:ascii="Calibri" w:hAnsi="Calibri" w:cs="Calibri"/>
                <w:sz w:val="24"/>
                <w:szCs w:val="24"/>
              </w:rPr>
            </w:pPr>
            <w:proofErr w:type="spellStart"/>
            <w:r w:rsidRPr="00045717">
              <w:rPr>
                <w:rFonts w:ascii="Calibri" w:hAnsi="Calibri" w:cs="Calibri"/>
                <w:sz w:val="24"/>
                <w:szCs w:val="24"/>
              </w:rPr>
              <w:t>Matzen</w:t>
            </w:r>
            <w:proofErr w:type="spellEnd"/>
            <w:r w:rsidRPr="00045717">
              <w:rPr>
                <w:rFonts w:ascii="Calibri" w:hAnsi="Calibri" w:cs="Calibri"/>
                <w:sz w:val="24"/>
                <w:szCs w:val="24"/>
              </w:rPr>
              <w:t xml:space="preserve"> J, </w:t>
            </w:r>
            <w:proofErr w:type="spellStart"/>
            <w:r w:rsidRPr="00045717">
              <w:rPr>
                <w:rFonts w:ascii="Calibri" w:hAnsi="Calibri" w:cs="Calibri"/>
                <w:sz w:val="24"/>
                <w:szCs w:val="24"/>
              </w:rPr>
              <w:t>Bislev</w:t>
            </w:r>
            <w:proofErr w:type="spellEnd"/>
            <w:r w:rsidRPr="00045717">
              <w:rPr>
                <w:rFonts w:ascii="Calibri" w:hAnsi="Calibri" w:cs="Calibri"/>
                <w:sz w:val="24"/>
                <w:szCs w:val="24"/>
              </w:rPr>
              <w:t xml:space="preserve"> LS, </w:t>
            </w:r>
            <w:proofErr w:type="spellStart"/>
            <w:r w:rsidRPr="00045717">
              <w:rPr>
                <w:rFonts w:ascii="Calibri" w:hAnsi="Calibri" w:cs="Calibri"/>
                <w:sz w:val="24"/>
                <w:szCs w:val="24"/>
              </w:rPr>
              <w:t>Sikjær</w:t>
            </w:r>
            <w:proofErr w:type="spellEnd"/>
            <w:r w:rsidRPr="00045717">
              <w:rPr>
                <w:rFonts w:ascii="Calibri" w:hAnsi="Calibri" w:cs="Calibri"/>
                <w:sz w:val="24"/>
                <w:szCs w:val="24"/>
              </w:rPr>
              <w:t xml:space="preserve"> T, </w:t>
            </w:r>
            <w:proofErr w:type="spellStart"/>
            <w:r w:rsidRPr="00045717">
              <w:rPr>
                <w:rFonts w:ascii="Calibri" w:hAnsi="Calibri" w:cs="Calibri"/>
                <w:sz w:val="24"/>
                <w:szCs w:val="24"/>
              </w:rPr>
              <w:t>Rolighed</w:t>
            </w:r>
            <w:proofErr w:type="spellEnd"/>
            <w:r w:rsidRPr="00045717">
              <w:rPr>
                <w:rFonts w:ascii="Calibri" w:hAnsi="Calibri" w:cs="Calibri"/>
                <w:sz w:val="24"/>
                <w:szCs w:val="24"/>
              </w:rPr>
              <w:t xml:space="preserve"> L, </w:t>
            </w:r>
            <w:proofErr w:type="spellStart"/>
            <w:r w:rsidRPr="00045717">
              <w:rPr>
                <w:rFonts w:ascii="Calibri" w:hAnsi="Calibri" w:cs="Calibri"/>
                <w:sz w:val="24"/>
                <w:szCs w:val="24"/>
              </w:rPr>
              <w:t>Hitz</w:t>
            </w:r>
            <w:proofErr w:type="spellEnd"/>
            <w:r w:rsidRPr="00045717">
              <w:rPr>
                <w:rFonts w:ascii="Calibri" w:hAnsi="Calibri" w:cs="Calibri"/>
                <w:sz w:val="24"/>
                <w:szCs w:val="24"/>
              </w:rPr>
              <w:t xml:space="preserve"> MF, </w:t>
            </w:r>
            <w:proofErr w:type="spellStart"/>
            <w:r w:rsidRPr="00045717">
              <w:rPr>
                <w:rFonts w:ascii="Calibri" w:hAnsi="Calibri" w:cs="Calibri"/>
                <w:sz w:val="24"/>
                <w:szCs w:val="24"/>
              </w:rPr>
              <w:t>Eiken</w:t>
            </w:r>
            <w:proofErr w:type="spellEnd"/>
            <w:r w:rsidRPr="00045717">
              <w:rPr>
                <w:rFonts w:ascii="Calibri" w:hAnsi="Calibri" w:cs="Calibri"/>
                <w:sz w:val="24"/>
                <w:szCs w:val="24"/>
              </w:rPr>
              <w:t xml:space="preserve"> P, Hermann AP, Jensen JB, Abrahamsen B, Rejnmark L (2022) The effect of parathyroidectomy compared to non-surgical surveillance on kidney function in primary hyperparathyroidism: a nationwide historic cohort study. BMC </w:t>
            </w:r>
            <w:proofErr w:type="spellStart"/>
            <w:r w:rsidRPr="00045717">
              <w:rPr>
                <w:rFonts w:ascii="Calibri" w:hAnsi="Calibri" w:cs="Calibri"/>
                <w:sz w:val="24"/>
                <w:szCs w:val="24"/>
              </w:rPr>
              <w:t>Endocr</w:t>
            </w:r>
            <w:proofErr w:type="spellEnd"/>
            <w:r w:rsidRPr="00045717">
              <w:rPr>
                <w:rFonts w:ascii="Calibri" w:hAnsi="Calibri" w:cs="Calibri"/>
                <w:sz w:val="24"/>
                <w:szCs w:val="24"/>
              </w:rPr>
              <w:t xml:space="preserve"> Disord. Jan 6;22(1):14. doi: 10.1186/s12902-021-00918-z.</w:t>
            </w:r>
          </w:p>
        </w:tc>
      </w:tr>
      <w:tr w:rsidR="006C1334" w:rsidRPr="00AF231D" w14:paraId="561184C3" w14:textId="77777777" w:rsidTr="008766BA">
        <w:tc>
          <w:tcPr>
            <w:tcW w:w="581" w:type="dxa"/>
          </w:tcPr>
          <w:p w14:paraId="63904D18" w14:textId="47588DF9" w:rsidR="006C1334" w:rsidRPr="00045717" w:rsidRDefault="006C1334" w:rsidP="00F52B1B">
            <w:pPr>
              <w:spacing w:before="240"/>
              <w:jc w:val="right"/>
              <w:rPr>
                <w:rFonts w:ascii="Calibri" w:hAnsi="Calibri" w:cs="Calibri"/>
                <w:sz w:val="24"/>
                <w:szCs w:val="24"/>
              </w:rPr>
            </w:pPr>
            <w:r w:rsidRPr="00045717">
              <w:rPr>
                <w:rFonts w:ascii="Calibri" w:hAnsi="Calibri" w:cs="Calibri"/>
                <w:sz w:val="24"/>
                <w:szCs w:val="24"/>
              </w:rPr>
              <w:t>1</w:t>
            </w:r>
            <w:r>
              <w:rPr>
                <w:rFonts w:ascii="Calibri" w:hAnsi="Calibri" w:cs="Calibri"/>
                <w:sz w:val="24"/>
                <w:szCs w:val="24"/>
              </w:rPr>
              <w:t>7</w:t>
            </w:r>
            <w:r w:rsidRPr="00045717">
              <w:rPr>
                <w:rFonts w:ascii="Calibri" w:hAnsi="Calibri" w:cs="Calibri"/>
                <w:sz w:val="24"/>
                <w:szCs w:val="24"/>
              </w:rPr>
              <w:t>.</w:t>
            </w:r>
          </w:p>
        </w:tc>
        <w:tc>
          <w:tcPr>
            <w:tcW w:w="7765" w:type="dxa"/>
          </w:tcPr>
          <w:p w14:paraId="7E1711C4" w14:textId="77777777" w:rsidR="006C1334" w:rsidRPr="00045717" w:rsidRDefault="006C1334" w:rsidP="00F52B1B">
            <w:pPr>
              <w:spacing w:before="240"/>
              <w:rPr>
                <w:rFonts w:ascii="Calibri" w:hAnsi="Calibri" w:cs="Calibri"/>
                <w:sz w:val="24"/>
                <w:szCs w:val="24"/>
                <w:highlight w:val="yellow"/>
                <w:lang w:val="sv-SE"/>
              </w:rPr>
            </w:pPr>
            <w:r w:rsidRPr="00045717">
              <w:rPr>
                <w:rFonts w:ascii="Calibri" w:hAnsi="Calibri" w:cs="Calibri"/>
                <w:sz w:val="24"/>
                <w:szCs w:val="24"/>
                <w:lang w:val="sv-SE"/>
              </w:rPr>
              <w:t>Kanis JA, Johnell O, De Laet C, Jonsson B, Oden A, Oglesby A (2002) International variations in hip fracture probabilities: implications for risk assessment. J Bone  Miner Res 17: 1237-1244</w:t>
            </w:r>
          </w:p>
        </w:tc>
      </w:tr>
      <w:tr w:rsidR="006C1334" w:rsidRPr="00AF231D" w14:paraId="65CDB14B" w14:textId="77777777" w:rsidTr="008766BA">
        <w:tc>
          <w:tcPr>
            <w:tcW w:w="581" w:type="dxa"/>
          </w:tcPr>
          <w:p w14:paraId="092D1EA0" w14:textId="1FA3188D" w:rsidR="006C1334" w:rsidRPr="00045717" w:rsidRDefault="006C1334" w:rsidP="00F52B1B">
            <w:pPr>
              <w:spacing w:before="240"/>
              <w:jc w:val="right"/>
              <w:rPr>
                <w:rFonts w:ascii="Calibri" w:hAnsi="Calibri" w:cs="Calibri"/>
                <w:sz w:val="24"/>
                <w:szCs w:val="24"/>
              </w:rPr>
            </w:pPr>
            <w:r>
              <w:rPr>
                <w:rFonts w:ascii="Calibri" w:hAnsi="Calibri" w:cs="Calibri"/>
                <w:sz w:val="24"/>
                <w:szCs w:val="24"/>
              </w:rPr>
              <w:t>18.</w:t>
            </w:r>
          </w:p>
        </w:tc>
        <w:tc>
          <w:tcPr>
            <w:tcW w:w="7765" w:type="dxa"/>
          </w:tcPr>
          <w:p w14:paraId="73498058" w14:textId="77777777" w:rsidR="006C1334" w:rsidRPr="00045717" w:rsidRDefault="006C1334" w:rsidP="00F52B1B">
            <w:pPr>
              <w:spacing w:before="240"/>
              <w:rPr>
                <w:rFonts w:ascii="Calibri" w:hAnsi="Calibri" w:cs="Calibri"/>
                <w:sz w:val="24"/>
                <w:szCs w:val="24"/>
              </w:rPr>
            </w:pPr>
            <w:proofErr w:type="spellStart"/>
            <w:r w:rsidRPr="00045717">
              <w:rPr>
                <w:rFonts w:ascii="Calibri" w:hAnsi="Calibri" w:cs="Calibri"/>
                <w:sz w:val="24"/>
                <w:szCs w:val="24"/>
              </w:rPr>
              <w:t>Albertsson-Wikland</w:t>
            </w:r>
            <w:proofErr w:type="spellEnd"/>
            <w:r w:rsidRPr="00045717">
              <w:rPr>
                <w:rFonts w:ascii="Calibri" w:hAnsi="Calibri" w:cs="Calibri"/>
                <w:sz w:val="24"/>
                <w:szCs w:val="24"/>
              </w:rPr>
              <w:t xml:space="preserve"> K, </w:t>
            </w:r>
            <w:proofErr w:type="spellStart"/>
            <w:r w:rsidRPr="00045717">
              <w:rPr>
                <w:rFonts w:ascii="Calibri" w:hAnsi="Calibri" w:cs="Calibri"/>
                <w:sz w:val="24"/>
                <w:szCs w:val="24"/>
              </w:rPr>
              <w:t>Mårtensson</w:t>
            </w:r>
            <w:proofErr w:type="spellEnd"/>
            <w:r w:rsidRPr="00045717">
              <w:rPr>
                <w:rFonts w:ascii="Calibri" w:hAnsi="Calibri" w:cs="Calibri"/>
                <w:sz w:val="24"/>
                <w:szCs w:val="24"/>
              </w:rPr>
              <w:t xml:space="preserve"> A, </w:t>
            </w:r>
            <w:proofErr w:type="spellStart"/>
            <w:r w:rsidRPr="00045717">
              <w:rPr>
                <w:rFonts w:ascii="Calibri" w:hAnsi="Calibri" w:cs="Calibri"/>
                <w:sz w:val="24"/>
                <w:szCs w:val="24"/>
              </w:rPr>
              <w:t>Sävendahl</w:t>
            </w:r>
            <w:proofErr w:type="spellEnd"/>
            <w:r w:rsidRPr="00045717">
              <w:rPr>
                <w:rFonts w:ascii="Calibri" w:hAnsi="Calibri" w:cs="Calibri"/>
                <w:sz w:val="24"/>
                <w:szCs w:val="24"/>
              </w:rPr>
              <w:t xml:space="preserve"> L, </w:t>
            </w:r>
            <w:proofErr w:type="spellStart"/>
            <w:r w:rsidRPr="00045717">
              <w:rPr>
                <w:rFonts w:ascii="Calibri" w:hAnsi="Calibri" w:cs="Calibri"/>
                <w:sz w:val="24"/>
                <w:szCs w:val="24"/>
              </w:rPr>
              <w:t>Niklasson</w:t>
            </w:r>
            <w:proofErr w:type="spellEnd"/>
            <w:r w:rsidRPr="00045717">
              <w:rPr>
                <w:rFonts w:ascii="Calibri" w:hAnsi="Calibri" w:cs="Calibri"/>
                <w:sz w:val="24"/>
                <w:szCs w:val="24"/>
              </w:rPr>
              <w:t xml:space="preserve"> A, Bang P, Dahlgren J, Gustafsson J, </w:t>
            </w:r>
            <w:proofErr w:type="spellStart"/>
            <w:r w:rsidRPr="00045717">
              <w:rPr>
                <w:rFonts w:ascii="Calibri" w:hAnsi="Calibri" w:cs="Calibri"/>
                <w:sz w:val="24"/>
                <w:szCs w:val="24"/>
              </w:rPr>
              <w:t>Kriström</w:t>
            </w:r>
            <w:proofErr w:type="spellEnd"/>
            <w:r w:rsidRPr="00045717">
              <w:rPr>
                <w:rFonts w:ascii="Calibri" w:hAnsi="Calibri" w:cs="Calibri"/>
                <w:sz w:val="24"/>
                <w:szCs w:val="24"/>
              </w:rPr>
              <w:t xml:space="preserve"> B, Norgren S, </w:t>
            </w:r>
            <w:proofErr w:type="spellStart"/>
            <w:r w:rsidRPr="00045717">
              <w:rPr>
                <w:rFonts w:ascii="Calibri" w:hAnsi="Calibri" w:cs="Calibri"/>
                <w:sz w:val="24"/>
                <w:szCs w:val="24"/>
              </w:rPr>
              <w:t>Pehrsson</w:t>
            </w:r>
            <w:proofErr w:type="spellEnd"/>
            <w:r w:rsidRPr="00045717">
              <w:rPr>
                <w:rFonts w:ascii="Calibri" w:hAnsi="Calibri" w:cs="Calibri"/>
                <w:sz w:val="24"/>
                <w:szCs w:val="24"/>
              </w:rPr>
              <w:t xml:space="preserve"> NG, </w:t>
            </w:r>
            <w:proofErr w:type="spellStart"/>
            <w:r w:rsidRPr="00045717">
              <w:rPr>
                <w:rFonts w:ascii="Calibri" w:hAnsi="Calibri" w:cs="Calibri"/>
                <w:sz w:val="24"/>
                <w:szCs w:val="24"/>
              </w:rPr>
              <w:t>Odén</w:t>
            </w:r>
            <w:proofErr w:type="spellEnd"/>
            <w:r w:rsidRPr="00045717">
              <w:rPr>
                <w:rFonts w:ascii="Calibri" w:hAnsi="Calibri" w:cs="Calibri"/>
                <w:sz w:val="24"/>
                <w:szCs w:val="24"/>
              </w:rPr>
              <w:t xml:space="preserve"> A (2016) Mortality Is not Increased in recombinant human growth hormone-treated patients when adjusting for birth characteristics. J Clin Endocrinol Metab 101: 2149-2159</w:t>
            </w:r>
          </w:p>
        </w:tc>
      </w:tr>
      <w:tr w:rsidR="006C1334" w:rsidRPr="00AF231D" w14:paraId="19ECC4AD" w14:textId="77777777" w:rsidTr="008766BA">
        <w:tc>
          <w:tcPr>
            <w:tcW w:w="581" w:type="dxa"/>
          </w:tcPr>
          <w:p w14:paraId="4EA60D64" w14:textId="2DC665A4" w:rsidR="006C1334" w:rsidRPr="00045717" w:rsidRDefault="006C1334" w:rsidP="00F52B1B">
            <w:pPr>
              <w:spacing w:before="240"/>
              <w:jc w:val="right"/>
              <w:rPr>
                <w:rFonts w:ascii="Calibri" w:hAnsi="Calibri" w:cs="Calibri"/>
                <w:sz w:val="24"/>
                <w:szCs w:val="24"/>
              </w:rPr>
            </w:pPr>
            <w:r>
              <w:rPr>
                <w:rFonts w:ascii="Calibri" w:hAnsi="Calibri" w:cs="Calibri"/>
                <w:sz w:val="24"/>
                <w:szCs w:val="24"/>
              </w:rPr>
              <w:lastRenderedPageBreak/>
              <w:t>19.</w:t>
            </w:r>
          </w:p>
        </w:tc>
        <w:tc>
          <w:tcPr>
            <w:tcW w:w="7765" w:type="dxa"/>
          </w:tcPr>
          <w:p w14:paraId="5F4FF812" w14:textId="77777777" w:rsidR="006C1334" w:rsidRPr="00045717" w:rsidRDefault="006C1334" w:rsidP="00F52B1B">
            <w:pPr>
              <w:spacing w:before="240"/>
              <w:rPr>
                <w:rFonts w:ascii="Calibri" w:hAnsi="Calibri" w:cs="Calibri"/>
                <w:sz w:val="24"/>
                <w:szCs w:val="24"/>
              </w:rPr>
            </w:pPr>
            <w:r w:rsidRPr="00045717">
              <w:rPr>
                <w:rFonts w:ascii="Calibri" w:hAnsi="Calibri" w:cs="Calibri"/>
                <w:noProof/>
                <w:sz w:val="24"/>
                <w:szCs w:val="24"/>
              </w:rPr>
              <w:t>Breslow NE, Day NE (1987). Statistical methods in cancer research. Volume II--The design and analysis of cohort studies. IARC Sci Publ</w:t>
            </w:r>
            <w:r w:rsidRPr="00045717">
              <w:rPr>
                <w:rFonts w:ascii="Calibri" w:hAnsi="Calibri" w:cs="Calibri"/>
                <w:b/>
                <w:noProof/>
                <w:sz w:val="24"/>
                <w:szCs w:val="24"/>
              </w:rPr>
              <w:t>:</w:t>
            </w:r>
            <w:r w:rsidRPr="00045717">
              <w:rPr>
                <w:rFonts w:ascii="Calibri" w:hAnsi="Calibri" w:cs="Calibri"/>
                <w:noProof/>
                <w:sz w:val="24"/>
                <w:szCs w:val="24"/>
              </w:rPr>
              <w:t xml:space="preserve"> 1-406.</w:t>
            </w:r>
          </w:p>
        </w:tc>
      </w:tr>
      <w:tr w:rsidR="006C1334" w:rsidRPr="00AF231D" w14:paraId="63D2685D" w14:textId="77777777" w:rsidTr="008766BA">
        <w:tc>
          <w:tcPr>
            <w:tcW w:w="581" w:type="dxa"/>
          </w:tcPr>
          <w:p w14:paraId="24908C65" w14:textId="3E4EEB92" w:rsidR="006C1334" w:rsidRPr="00045717" w:rsidRDefault="006C1334" w:rsidP="00F52B1B">
            <w:pPr>
              <w:spacing w:before="240"/>
              <w:jc w:val="right"/>
              <w:rPr>
                <w:rFonts w:ascii="Calibri" w:hAnsi="Calibri" w:cs="Calibri"/>
                <w:sz w:val="24"/>
                <w:szCs w:val="24"/>
              </w:rPr>
            </w:pPr>
            <w:r>
              <w:rPr>
                <w:rFonts w:ascii="Calibri" w:hAnsi="Calibri" w:cs="Calibri"/>
                <w:sz w:val="24"/>
                <w:szCs w:val="24"/>
              </w:rPr>
              <w:t>20.</w:t>
            </w:r>
          </w:p>
        </w:tc>
        <w:tc>
          <w:tcPr>
            <w:tcW w:w="7765" w:type="dxa"/>
          </w:tcPr>
          <w:p w14:paraId="6540037B" w14:textId="77777777" w:rsidR="006C1334" w:rsidRPr="00045717" w:rsidRDefault="006C1334" w:rsidP="00F52B1B">
            <w:pPr>
              <w:spacing w:before="240"/>
              <w:rPr>
                <w:rFonts w:ascii="Calibri" w:hAnsi="Calibri" w:cs="Calibri"/>
                <w:sz w:val="24"/>
                <w:szCs w:val="24"/>
                <w:highlight w:val="yellow"/>
              </w:rPr>
            </w:pPr>
            <w:r w:rsidRPr="00045717">
              <w:rPr>
                <w:rFonts w:ascii="Calibri" w:hAnsi="Calibri" w:cs="Calibri"/>
                <w:sz w:val="24"/>
                <w:szCs w:val="24"/>
              </w:rPr>
              <w:t>Kanis JA, Johnell O, Oden A, Johansson H, McCloskey E. (2008b) FRAX™ and the assessment of fracture probability in men and women from the UK. Osteoporos Int 19: 385-397.</w:t>
            </w:r>
          </w:p>
        </w:tc>
      </w:tr>
      <w:tr w:rsidR="006C1334" w:rsidRPr="00AF231D" w14:paraId="7D29CE8E" w14:textId="77777777" w:rsidTr="008766BA">
        <w:tc>
          <w:tcPr>
            <w:tcW w:w="581" w:type="dxa"/>
          </w:tcPr>
          <w:p w14:paraId="77DC2122" w14:textId="31643ADF" w:rsidR="006C1334" w:rsidRPr="00045717" w:rsidRDefault="006C1334" w:rsidP="00F52B1B">
            <w:pPr>
              <w:spacing w:before="240"/>
              <w:jc w:val="right"/>
              <w:rPr>
                <w:rFonts w:ascii="Calibri" w:hAnsi="Calibri" w:cs="Calibri"/>
                <w:sz w:val="24"/>
                <w:szCs w:val="24"/>
              </w:rPr>
            </w:pPr>
            <w:r>
              <w:rPr>
                <w:rFonts w:ascii="Calibri" w:hAnsi="Calibri" w:cs="Calibri"/>
                <w:sz w:val="24"/>
                <w:szCs w:val="24"/>
              </w:rPr>
              <w:t>21.</w:t>
            </w:r>
          </w:p>
        </w:tc>
        <w:tc>
          <w:tcPr>
            <w:tcW w:w="7765" w:type="dxa"/>
          </w:tcPr>
          <w:p w14:paraId="177BA306" w14:textId="0E405B81" w:rsidR="006C1334" w:rsidRPr="00045717" w:rsidRDefault="006C1334" w:rsidP="00F52B1B">
            <w:pPr>
              <w:spacing w:before="240"/>
              <w:rPr>
                <w:rFonts w:ascii="Calibri" w:hAnsi="Calibri" w:cs="Calibri"/>
                <w:sz w:val="24"/>
                <w:szCs w:val="24"/>
              </w:rPr>
            </w:pPr>
            <w:r w:rsidRPr="008E2048">
              <w:rPr>
                <w:rFonts w:ascii="Calibri" w:hAnsi="Calibri" w:cs="Calibri"/>
                <w:sz w:val="24"/>
                <w:szCs w:val="24"/>
              </w:rPr>
              <w:t xml:space="preserve">Axelsson KF, Wallander M, Johansson H, Harvey N, Vandenput L, McCloskey E, Liu E, Kanis JA, Litsne H, Lorentzon M (2022) Analysis of comorbidities, clinical outcomes, and parathyroidectomy in adults with primary hyperparathyroidism. Journal of the American Medical Association Network Open. Jun 1;5(6): e2215396. doi: 10.1001/jamanetworkopen.2022.15396.  </w:t>
            </w:r>
          </w:p>
        </w:tc>
      </w:tr>
      <w:tr w:rsidR="006C1334" w:rsidRPr="00AF231D" w14:paraId="3CB87303" w14:textId="77777777" w:rsidTr="008766BA">
        <w:tc>
          <w:tcPr>
            <w:tcW w:w="581" w:type="dxa"/>
          </w:tcPr>
          <w:p w14:paraId="5ED6C193" w14:textId="6611156D" w:rsidR="006C1334" w:rsidRPr="00045717" w:rsidRDefault="006C1334" w:rsidP="00F52B1B">
            <w:pPr>
              <w:spacing w:before="240"/>
              <w:jc w:val="right"/>
              <w:rPr>
                <w:rFonts w:ascii="Calibri" w:hAnsi="Calibri" w:cs="Calibri"/>
                <w:sz w:val="24"/>
                <w:szCs w:val="24"/>
              </w:rPr>
            </w:pPr>
            <w:r>
              <w:rPr>
                <w:rFonts w:ascii="Calibri" w:hAnsi="Calibri" w:cs="Calibri"/>
                <w:sz w:val="24"/>
                <w:szCs w:val="24"/>
              </w:rPr>
              <w:t>22.</w:t>
            </w:r>
          </w:p>
        </w:tc>
        <w:tc>
          <w:tcPr>
            <w:tcW w:w="7765" w:type="dxa"/>
          </w:tcPr>
          <w:p w14:paraId="07E6CFA4" w14:textId="7F925089" w:rsidR="006C1334" w:rsidRPr="00045717" w:rsidRDefault="006C1334" w:rsidP="00F52B1B">
            <w:pPr>
              <w:spacing w:before="240"/>
              <w:rPr>
                <w:rFonts w:ascii="Calibri" w:hAnsi="Calibri" w:cs="Calibri"/>
                <w:sz w:val="24"/>
                <w:szCs w:val="24"/>
              </w:rPr>
            </w:pPr>
            <w:r w:rsidRPr="00045717">
              <w:rPr>
                <w:rFonts w:ascii="Calibri" w:hAnsi="Calibri" w:cs="Calibri"/>
                <w:sz w:val="24"/>
                <w:szCs w:val="24"/>
              </w:rPr>
              <w:t xml:space="preserve">Khosla S, Melton LJ 3rd, </w:t>
            </w:r>
            <w:proofErr w:type="spellStart"/>
            <w:r w:rsidRPr="00045717">
              <w:rPr>
                <w:rFonts w:ascii="Calibri" w:hAnsi="Calibri" w:cs="Calibri"/>
                <w:sz w:val="24"/>
                <w:szCs w:val="24"/>
              </w:rPr>
              <w:t>Wermers</w:t>
            </w:r>
            <w:proofErr w:type="spellEnd"/>
            <w:r w:rsidRPr="00045717">
              <w:rPr>
                <w:rFonts w:ascii="Calibri" w:hAnsi="Calibri" w:cs="Calibri"/>
                <w:sz w:val="24"/>
                <w:szCs w:val="24"/>
              </w:rPr>
              <w:t xml:space="preserve"> RA, Crowson CS, O'Fallon Wm, Riggs Bl (1999) Primary hyperparathyroidism and the risk of fracture: a population-based study. J Bone Miner Res 14: 1700–1707. </w:t>
            </w:r>
          </w:p>
        </w:tc>
      </w:tr>
      <w:tr w:rsidR="006C1334" w:rsidRPr="00AF231D" w14:paraId="5CA9C518" w14:textId="77777777" w:rsidTr="008766BA">
        <w:tc>
          <w:tcPr>
            <w:tcW w:w="581" w:type="dxa"/>
          </w:tcPr>
          <w:p w14:paraId="275375E9" w14:textId="361D5A40" w:rsidR="006C1334" w:rsidRPr="00045717" w:rsidRDefault="006C1334" w:rsidP="00F52B1B">
            <w:pPr>
              <w:spacing w:before="240"/>
              <w:jc w:val="right"/>
              <w:rPr>
                <w:rFonts w:ascii="Calibri" w:hAnsi="Calibri" w:cs="Calibri"/>
                <w:sz w:val="24"/>
                <w:szCs w:val="24"/>
              </w:rPr>
            </w:pPr>
            <w:r>
              <w:rPr>
                <w:rFonts w:ascii="Calibri" w:hAnsi="Calibri" w:cs="Calibri"/>
                <w:sz w:val="24"/>
                <w:szCs w:val="24"/>
              </w:rPr>
              <w:t>23.</w:t>
            </w:r>
          </w:p>
        </w:tc>
        <w:tc>
          <w:tcPr>
            <w:tcW w:w="7765" w:type="dxa"/>
          </w:tcPr>
          <w:p w14:paraId="7BBEAAC2" w14:textId="77777777" w:rsidR="006C1334" w:rsidRPr="00045717" w:rsidRDefault="006C1334" w:rsidP="00F52B1B">
            <w:pPr>
              <w:spacing w:before="240"/>
              <w:rPr>
                <w:rFonts w:ascii="Calibri" w:hAnsi="Calibri" w:cs="Calibri"/>
                <w:sz w:val="24"/>
                <w:szCs w:val="24"/>
              </w:rPr>
            </w:pPr>
            <w:proofErr w:type="spellStart"/>
            <w:r w:rsidRPr="00045717">
              <w:rPr>
                <w:rFonts w:ascii="Calibri" w:hAnsi="Calibri" w:cs="Calibri"/>
                <w:sz w:val="24"/>
                <w:szCs w:val="24"/>
              </w:rPr>
              <w:t>Vignali</w:t>
            </w:r>
            <w:proofErr w:type="spellEnd"/>
            <w:r w:rsidRPr="00045717">
              <w:rPr>
                <w:rFonts w:ascii="Calibri" w:hAnsi="Calibri" w:cs="Calibri"/>
                <w:sz w:val="24"/>
                <w:szCs w:val="24"/>
              </w:rPr>
              <w:t xml:space="preserve"> E, </w:t>
            </w:r>
            <w:proofErr w:type="spellStart"/>
            <w:r w:rsidRPr="00045717">
              <w:rPr>
                <w:rFonts w:ascii="Calibri" w:hAnsi="Calibri" w:cs="Calibri"/>
                <w:sz w:val="24"/>
                <w:szCs w:val="24"/>
              </w:rPr>
              <w:t>Viccica</w:t>
            </w:r>
            <w:proofErr w:type="spellEnd"/>
            <w:r w:rsidRPr="00045717">
              <w:rPr>
                <w:rFonts w:ascii="Calibri" w:hAnsi="Calibri" w:cs="Calibri"/>
                <w:sz w:val="24"/>
                <w:szCs w:val="24"/>
              </w:rPr>
              <w:t xml:space="preserve"> G, </w:t>
            </w:r>
            <w:proofErr w:type="spellStart"/>
            <w:r w:rsidRPr="00045717">
              <w:rPr>
                <w:rFonts w:ascii="Calibri" w:hAnsi="Calibri" w:cs="Calibri"/>
                <w:sz w:val="24"/>
                <w:szCs w:val="24"/>
              </w:rPr>
              <w:t>Diacinti</w:t>
            </w:r>
            <w:proofErr w:type="spellEnd"/>
            <w:r w:rsidRPr="00045717">
              <w:rPr>
                <w:rFonts w:ascii="Calibri" w:hAnsi="Calibri" w:cs="Calibri"/>
                <w:sz w:val="24"/>
                <w:szCs w:val="24"/>
              </w:rPr>
              <w:t xml:space="preserve"> D, </w:t>
            </w:r>
            <w:proofErr w:type="spellStart"/>
            <w:r w:rsidRPr="00045717">
              <w:rPr>
                <w:rFonts w:ascii="Calibri" w:hAnsi="Calibri" w:cs="Calibri"/>
                <w:sz w:val="24"/>
                <w:szCs w:val="24"/>
              </w:rPr>
              <w:t>Cetani</w:t>
            </w:r>
            <w:proofErr w:type="spellEnd"/>
            <w:r w:rsidRPr="00045717">
              <w:rPr>
                <w:rFonts w:ascii="Calibri" w:hAnsi="Calibri" w:cs="Calibri"/>
                <w:sz w:val="24"/>
                <w:szCs w:val="24"/>
              </w:rPr>
              <w:t xml:space="preserve"> F, </w:t>
            </w:r>
            <w:proofErr w:type="spellStart"/>
            <w:r w:rsidRPr="00045717">
              <w:rPr>
                <w:rFonts w:ascii="Calibri" w:hAnsi="Calibri" w:cs="Calibri"/>
                <w:sz w:val="24"/>
                <w:szCs w:val="24"/>
              </w:rPr>
              <w:t>Cianferotti</w:t>
            </w:r>
            <w:proofErr w:type="spellEnd"/>
            <w:r w:rsidRPr="00045717">
              <w:rPr>
                <w:rFonts w:ascii="Calibri" w:hAnsi="Calibri" w:cs="Calibri"/>
                <w:sz w:val="24"/>
                <w:szCs w:val="24"/>
              </w:rPr>
              <w:t xml:space="preserve"> L, </w:t>
            </w:r>
            <w:proofErr w:type="spellStart"/>
            <w:r w:rsidRPr="00045717">
              <w:rPr>
                <w:rFonts w:ascii="Calibri" w:hAnsi="Calibri" w:cs="Calibri"/>
                <w:sz w:val="24"/>
                <w:szCs w:val="24"/>
              </w:rPr>
              <w:t>Ambrogini</w:t>
            </w:r>
            <w:proofErr w:type="spellEnd"/>
            <w:r w:rsidRPr="00045717">
              <w:rPr>
                <w:rFonts w:ascii="Calibri" w:hAnsi="Calibri" w:cs="Calibri"/>
                <w:sz w:val="24"/>
                <w:szCs w:val="24"/>
              </w:rPr>
              <w:t xml:space="preserve"> E, </w:t>
            </w:r>
            <w:proofErr w:type="spellStart"/>
            <w:r w:rsidRPr="00045717">
              <w:rPr>
                <w:rFonts w:ascii="Calibri" w:hAnsi="Calibri" w:cs="Calibri"/>
                <w:sz w:val="24"/>
                <w:szCs w:val="24"/>
              </w:rPr>
              <w:t>Banti</w:t>
            </w:r>
            <w:proofErr w:type="spellEnd"/>
            <w:r w:rsidRPr="00045717">
              <w:rPr>
                <w:rFonts w:ascii="Calibri" w:hAnsi="Calibri" w:cs="Calibri"/>
                <w:sz w:val="24"/>
                <w:szCs w:val="24"/>
              </w:rPr>
              <w:t xml:space="preserve"> C, Del </w:t>
            </w:r>
            <w:proofErr w:type="spellStart"/>
            <w:r w:rsidRPr="00045717">
              <w:rPr>
                <w:rFonts w:ascii="Calibri" w:hAnsi="Calibri" w:cs="Calibri"/>
                <w:sz w:val="24"/>
                <w:szCs w:val="24"/>
              </w:rPr>
              <w:t>Fiacco</w:t>
            </w:r>
            <w:proofErr w:type="spellEnd"/>
            <w:r w:rsidRPr="00045717">
              <w:rPr>
                <w:rFonts w:ascii="Calibri" w:hAnsi="Calibri" w:cs="Calibri"/>
                <w:sz w:val="24"/>
                <w:szCs w:val="24"/>
              </w:rPr>
              <w:t xml:space="preserve"> R, </w:t>
            </w:r>
            <w:proofErr w:type="spellStart"/>
            <w:r w:rsidRPr="00045717">
              <w:rPr>
                <w:rFonts w:ascii="Calibri" w:hAnsi="Calibri" w:cs="Calibri"/>
                <w:sz w:val="24"/>
                <w:szCs w:val="24"/>
              </w:rPr>
              <w:t>Bilezikian</w:t>
            </w:r>
            <w:proofErr w:type="spellEnd"/>
            <w:r w:rsidRPr="00045717">
              <w:rPr>
                <w:rFonts w:ascii="Calibri" w:hAnsi="Calibri" w:cs="Calibri"/>
                <w:sz w:val="24"/>
                <w:szCs w:val="24"/>
              </w:rPr>
              <w:t xml:space="preserve"> JP, </w:t>
            </w:r>
            <w:proofErr w:type="spellStart"/>
            <w:r w:rsidRPr="00045717">
              <w:rPr>
                <w:rFonts w:ascii="Calibri" w:hAnsi="Calibri" w:cs="Calibri"/>
                <w:sz w:val="24"/>
                <w:szCs w:val="24"/>
              </w:rPr>
              <w:t>Pinchera</w:t>
            </w:r>
            <w:proofErr w:type="spellEnd"/>
            <w:r w:rsidRPr="00045717">
              <w:rPr>
                <w:rFonts w:ascii="Calibri" w:hAnsi="Calibri" w:cs="Calibri"/>
                <w:sz w:val="24"/>
                <w:szCs w:val="24"/>
              </w:rPr>
              <w:t xml:space="preserve"> A, </w:t>
            </w:r>
            <w:proofErr w:type="spellStart"/>
            <w:r w:rsidRPr="00045717">
              <w:rPr>
                <w:rFonts w:ascii="Calibri" w:hAnsi="Calibri" w:cs="Calibri"/>
                <w:sz w:val="24"/>
                <w:szCs w:val="24"/>
              </w:rPr>
              <w:t>Marcocci</w:t>
            </w:r>
            <w:proofErr w:type="spellEnd"/>
            <w:r w:rsidRPr="00045717">
              <w:rPr>
                <w:rFonts w:ascii="Calibri" w:hAnsi="Calibri" w:cs="Calibri"/>
                <w:sz w:val="24"/>
                <w:szCs w:val="24"/>
              </w:rPr>
              <w:t xml:space="preserve"> C (2009) Morphometric vertebral fractures in postmenopausal women with primary hyperparathyroidism.  J Clin Endocrinol Metab 94: 2306–2312. </w:t>
            </w:r>
          </w:p>
        </w:tc>
      </w:tr>
      <w:tr w:rsidR="006C1334" w:rsidRPr="00AF231D" w14:paraId="18055A77" w14:textId="77777777" w:rsidTr="008766BA">
        <w:tc>
          <w:tcPr>
            <w:tcW w:w="581" w:type="dxa"/>
          </w:tcPr>
          <w:p w14:paraId="5A3D45F1" w14:textId="424522FB" w:rsidR="006C1334" w:rsidRPr="00045717" w:rsidRDefault="006C1334" w:rsidP="00F52B1B">
            <w:pPr>
              <w:spacing w:before="240"/>
              <w:jc w:val="right"/>
              <w:rPr>
                <w:rFonts w:ascii="Calibri" w:hAnsi="Calibri" w:cs="Calibri"/>
                <w:sz w:val="24"/>
                <w:szCs w:val="24"/>
              </w:rPr>
            </w:pPr>
            <w:r>
              <w:rPr>
                <w:rFonts w:ascii="Calibri" w:hAnsi="Calibri" w:cs="Calibri"/>
                <w:sz w:val="24"/>
                <w:szCs w:val="24"/>
              </w:rPr>
              <w:t>24.</w:t>
            </w:r>
          </w:p>
        </w:tc>
        <w:tc>
          <w:tcPr>
            <w:tcW w:w="7765" w:type="dxa"/>
          </w:tcPr>
          <w:p w14:paraId="2B23D093" w14:textId="77777777" w:rsidR="006C1334" w:rsidRPr="00045717" w:rsidRDefault="006C1334" w:rsidP="00F52B1B">
            <w:pPr>
              <w:spacing w:before="240"/>
              <w:rPr>
                <w:rFonts w:ascii="Calibri" w:hAnsi="Calibri" w:cs="Calibri"/>
                <w:sz w:val="24"/>
                <w:szCs w:val="24"/>
              </w:rPr>
            </w:pPr>
            <w:proofErr w:type="spellStart"/>
            <w:r w:rsidRPr="00045717">
              <w:rPr>
                <w:rFonts w:ascii="Calibri" w:hAnsi="Calibri" w:cs="Calibri"/>
                <w:sz w:val="24"/>
                <w:szCs w:val="24"/>
              </w:rPr>
              <w:t>Mosekilde</w:t>
            </w:r>
            <w:proofErr w:type="spellEnd"/>
            <w:r w:rsidRPr="00045717">
              <w:rPr>
                <w:rFonts w:ascii="Calibri" w:hAnsi="Calibri" w:cs="Calibri"/>
                <w:sz w:val="24"/>
                <w:szCs w:val="24"/>
              </w:rPr>
              <w:t xml:space="preserve"> L (2008) Primary hyperparathyroidism and the skeleton. Clin Endocrinol (</w:t>
            </w:r>
            <w:proofErr w:type="gramStart"/>
            <w:r w:rsidRPr="00045717">
              <w:rPr>
                <w:rFonts w:ascii="Calibri" w:hAnsi="Calibri" w:cs="Calibri"/>
                <w:sz w:val="24"/>
                <w:szCs w:val="24"/>
              </w:rPr>
              <w:t>Oxf)  69</w:t>
            </w:r>
            <w:proofErr w:type="gramEnd"/>
            <w:r w:rsidRPr="00045717">
              <w:rPr>
                <w:rFonts w:ascii="Calibri" w:hAnsi="Calibri" w:cs="Calibri"/>
                <w:sz w:val="24"/>
                <w:szCs w:val="24"/>
              </w:rPr>
              <w:t xml:space="preserve">: 1– 19. </w:t>
            </w:r>
          </w:p>
        </w:tc>
      </w:tr>
      <w:tr w:rsidR="006C1334" w:rsidRPr="00AF231D" w14:paraId="04EF4859" w14:textId="77777777" w:rsidTr="008766BA">
        <w:tc>
          <w:tcPr>
            <w:tcW w:w="581" w:type="dxa"/>
          </w:tcPr>
          <w:p w14:paraId="563C00B7" w14:textId="19CC61EF" w:rsidR="006C1334" w:rsidRPr="00045717" w:rsidRDefault="006C1334" w:rsidP="00F52B1B">
            <w:pPr>
              <w:spacing w:before="240"/>
              <w:jc w:val="right"/>
              <w:rPr>
                <w:rFonts w:ascii="Calibri" w:hAnsi="Calibri" w:cs="Calibri"/>
                <w:sz w:val="24"/>
                <w:szCs w:val="24"/>
              </w:rPr>
            </w:pPr>
            <w:r>
              <w:rPr>
                <w:rFonts w:ascii="Calibri" w:hAnsi="Calibri" w:cs="Calibri"/>
                <w:sz w:val="24"/>
                <w:szCs w:val="24"/>
              </w:rPr>
              <w:t>25.</w:t>
            </w:r>
          </w:p>
        </w:tc>
        <w:tc>
          <w:tcPr>
            <w:tcW w:w="7765" w:type="dxa"/>
          </w:tcPr>
          <w:p w14:paraId="5643DFD8" w14:textId="77777777" w:rsidR="006C1334" w:rsidRPr="00045717" w:rsidRDefault="006C1334" w:rsidP="00F52B1B">
            <w:pPr>
              <w:spacing w:before="240"/>
              <w:rPr>
                <w:rFonts w:ascii="Calibri" w:hAnsi="Calibri" w:cs="Calibri"/>
                <w:sz w:val="24"/>
                <w:szCs w:val="24"/>
              </w:rPr>
            </w:pPr>
            <w:r w:rsidRPr="00045717">
              <w:rPr>
                <w:rFonts w:ascii="Calibri" w:hAnsi="Calibri" w:cs="Calibri"/>
                <w:sz w:val="24"/>
                <w:szCs w:val="24"/>
              </w:rPr>
              <w:t xml:space="preserve">De Geronimo S, </w:t>
            </w:r>
            <w:proofErr w:type="spellStart"/>
            <w:r w:rsidRPr="00045717">
              <w:rPr>
                <w:rFonts w:ascii="Calibri" w:hAnsi="Calibri" w:cs="Calibri"/>
                <w:sz w:val="24"/>
                <w:szCs w:val="24"/>
              </w:rPr>
              <w:t>Romagnoli</w:t>
            </w:r>
            <w:proofErr w:type="spellEnd"/>
            <w:r w:rsidRPr="00045717">
              <w:rPr>
                <w:rFonts w:ascii="Calibri" w:hAnsi="Calibri" w:cs="Calibri"/>
                <w:sz w:val="24"/>
                <w:szCs w:val="24"/>
              </w:rPr>
              <w:t xml:space="preserve"> E, </w:t>
            </w:r>
            <w:proofErr w:type="spellStart"/>
            <w:r w:rsidRPr="00045717">
              <w:rPr>
                <w:rFonts w:ascii="Calibri" w:hAnsi="Calibri" w:cs="Calibri"/>
                <w:sz w:val="24"/>
                <w:szCs w:val="24"/>
              </w:rPr>
              <w:t>Diacinti</w:t>
            </w:r>
            <w:proofErr w:type="spellEnd"/>
            <w:r w:rsidRPr="00045717">
              <w:rPr>
                <w:rFonts w:ascii="Calibri" w:hAnsi="Calibri" w:cs="Calibri"/>
                <w:sz w:val="24"/>
                <w:szCs w:val="24"/>
              </w:rPr>
              <w:t xml:space="preserve"> D, </w:t>
            </w:r>
            <w:proofErr w:type="spellStart"/>
            <w:r w:rsidRPr="00045717">
              <w:rPr>
                <w:rFonts w:ascii="Calibri" w:hAnsi="Calibri" w:cs="Calibri"/>
                <w:sz w:val="24"/>
                <w:szCs w:val="24"/>
              </w:rPr>
              <w:t>D’Erasmo</w:t>
            </w:r>
            <w:proofErr w:type="spellEnd"/>
            <w:r w:rsidRPr="00045717">
              <w:rPr>
                <w:rFonts w:ascii="Calibri" w:hAnsi="Calibri" w:cs="Calibri"/>
                <w:sz w:val="24"/>
                <w:szCs w:val="24"/>
              </w:rPr>
              <w:t xml:space="preserve"> E, </w:t>
            </w:r>
            <w:proofErr w:type="spellStart"/>
            <w:r w:rsidRPr="00045717">
              <w:rPr>
                <w:rFonts w:ascii="Calibri" w:hAnsi="Calibri" w:cs="Calibri"/>
                <w:sz w:val="24"/>
                <w:szCs w:val="24"/>
              </w:rPr>
              <w:t>Minisola</w:t>
            </w:r>
            <w:proofErr w:type="spellEnd"/>
            <w:r w:rsidRPr="00045717">
              <w:rPr>
                <w:rFonts w:ascii="Calibri" w:hAnsi="Calibri" w:cs="Calibri"/>
                <w:sz w:val="24"/>
                <w:szCs w:val="24"/>
              </w:rPr>
              <w:t xml:space="preserve"> S (2006) The risk of fractures in postmenopausal women with primary hyperparathyroidism Eur. J. </w:t>
            </w:r>
            <w:proofErr w:type="gramStart"/>
            <w:r w:rsidRPr="00045717">
              <w:rPr>
                <w:rFonts w:ascii="Calibri" w:hAnsi="Calibri" w:cs="Calibri"/>
                <w:sz w:val="24"/>
                <w:szCs w:val="24"/>
              </w:rPr>
              <w:t>Endocrinol  155</w:t>
            </w:r>
            <w:proofErr w:type="gramEnd"/>
            <w:r w:rsidRPr="00045717">
              <w:rPr>
                <w:rFonts w:ascii="Calibri" w:hAnsi="Calibri" w:cs="Calibri"/>
                <w:sz w:val="24"/>
                <w:szCs w:val="24"/>
              </w:rPr>
              <w:t xml:space="preserve">: 415– 420. </w:t>
            </w:r>
          </w:p>
        </w:tc>
      </w:tr>
      <w:tr w:rsidR="006C1334" w:rsidRPr="00AF231D" w14:paraId="76330C94" w14:textId="77777777" w:rsidTr="008766BA">
        <w:tc>
          <w:tcPr>
            <w:tcW w:w="581" w:type="dxa"/>
          </w:tcPr>
          <w:p w14:paraId="058E7785" w14:textId="0F7B7769" w:rsidR="006C1334" w:rsidRPr="00045717" w:rsidRDefault="006C1334" w:rsidP="00F52B1B">
            <w:pPr>
              <w:spacing w:before="240"/>
              <w:jc w:val="right"/>
              <w:rPr>
                <w:rFonts w:ascii="Calibri" w:hAnsi="Calibri" w:cs="Calibri"/>
                <w:sz w:val="24"/>
                <w:szCs w:val="24"/>
              </w:rPr>
            </w:pPr>
            <w:r>
              <w:rPr>
                <w:rFonts w:ascii="Calibri" w:hAnsi="Calibri" w:cs="Calibri"/>
                <w:sz w:val="24"/>
                <w:szCs w:val="24"/>
              </w:rPr>
              <w:t>26.</w:t>
            </w:r>
          </w:p>
        </w:tc>
        <w:tc>
          <w:tcPr>
            <w:tcW w:w="7765" w:type="dxa"/>
          </w:tcPr>
          <w:p w14:paraId="16D14AE6" w14:textId="77777777" w:rsidR="006C1334" w:rsidRPr="00045717" w:rsidRDefault="006C1334" w:rsidP="00F52B1B">
            <w:pPr>
              <w:spacing w:before="240"/>
              <w:rPr>
                <w:rFonts w:ascii="Calibri" w:hAnsi="Calibri" w:cs="Calibri"/>
                <w:sz w:val="24"/>
                <w:szCs w:val="24"/>
                <w:lang w:val="sv-SE"/>
              </w:rPr>
            </w:pPr>
            <w:r w:rsidRPr="00045717">
              <w:rPr>
                <w:rFonts w:ascii="Calibri" w:hAnsi="Calibri" w:cs="Calibri"/>
                <w:sz w:val="24"/>
                <w:szCs w:val="24"/>
                <w:lang w:val="sv-SE"/>
              </w:rPr>
              <w:t xml:space="preserve">Yu N, Donnan PT, Flynn RW, Murphy MJ, Smith D, Rudman A, Leese GP (2010) Increased mortality and morbidity in mild primary hyperparathyroid patients. The Parathyroid Epidemiology and Audit Research Study (PEARS). Clin Endocrinol (Oxf)   73: 30-4. </w:t>
            </w:r>
          </w:p>
        </w:tc>
      </w:tr>
      <w:tr w:rsidR="006C1334" w:rsidRPr="00AF231D" w14:paraId="428ACA4B" w14:textId="77777777" w:rsidTr="008766BA">
        <w:tc>
          <w:tcPr>
            <w:tcW w:w="581" w:type="dxa"/>
          </w:tcPr>
          <w:p w14:paraId="71A062CA" w14:textId="5DA688B4" w:rsidR="006C1334" w:rsidRPr="00045717" w:rsidRDefault="006C1334" w:rsidP="00804391">
            <w:pPr>
              <w:spacing w:before="240"/>
              <w:jc w:val="right"/>
              <w:rPr>
                <w:rFonts w:ascii="Calibri" w:hAnsi="Calibri" w:cs="Calibri"/>
                <w:sz w:val="24"/>
                <w:szCs w:val="24"/>
              </w:rPr>
            </w:pPr>
            <w:r>
              <w:rPr>
                <w:rFonts w:ascii="Calibri" w:hAnsi="Calibri" w:cs="Calibri"/>
                <w:sz w:val="24"/>
                <w:szCs w:val="24"/>
              </w:rPr>
              <w:t>27.</w:t>
            </w:r>
          </w:p>
        </w:tc>
        <w:tc>
          <w:tcPr>
            <w:tcW w:w="7765" w:type="dxa"/>
          </w:tcPr>
          <w:p w14:paraId="4A4E8D2D" w14:textId="244D96A1" w:rsidR="006C1334" w:rsidRPr="00045717" w:rsidRDefault="006C1334" w:rsidP="00804391">
            <w:pPr>
              <w:spacing w:before="240"/>
              <w:rPr>
                <w:rFonts w:ascii="Calibri" w:hAnsi="Calibri" w:cs="Calibri"/>
                <w:sz w:val="24"/>
                <w:szCs w:val="24"/>
              </w:rPr>
            </w:pPr>
            <w:r w:rsidRPr="00045717">
              <w:rPr>
                <w:rFonts w:ascii="Calibri" w:hAnsi="Calibri" w:cs="Calibri"/>
                <w:sz w:val="24"/>
                <w:szCs w:val="24"/>
              </w:rPr>
              <w:t xml:space="preserve">Kanis JA, Johansson H, Harvey NC, </w:t>
            </w:r>
            <w:proofErr w:type="spellStart"/>
            <w:r w:rsidRPr="00045717">
              <w:rPr>
                <w:rFonts w:ascii="Calibri" w:hAnsi="Calibri" w:cs="Calibri"/>
                <w:sz w:val="24"/>
                <w:szCs w:val="24"/>
              </w:rPr>
              <w:t>Gudnason</w:t>
            </w:r>
            <w:proofErr w:type="spellEnd"/>
            <w:r w:rsidRPr="00045717">
              <w:rPr>
                <w:rFonts w:ascii="Calibri" w:hAnsi="Calibri" w:cs="Calibri"/>
                <w:sz w:val="24"/>
                <w:szCs w:val="24"/>
              </w:rPr>
              <w:t xml:space="preserve"> V, Sigurdsson G, </w:t>
            </w:r>
            <w:proofErr w:type="spellStart"/>
            <w:r w:rsidRPr="00045717">
              <w:rPr>
                <w:rFonts w:ascii="Calibri" w:hAnsi="Calibri" w:cs="Calibri"/>
                <w:sz w:val="24"/>
                <w:szCs w:val="24"/>
              </w:rPr>
              <w:t>Siggeirsdottir</w:t>
            </w:r>
            <w:proofErr w:type="spellEnd"/>
            <w:r w:rsidRPr="00045717">
              <w:rPr>
                <w:rFonts w:ascii="Calibri" w:hAnsi="Calibri" w:cs="Calibri"/>
                <w:sz w:val="24"/>
                <w:szCs w:val="24"/>
              </w:rPr>
              <w:t xml:space="preserve"> K, Lorentzon M, Liu M, Vandenput L, McCloskey E (2021) The effect on subsequent fracture risk of age, </w:t>
            </w:r>
            <w:proofErr w:type="gramStart"/>
            <w:r w:rsidRPr="00045717">
              <w:rPr>
                <w:rFonts w:ascii="Calibri" w:hAnsi="Calibri" w:cs="Calibri"/>
                <w:sz w:val="24"/>
                <w:szCs w:val="24"/>
              </w:rPr>
              <w:t>sex</w:t>
            </w:r>
            <w:proofErr w:type="gramEnd"/>
            <w:r w:rsidRPr="00045717">
              <w:rPr>
                <w:rFonts w:ascii="Calibri" w:hAnsi="Calibri" w:cs="Calibri"/>
                <w:sz w:val="24"/>
                <w:szCs w:val="24"/>
              </w:rPr>
              <w:t xml:space="preserve"> and prior fracture site by recency of prior fracture.  Osteoporos Int 32</w:t>
            </w:r>
            <w:r>
              <w:rPr>
                <w:rFonts w:ascii="Calibri" w:hAnsi="Calibri" w:cs="Calibri"/>
                <w:sz w:val="24"/>
                <w:szCs w:val="24"/>
              </w:rPr>
              <w:t xml:space="preserve">: </w:t>
            </w:r>
            <w:r w:rsidRPr="00045717">
              <w:rPr>
                <w:rFonts w:ascii="Calibri" w:hAnsi="Calibri" w:cs="Calibri"/>
                <w:sz w:val="24"/>
                <w:szCs w:val="24"/>
              </w:rPr>
              <w:t>1547-1555.</w:t>
            </w:r>
          </w:p>
        </w:tc>
      </w:tr>
      <w:tr w:rsidR="006C1334" w:rsidRPr="00AF231D" w14:paraId="27D367BA" w14:textId="77777777" w:rsidTr="008766BA">
        <w:tc>
          <w:tcPr>
            <w:tcW w:w="581" w:type="dxa"/>
          </w:tcPr>
          <w:p w14:paraId="207AB09B" w14:textId="54A910DD" w:rsidR="006C1334" w:rsidRPr="00045717" w:rsidRDefault="006C1334" w:rsidP="00804391">
            <w:pPr>
              <w:spacing w:before="240"/>
              <w:jc w:val="right"/>
              <w:rPr>
                <w:rFonts w:ascii="Calibri" w:hAnsi="Calibri" w:cs="Calibri"/>
                <w:sz w:val="24"/>
                <w:szCs w:val="24"/>
              </w:rPr>
            </w:pPr>
            <w:r>
              <w:rPr>
                <w:rFonts w:ascii="Calibri" w:hAnsi="Calibri" w:cs="Calibri"/>
                <w:sz w:val="24"/>
                <w:szCs w:val="24"/>
              </w:rPr>
              <w:t>28.</w:t>
            </w:r>
          </w:p>
        </w:tc>
        <w:tc>
          <w:tcPr>
            <w:tcW w:w="7765" w:type="dxa"/>
          </w:tcPr>
          <w:p w14:paraId="435ED30D" w14:textId="77777777" w:rsidR="006C1334" w:rsidRPr="00045717" w:rsidRDefault="006C1334" w:rsidP="00804391">
            <w:pPr>
              <w:spacing w:before="240"/>
              <w:rPr>
                <w:rFonts w:ascii="Calibri" w:hAnsi="Calibri" w:cs="Calibri"/>
                <w:sz w:val="24"/>
                <w:szCs w:val="24"/>
              </w:rPr>
            </w:pPr>
            <w:r w:rsidRPr="00045717">
              <w:rPr>
                <w:rFonts w:ascii="Calibri" w:hAnsi="Calibri" w:cs="Calibri"/>
                <w:sz w:val="24"/>
                <w:szCs w:val="24"/>
              </w:rPr>
              <w:t xml:space="preserve">Stein EM, Silva BC, </w:t>
            </w:r>
            <w:proofErr w:type="spellStart"/>
            <w:r w:rsidRPr="00045717">
              <w:rPr>
                <w:rFonts w:ascii="Calibri" w:hAnsi="Calibri" w:cs="Calibri"/>
                <w:sz w:val="24"/>
                <w:szCs w:val="24"/>
              </w:rPr>
              <w:t>Boutroy</w:t>
            </w:r>
            <w:proofErr w:type="spellEnd"/>
            <w:r w:rsidRPr="00045717">
              <w:rPr>
                <w:rFonts w:ascii="Calibri" w:hAnsi="Calibri" w:cs="Calibri"/>
                <w:sz w:val="24"/>
                <w:szCs w:val="24"/>
              </w:rPr>
              <w:t xml:space="preserve"> S, Zhou B, Wang J, </w:t>
            </w:r>
            <w:proofErr w:type="spellStart"/>
            <w:r w:rsidRPr="00045717">
              <w:rPr>
                <w:rFonts w:ascii="Calibri" w:hAnsi="Calibri" w:cs="Calibri"/>
                <w:sz w:val="24"/>
                <w:szCs w:val="24"/>
              </w:rPr>
              <w:t>Udesky</w:t>
            </w:r>
            <w:proofErr w:type="spellEnd"/>
            <w:r w:rsidRPr="00045717">
              <w:rPr>
                <w:rFonts w:ascii="Calibri" w:hAnsi="Calibri" w:cs="Calibri"/>
                <w:sz w:val="24"/>
                <w:szCs w:val="24"/>
              </w:rPr>
              <w:t xml:space="preserve"> J, Zhang C, McMahon DJ, Romano M, </w:t>
            </w:r>
            <w:proofErr w:type="spellStart"/>
            <w:r w:rsidRPr="00045717">
              <w:rPr>
                <w:rFonts w:ascii="Calibri" w:hAnsi="Calibri" w:cs="Calibri"/>
                <w:sz w:val="24"/>
                <w:szCs w:val="24"/>
              </w:rPr>
              <w:t>Dworakowski</w:t>
            </w:r>
            <w:proofErr w:type="spellEnd"/>
            <w:r w:rsidRPr="00045717">
              <w:rPr>
                <w:rFonts w:ascii="Calibri" w:hAnsi="Calibri" w:cs="Calibri"/>
                <w:sz w:val="24"/>
                <w:szCs w:val="24"/>
              </w:rPr>
              <w:t xml:space="preserve"> E, Costa AG, Cusano N, Irani D, </w:t>
            </w:r>
            <w:proofErr w:type="spellStart"/>
            <w:r w:rsidRPr="00045717">
              <w:rPr>
                <w:rFonts w:ascii="Calibri" w:hAnsi="Calibri" w:cs="Calibri"/>
                <w:sz w:val="24"/>
                <w:szCs w:val="24"/>
              </w:rPr>
              <w:t>Cremers</w:t>
            </w:r>
            <w:proofErr w:type="spellEnd"/>
            <w:r w:rsidRPr="00045717">
              <w:rPr>
                <w:rFonts w:ascii="Calibri" w:hAnsi="Calibri" w:cs="Calibri"/>
                <w:sz w:val="24"/>
                <w:szCs w:val="24"/>
              </w:rPr>
              <w:t xml:space="preserve"> S, Shane E, Guo XE, </w:t>
            </w:r>
            <w:proofErr w:type="spellStart"/>
            <w:r w:rsidRPr="00045717">
              <w:rPr>
                <w:rFonts w:ascii="Calibri" w:hAnsi="Calibri" w:cs="Calibri"/>
                <w:sz w:val="24"/>
                <w:szCs w:val="24"/>
              </w:rPr>
              <w:t>Bilezikian</w:t>
            </w:r>
            <w:proofErr w:type="spellEnd"/>
            <w:r w:rsidRPr="00045717">
              <w:rPr>
                <w:rFonts w:ascii="Calibri" w:hAnsi="Calibri" w:cs="Calibri"/>
                <w:sz w:val="24"/>
                <w:szCs w:val="24"/>
              </w:rPr>
              <w:t xml:space="preserve"> JP (2013) Primary hyperparathyroidism is associated with abnormal cortical and trabecular microstructure and reduced bone stiffness in postmenopausal women. J Bone Miner Res 28: 1029–1040</w:t>
            </w:r>
          </w:p>
        </w:tc>
      </w:tr>
      <w:tr w:rsidR="006C1334" w:rsidRPr="00AF231D" w14:paraId="33AC091C" w14:textId="77777777" w:rsidTr="008766BA">
        <w:tc>
          <w:tcPr>
            <w:tcW w:w="581" w:type="dxa"/>
          </w:tcPr>
          <w:p w14:paraId="35C05F1C" w14:textId="06FA071C" w:rsidR="006C1334" w:rsidRPr="00045717" w:rsidRDefault="006C1334" w:rsidP="00804391">
            <w:pPr>
              <w:spacing w:before="240"/>
              <w:jc w:val="right"/>
              <w:rPr>
                <w:rFonts w:ascii="Calibri" w:hAnsi="Calibri" w:cs="Calibri"/>
                <w:sz w:val="24"/>
                <w:szCs w:val="24"/>
              </w:rPr>
            </w:pPr>
            <w:r>
              <w:rPr>
                <w:rFonts w:ascii="Calibri" w:hAnsi="Calibri" w:cs="Calibri"/>
                <w:sz w:val="24"/>
                <w:szCs w:val="24"/>
              </w:rPr>
              <w:t>29.</w:t>
            </w:r>
          </w:p>
        </w:tc>
        <w:tc>
          <w:tcPr>
            <w:tcW w:w="7765" w:type="dxa"/>
          </w:tcPr>
          <w:p w14:paraId="6004CFFD" w14:textId="239E2A9C" w:rsidR="006C1334" w:rsidRPr="00045717" w:rsidRDefault="006C1334" w:rsidP="00804391">
            <w:pPr>
              <w:spacing w:before="240"/>
              <w:rPr>
                <w:rFonts w:ascii="Calibri" w:hAnsi="Calibri" w:cs="Calibri"/>
                <w:sz w:val="24"/>
                <w:szCs w:val="24"/>
              </w:rPr>
            </w:pPr>
            <w:r w:rsidRPr="00045717">
              <w:rPr>
                <w:rFonts w:ascii="Calibri" w:hAnsi="Calibri" w:cs="Calibri"/>
                <w:sz w:val="24"/>
                <w:szCs w:val="24"/>
              </w:rPr>
              <w:t xml:space="preserve">Silva BC, Leslie WD, Resch H, Lamy O, </w:t>
            </w:r>
            <w:proofErr w:type="spellStart"/>
            <w:r w:rsidRPr="00045717">
              <w:rPr>
                <w:rFonts w:ascii="Calibri" w:hAnsi="Calibri" w:cs="Calibri"/>
                <w:sz w:val="24"/>
                <w:szCs w:val="24"/>
              </w:rPr>
              <w:t>Lesnyak</w:t>
            </w:r>
            <w:proofErr w:type="spellEnd"/>
            <w:r w:rsidRPr="00045717">
              <w:rPr>
                <w:rFonts w:ascii="Calibri" w:hAnsi="Calibri" w:cs="Calibri"/>
                <w:sz w:val="24"/>
                <w:szCs w:val="24"/>
              </w:rPr>
              <w:t xml:space="preserve"> O, Binkley N, McCloskey EV, Kanis JA, </w:t>
            </w:r>
            <w:proofErr w:type="spellStart"/>
            <w:r w:rsidRPr="00045717">
              <w:rPr>
                <w:rFonts w:ascii="Calibri" w:hAnsi="Calibri" w:cs="Calibri"/>
                <w:sz w:val="24"/>
                <w:szCs w:val="24"/>
              </w:rPr>
              <w:t>Bilezikian</w:t>
            </w:r>
            <w:proofErr w:type="spellEnd"/>
            <w:r w:rsidRPr="00045717">
              <w:rPr>
                <w:rFonts w:ascii="Calibri" w:hAnsi="Calibri" w:cs="Calibri"/>
                <w:sz w:val="24"/>
                <w:szCs w:val="24"/>
              </w:rPr>
              <w:t xml:space="preserve"> JP (2014) Trabecular bone score: a non-invasive analytical method based upon the DXA image. J Bone Miner Res 29: 518–530. </w:t>
            </w:r>
          </w:p>
        </w:tc>
      </w:tr>
      <w:tr w:rsidR="006C1334" w:rsidRPr="00AF231D" w14:paraId="6CB606D6" w14:textId="77777777" w:rsidTr="008766BA">
        <w:tc>
          <w:tcPr>
            <w:tcW w:w="581" w:type="dxa"/>
          </w:tcPr>
          <w:p w14:paraId="0F548462" w14:textId="3F95C163" w:rsidR="006C1334" w:rsidRPr="00045717" w:rsidRDefault="006C1334" w:rsidP="00804391">
            <w:pPr>
              <w:spacing w:before="240"/>
              <w:jc w:val="right"/>
              <w:rPr>
                <w:rFonts w:ascii="Calibri" w:hAnsi="Calibri" w:cs="Calibri"/>
                <w:sz w:val="24"/>
                <w:szCs w:val="24"/>
              </w:rPr>
            </w:pPr>
            <w:r>
              <w:rPr>
                <w:rFonts w:ascii="Calibri" w:hAnsi="Calibri" w:cs="Calibri"/>
                <w:sz w:val="24"/>
                <w:szCs w:val="24"/>
              </w:rPr>
              <w:t>30.</w:t>
            </w:r>
          </w:p>
        </w:tc>
        <w:tc>
          <w:tcPr>
            <w:tcW w:w="7765" w:type="dxa"/>
          </w:tcPr>
          <w:p w14:paraId="3D226CD5" w14:textId="77777777" w:rsidR="006C1334" w:rsidRPr="00045717" w:rsidRDefault="006C1334" w:rsidP="00804391">
            <w:pPr>
              <w:spacing w:before="240"/>
              <w:rPr>
                <w:rFonts w:ascii="Calibri" w:hAnsi="Calibri" w:cs="Calibri"/>
                <w:sz w:val="24"/>
                <w:szCs w:val="24"/>
              </w:rPr>
            </w:pPr>
            <w:bookmarkStart w:id="15" w:name="_Hlk86925041"/>
            <w:proofErr w:type="spellStart"/>
            <w:r w:rsidRPr="00045717">
              <w:rPr>
                <w:rFonts w:ascii="Calibri" w:hAnsi="Calibri" w:cs="Calibri"/>
                <w:sz w:val="24"/>
                <w:szCs w:val="24"/>
              </w:rPr>
              <w:t>Romagnoli</w:t>
            </w:r>
            <w:bookmarkEnd w:id="15"/>
            <w:proofErr w:type="spellEnd"/>
            <w:r w:rsidRPr="00045717">
              <w:rPr>
                <w:rFonts w:ascii="Calibri" w:hAnsi="Calibri" w:cs="Calibri"/>
                <w:sz w:val="24"/>
                <w:szCs w:val="24"/>
              </w:rPr>
              <w:t xml:space="preserve"> E, Cipriani C, </w:t>
            </w:r>
            <w:proofErr w:type="spellStart"/>
            <w:r w:rsidRPr="00045717">
              <w:rPr>
                <w:rFonts w:ascii="Calibri" w:hAnsi="Calibri" w:cs="Calibri"/>
                <w:sz w:val="24"/>
                <w:szCs w:val="24"/>
              </w:rPr>
              <w:t>Nofroni</w:t>
            </w:r>
            <w:proofErr w:type="spellEnd"/>
            <w:r w:rsidRPr="00045717">
              <w:rPr>
                <w:rFonts w:ascii="Calibri" w:hAnsi="Calibri" w:cs="Calibri"/>
                <w:sz w:val="24"/>
                <w:szCs w:val="24"/>
              </w:rPr>
              <w:t xml:space="preserve"> I, Castro C, </w:t>
            </w:r>
            <w:proofErr w:type="spellStart"/>
            <w:r w:rsidRPr="00045717">
              <w:rPr>
                <w:rFonts w:ascii="Calibri" w:hAnsi="Calibri" w:cs="Calibri"/>
                <w:sz w:val="24"/>
                <w:szCs w:val="24"/>
              </w:rPr>
              <w:t>Angelozzi</w:t>
            </w:r>
            <w:proofErr w:type="spellEnd"/>
            <w:r w:rsidRPr="00045717">
              <w:rPr>
                <w:rFonts w:ascii="Calibri" w:hAnsi="Calibri" w:cs="Calibri"/>
                <w:sz w:val="24"/>
                <w:szCs w:val="24"/>
              </w:rPr>
              <w:t xml:space="preserve"> M, </w:t>
            </w:r>
            <w:proofErr w:type="spellStart"/>
            <w:r w:rsidRPr="00045717">
              <w:rPr>
                <w:rFonts w:ascii="Calibri" w:hAnsi="Calibri" w:cs="Calibri"/>
                <w:sz w:val="24"/>
                <w:szCs w:val="24"/>
              </w:rPr>
              <w:t>Scarpiello</w:t>
            </w:r>
            <w:proofErr w:type="spellEnd"/>
            <w:r w:rsidRPr="00045717">
              <w:rPr>
                <w:rFonts w:ascii="Calibri" w:hAnsi="Calibri" w:cs="Calibri"/>
                <w:sz w:val="24"/>
                <w:szCs w:val="24"/>
              </w:rPr>
              <w:t xml:space="preserve"> A, Pepe J, </w:t>
            </w:r>
            <w:proofErr w:type="spellStart"/>
            <w:r w:rsidRPr="00045717">
              <w:rPr>
                <w:rFonts w:ascii="Calibri" w:hAnsi="Calibri" w:cs="Calibri"/>
                <w:sz w:val="24"/>
                <w:szCs w:val="24"/>
              </w:rPr>
              <w:t>Diacinti</w:t>
            </w:r>
            <w:proofErr w:type="spellEnd"/>
            <w:r w:rsidRPr="00045717">
              <w:rPr>
                <w:rFonts w:ascii="Calibri" w:hAnsi="Calibri" w:cs="Calibri"/>
                <w:sz w:val="24"/>
                <w:szCs w:val="24"/>
              </w:rPr>
              <w:t xml:space="preserve"> D, Piemonte S, Carnevale V, </w:t>
            </w:r>
            <w:proofErr w:type="spellStart"/>
            <w:r w:rsidRPr="00045717">
              <w:rPr>
                <w:rFonts w:ascii="Calibri" w:hAnsi="Calibri" w:cs="Calibri"/>
                <w:sz w:val="24"/>
                <w:szCs w:val="24"/>
              </w:rPr>
              <w:t>Minisola</w:t>
            </w:r>
            <w:proofErr w:type="spellEnd"/>
            <w:r w:rsidRPr="00045717">
              <w:rPr>
                <w:rFonts w:ascii="Calibri" w:hAnsi="Calibri" w:cs="Calibri"/>
                <w:sz w:val="24"/>
                <w:szCs w:val="24"/>
              </w:rPr>
              <w:t xml:space="preserve"> S (2013) “Trabecular Bone Score” (TBS): an indirect measure of bone micro-architecture in postmenopausal patients with primary hyperparathyroidism. Bone 53: 154–159.</w:t>
            </w:r>
          </w:p>
        </w:tc>
      </w:tr>
      <w:tr w:rsidR="006C1334" w:rsidRPr="00AF231D" w14:paraId="2C682253" w14:textId="77777777" w:rsidTr="008766BA">
        <w:tc>
          <w:tcPr>
            <w:tcW w:w="581" w:type="dxa"/>
          </w:tcPr>
          <w:p w14:paraId="5205C3D1" w14:textId="0ACD11F1" w:rsidR="006C1334" w:rsidRDefault="006C1334" w:rsidP="00804391">
            <w:pPr>
              <w:spacing w:before="240"/>
              <w:jc w:val="right"/>
              <w:rPr>
                <w:rFonts w:ascii="Calibri" w:hAnsi="Calibri" w:cs="Calibri"/>
                <w:sz w:val="24"/>
                <w:szCs w:val="24"/>
              </w:rPr>
            </w:pPr>
            <w:r>
              <w:rPr>
                <w:rFonts w:ascii="Calibri" w:hAnsi="Calibri" w:cs="Calibri"/>
                <w:sz w:val="24"/>
                <w:szCs w:val="24"/>
              </w:rPr>
              <w:t>31.</w:t>
            </w:r>
          </w:p>
        </w:tc>
        <w:tc>
          <w:tcPr>
            <w:tcW w:w="7765" w:type="dxa"/>
          </w:tcPr>
          <w:p w14:paraId="2BB07AEA" w14:textId="31FA747F" w:rsidR="006C1334" w:rsidRPr="00045717" w:rsidRDefault="006C1334" w:rsidP="00804391">
            <w:pPr>
              <w:spacing w:before="240"/>
              <w:rPr>
                <w:rFonts w:ascii="Calibri" w:hAnsi="Calibri" w:cs="Calibri"/>
                <w:sz w:val="24"/>
                <w:szCs w:val="24"/>
              </w:rPr>
            </w:pPr>
            <w:r w:rsidRPr="006C1334">
              <w:rPr>
                <w:rFonts w:ascii="Calibri" w:hAnsi="Calibri" w:cs="Calibri"/>
                <w:sz w:val="24"/>
                <w:szCs w:val="24"/>
              </w:rPr>
              <w:t xml:space="preserve">Pretorius M, </w:t>
            </w:r>
            <w:proofErr w:type="spellStart"/>
            <w:r w:rsidRPr="006C1334">
              <w:rPr>
                <w:rFonts w:ascii="Calibri" w:hAnsi="Calibri" w:cs="Calibri"/>
                <w:sz w:val="24"/>
                <w:szCs w:val="24"/>
              </w:rPr>
              <w:t>Lundstam</w:t>
            </w:r>
            <w:proofErr w:type="spellEnd"/>
            <w:r w:rsidRPr="006C1334">
              <w:rPr>
                <w:rFonts w:ascii="Calibri" w:hAnsi="Calibri" w:cs="Calibri"/>
                <w:sz w:val="24"/>
                <w:szCs w:val="24"/>
              </w:rPr>
              <w:t xml:space="preserve"> K, Heck A, </w:t>
            </w:r>
            <w:proofErr w:type="spellStart"/>
            <w:r w:rsidRPr="006C1334">
              <w:rPr>
                <w:rFonts w:ascii="Calibri" w:hAnsi="Calibri" w:cs="Calibri"/>
                <w:sz w:val="24"/>
                <w:szCs w:val="24"/>
              </w:rPr>
              <w:t>Fagerland</w:t>
            </w:r>
            <w:proofErr w:type="spellEnd"/>
            <w:r w:rsidRPr="006C1334">
              <w:rPr>
                <w:rFonts w:ascii="Calibri" w:hAnsi="Calibri" w:cs="Calibri"/>
                <w:sz w:val="24"/>
                <w:szCs w:val="24"/>
              </w:rPr>
              <w:t xml:space="preserve"> MW, </w:t>
            </w:r>
            <w:proofErr w:type="spellStart"/>
            <w:r w:rsidRPr="006C1334">
              <w:rPr>
                <w:rFonts w:ascii="Calibri" w:hAnsi="Calibri" w:cs="Calibri"/>
                <w:sz w:val="24"/>
                <w:szCs w:val="24"/>
              </w:rPr>
              <w:t>Godang</w:t>
            </w:r>
            <w:proofErr w:type="spellEnd"/>
            <w:r w:rsidRPr="006C1334">
              <w:rPr>
                <w:rFonts w:ascii="Calibri" w:hAnsi="Calibri" w:cs="Calibri"/>
                <w:sz w:val="24"/>
                <w:szCs w:val="24"/>
              </w:rPr>
              <w:t xml:space="preserve"> K, </w:t>
            </w:r>
            <w:proofErr w:type="spellStart"/>
            <w:r w:rsidRPr="006C1334">
              <w:rPr>
                <w:rFonts w:ascii="Calibri" w:hAnsi="Calibri" w:cs="Calibri"/>
                <w:sz w:val="24"/>
                <w:szCs w:val="24"/>
              </w:rPr>
              <w:t>Mollerup</w:t>
            </w:r>
            <w:proofErr w:type="spellEnd"/>
            <w:r w:rsidRPr="006C1334">
              <w:rPr>
                <w:rFonts w:ascii="Calibri" w:hAnsi="Calibri" w:cs="Calibri"/>
                <w:sz w:val="24"/>
                <w:szCs w:val="24"/>
              </w:rPr>
              <w:t xml:space="preserve"> C, </w:t>
            </w:r>
            <w:proofErr w:type="spellStart"/>
            <w:r w:rsidRPr="006C1334">
              <w:rPr>
                <w:rFonts w:ascii="Calibri" w:hAnsi="Calibri" w:cs="Calibri"/>
                <w:sz w:val="24"/>
                <w:szCs w:val="24"/>
              </w:rPr>
              <w:t>Fougner</w:t>
            </w:r>
            <w:proofErr w:type="spellEnd"/>
            <w:r w:rsidRPr="006C1334">
              <w:rPr>
                <w:rFonts w:ascii="Calibri" w:hAnsi="Calibri" w:cs="Calibri"/>
                <w:sz w:val="24"/>
                <w:szCs w:val="24"/>
              </w:rPr>
              <w:t xml:space="preserve"> SL, </w:t>
            </w:r>
            <w:proofErr w:type="spellStart"/>
            <w:r w:rsidRPr="006C1334">
              <w:rPr>
                <w:rFonts w:ascii="Calibri" w:hAnsi="Calibri" w:cs="Calibri"/>
                <w:sz w:val="24"/>
                <w:szCs w:val="24"/>
              </w:rPr>
              <w:t>Pernow</w:t>
            </w:r>
            <w:proofErr w:type="spellEnd"/>
            <w:r w:rsidRPr="006C1334">
              <w:rPr>
                <w:rFonts w:ascii="Calibri" w:hAnsi="Calibri" w:cs="Calibri"/>
                <w:sz w:val="24"/>
                <w:szCs w:val="24"/>
              </w:rPr>
              <w:t xml:space="preserve"> Y, </w:t>
            </w:r>
            <w:proofErr w:type="spellStart"/>
            <w:r w:rsidRPr="006C1334">
              <w:rPr>
                <w:rFonts w:ascii="Calibri" w:hAnsi="Calibri" w:cs="Calibri"/>
                <w:sz w:val="24"/>
                <w:szCs w:val="24"/>
              </w:rPr>
              <w:t>Aas</w:t>
            </w:r>
            <w:proofErr w:type="spellEnd"/>
            <w:r w:rsidRPr="006C1334">
              <w:rPr>
                <w:rFonts w:ascii="Calibri" w:hAnsi="Calibri" w:cs="Calibri"/>
                <w:sz w:val="24"/>
                <w:szCs w:val="24"/>
              </w:rPr>
              <w:t xml:space="preserve"> T, </w:t>
            </w:r>
            <w:proofErr w:type="spellStart"/>
            <w:r w:rsidRPr="006C1334">
              <w:rPr>
                <w:rFonts w:ascii="Calibri" w:hAnsi="Calibri" w:cs="Calibri"/>
                <w:sz w:val="24"/>
                <w:szCs w:val="24"/>
              </w:rPr>
              <w:t>Hessman</w:t>
            </w:r>
            <w:proofErr w:type="spellEnd"/>
            <w:r w:rsidRPr="006C1334">
              <w:rPr>
                <w:rFonts w:ascii="Calibri" w:hAnsi="Calibri" w:cs="Calibri"/>
                <w:sz w:val="24"/>
                <w:szCs w:val="24"/>
              </w:rPr>
              <w:t xml:space="preserve"> O, </w:t>
            </w:r>
            <w:proofErr w:type="spellStart"/>
            <w:r w:rsidRPr="006C1334">
              <w:rPr>
                <w:rFonts w:ascii="Calibri" w:hAnsi="Calibri" w:cs="Calibri"/>
                <w:sz w:val="24"/>
                <w:szCs w:val="24"/>
              </w:rPr>
              <w:t>Rosén</w:t>
            </w:r>
            <w:proofErr w:type="spellEnd"/>
            <w:r w:rsidRPr="006C1334">
              <w:rPr>
                <w:rFonts w:ascii="Calibri" w:hAnsi="Calibri" w:cs="Calibri"/>
                <w:sz w:val="24"/>
                <w:szCs w:val="24"/>
              </w:rPr>
              <w:t xml:space="preserve"> T, </w:t>
            </w:r>
            <w:proofErr w:type="spellStart"/>
            <w:r w:rsidRPr="006C1334">
              <w:rPr>
                <w:rFonts w:ascii="Calibri" w:hAnsi="Calibri" w:cs="Calibri"/>
                <w:sz w:val="24"/>
                <w:szCs w:val="24"/>
              </w:rPr>
              <w:t>Nordenström</w:t>
            </w:r>
            <w:proofErr w:type="spellEnd"/>
            <w:r w:rsidRPr="006C1334">
              <w:rPr>
                <w:rFonts w:ascii="Calibri" w:hAnsi="Calibri" w:cs="Calibri"/>
                <w:sz w:val="24"/>
                <w:szCs w:val="24"/>
              </w:rPr>
              <w:t xml:space="preserve"> J, Jansson S, </w:t>
            </w:r>
            <w:proofErr w:type="spellStart"/>
            <w:r w:rsidRPr="006C1334">
              <w:rPr>
                <w:rFonts w:ascii="Calibri" w:hAnsi="Calibri" w:cs="Calibri"/>
                <w:sz w:val="24"/>
                <w:szCs w:val="24"/>
              </w:rPr>
              <w:t>Hellström</w:t>
            </w:r>
            <w:proofErr w:type="spellEnd"/>
            <w:r w:rsidRPr="006C1334">
              <w:rPr>
                <w:rFonts w:ascii="Calibri" w:hAnsi="Calibri" w:cs="Calibri"/>
                <w:sz w:val="24"/>
                <w:szCs w:val="24"/>
              </w:rPr>
              <w:t xml:space="preserve"> M, </w:t>
            </w:r>
            <w:proofErr w:type="spellStart"/>
            <w:r w:rsidRPr="006C1334">
              <w:rPr>
                <w:rFonts w:ascii="Calibri" w:hAnsi="Calibri" w:cs="Calibri"/>
                <w:sz w:val="24"/>
                <w:szCs w:val="24"/>
              </w:rPr>
              <w:t>Bollerslev</w:t>
            </w:r>
            <w:proofErr w:type="spellEnd"/>
            <w:r w:rsidRPr="006C1334">
              <w:rPr>
                <w:rFonts w:ascii="Calibri" w:hAnsi="Calibri" w:cs="Calibri"/>
                <w:sz w:val="24"/>
                <w:szCs w:val="24"/>
              </w:rPr>
              <w:t xml:space="preserve"> J (2020) Mortality and morbidity in mild primary hyperparathyroidism: Results from a 10-year prospective randomized controlled trial of parathyroidectomy versus observation. Ann Intern Med 175(6): 812-819.</w:t>
            </w:r>
          </w:p>
        </w:tc>
      </w:tr>
    </w:tbl>
    <w:p w14:paraId="5B58609D" w14:textId="77777777" w:rsidR="00D90396" w:rsidRDefault="00D90396"/>
    <w:p w14:paraId="6FE714DB" w14:textId="009A9839" w:rsidR="00801388" w:rsidRDefault="00801388">
      <w:pPr>
        <w:rPr>
          <w:b/>
          <w:bCs/>
        </w:rPr>
      </w:pPr>
      <w:r>
        <w:rPr>
          <w:b/>
          <w:bCs/>
        </w:rPr>
        <w:br w:type="page"/>
      </w:r>
    </w:p>
    <w:p w14:paraId="7A2F0CF3" w14:textId="77777777" w:rsidR="003575F8" w:rsidRDefault="003575F8">
      <w:pPr>
        <w:rPr>
          <w:b/>
          <w:bCs/>
        </w:rPr>
        <w:sectPr w:rsidR="003575F8" w:rsidSect="005A03C9">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pPr>
    </w:p>
    <w:p w14:paraId="45CE6F84" w14:textId="77777777" w:rsidR="00F3696F" w:rsidRDefault="00F3696F">
      <w:pPr>
        <w:rPr>
          <w:b/>
          <w:bCs/>
        </w:rPr>
      </w:pPr>
    </w:p>
    <w:p w14:paraId="66313D5E" w14:textId="77777777" w:rsidR="00637FCD" w:rsidRDefault="00637FCD" w:rsidP="00637FCD">
      <w:r w:rsidRPr="003632AA">
        <w:rPr>
          <w:b/>
          <w:bCs/>
        </w:rPr>
        <w:t>Table 1</w:t>
      </w:r>
      <w:r>
        <w:t xml:space="preserve">.  Baseline data of cases and population controls.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0"/>
        <w:gridCol w:w="1134"/>
        <w:gridCol w:w="1418"/>
        <w:gridCol w:w="1417"/>
        <w:gridCol w:w="851"/>
        <w:gridCol w:w="1559"/>
        <w:gridCol w:w="1418"/>
        <w:gridCol w:w="1134"/>
      </w:tblGrid>
      <w:tr w:rsidR="00637FCD" w:rsidRPr="003776F9" w14:paraId="19CEF92D" w14:textId="77777777" w:rsidTr="002D57E0">
        <w:tc>
          <w:tcPr>
            <w:tcW w:w="3400" w:type="dxa"/>
            <w:tcBorders>
              <w:top w:val="single" w:sz="4" w:space="0" w:color="auto"/>
              <w:bottom w:val="single" w:sz="4" w:space="0" w:color="auto"/>
            </w:tcBorders>
          </w:tcPr>
          <w:p w14:paraId="0A0C28A7" w14:textId="77777777" w:rsidR="00637FCD" w:rsidRPr="003776F9" w:rsidRDefault="00637FCD" w:rsidP="002D57E0">
            <w:pPr>
              <w:pBdr>
                <w:top w:val="single" w:sz="4" w:space="1" w:color="auto"/>
              </w:pBdr>
              <w:rPr>
                <w:rFonts w:ascii="Calibri" w:hAnsi="Calibri" w:cs="Calibri"/>
                <w:sz w:val="20"/>
                <w:szCs w:val="20"/>
              </w:rPr>
            </w:pPr>
          </w:p>
        </w:tc>
        <w:tc>
          <w:tcPr>
            <w:tcW w:w="1134" w:type="dxa"/>
            <w:tcBorders>
              <w:top w:val="single" w:sz="4" w:space="0" w:color="auto"/>
              <w:bottom w:val="single" w:sz="4" w:space="0" w:color="auto"/>
            </w:tcBorders>
          </w:tcPr>
          <w:p w14:paraId="0F80388E" w14:textId="77777777" w:rsidR="00637FCD" w:rsidRPr="003776F9" w:rsidRDefault="00637FCD" w:rsidP="002D57E0">
            <w:pPr>
              <w:pBdr>
                <w:top w:val="single" w:sz="4" w:space="1" w:color="auto"/>
              </w:pBdr>
              <w:rPr>
                <w:rFonts w:ascii="Calibri" w:hAnsi="Calibri" w:cs="Calibri"/>
                <w:sz w:val="20"/>
                <w:szCs w:val="20"/>
              </w:rPr>
            </w:pPr>
          </w:p>
        </w:tc>
        <w:tc>
          <w:tcPr>
            <w:tcW w:w="1418" w:type="dxa"/>
            <w:tcBorders>
              <w:top w:val="single" w:sz="4" w:space="0" w:color="auto"/>
              <w:bottom w:val="single" w:sz="4" w:space="0" w:color="auto"/>
            </w:tcBorders>
          </w:tcPr>
          <w:p w14:paraId="450667AB" w14:textId="77777777" w:rsidR="00637FCD" w:rsidRPr="003776F9" w:rsidRDefault="00637FCD" w:rsidP="002D57E0">
            <w:pPr>
              <w:pBdr>
                <w:top w:val="single" w:sz="4" w:space="1" w:color="auto"/>
              </w:pBdr>
              <w:rPr>
                <w:rFonts w:ascii="Calibri" w:hAnsi="Calibri" w:cs="Calibri"/>
                <w:sz w:val="20"/>
                <w:szCs w:val="20"/>
              </w:rPr>
            </w:pPr>
            <w:r>
              <w:rPr>
                <w:rFonts w:ascii="Calibri" w:hAnsi="Calibri" w:cs="Calibri"/>
                <w:sz w:val="20"/>
                <w:szCs w:val="20"/>
              </w:rPr>
              <w:t>All c</w:t>
            </w:r>
            <w:r w:rsidRPr="003776F9">
              <w:rPr>
                <w:rFonts w:ascii="Calibri" w:hAnsi="Calibri" w:cs="Calibri"/>
                <w:sz w:val="20"/>
                <w:szCs w:val="20"/>
              </w:rPr>
              <w:t>ases</w:t>
            </w:r>
          </w:p>
        </w:tc>
        <w:tc>
          <w:tcPr>
            <w:tcW w:w="1417" w:type="dxa"/>
            <w:tcBorders>
              <w:top w:val="single" w:sz="4" w:space="0" w:color="auto"/>
              <w:bottom w:val="single" w:sz="4" w:space="0" w:color="auto"/>
            </w:tcBorders>
          </w:tcPr>
          <w:p w14:paraId="21C3DAEC" w14:textId="77777777" w:rsidR="00637FCD" w:rsidRPr="003776F9" w:rsidRDefault="00637FCD" w:rsidP="002D57E0">
            <w:pPr>
              <w:pBdr>
                <w:top w:val="single" w:sz="4" w:space="1" w:color="auto"/>
              </w:pBdr>
              <w:rPr>
                <w:rFonts w:ascii="Calibri" w:hAnsi="Calibri" w:cs="Calibri"/>
                <w:sz w:val="20"/>
                <w:szCs w:val="20"/>
              </w:rPr>
            </w:pPr>
            <w:r w:rsidRPr="003776F9">
              <w:rPr>
                <w:rFonts w:ascii="Calibri" w:hAnsi="Calibri" w:cs="Calibri"/>
                <w:sz w:val="20"/>
                <w:szCs w:val="20"/>
              </w:rPr>
              <w:t>Population controls</w:t>
            </w:r>
          </w:p>
        </w:tc>
        <w:tc>
          <w:tcPr>
            <w:tcW w:w="851" w:type="dxa"/>
            <w:tcBorders>
              <w:top w:val="single" w:sz="4" w:space="0" w:color="auto"/>
              <w:bottom w:val="single" w:sz="4" w:space="0" w:color="auto"/>
            </w:tcBorders>
          </w:tcPr>
          <w:p w14:paraId="71B2545E" w14:textId="77777777" w:rsidR="00637FCD" w:rsidRPr="003776F9" w:rsidRDefault="00637FCD" w:rsidP="002D57E0">
            <w:pPr>
              <w:pBdr>
                <w:top w:val="single" w:sz="4" w:space="1" w:color="auto"/>
              </w:pBdr>
              <w:rPr>
                <w:rFonts w:ascii="Calibri" w:hAnsi="Calibri" w:cs="Calibri"/>
                <w:sz w:val="20"/>
                <w:szCs w:val="20"/>
              </w:rPr>
            </w:pPr>
            <w:r w:rsidRPr="003776F9">
              <w:rPr>
                <w:rFonts w:ascii="Calibri" w:hAnsi="Calibri" w:cs="Calibri"/>
                <w:sz w:val="20"/>
                <w:szCs w:val="20"/>
              </w:rPr>
              <w:t>P</w:t>
            </w:r>
            <w:r w:rsidRPr="00321FA3">
              <w:rPr>
                <w:rFonts w:ascii="Calibri" w:hAnsi="Calibri" w:cs="Calibri"/>
                <w:sz w:val="20"/>
                <w:szCs w:val="20"/>
                <w:vertAlign w:val="superscript"/>
              </w:rPr>
              <w:t>1</w:t>
            </w:r>
          </w:p>
        </w:tc>
        <w:tc>
          <w:tcPr>
            <w:tcW w:w="1559" w:type="dxa"/>
            <w:tcBorders>
              <w:top w:val="single" w:sz="4" w:space="0" w:color="auto"/>
              <w:bottom w:val="single" w:sz="4" w:space="0" w:color="auto"/>
            </w:tcBorders>
          </w:tcPr>
          <w:p w14:paraId="615B82AC" w14:textId="77777777" w:rsidR="00637FCD" w:rsidRPr="003776F9" w:rsidRDefault="00637FCD" w:rsidP="002D57E0">
            <w:pPr>
              <w:pBdr>
                <w:top w:val="single" w:sz="4" w:space="1" w:color="auto"/>
              </w:pBdr>
              <w:rPr>
                <w:rFonts w:ascii="Calibri" w:hAnsi="Calibri" w:cs="Calibri"/>
                <w:sz w:val="20"/>
                <w:szCs w:val="20"/>
              </w:rPr>
            </w:pPr>
            <w:r>
              <w:rPr>
                <w:rFonts w:ascii="Calibri" w:hAnsi="Calibri" w:cs="Calibri"/>
                <w:sz w:val="20"/>
                <w:szCs w:val="20"/>
              </w:rPr>
              <w:t>Conservative management</w:t>
            </w:r>
          </w:p>
        </w:tc>
        <w:tc>
          <w:tcPr>
            <w:tcW w:w="1418" w:type="dxa"/>
            <w:tcBorders>
              <w:top w:val="single" w:sz="4" w:space="0" w:color="auto"/>
              <w:bottom w:val="single" w:sz="4" w:space="0" w:color="auto"/>
            </w:tcBorders>
          </w:tcPr>
          <w:p w14:paraId="0EB0E950" w14:textId="77777777" w:rsidR="00637FCD" w:rsidRPr="003776F9" w:rsidRDefault="00637FCD" w:rsidP="002D57E0">
            <w:pPr>
              <w:pBdr>
                <w:top w:val="single" w:sz="4" w:space="1" w:color="auto"/>
              </w:pBdr>
              <w:rPr>
                <w:rFonts w:ascii="Calibri" w:hAnsi="Calibri" w:cs="Calibri"/>
                <w:sz w:val="20"/>
                <w:szCs w:val="20"/>
              </w:rPr>
            </w:pPr>
            <w:r>
              <w:rPr>
                <w:rFonts w:ascii="Calibri" w:hAnsi="Calibri" w:cs="Calibri"/>
                <w:sz w:val="20"/>
                <w:szCs w:val="20"/>
              </w:rPr>
              <w:t>PTX</w:t>
            </w:r>
          </w:p>
        </w:tc>
        <w:tc>
          <w:tcPr>
            <w:tcW w:w="1134" w:type="dxa"/>
            <w:tcBorders>
              <w:top w:val="single" w:sz="4" w:space="0" w:color="auto"/>
              <w:bottom w:val="single" w:sz="4" w:space="0" w:color="auto"/>
            </w:tcBorders>
          </w:tcPr>
          <w:p w14:paraId="33F359F6" w14:textId="77777777" w:rsidR="00637FCD" w:rsidRPr="003776F9" w:rsidRDefault="00637FCD" w:rsidP="002D57E0">
            <w:pPr>
              <w:pBdr>
                <w:top w:val="single" w:sz="4" w:space="1" w:color="auto"/>
              </w:pBdr>
              <w:rPr>
                <w:rFonts w:ascii="Calibri" w:hAnsi="Calibri" w:cs="Calibri"/>
                <w:sz w:val="20"/>
                <w:szCs w:val="20"/>
              </w:rPr>
            </w:pPr>
            <w:r>
              <w:rPr>
                <w:rFonts w:ascii="Calibri" w:hAnsi="Calibri" w:cs="Calibri"/>
                <w:sz w:val="20"/>
                <w:szCs w:val="20"/>
              </w:rPr>
              <w:t>P</w:t>
            </w:r>
            <w:r w:rsidRPr="00321FA3">
              <w:rPr>
                <w:rFonts w:ascii="Calibri" w:hAnsi="Calibri" w:cs="Calibri"/>
                <w:sz w:val="20"/>
                <w:szCs w:val="20"/>
                <w:vertAlign w:val="superscript"/>
              </w:rPr>
              <w:t>2</w:t>
            </w:r>
          </w:p>
        </w:tc>
      </w:tr>
      <w:tr w:rsidR="00637FCD" w:rsidRPr="003776F9" w14:paraId="1E68E1E1" w14:textId="77777777" w:rsidTr="002D57E0">
        <w:tc>
          <w:tcPr>
            <w:tcW w:w="3400" w:type="dxa"/>
            <w:tcBorders>
              <w:top w:val="single" w:sz="4" w:space="0" w:color="auto"/>
            </w:tcBorders>
          </w:tcPr>
          <w:p w14:paraId="3439FFC7" w14:textId="77777777" w:rsidR="00637FCD" w:rsidRPr="003776F9" w:rsidRDefault="00637FCD" w:rsidP="002D57E0">
            <w:pPr>
              <w:rPr>
                <w:rFonts w:ascii="Calibri" w:hAnsi="Calibri" w:cs="Calibri"/>
                <w:sz w:val="20"/>
                <w:szCs w:val="20"/>
              </w:rPr>
            </w:pPr>
            <w:r w:rsidRPr="003776F9">
              <w:rPr>
                <w:rFonts w:ascii="Calibri" w:hAnsi="Calibri" w:cs="Calibri"/>
                <w:sz w:val="20"/>
                <w:szCs w:val="20"/>
              </w:rPr>
              <w:t>n</w:t>
            </w:r>
          </w:p>
        </w:tc>
        <w:tc>
          <w:tcPr>
            <w:tcW w:w="1134" w:type="dxa"/>
            <w:tcBorders>
              <w:top w:val="single" w:sz="4" w:space="0" w:color="auto"/>
            </w:tcBorders>
          </w:tcPr>
          <w:p w14:paraId="30163343" w14:textId="77777777" w:rsidR="00637FCD" w:rsidRPr="003776F9" w:rsidRDefault="00637FCD" w:rsidP="002D57E0">
            <w:pPr>
              <w:rPr>
                <w:rFonts w:ascii="Calibri" w:hAnsi="Calibri" w:cs="Calibri"/>
                <w:sz w:val="20"/>
                <w:szCs w:val="20"/>
              </w:rPr>
            </w:pPr>
          </w:p>
        </w:tc>
        <w:tc>
          <w:tcPr>
            <w:tcW w:w="1418" w:type="dxa"/>
            <w:tcBorders>
              <w:top w:val="single" w:sz="4" w:space="0" w:color="auto"/>
            </w:tcBorders>
          </w:tcPr>
          <w:p w14:paraId="5EB94D22" w14:textId="77777777" w:rsidR="00637FCD" w:rsidRPr="003776F9" w:rsidRDefault="00637FCD" w:rsidP="002D57E0">
            <w:pPr>
              <w:rPr>
                <w:rFonts w:ascii="Calibri" w:hAnsi="Calibri" w:cs="Calibri"/>
                <w:sz w:val="20"/>
                <w:szCs w:val="20"/>
              </w:rPr>
            </w:pPr>
            <w:r w:rsidRPr="003776F9">
              <w:rPr>
                <w:rFonts w:ascii="Calibri" w:hAnsi="Calibri" w:cs="Calibri"/>
                <w:sz w:val="20"/>
                <w:szCs w:val="20"/>
              </w:rPr>
              <w:t>6884</w:t>
            </w:r>
          </w:p>
        </w:tc>
        <w:tc>
          <w:tcPr>
            <w:tcW w:w="1417" w:type="dxa"/>
            <w:tcBorders>
              <w:top w:val="single" w:sz="4" w:space="0" w:color="auto"/>
            </w:tcBorders>
          </w:tcPr>
          <w:p w14:paraId="05D0E93F" w14:textId="77777777" w:rsidR="00637FCD" w:rsidRPr="003776F9" w:rsidRDefault="00637FCD" w:rsidP="002D57E0">
            <w:pPr>
              <w:rPr>
                <w:rFonts w:ascii="Calibri" w:hAnsi="Calibri" w:cs="Calibri"/>
                <w:sz w:val="20"/>
                <w:szCs w:val="20"/>
              </w:rPr>
            </w:pPr>
            <w:r w:rsidRPr="003776F9">
              <w:rPr>
                <w:rFonts w:ascii="Calibri" w:hAnsi="Calibri" w:cs="Calibri"/>
                <w:sz w:val="20"/>
                <w:szCs w:val="20"/>
              </w:rPr>
              <w:t>68665</w:t>
            </w:r>
          </w:p>
        </w:tc>
        <w:tc>
          <w:tcPr>
            <w:tcW w:w="851" w:type="dxa"/>
            <w:tcBorders>
              <w:top w:val="single" w:sz="4" w:space="0" w:color="auto"/>
            </w:tcBorders>
          </w:tcPr>
          <w:p w14:paraId="3A90CBD6" w14:textId="77777777" w:rsidR="00637FCD" w:rsidRPr="003776F9" w:rsidRDefault="00637FCD" w:rsidP="002D57E0">
            <w:pPr>
              <w:rPr>
                <w:rFonts w:ascii="Calibri" w:hAnsi="Calibri" w:cs="Calibri"/>
                <w:sz w:val="20"/>
                <w:szCs w:val="20"/>
              </w:rPr>
            </w:pPr>
          </w:p>
        </w:tc>
        <w:tc>
          <w:tcPr>
            <w:tcW w:w="1559" w:type="dxa"/>
            <w:tcBorders>
              <w:top w:val="single" w:sz="4" w:space="0" w:color="auto"/>
            </w:tcBorders>
          </w:tcPr>
          <w:p w14:paraId="5FE8A230" w14:textId="77777777" w:rsidR="00637FCD" w:rsidRPr="003776F9" w:rsidRDefault="00637FCD" w:rsidP="002D57E0">
            <w:pPr>
              <w:rPr>
                <w:rFonts w:ascii="Calibri" w:hAnsi="Calibri" w:cs="Calibri"/>
                <w:sz w:val="20"/>
                <w:szCs w:val="20"/>
              </w:rPr>
            </w:pPr>
            <w:r w:rsidRPr="000E3D06">
              <w:rPr>
                <w:rFonts w:ascii="Calibri" w:eastAsia="Calibri" w:hAnsi="Calibri" w:cs="Calibri"/>
              </w:rPr>
              <w:t>2698</w:t>
            </w:r>
          </w:p>
        </w:tc>
        <w:tc>
          <w:tcPr>
            <w:tcW w:w="1418" w:type="dxa"/>
            <w:tcBorders>
              <w:top w:val="single" w:sz="4" w:space="0" w:color="auto"/>
            </w:tcBorders>
          </w:tcPr>
          <w:p w14:paraId="7AA2F648" w14:textId="77777777" w:rsidR="00637FCD" w:rsidRPr="003776F9" w:rsidRDefault="00637FCD" w:rsidP="002D57E0">
            <w:pPr>
              <w:rPr>
                <w:rFonts w:ascii="Calibri" w:hAnsi="Calibri" w:cs="Calibri"/>
                <w:sz w:val="20"/>
                <w:szCs w:val="20"/>
              </w:rPr>
            </w:pPr>
            <w:r w:rsidRPr="000E3D06">
              <w:rPr>
                <w:rFonts w:ascii="Calibri" w:eastAsia="Calibri" w:hAnsi="Calibri" w:cs="Calibri"/>
              </w:rPr>
              <w:t>4186</w:t>
            </w:r>
          </w:p>
        </w:tc>
        <w:tc>
          <w:tcPr>
            <w:tcW w:w="1134" w:type="dxa"/>
            <w:tcBorders>
              <w:top w:val="single" w:sz="4" w:space="0" w:color="auto"/>
            </w:tcBorders>
          </w:tcPr>
          <w:p w14:paraId="58CF291B" w14:textId="77777777" w:rsidR="00637FCD" w:rsidRPr="003776F9" w:rsidRDefault="00637FCD" w:rsidP="002D57E0">
            <w:pPr>
              <w:rPr>
                <w:rFonts w:ascii="Calibri" w:hAnsi="Calibri" w:cs="Calibri"/>
                <w:sz w:val="20"/>
                <w:szCs w:val="20"/>
              </w:rPr>
            </w:pPr>
          </w:p>
        </w:tc>
      </w:tr>
      <w:tr w:rsidR="00637FCD" w:rsidRPr="003776F9" w14:paraId="5367732F" w14:textId="77777777" w:rsidTr="002D57E0">
        <w:tc>
          <w:tcPr>
            <w:tcW w:w="3400" w:type="dxa"/>
          </w:tcPr>
          <w:p w14:paraId="38AE2BE3" w14:textId="77777777" w:rsidR="00637FCD" w:rsidRPr="003776F9" w:rsidRDefault="00637FCD" w:rsidP="002D57E0">
            <w:pPr>
              <w:rPr>
                <w:rFonts w:ascii="Calibri" w:hAnsi="Calibri" w:cs="Calibri"/>
                <w:sz w:val="20"/>
                <w:szCs w:val="20"/>
              </w:rPr>
            </w:pPr>
            <w:r w:rsidRPr="003776F9">
              <w:rPr>
                <w:rFonts w:ascii="Calibri" w:hAnsi="Calibri" w:cs="Calibri"/>
                <w:sz w:val="20"/>
                <w:szCs w:val="20"/>
              </w:rPr>
              <w:t>Female (%)</w:t>
            </w:r>
          </w:p>
        </w:tc>
        <w:tc>
          <w:tcPr>
            <w:tcW w:w="1134" w:type="dxa"/>
          </w:tcPr>
          <w:p w14:paraId="0CD67152" w14:textId="77777777" w:rsidR="00637FCD" w:rsidRPr="003776F9" w:rsidRDefault="00637FCD" w:rsidP="002D57E0">
            <w:pPr>
              <w:rPr>
                <w:rFonts w:ascii="Calibri" w:hAnsi="Calibri" w:cs="Calibri"/>
                <w:sz w:val="20"/>
                <w:szCs w:val="20"/>
              </w:rPr>
            </w:pPr>
            <w:r w:rsidRPr="003776F9">
              <w:rPr>
                <w:rFonts w:ascii="Calibri" w:hAnsi="Calibri" w:cs="Calibri"/>
                <w:sz w:val="20"/>
                <w:szCs w:val="20"/>
              </w:rPr>
              <w:t>n (%)</w:t>
            </w:r>
          </w:p>
        </w:tc>
        <w:tc>
          <w:tcPr>
            <w:tcW w:w="1418" w:type="dxa"/>
          </w:tcPr>
          <w:p w14:paraId="19C5FFB4" w14:textId="77777777" w:rsidR="00637FCD" w:rsidRPr="003776F9" w:rsidRDefault="00637FCD" w:rsidP="002D57E0">
            <w:pPr>
              <w:rPr>
                <w:rFonts w:ascii="Calibri" w:hAnsi="Calibri" w:cs="Calibri"/>
                <w:sz w:val="20"/>
                <w:szCs w:val="20"/>
              </w:rPr>
            </w:pPr>
            <w:r w:rsidRPr="003776F9">
              <w:rPr>
                <w:rFonts w:ascii="Calibri" w:hAnsi="Calibri" w:cs="Calibri"/>
                <w:sz w:val="20"/>
                <w:szCs w:val="20"/>
              </w:rPr>
              <w:t>79</w:t>
            </w:r>
          </w:p>
        </w:tc>
        <w:tc>
          <w:tcPr>
            <w:tcW w:w="1417" w:type="dxa"/>
          </w:tcPr>
          <w:p w14:paraId="5BEF569C" w14:textId="77777777" w:rsidR="00637FCD" w:rsidRPr="003776F9" w:rsidRDefault="00637FCD" w:rsidP="002D57E0">
            <w:pPr>
              <w:rPr>
                <w:rFonts w:ascii="Calibri" w:hAnsi="Calibri" w:cs="Calibri"/>
                <w:sz w:val="20"/>
                <w:szCs w:val="20"/>
              </w:rPr>
            </w:pPr>
            <w:r w:rsidRPr="003776F9">
              <w:rPr>
                <w:rFonts w:ascii="Calibri" w:hAnsi="Calibri" w:cs="Calibri"/>
                <w:sz w:val="20"/>
                <w:szCs w:val="20"/>
              </w:rPr>
              <w:t>79</w:t>
            </w:r>
          </w:p>
        </w:tc>
        <w:tc>
          <w:tcPr>
            <w:tcW w:w="851" w:type="dxa"/>
          </w:tcPr>
          <w:p w14:paraId="07DA7DAF" w14:textId="77777777" w:rsidR="00637FCD" w:rsidRPr="003776F9" w:rsidRDefault="00637FCD" w:rsidP="002D57E0">
            <w:pPr>
              <w:rPr>
                <w:rFonts w:ascii="Calibri" w:hAnsi="Calibri" w:cs="Calibri"/>
                <w:sz w:val="20"/>
                <w:szCs w:val="20"/>
              </w:rPr>
            </w:pPr>
            <w:r>
              <w:rPr>
                <w:rFonts w:ascii="Calibri" w:hAnsi="Calibri" w:cs="Calibri"/>
                <w:sz w:val="20"/>
                <w:szCs w:val="20"/>
              </w:rPr>
              <w:t>&gt;0.30</w:t>
            </w:r>
          </w:p>
        </w:tc>
        <w:tc>
          <w:tcPr>
            <w:tcW w:w="1559" w:type="dxa"/>
          </w:tcPr>
          <w:p w14:paraId="64146256" w14:textId="77777777" w:rsidR="00637FCD" w:rsidRDefault="00637FCD" w:rsidP="002D57E0">
            <w:pPr>
              <w:rPr>
                <w:rFonts w:ascii="Calibri" w:hAnsi="Calibri" w:cs="Calibri"/>
                <w:sz w:val="20"/>
                <w:szCs w:val="20"/>
              </w:rPr>
            </w:pPr>
            <w:r w:rsidRPr="000E3D06">
              <w:rPr>
                <w:rFonts w:ascii="Calibri" w:eastAsia="Calibri" w:hAnsi="Calibri" w:cs="Calibri"/>
              </w:rPr>
              <w:t>81</w:t>
            </w:r>
          </w:p>
        </w:tc>
        <w:tc>
          <w:tcPr>
            <w:tcW w:w="1418" w:type="dxa"/>
          </w:tcPr>
          <w:p w14:paraId="7D0D6D2F" w14:textId="77777777" w:rsidR="00637FCD" w:rsidRDefault="00637FCD" w:rsidP="002D57E0">
            <w:pPr>
              <w:rPr>
                <w:rFonts w:ascii="Calibri" w:hAnsi="Calibri" w:cs="Calibri"/>
                <w:sz w:val="20"/>
                <w:szCs w:val="20"/>
              </w:rPr>
            </w:pPr>
            <w:r w:rsidRPr="000E3D06">
              <w:rPr>
                <w:rFonts w:ascii="Calibri" w:eastAsia="Calibri" w:hAnsi="Calibri" w:cs="Calibri"/>
              </w:rPr>
              <w:t>78</w:t>
            </w:r>
          </w:p>
        </w:tc>
        <w:tc>
          <w:tcPr>
            <w:tcW w:w="1134" w:type="dxa"/>
          </w:tcPr>
          <w:p w14:paraId="07228C27" w14:textId="77777777" w:rsidR="00637FCD" w:rsidRDefault="00637FCD" w:rsidP="002D57E0">
            <w:pPr>
              <w:rPr>
                <w:rFonts w:ascii="Calibri" w:hAnsi="Calibri" w:cs="Calibri"/>
                <w:sz w:val="20"/>
                <w:szCs w:val="20"/>
              </w:rPr>
            </w:pPr>
            <w:r w:rsidRPr="000E3D06">
              <w:rPr>
                <w:rFonts w:ascii="Calibri" w:eastAsia="Calibri" w:hAnsi="Calibri" w:cs="Calibri"/>
              </w:rPr>
              <w:t>0.0031</w:t>
            </w:r>
          </w:p>
        </w:tc>
      </w:tr>
      <w:tr w:rsidR="00637FCD" w:rsidRPr="003776F9" w14:paraId="4C35E975" w14:textId="77777777" w:rsidTr="002D57E0">
        <w:tc>
          <w:tcPr>
            <w:tcW w:w="3400" w:type="dxa"/>
          </w:tcPr>
          <w:p w14:paraId="42BAA2B2" w14:textId="77777777" w:rsidR="00637FCD" w:rsidRPr="003776F9" w:rsidRDefault="00637FCD" w:rsidP="002D57E0">
            <w:pPr>
              <w:rPr>
                <w:rFonts w:ascii="Calibri" w:hAnsi="Calibri" w:cs="Calibri"/>
                <w:sz w:val="20"/>
                <w:szCs w:val="20"/>
              </w:rPr>
            </w:pPr>
            <w:r w:rsidRPr="003776F9">
              <w:rPr>
                <w:rFonts w:ascii="Calibri" w:hAnsi="Calibri" w:cs="Calibri"/>
                <w:sz w:val="20"/>
                <w:szCs w:val="20"/>
              </w:rPr>
              <w:t>Age at index date (years)</w:t>
            </w:r>
          </w:p>
        </w:tc>
        <w:tc>
          <w:tcPr>
            <w:tcW w:w="1134" w:type="dxa"/>
          </w:tcPr>
          <w:p w14:paraId="0D007197" w14:textId="77777777" w:rsidR="00637FCD" w:rsidRPr="003776F9" w:rsidRDefault="00637FCD" w:rsidP="002D57E0">
            <w:pPr>
              <w:rPr>
                <w:rFonts w:ascii="Calibri" w:hAnsi="Calibri" w:cs="Calibri"/>
                <w:sz w:val="20"/>
                <w:szCs w:val="20"/>
              </w:rPr>
            </w:pPr>
            <w:r w:rsidRPr="003776F9">
              <w:rPr>
                <w:rFonts w:ascii="Calibri" w:hAnsi="Calibri" w:cs="Calibri"/>
                <w:sz w:val="20"/>
                <w:szCs w:val="20"/>
              </w:rPr>
              <w:t>Mean (SD)</w:t>
            </w:r>
          </w:p>
        </w:tc>
        <w:tc>
          <w:tcPr>
            <w:tcW w:w="1418" w:type="dxa"/>
          </w:tcPr>
          <w:p w14:paraId="6512690C" w14:textId="77777777" w:rsidR="00637FCD" w:rsidRPr="003776F9" w:rsidRDefault="00637FCD" w:rsidP="002D57E0">
            <w:pPr>
              <w:rPr>
                <w:rFonts w:ascii="Calibri" w:hAnsi="Calibri" w:cs="Calibri"/>
                <w:sz w:val="20"/>
                <w:szCs w:val="20"/>
              </w:rPr>
            </w:pPr>
            <w:r>
              <w:rPr>
                <w:rFonts w:ascii="Calibri" w:hAnsi="Calibri" w:cs="Calibri"/>
                <w:sz w:val="20"/>
                <w:szCs w:val="20"/>
              </w:rPr>
              <w:t>65.2 (14.0)</w:t>
            </w:r>
          </w:p>
        </w:tc>
        <w:tc>
          <w:tcPr>
            <w:tcW w:w="1417" w:type="dxa"/>
          </w:tcPr>
          <w:p w14:paraId="0E54DE3C" w14:textId="77777777" w:rsidR="00637FCD" w:rsidRPr="003776F9" w:rsidRDefault="00637FCD" w:rsidP="002D57E0">
            <w:pPr>
              <w:rPr>
                <w:rFonts w:ascii="Calibri" w:hAnsi="Calibri" w:cs="Calibri"/>
                <w:sz w:val="20"/>
                <w:szCs w:val="20"/>
              </w:rPr>
            </w:pPr>
            <w:r>
              <w:rPr>
                <w:rFonts w:ascii="Calibri" w:hAnsi="Calibri" w:cs="Calibri"/>
                <w:sz w:val="20"/>
                <w:szCs w:val="20"/>
              </w:rPr>
              <w:t>65.2 (14.0)</w:t>
            </w:r>
          </w:p>
        </w:tc>
        <w:tc>
          <w:tcPr>
            <w:tcW w:w="851" w:type="dxa"/>
          </w:tcPr>
          <w:p w14:paraId="68DE5459" w14:textId="77777777" w:rsidR="00637FCD" w:rsidRPr="003776F9" w:rsidRDefault="00637FCD" w:rsidP="002D57E0">
            <w:pPr>
              <w:rPr>
                <w:rFonts w:ascii="Calibri" w:hAnsi="Calibri" w:cs="Calibri"/>
                <w:sz w:val="20"/>
                <w:szCs w:val="20"/>
              </w:rPr>
            </w:pPr>
            <w:r>
              <w:rPr>
                <w:rFonts w:ascii="Calibri" w:hAnsi="Calibri" w:cs="Calibri"/>
                <w:sz w:val="20"/>
                <w:szCs w:val="20"/>
              </w:rPr>
              <w:t>&gt;0.30</w:t>
            </w:r>
          </w:p>
        </w:tc>
        <w:tc>
          <w:tcPr>
            <w:tcW w:w="1559" w:type="dxa"/>
          </w:tcPr>
          <w:p w14:paraId="3456CF25" w14:textId="77777777" w:rsidR="00637FCD" w:rsidRDefault="00637FCD" w:rsidP="002D57E0">
            <w:pPr>
              <w:rPr>
                <w:rFonts w:ascii="Calibri" w:hAnsi="Calibri" w:cs="Calibri"/>
                <w:sz w:val="20"/>
                <w:szCs w:val="20"/>
              </w:rPr>
            </w:pPr>
            <w:r w:rsidRPr="000E3D06">
              <w:rPr>
                <w:rFonts w:ascii="Calibri" w:eastAsia="Calibri" w:hAnsi="Calibri" w:cs="Calibri"/>
              </w:rPr>
              <w:t>72.3 (12.6)</w:t>
            </w:r>
          </w:p>
        </w:tc>
        <w:tc>
          <w:tcPr>
            <w:tcW w:w="1418" w:type="dxa"/>
          </w:tcPr>
          <w:p w14:paraId="01559F1A" w14:textId="77777777" w:rsidR="00637FCD" w:rsidRDefault="00637FCD" w:rsidP="002D57E0">
            <w:pPr>
              <w:rPr>
                <w:rFonts w:ascii="Calibri" w:hAnsi="Calibri" w:cs="Calibri"/>
                <w:sz w:val="20"/>
                <w:szCs w:val="20"/>
              </w:rPr>
            </w:pPr>
            <w:r w:rsidRPr="000E3D06">
              <w:rPr>
                <w:rFonts w:ascii="Calibri" w:eastAsia="Calibri" w:hAnsi="Calibri" w:cs="Calibri"/>
              </w:rPr>
              <w:t>60.6 (12.9)</w:t>
            </w:r>
          </w:p>
        </w:tc>
        <w:tc>
          <w:tcPr>
            <w:tcW w:w="1134" w:type="dxa"/>
          </w:tcPr>
          <w:p w14:paraId="4CC5680F" w14:textId="77777777" w:rsidR="00637FCD" w:rsidRDefault="00637FCD" w:rsidP="002D57E0">
            <w:pPr>
              <w:rPr>
                <w:rFonts w:ascii="Calibri" w:hAnsi="Calibri" w:cs="Calibri"/>
                <w:sz w:val="20"/>
                <w:szCs w:val="20"/>
              </w:rPr>
            </w:pPr>
            <w:r w:rsidRPr="000E3D06">
              <w:rPr>
                <w:rFonts w:ascii="Calibri" w:eastAsia="Calibri" w:hAnsi="Calibri" w:cs="Calibri"/>
              </w:rPr>
              <w:t>&lt;0.001</w:t>
            </w:r>
          </w:p>
        </w:tc>
      </w:tr>
      <w:tr w:rsidR="00637FCD" w:rsidRPr="003776F9" w14:paraId="66C73282" w14:textId="77777777" w:rsidTr="002D57E0">
        <w:tc>
          <w:tcPr>
            <w:tcW w:w="3400" w:type="dxa"/>
          </w:tcPr>
          <w:p w14:paraId="4B4A02EC" w14:textId="77777777" w:rsidR="00637FCD" w:rsidRPr="003776F9" w:rsidRDefault="00637FCD" w:rsidP="002D57E0">
            <w:pPr>
              <w:rPr>
                <w:rFonts w:ascii="Calibri" w:hAnsi="Calibri" w:cs="Calibri"/>
                <w:sz w:val="20"/>
                <w:szCs w:val="20"/>
              </w:rPr>
            </w:pPr>
            <w:r w:rsidRPr="003776F9">
              <w:rPr>
                <w:rFonts w:ascii="Calibri" w:hAnsi="Calibri" w:cs="Calibri"/>
                <w:sz w:val="20"/>
                <w:szCs w:val="20"/>
              </w:rPr>
              <w:t xml:space="preserve">Prior fracture </w:t>
            </w:r>
          </w:p>
        </w:tc>
        <w:tc>
          <w:tcPr>
            <w:tcW w:w="1134" w:type="dxa"/>
          </w:tcPr>
          <w:p w14:paraId="715EF445" w14:textId="77777777" w:rsidR="00637FCD" w:rsidRPr="003776F9" w:rsidRDefault="00637FCD" w:rsidP="002D57E0">
            <w:pPr>
              <w:rPr>
                <w:rFonts w:ascii="Calibri" w:hAnsi="Calibri" w:cs="Calibri"/>
                <w:sz w:val="20"/>
                <w:szCs w:val="20"/>
              </w:rPr>
            </w:pPr>
            <w:r w:rsidRPr="003776F9">
              <w:rPr>
                <w:rFonts w:ascii="Calibri" w:hAnsi="Calibri" w:cs="Calibri"/>
                <w:sz w:val="20"/>
                <w:szCs w:val="20"/>
              </w:rPr>
              <w:t>n (%)</w:t>
            </w:r>
          </w:p>
        </w:tc>
        <w:tc>
          <w:tcPr>
            <w:tcW w:w="1418" w:type="dxa"/>
          </w:tcPr>
          <w:p w14:paraId="62CDE16B" w14:textId="77777777" w:rsidR="00637FCD" w:rsidRPr="003776F9" w:rsidRDefault="00637FCD" w:rsidP="002D57E0">
            <w:pPr>
              <w:rPr>
                <w:rFonts w:ascii="Calibri" w:hAnsi="Calibri" w:cs="Calibri"/>
                <w:sz w:val="20"/>
                <w:szCs w:val="20"/>
              </w:rPr>
            </w:pPr>
            <w:r>
              <w:rPr>
                <w:rFonts w:ascii="Calibri" w:hAnsi="Calibri" w:cs="Calibri"/>
                <w:sz w:val="20"/>
                <w:szCs w:val="20"/>
              </w:rPr>
              <w:t>784 (11.4)</w:t>
            </w:r>
          </w:p>
        </w:tc>
        <w:tc>
          <w:tcPr>
            <w:tcW w:w="1417" w:type="dxa"/>
          </w:tcPr>
          <w:p w14:paraId="0F4DA482" w14:textId="77777777" w:rsidR="00637FCD" w:rsidRPr="003776F9" w:rsidRDefault="00637FCD" w:rsidP="002D57E0">
            <w:pPr>
              <w:rPr>
                <w:rFonts w:ascii="Calibri" w:hAnsi="Calibri" w:cs="Calibri"/>
                <w:sz w:val="20"/>
                <w:szCs w:val="20"/>
              </w:rPr>
            </w:pPr>
            <w:r>
              <w:rPr>
                <w:rFonts w:ascii="Calibri" w:hAnsi="Calibri" w:cs="Calibri"/>
                <w:sz w:val="20"/>
                <w:szCs w:val="20"/>
              </w:rPr>
              <w:t>5676 (8.3)</w:t>
            </w:r>
          </w:p>
        </w:tc>
        <w:tc>
          <w:tcPr>
            <w:tcW w:w="851" w:type="dxa"/>
          </w:tcPr>
          <w:p w14:paraId="30ACD283" w14:textId="77777777" w:rsidR="00637FCD" w:rsidRPr="003776F9" w:rsidRDefault="00637FCD" w:rsidP="002D57E0">
            <w:pPr>
              <w:rPr>
                <w:rFonts w:ascii="Calibri" w:hAnsi="Calibri" w:cs="Calibri"/>
                <w:sz w:val="20"/>
                <w:szCs w:val="20"/>
              </w:rPr>
            </w:pPr>
            <w:r w:rsidRPr="003776F9">
              <w:rPr>
                <w:rFonts w:ascii="Calibri" w:hAnsi="Calibri" w:cs="Calibri"/>
                <w:sz w:val="20"/>
                <w:szCs w:val="20"/>
              </w:rPr>
              <w:t>&lt;0.001</w:t>
            </w:r>
          </w:p>
        </w:tc>
        <w:tc>
          <w:tcPr>
            <w:tcW w:w="1559" w:type="dxa"/>
          </w:tcPr>
          <w:p w14:paraId="7114C9C6" w14:textId="77777777" w:rsidR="00637FCD" w:rsidRPr="003776F9" w:rsidRDefault="00637FCD" w:rsidP="002D57E0">
            <w:pPr>
              <w:rPr>
                <w:rFonts w:ascii="Calibri" w:hAnsi="Calibri" w:cs="Calibri"/>
                <w:sz w:val="20"/>
                <w:szCs w:val="20"/>
              </w:rPr>
            </w:pPr>
            <w:r w:rsidRPr="000E3D06">
              <w:rPr>
                <w:rFonts w:ascii="Calibri" w:eastAsia="Calibri" w:hAnsi="Calibri" w:cs="Calibri"/>
              </w:rPr>
              <w:t>393 (14.6)</w:t>
            </w:r>
          </w:p>
        </w:tc>
        <w:tc>
          <w:tcPr>
            <w:tcW w:w="1418" w:type="dxa"/>
          </w:tcPr>
          <w:p w14:paraId="458D9722" w14:textId="77777777" w:rsidR="00637FCD" w:rsidRPr="003776F9" w:rsidRDefault="00637FCD" w:rsidP="002D57E0">
            <w:pPr>
              <w:rPr>
                <w:rFonts w:ascii="Calibri" w:hAnsi="Calibri" w:cs="Calibri"/>
                <w:sz w:val="20"/>
                <w:szCs w:val="20"/>
              </w:rPr>
            </w:pPr>
            <w:r w:rsidRPr="000E3D06">
              <w:rPr>
                <w:rFonts w:ascii="Calibri" w:eastAsia="Calibri" w:hAnsi="Calibri" w:cs="Calibri"/>
              </w:rPr>
              <w:t>391 (9.3)</w:t>
            </w:r>
          </w:p>
        </w:tc>
        <w:tc>
          <w:tcPr>
            <w:tcW w:w="1134" w:type="dxa"/>
          </w:tcPr>
          <w:p w14:paraId="63EBC3E6" w14:textId="77777777" w:rsidR="00637FCD" w:rsidRPr="003776F9" w:rsidRDefault="00637FCD" w:rsidP="002D57E0">
            <w:pPr>
              <w:rPr>
                <w:rFonts w:ascii="Calibri" w:hAnsi="Calibri" w:cs="Calibri"/>
                <w:sz w:val="20"/>
                <w:szCs w:val="20"/>
              </w:rPr>
            </w:pPr>
            <w:r w:rsidRPr="000E3D06">
              <w:rPr>
                <w:rFonts w:ascii="Calibri" w:eastAsia="Calibri" w:hAnsi="Calibri" w:cs="Calibri"/>
              </w:rPr>
              <w:t>&lt;0.001</w:t>
            </w:r>
          </w:p>
        </w:tc>
      </w:tr>
      <w:tr w:rsidR="00637FCD" w:rsidRPr="003776F9" w14:paraId="5DFB1673" w14:textId="77777777" w:rsidTr="002D57E0">
        <w:tc>
          <w:tcPr>
            <w:tcW w:w="3400" w:type="dxa"/>
          </w:tcPr>
          <w:p w14:paraId="02E98AE9" w14:textId="77777777" w:rsidR="00637FCD" w:rsidRPr="003776F9" w:rsidRDefault="00637FCD" w:rsidP="002D57E0">
            <w:pPr>
              <w:rPr>
                <w:rFonts w:ascii="Calibri" w:hAnsi="Calibri" w:cs="Calibri"/>
                <w:sz w:val="20"/>
                <w:szCs w:val="20"/>
              </w:rPr>
            </w:pPr>
            <w:r w:rsidRPr="003776F9">
              <w:rPr>
                <w:rFonts w:ascii="Calibri" w:hAnsi="Calibri" w:cs="Calibri"/>
                <w:sz w:val="20"/>
                <w:szCs w:val="20"/>
              </w:rPr>
              <w:t>Diagnosis of osteoporosis</w:t>
            </w:r>
          </w:p>
        </w:tc>
        <w:tc>
          <w:tcPr>
            <w:tcW w:w="1134" w:type="dxa"/>
          </w:tcPr>
          <w:p w14:paraId="5482AC6A" w14:textId="77777777" w:rsidR="00637FCD" w:rsidRPr="003776F9" w:rsidRDefault="00637FCD" w:rsidP="002D57E0">
            <w:pPr>
              <w:rPr>
                <w:rFonts w:ascii="Calibri" w:hAnsi="Calibri" w:cs="Calibri"/>
                <w:sz w:val="20"/>
                <w:szCs w:val="20"/>
              </w:rPr>
            </w:pPr>
            <w:r w:rsidRPr="003776F9">
              <w:rPr>
                <w:rFonts w:ascii="Calibri" w:hAnsi="Calibri" w:cs="Calibri"/>
                <w:sz w:val="20"/>
                <w:szCs w:val="20"/>
              </w:rPr>
              <w:t>n (%)</w:t>
            </w:r>
          </w:p>
        </w:tc>
        <w:tc>
          <w:tcPr>
            <w:tcW w:w="1418" w:type="dxa"/>
          </w:tcPr>
          <w:p w14:paraId="341D38F3" w14:textId="77777777" w:rsidR="00637FCD" w:rsidRPr="003776F9" w:rsidRDefault="00637FCD" w:rsidP="002D57E0">
            <w:pPr>
              <w:rPr>
                <w:rFonts w:ascii="Calibri" w:hAnsi="Calibri" w:cs="Calibri"/>
                <w:sz w:val="20"/>
                <w:szCs w:val="20"/>
              </w:rPr>
            </w:pPr>
            <w:r>
              <w:rPr>
                <w:rFonts w:ascii="Calibri" w:hAnsi="Calibri" w:cs="Calibri"/>
                <w:sz w:val="20"/>
                <w:szCs w:val="20"/>
              </w:rPr>
              <w:t>876 (12.7)</w:t>
            </w:r>
          </w:p>
        </w:tc>
        <w:tc>
          <w:tcPr>
            <w:tcW w:w="1417" w:type="dxa"/>
          </w:tcPr>
          <w:p w14:paraId="601E95F8" w14:textId="77777777" w:rsidR="00637FCD" w:rsidRPr="003776F9" w:rsidRDefault="00637FCD" w:rsidP="002D57E0">
            <w:pPr>
              <w:rPr>
                <w:rFonts w:ascii="Calibri" w:hAnsi="Calibri" w:cs="Calibri"/>
                <w:sz w:val="20"/>
                <w:szCs w:val="20"/>
              </w:rPr>
            </w:pPr>
            <w:r>
              <w:rPr>
                <w:rFonts w:ascii="Calibri" w:hAnsi="Calibri" w:cs="Calibri"/>
                <w:sz w:val="20"/>
                <w:szCs w:val="20"/>
              </w:rPr>
              <w:t>2018 (2.9)</w:t>
            </w:r>
          </w:p>
        </w:tc>
        <w:tc>
          <w:tcPr>
            <w:tcW w:w="851" w:type="dxa"/>
          </w:tcPr>
          <w:p w14:paraId="106C472E" w14:textId="77777777" w:rsidR="00637FCD" w:rsidRPr="003776F9" w:rsidRDefault="00637FCD" w:rsidP="002D57E0">
            <w:pPr>
              <w:rPr>
                <w:rFonts w:ascii="Calibri" w:hAnsi="Calibri" w:cs="Calibri"/>
                <w:sz w:val="20"/>
                <w:szCs w:val="20"/>
              </w:rPr>
            </w:pPr>
            <w:r w:rsidRPr="003776F9">
              <w:rPr>
                <w:rFonts w:ascii="Calibri" w:hAnsi="Calibri" w:cs="Calibri"/>
                <w:sz w:val="20"/>
                <w:szCs w:val="20"/>
              </w:rPr>
              <w:t>&lt;0.001</w:t>
            </w:r>
          </w:p>
        </w:tc>
        <w:tc>
          <w:tcPr>
            <w:tcW w:w="1559" w:type="dxa"/>
          </w:tcPr>
          <w:p w14:paraId="24F35B65" w14:textId="77777777" w:rsidR="00637FCD" w:rsidRPr="003776F9" w:rsidRDefault="00637FCD" w:rsidP="002D57E0">
            <w:pPr>
              <w:rPr>
                <w:rFonts w:ascii="Calibri" w:hAnsi="Calibri" w:cs="Calibri"/>
                <w:sz w:val="20"/>
                <w:szCs w:val="20"/>
              </w:rPr>
            </w:pPr>
            <w:r w:rsidRPr="000E3D06">
              <w:rPr>
                <w:rFonts w:ascii="Calibri" w:eastAsia="Calibri" w:hAnsi="Calibri" w:cs="Calibri"/>
              </w:rPr>
              <w:t>430 (16.0)</w:t>
            </w:r>
          </w:p>
        </w:tc>
        <w:tc>
          <w:tcPr>
            <w:tcW w:w="1418" w:type="dxa"/>
          </w:tcPr>
          <w:p w14:paraId="27060790" w14:textId="77777777" w:rsidR="00637FCD" w:rsidRPr="003776F9" w:rsidRDefault="00637FCD" w:rsidP="002D57E0">
            <w:pPr>
              <w:rPr>
                <w:rFonts w:ascii="Calibri" w:hAnsi="Calibri" w:cs="Calibri"/>
                <w:sz w:val="20"/>
                <w:szCs w:val="20"/>
              </w:rPr>
            </w:pPr>
            <w:r w:rsidRPr="000E3D06">
              <w:rPr>
                <w:rFonts w:ascii="Calibri" w:eastAsia="Calibri" w:hAnsi="Calibri" w:cs="Calibri"/>
              </w:rPr>
              <w:t>446 (10.7)</w:t>
            </w:r>
          </w:p>
        </w:tc>
        <w:tc>
          <w:tcPr>
            <w:tcW w:w="1134" w:type="dxa"/>
          </w:tcPr>
          <w:p w14:paraId="2D5CD8EF" w14:textId="77777777" w:rsidR="00637FCD" w:rsidRPr="003776F9" w:rsidRDefault="00637FCD" w:rsidP="002D57E0">
            <w:pPr>
              <w:rPr>
                <w:rFonts w:ascii="Calibri" w:hAnsi="Calibri" w:cs="Calibri"/>
                <w:sz w:val="20"/>
                <w:szCs w:val="20"/>
              </w:rPr>
            </w:pPr>
            <w:r w:rsidRPr="000E3D06">
              <w:rPr>
                <w:rFonts w:ascii="Calibri" w:eastAsia="Calibri" w:hAnsi="Calibri" w:cs="Calibri"/>
              </w:rPr>
              <w:t>&lt;0.001</w:t>
            </w:r>
          </w:p>
        </w:tc>
      </w:tr>
      <w:tr w:rsidR="00637FCD" w:rsidRPr="003776F9" w14:paraId="1495218B" w14:textId="77777777" w:rsidTr="002D57E0">
        <w:tc>
          <w:tcPr>
            <w:tcW w:w="3400" w:type="dxa"/>
          </w:tcPr>
          <w:p w14:paraId="04991A84" w14:textId="77777777" w:rsidR="00637FCD" w:rsidRPr="001608A5" w:rsidRDefault="00637FCD" w:rsidP="002D57E0">
            <w:pPr>
              <w:rPr>
                <w:rFonts w:ascii="Calibri" w:hAnsi="Calibri" w:cs="Calibri"/>
                <w:sz w:val="20"/>
                <w:szCs w:val="20"/>
              </w:rPr>
            </w:pPr>
            <w:r w:rsidRPr="001608A5">
              <w:rPr>
                <w:rFonts w:ascii="Calibri" w:hAnsi="Calibri" w:cs="Calibri"/>
                <w:sz w:val="20"/>
                <w:szCs w:val="20"/>
              </w:rPr>
              <w:t>Kidney stones</w:t>
            </w:r>
          </w:p>
        </w:tc>
        <w:tc>
          <w:tcPr>
            <w:tcW w:w="1134" w:type="dxa"/>
          </w:tcPr>
          <w:p w14:paraId="009ADA2D" w14:textId="77777777" w:rsidR="00637FCD" w:rsidRPr="001608A5" w:rsidRDefault="00637FCD" w:rsidP="002D57E0">
            <w:pPr>
              <w:rPr>
                <w:rFonts w:ascii="Calibri" w:hAnsi="Calibri" w:cs="Calibri"/>
                <w:sz w:val="20"/>
                <w:szCs w:val="20"/>
              </w:rPr>
            </w:pPr>
            <w:r w:rsidRPr="001608A5">
              <w:rPr>
                <w:rFonts w:ascii="Calibri" w:hAnsi="Calibri" w:cs="Calibri"/>
                <w:sz w:val="20"/>
                <w:szCs w:val="20"/>
              </w:rPr>
              <w:t>n (%)</w:t>
            </w:r>
          </w:p>
        </w:tc>
        <w:tc>
          <w:tcPr>
            <w:tcW w:w="1418" w:type="dxa"/>
          </w:tcPr>
          <w:p w14:paraId="4FB0A7DE" w14:textId="77777777" w:rsidR="00637FCD" w:rsidRPr="001608A5" w:rsidRDefault="00637FCD" w:rsidP="002D57E0">
            <w:pPr>
              <w:rPr>
                <w:rFonts w:ascii="Calibri" w:hAnsi="Calibri" w:cs="Calibri"/>
                <w:sz w:val="20"/>
                <w:szCs w:val="20"/>
              </w:rPr>
            </w:pPr>
            <w:r w:rsidRPr="001608A5">
              <w:rPr>
                <w:rFonts w:ascii="Calibri" w:hAnsi="Calibri" w:cs="Calibri"/>
                <w:sz w:val="20"/>
                <w:szCs w:val="20"/>
              </w:rPr>
              <w:t>446 (6.5)</w:t>
            </w:r>
          </w:p>
        </w:tc>
        <w:tc>
          <w:tcPr>
            <w:tcW w:w="1417" w:type="dxa"/>
          </w:tcPr>
          <w:p w14:paraId="4724E057" w14:textId="77777777" w:rsidR="00637FCD" w:rsidRPr="003776F9" w:rsidRDefault="00637FCD" w:rsidP="002D57E0">
            <w:pPr>
              <w:rPr>
                <w:rFonts w:ascii="Calibri" w:hAnsi="Calibri" w:cs="Calibri"/>
                <w:sz w:val="20"/>
                <w:szCs w:val="20"/>
              </w:rPr>
            </w:pPr>
            <w:r w:rsidRPr="001608A5">
              <w:rPr>
                <w:rFonts w:ascii="Calibri" w:hAnsi="Calibri" w:cs="Calibri"/>
                <w:sz w:val="20"/>
                <w:szCs w:val="20"/>
              </w:rPr>
              <w:t>285 (0.4)</w:t>
            </w:r>
          </w:p>
        </w:tc>
        <w:tc>
          <w:tcPr>
            <w:tcW w:w="851" w:type="dxa"/>
          </w:tcPr>
          <w:p w14:paraId="6CBF5619" w14:textId="77777777" w:rsidR="00637FCD" w:rsidRPr="003776F9" w:rsidRDefault="00637FCD" w:rsidP="002D57E0">
            <w:pPr>
              <w:rPr>
                <w:rFonts w:ascii="Calibri" w:hAnsi="Calibri" w:cs="Calibri"/>
                <w:sz w:val="20"/>
                <w:szCs w:val="20"/>
              </w:rPr>
            </w:pPr>
            <w:r>
              <w:rPr>
                <w:rFonts w:ascii="Calibri" w:hAnsi="Calibri" w:cs="Calibri"/>
                <w:sz w:val="20"/>
                <w:szCs w:val="20"/>
              </w:rPr>
              <w:t>&lt;0.001</w:t>
            </w:r>
          </w:p>
        </w:tc>
        <w:tc>
          <w:tcPr>
            <w:tcW w:w="1559" w:type="dxa"/>
          </w:tcPr>
          <w:p w14:paraId="0356FDE3" w14:textId="77777777" w:rsidR="00637FCD" w:rsidRDefault="00637FCD" w:rsidP="002D57E0">
            <w:pPr>
              <w:rPr>
                <w:rFonts w:ascii="Calibri" w:hAnsi="Calibri" w:cs="Calibri"/>
                <w:sz w:val="20"/>
                <w:szCs w:val="20"/>
              </w:rPr>
            </w:pPr>
            <w:r w:rsidRPr="000E3D06">
              <w:rPr>
                <w:rFonts w:ascii="Calibri" w:eastAsia="Calibri" w:hAnsi="Calibri" w:cs="Calibri"/>
              </w:rPr>
              <w:t>87 (3.2)</w:t>
            </w:r>
          </w:p>
        </w:tc>
        <w:tc>
          <w:tcPr>
            <w:tcW w:w="1418" w:type="dxa"/>
          </w:tcPr>
          <w:p w14:paraId="3B56AA3B" w14:textId="77777777" w:rsidR="00637FCD" w:rsidRDefault="00637FCD" w:rsidP="002D57E0">
            <w:pPr>
              <w:rPr>
                <w:rFonts w:ascii="Calibri" w:hAnsi="Calibri" w:cs="Calibri"/>
                <w:sz w:val="20"/>
                <w:szCs w:val="20"/>
              </w:rPr>
            </w:pPr>
            <w:r w:rsidRPr="000E3D06">
              <w:rPr>
                <w:rFonts w:ascii="Calibri" w:eastAsia="Calibri" w:hAnsi="Calibri" w:cs="Calibri"/>
              </w:rPr>
              <w:t>359 (8.6)</w:t>
            </w:r>
          </w:p>
        </w:tc>
        <w:tc>
          <w:tcPr>
            <w:tcW w:w="1134" w:type="dxa"/>
          </w:tcPr>
          <w:p w14:paraId="06CD7F31" w14:textId="77777777" w:rsidR="00637FCD" w:rsidRDefault="00637FCD" w:rsidP="002D57E0">
            <w:pPr>
              <w:rPr>
                <w:rFonts w:ascii="Calibri" w:hAnsi="Calibri" w:cs="Calibri"/>
                <w:sz w:val="20"/>
                <w:szCs w:val="20"/>
              </w:rPr>
            </w:pPr>
            <w:r w:rsidRPr="000E3D06">
              <w:rPr>
                <w:rFonts w:ascii="Calibri" w:eastAsia="Calibri" w:hAnsi="Calibri" w:cs="Calibri"/>
              </w:rPr>
              <w:t>&lt;0.001</w:t>
            </w:r>
          </w:p>
        </w:tc>
      </w:tr>
      <w:tr w:rsidR="00637FCD" w:rsidRPr="003776F9" w14:paraId="7E17B2ED" w14:textId="77777777" w:rsidTr="002D57E0">
        <w:tc>
          <w:tcPr>
            <w:tcW w:w="3400" w:type="dxa"/>
          </w:tcPr>
          <w:p w14:paraId="38348173" w14:textId="77777777" w:rsidR="00637FCD" w:rsidRPr="003776F9" w:rsidRDefault="00637FCD" w:rsidP="002D57E0">
            <w:pPr>
              <w:spacing w:line="276" w:lineRule="auto"/>
              <w:rPr>
                <w:rFonts w:ascii="Calibri" w:hAnsi="Calibri" w:cs="Calibri"/>
                <w:sz w:val="20"/>
                <w:szCs w:val="20"/>
              </w:rPr>
            </w:pPr>
            <w:r w:rsidRPr="003776F9">
              <w:rPr>
                <w:rFonts w:ascii="Calibri" w:hAnsi="Calibri" w:cs="Calibri"/>
                <w:sz w:val="20"/>
                <w:szCs w:val="20"/>
              </w:rPr>
              <w:t xml:space="preserve">Degree </w:t>
            </w:r>
            <w:r>
              <w:rPr>
                <w:rFonts w:ascii="Calibri" w:hAnsi="Calibri" w:cs="Calibri"/>
                <w:sz w:val="20"/>
                <w:szCs w:val="20"/>
              </w:rPr>
              <w:t>of h</w:t>
            </w:r>
            <w:r w:rsidRPr="003776F9">
              <w:rPr>
                <w:rFonts w:ascii="Calibri" w:hAnsi="Calibri" w:cs="Calibri"/>
                <w:sz w:val="20"/>
                <w:szCs w:val="20"/>
              </w:rPr>
              <w:t>yper</w:t>
            </w:r>
            <w:r>
              <w:rPr>
                <w:rFonts w:ascii="Calibri" w:hAnsi="Calibri" w:cs="Calibri"/>
                <w:sz w:val="20"/>
                <w:szCs w:val="20"/>
              </w:rPr>
              <w:t>calcaemia</w:t>
            </w:r>
          </w:p>
          <w:p w14:paraId="5156FC35" w14:textId="77777777" w:rsidR="00637FCD" w:rsidRPr="003776F9" w:rsidRDefault="00637FCD" w:rsidP="002D57E0">
            <w:pPr>
              <w:spacing w:line="276" w:lineRule="auto"/>
              <w:rPr>
                <w:rFonts w:ascii="Calibri" w:hAnsi="Calibri" w:cs="Calibri"/>
                <w:sz w:val="20"/>
                <w:szCs w:val="20"/>
              </w:rPr>
            </w:pPr>
            <w:r>
              <w:rPr>
                <w:rFonts w:ascii="Calibri" w:hAnsi="Calibri" w:cs="Calibri"/>
                <w:sz w:val="20"/>
                <w:szCs w:val="20"/>
              </w:rPr>
              <w:t xml:space="preserve">   </w:t>
            </w:r>
            <w:r w:rsidRPr="003776F9">
              <w:rPr>
                <w:rFonts w:ascii="Calibri" w:hAnsi="Calibri" w:cs="Calibri"/>
                <w:sz w:val="20"/>
                <w:szCs w:val="20"/>
              </w:rPr>
              <w:t>Mild</w:t>
            </w:r>
          </w:p>
          <w:p w14:paraId="11165885" w14:textId="77777777" w:rsidR="00637FCD" w:rsidRPr="003776F9" w:rsidRDefault="00637FCD" w:rsidP="002D57E0">
            <w:pPr>
              <w:spacing w:line="276" w:lineRule="auto"/>
              <w:rPr>
                <w:rFonts w:ascii="Calibri" w:hAnsi="Calibri" w:cs="Calibri"/>
                <w:sz w:val="20"/>
                <w:szCs w:val="20"/>
              </w:rPr>
            </w:pPr>
            <w:r>
              <w:rPr>
                <w:rFonts w:ascii="Calibri" w:hAnsi="Calibri" w:cs="Calibri"/>
                <w:sz w:val="20"/>
                <w:szCs w:val="20"/>
              </w:rPr>
              <w:t xml:space="preserve">   </w:t>
            </w:r>
            <w:r w:rsidRPr="003776F9">
              <w:rPr>
                <w:rFonts w:ascii="Calibri" w:hAnsi="Calibri" w:cs="Calibri"/>
                <w:sz w:val="20"/>
                <w:szCs w:val="20"/>
              </w:rPr>
              <w:t>Moderate</w:t>
            </w:r>
          </w:p>
          <w:p w14:paraId="214EA2F0" w14:textId="77777777" w:rsidR="00637FCD" w:rsidRPr="003776F9" w:rsidRDefault="00637FCD" w:rsidP="002D57E0">
            <w:pPr>
              <w:rPr>
                <w:rFonts w:ascii="Calibri" w:hAnsi="Calibri" w:cs="Calibri"/>
                <w:sz w:val="20"/>
                <w:szCs w:val="20"/>
              </w:rPr>
            </w:pPr>
            <w:r>
              <w:rPr>
                <w:rFonts w:ascii="Calibri" w:hAnsi="Calibri" w:cs="Calibri"/>
                <w:sz w:val="20"/>
                <w:szCs w:val="20"/>
              </w:rPr>
              <w:t xml:space="preserve">   </w:t>
            </w:r>
            <w:r w:rsidRPr="003776F9">
              <w:rPr>
                <w:rFonts w:ascii="Calibri" w:hAnsi="Calibri" w:cs="Calibri"/>
                <w:sz w:val="20"/>
                <w:szCs w:val="20"/>
              </w:rPr>
              <w:t>Severe</w:t>
            </w:r>
          </w:p>
        </w:tc>
        <w:tc>
          <w:tcPr>
            <w:tcW w:w="1134" w:type="dxa"/>
          </w:tcPr>
          <w:p w14:paraId="60CD82A3" w14:textId="77777777" w:rsidR="00637FCD" w:rsidRPr="003776F9" w:rsidRDefault="00637FCD" w:rsidP="002D57E0">
            <w:pPr>
              <w:rPr>
                <w:rFonts w:ascii="Calibri" w:hAnsi="Calibri" w:cs="Calibri"/>
                <w:sz w:val="20"/>
                <w:szCs w:val="20"/>
              </w:rPr>
            </w:pPr>
          </w:p>
          <w:p w14:paraId="4719A2EC" w14:textId="77777777" w:rsidR="00637FCD" w:rsidRDefault="00637FCD" w:rsidP="002D57E0">
            <w:pPr>
              <w:rPr>
                <w:rFonts w:ascii="Calibri" w:hAnsi="Calibri" w:cs="Calibri"/>
                <w:sz w:val="20"/>
                <w:szCs w:val="20"/>
              </w:rPr>
            </w:pPr>
            <w:r w:rsidRPr="003776F9">
              <w:rPr>
                <w:rFonts w:ascii="Calibri" w:hAnsi="Calibri" w:cs="Calibri"/>
                <w:sz w:val="20"/>
                <w:szCs w:val="20"/>
              </w:rPr>
              <w:t>n (%)</w:t>
            </w:r>
          </w:p>
          <w:p w14:paraId="3D8C0D4E" w14:textId="77777777" w:rsidR="00637FCD" w:rsidRDefault="00637FCD" w:rsidP="002D57E0">
            <w:pPr>
              <w:rPr>
                <w:rFonts w:ascii="Calibri" w:hAnsi="Calibri" w:cs="Calibri"/>
                <w:sz w:val="20"/>
                <w:szCs w:val="20"/>
              </w:rPr>
            </w:pPr>
            <w:r w:rsidRPr="003776F9">
              <w:rPr>
                <w:rFonts w:ascii="Calibri" w:hAnsi="Calibri" w:cs="Calibri"/>
                <w:sz w:val="20"/>
                <w:szCs w:val="20"/>
              </w:rPr>
              <w:t>n (%)</w:t>
            </w:r>
          </w:p>
          <w:p w14:paraId="40E72D72" w14:textId="77777777" w:rsidR="00637FCD" w:rsidRPr="003776F9" w:rsidRDefault="00637FCD" w:rsidP="002D57E0">
            <w:pPr>
              <w:rPr>
                <w:rFonts w:ascii="Calibri" w:hAnsi="Calibri" w:cs="Calibri"/>
                <w:sz w:val="20"/>
                <w:szCs w:val="20"/>
              </w:rPr>
            </w:pPr>
            <w:r w:rsidRPr="003776F9">
              <w:rPr>
                <w:rFonts w:ascii="Calibri" w:hAnsi="Calibri" w:cs="Calibri"/>
                <w:sz w:val="20"/>
                <w:szCs w:val="20"/>
              </w:rPr>
              <w:t>n (%)</w:t>
            </w:r>
          </w:p>
        </w:tc>
        <w:tc>
          <w:tcPr>
            <w:tcW w:w="1418" w:type="dxa"/>
          </w:tcPr>
          <w:p w14:paraId="7FC74C85" w14:textId="77777777" w:rsidR="00637FCD" w:rsidRDefault="00637FCD" w:rsidP="002D57E0">
            <w:pPr>
              <w:rPr>
                <w:rFonts w:ascii="Calibri" w:hAnsi="Calibri" w:cs="Calibri"/>
                <w:sz w:val="20"/>
                <w:szCs w:val="20"/>
              </w:rPr>
            </w:pPr>
          </w:p>
          <w:p w14:paraId="1BCF8FEB" w14:textId="77777777" w:rsidR="00637FCD" w:rsidRDefault="00637FCD" w:rsidP="002D57E0">
            <w:pPr>
              <w:rPr>
                <w:rFonts w:ascii="Calibri" w:hAnsi="Calibri" w:cs="Calibri"/>
                <w:sz w:val="20"/>
                <w:szCs w:val="20"/>
              </w:rPr>
            </w:pPr>
            <w:r>
              <w:rPr>
                <w:rFonts w:ascii="Calibri" w:hAnsi="Calibri" w:cs="Calibri"/>
                <w:sz w:val="20"/>
                <w:szCs w:val="20"/>
              </w:rPr>
              <w:t>4047 (58.8)</w:t>
            </w:r>
          </w:p>
          <w:p w14:paraId="04D0D8C1" w14:textId="77777777" w:rsidR="00637FCD" w:rsidRDefault="00637FCD" w:rsidP="002D57E0">
            <w:pPr>
              <w:rPr>
                <w:rFonts w:ascii="Calibri" w:hAnsi="Calibri" w:cs="Calibri"/>
                <w:sz w:val="20"/>
                <w:szCs w:val="20"/>
              </w:rPr>
            </w:pPr>
            <w:r>
              <w:rPr>
                <w:rFonts w:ascii="Calibri" w:hAnsi="Calibri" w:cs="Calibri"/>
                <w:sz w:val="20"/>
                <w:szCs w:val="20"/>
              </w:rPr>
              <w:t>2331 (33.9)</w:t>
            </w:r>
          </w:p>
          <w:p w14:paraId="5B18284C" w14:textId="77777777" w:rsidR="00637FCD" w:rsidRPr="003776F9" w:rsidRDefault="00637FCD" w:rsidP="002D57E0">
            <w:pPr>
              <w:rPr>
                <w:rFonts w:ascii="Calibri" w:hAnsi="Calibri" w:cs="Calibri"/>
                <w:sz w:val="20"/>
                <w:szCs w:val="20"/>
              </w:rPr>
            </w:pPr>
            <w:r>
              <w:rPr>
                <w:rFonts w:ascii="Calibri" w:hAnsi="Calibri" w:cs="Calibri"/>
                <w:sz w:val="20"/>
                <w:szCs w:val="20"/>
              </w:rPr>
              <w:t>506 (7.4)</w:t>
            </w:r>
          </w:p>
        </w:tc>
        <w:tc>
          <w:tcPr>
            <w:tcW w:w="1417" w:type="dxa"/>
          </w:tcPr>
          <w:p w14:paraId="48CED0B0" w14:textId="77777777" w:rsidR="00637FCD" w:rsidRPr="003776F9" w:rsidRDefault="00637FCD" w:rsidP="002D57E0">
            <w:pPr>
              <w:rPr>
                <w:rFonts w:ascii="Calibri" w:hAnsi="Calibri" w:cs="Calibri"/>
                <w:sz w:val="20"/>
                <w:szCs w:val="20"/>
              </w:rPr>
            </w:pPr>
          </w:p>
        </w:tc>
        <w:tc>
          <w:tcPr>
            <w:tcW w:w="851" w:type="dxa"/>
          </w:tcPr>
          <w:p w14:paraId="4128CB0D" w14:textId="77777777" w:rsidR="00637FCD" w:rsidRPr="003776F9" w:rsidRDefault="00637FCD" w:rsidP="002D57E0">
            <w:pPr>
              <w:rPr>
                <w:rFonts w:ascii="Calibri" w:hAnsi="Calibri" w:cs="Calibri"/>
                <w:sz w:val="20"/>
                <w:szCs w:val="20"/>
              </w:rPr>
            </w:pPr>
          </w:p>
        </w:tc>
        <w:tc>
          <w:tcPr>
            <w:tcW w:w="1559" w:type="dxa"/>
          </w:tcPr>
          <w:p w14:paraId="550286C4" w14:textId="77777777" w:rsidR="00637FCD" w:rsidRPr="000E3D06" w:rsidRDefault="00637FCD" w:rsidP="002D57E0">
            <w:pPr>
              <w:spacing w:line="259" w:lineRule="auto"/>
              <w:rPr>
                <w:rFonts w:ascii="Calibri" w:eastAsia="Calibri" w:hAnsi="Calibri" w:cs="Calibri"/>
              </w:rPr>
            </w:pPr>
          </w:p>
          <w:p w14:paraId="5CF8ED42" w14:textId="77777777" w:rsidR="00637FCD" w:rsidRPr="000E3D06" w:rsidRDefault="00637FCD" w:rsidP="002D57E0">
            <w:pPr>
              <w:spacing w:line="259" w:lineRule="auto"/>
              <w:rPr>
                <w:rFonts w:ascii="Calibri" w:eastAsia="Calibri" w:hAnsi="Calibri" w:cs="Calibri"/>
              </w:rPr>
            </w:pPr>
            <w:r w:rsidRPr="000E3D06">
              <w:rPr>
                <w:rFonts w:ascii="Calibri" w:eastAsia="Calibri" w:hAnsi="Calibri" w:cs="Calibri"/>
              </w:rPr>
              <w:t>2042 (75.7)</w:t>
            </w:r>
          </w:p>
          <w:p w14:paraId="54B2F7EF" w14:textId="77777777" w:rsidR="00637FCD" w:rsidRPr="000E3D06" w:rsidRDefault="00637FCD" w:rsidP="002D57E0">
            <w:pPr>
              <w:spacing w:line="259" w:lineRule="auto"/>
              <w:rPr>
                <w:rFonts w:ascii="Calibri" w:eastAsia="Calibri" w:hAnsi="Calibri" w:cs="Calibri"/>
              </w:rPr>
            </w:pPr>
            <w:r w:rsidRPr="000E3D06">
              <w:rPr>
                <w:rFonts w:ascii="Calibri" w:eastAsia="Calibri" w:hAnsi="Calibri" w:cs="Calibri"/>
              </w:rPr>
              <w:t>571 (21.2)</w:t>
            </w:r>
          </w:p>
          <w:p w14:paraId="70DE686F" w14:textId="77777777" w:rsidR="00637FCD" w:rsidRPr="003776F9" w:rsidRDefault="00637FCD" w:rsidP="002D57E0">
            <w:pPr>
              <w:rPr>
                <w:rFonts w:ascii="Calibri" w:hAnsi="Calibri" w:cs="Calibri"/>
                <w:sz w:val="20"/>
                <w:szCs w:val="20"/>
              </w:rPr>
            </w:pPr>
            <w:r w:rsidRPr="000E3D06">
              <w:rPr>
                <w:rFonts w:ascii="Calibri" w:eastAsia="Calibri" w:hAnsi="Calibri" w:cs="Calibri"/>
              </w:rPr>
              <w:t>85 (3.2)</w:t>
            </w:r>
          </w:p>
        </w:tc>
        <w:tc>
          <w:tcPr>
            <w:tcW w:w="1418" w:type="dxa"/>
          </w:tcPr>
          <w:p w14:paraId="1F5957A6" w14:textId="77777777" w:rsidR="00637FCD" w:rsidRPr="000E3D06" w:rsidRDefault="00637FCD" w:rsidP="002D57E0">
            <w:pPr>
              <w:spacing w:line="259" w:lineRule="auto"/>
              <w:rPr>
                <w:rFonts w:ascii="Calibri" w:eastAsia="Calibri" w:hAnsi="Calibri" w:cs="Calibri"/>
              </w:rPr>
            </w:pPr>
          </w:p>
          <w:p w14:paraId="41842F61" w14:textId="77777777" w:rsidR="00637FCD" w:rsidRPr="000E3D06" w:rsidRDefault="00637FCD" w:rsidP="002D57E0">
            <w:pPr>
              <w:spacing w:line="259" w:lineRule="auto"/>
              <w:rPr>
                <w:rFonts w:ascii="Calibri" w:eastAsia="Calibri" w:hAnsi="Calibri" w:cs="Calibri"/>
              </w:rPr>
            </w:pPr>
            <w:r w:rsidRPr="000E3D06">
              <w:rPr>
                <w:rFonts w:ascii="Calibri" w:eastAsia="Calibri" w:hAnsi="Calibri" w:cs="Calibri"/>
              </w:rPr>
              <w:t>2005 (47.9)</w:t>
            </w:r>
          </w:p>
          <w:p w14:paraId="071A7F4C" w14:textId="77777777" w:rsidR="00637FCD" w:rsidRPr="000E3D06" w:rsidRDefault="00637FCD" w:rsidP="002D57E0">
            <w:pPr>
              <w:spacing w:line="259" w:lineRule="auto"/>
              <w:rPr>
                <w:rFonts w:ascii="Calibri" w:eastAsia="Calibri" w:hAnsi="Calibri" w:cs="Calibri"/>
              </w:rPr>
            </w:pPr>
            <w:r w:rsidRPr="000E3D06">
              <w:rPr>
                <w:rFonts w:ascii="Calibri" w:eastAsia="Calibri" w:hAnsi="Calibri" w:cs="Calibri"/>
              </w:rPr>
              <w:t>1760 (42.0)</w:t>
            </w:r>
          </w:p>
          <w:p w14:paraId="1E923F08" w14:textId="77777777" w:rsidR="00637FCD" w:rsidRPr="003776F9" w:rsidRDefault="00637FCD" w:rsidP="002D57E0">
            <w:pPr>
              <w:rPr>
                <w:rFonts w:ascii="Calibri" w:hAnsi="Calibri" w:cs="Calibri"/>
                <w:sz w:val="20"/>
                <w:szCs w:val="20"/>
              </w:rPr>
            </w:pPr>
            <w:r w:rsidRPr="000E3D06">
              <w:rPr>
                <w:rFonts w:ascii="Calibri" w:eastAsia="Calibri" w:hAnsi="Calibri" w:cs="Calibri"/>
              </w:rPr>
              <w:t>421 (10.1)</w:t>
            </w:r>
          </w:p>
        </w:tc>
        <w:tc>
          <w:tcPr>
            <w:tcW w:w="1134" w:type="dxa"/>
          </w:tcPr>
          <w:p w14:paraId="6B88E720" w14:textId="77777777" w:rsidR="00637FCD" w:rsidRPr="003776F9" w:rsidRDefault="00637FCD" w:rsidP="002D57E0">
            <w:pPr>
              <w:rPr>
                <w:rFonts w:ascii="Calibri" w:hAnsi="Calibri" w:cs="Calibri"/>
                <w:sz w:val="20"/>
                <w:szCs w:val="20"/>
              </w:rPr>
            </w:pPr>
            <w:r w:rsidRPr="000E3D06">
              <w:rPr>
                <w:rFonts w:ascii="Calibri" w:eastAsia="Calibri" w:hAnsi="Calibri" w:cs="Calibri"/>
              </w:rPr>
              <w:t>&lt;0.001</w:t>
            </w:r>
          </w:p>
        </w:tc>
      </w:tr>
      <w:tr w:rsidR="00637FCD" w:rsidRPr="003776F9" w14:paraId="630A987D" w14:textId="77777777" w:rsidTr="002D57E0">
        <w:tc>
          <w:tcPr>
            <w:tcW w:w="3400" w:type="dxa"/>
          </w:tcPr>
          <w:p w14:paraId="6E383B7C" w14:textId="77777777" w:rsidR="00637FCD" w:rsidRPr="003776F9" w:rsidRDefault="00637FCD" w:rsidP="002D57E0">
            <w:pPr>
              <w:spacing w:line="276" w:lineRule="auto"/>
              <w:rPr>
                <w:rFonts w:ascii="Calibri" w:hAnsi="Calibri" w:cs="Calibri"/>
                <w:sz w:val="20"/>
                <w:szCs w:val="20"/>
              </w:rPr>
            </w:pPr>
            <w:r w:rsidRPr="003776F9">
              <w:rPr>
                <w:rFonts w:ascii="Calibri" w:hAnsi="Calibri" w:cs="Calibri"/>
                <w:sz w:val="20"/>
                <w:szCs w:val="20"/>
              </w:rPr>
              <w:t>Degree</w:t>
            </w:r>
            <w:r>
              <w:rPr>
                <w:rFonts w:ascii="Calibri" w:hAnsi="Calibri" w:cs="Calibri"/>
                <w:sz w:val="20"/>
                <w:szCs w:val="20"/>
              </w:rPr>
              <w:t xml:space="preserve"> of hyperparathyroidism</w:t>
            </w:r>
          </w:p>
          <w:p w14:paraId="7E4EFAF4" w14:textId="77777777" w:rsidR="00637FCD" w:rsidRPr="003776F9" w:rsidRDefault="00637FCD" w:rsidP="002D57E0">
            <w:pPr>
              <w:spacing w:line="276" w:lineRule="auto"/>
              <w:rPr>
                <w:rFonts w:ascii="Calibri" w:hAnsi="Calibri" w:cs="Calibri"/>
                <w:sz w:val="20"/>
                <w:szCs w:val="20"/>
              </w:rPr>
            </w:pPr>
            <w:r>
              <w:rPr>
                <w:rFonts w:ascii="Calibri" w:hAnsi="Calibri" w:cs="Calibri"/>
                <w:sz w:val="20"/>
                <w:szCs w:val="20"/>
              </w:rPr>
              <w:t xml:space="preserve">   </w:t>
            </w:r>
            <w:r w:rsidRPr="003776F9">
              <w:rPr>
                <w:rFonts w:ascii="Calibri" w:hAnsi="Calibri" w:cs="Calibri"/>
                <w:sz w:val="20"/>
                <w:szCs w:val="20"/>
              </w:rPr>
              <w:t>Mild</w:t>
            </w:r>
          </w:p>
          <w:p w14:paraId="36FE6D09" w14:textId="77777777" w:rsidR="00637FCD" w:rsidRPr="003776F9" w:rsidRDefault="00637FCD" w:rsidP="002D57E0">
            <w:pPr>
              <w:spacing w:line="276" w:lineRule="auto"/>
              <w:rPr>
                <w:rFonts w:ascii="Calibri" w:hAnsi="Calibri" w:cs="Calibri"/>
                <w:sz w:val="20"/>
                <w:szCs w:val="20"/>
              </w:rPr>
            </w:pPr>
            <w:r>
              <w:rPr>
                <w:rFonts w:ascii="Calibri" w:hAnsi="Calibri" w:cs="Calibri"/>
                <w:sz w:val="20"/>
                <w:szCs w:val="20"/>
              </w:rPr>
              <w:t xml:space="preserve">   </w:t>
            </w:r>
            <w:r w:rsidRPr="003776F9">
              <w:rPr>
                <w:rFonts w:ascii="Calibri" w:hAnsi="Calibri" w:cs="Calibri"/>
                <w:sz w:val="20"/>
                <w:szCs w:val="20"/>
              </w:rPr>
              <w:t xml:space="preserve">Moderate </w:t>
            </w:r>
          </w:p>
          <w:p w14:paraId="59A9B8A0" w14:textId="77777777" w:rsidR="00637FCD" w:rsidRPr="003776F9" w:rsidRDefault="00637FCD" w:rsidP="002D57E0">
            <w:pPr>
              <w:rPr>
                <w:rFonts w:ascii="Calibri" w:hAnsi="Calibri" w:cs="Calibri"/>
                <w:sz w:val="20"/>
                <w:szCs w:val="20"/>
              </w:rPr>
            </w:pPr>
            <w:r>
              <w:rPr>
                <w:rFonts w:ascii="Calibri" w:hAnsi="Calibri" w:cs="Calibri"/>
                <w:sz w:val="20"/>
                <w:szCs w:val="20"/>
              </w:rPr>
              <w:t xml:space="preserve">   </w:t>
            </w:r>
            <w:r w:rsidRPr="003776F9">
              <w:rPr>
                <w:rFonts w:ascii="Calibri" w:hAnsi="Calibri" w:cs="Calibri"/>
                <w:sz w:val="20"/>
                <w:szCs w:val="20"/>
              </w:rPr>
              <w:t>Severe</w:t>
            </w:r>
          </w:p>
        </w:tc>
        <w:tc>
          <w:tcPr>
            <w:tcW w:w="1134" w:type="dxa"/>
          </w:tcPr>
          <w:p w14:paraId="5F1CC178" w14:textId="77777777" w:rsidR="00637FCD" w:rsidRDefault="00637FCD" w:rsidP="002D57E0">
            <w:pPr>
              <w:rPr>
                <w:rFonts w:ascii="Calibri" w:hAnsi="Calibri" w:cs="Calibri"/>
                <w:sz w:val="20"/>
                <w:szCs w:val="20"/>
              </w:rPr>
            </w:pPr>
          </w:p>
          <w:p w14:paraId="6D36EF49" w14:textId="77777777" w:rsidR="00637FCD" w:rsidRDefault="00637FCD" w:rsidP="002D57E0">
            <w:pPr>
              <w:rPr>
                <w:rFonts w:ascii="Calibri" w:hAnsi="Calibri" w:cs="Calibri"/>
                <w:sz w:val="20"/>
                <w:szCs w:val="20"/>
              </w:rPr>
            </w:pPr>
            <w:r w:rsidRPr="003776F9">
              <w:rPr>
                <w:rFonts w:ascii="Calibri" w:hAnsi="Calibri" w:cs="Calibri"/>
                <w:sz w:val="20"/>
                <w:szCs w:val="20"/>
              </w:rPr>
              <w:t>n (%)</w:t>
            </w:r>
          </w:p>
          <w:p w14:paraId="6F86A36D" w14:textId="77777777" w:rsidR="00637FCD" w:rsidRDefault="00637FCD" w:rsidP="002D57E0">
            <w:pPr>
              <w:rPr>
                <w:rFonts w:ascii="Calibri" w:hAnsi="Calibri" w:cs="Calibri"/>
                <w:sz w:val="20"/>
                <w:szCs w:val="20"/>
              </w:rPr>
            </w:pPr>
            <w:r w:rsidRPr="003776F9">
              <w:rPr>
                <w:rFonts w:ascii="Calibri" w:hAnsi="Calibri" w:cs="Calibri"/>
                <w:sz w:val="20"/>
                <w:szCs w:val="20"/>
              </w:rPr>
              <w:t>n (%)</w:t>
            </w:r>
          </w:p>
          <w:p w14:paraId="1B38799F" w14:textId="77777777" w:rsidR="00637FCD" w:rsidRPr="003776F9" w:rsidRDefault="00637FCD" w:rsidP="002D57E0">
            <w:pPr>
              <w:rPr>
                <w:rFonts w:ascii="Calibri" w:hAnsi="Calibri" w:cs="Calibri"/>
                <w:sz w:val="20"/>
                <w:szCs w:val="20"/>
              </w:rPr>
            </w:pPr>
            <w:r w:rsidRPr="003776F9">
              <w:rPr>
                <w:rFonts w:ascii="Calibri" w:hAnsi="Calibri" w:cs="Calibri"/>
                <w:sz w:val="20"/>
                <w:szCs w:val="20"/>
              </w:rPr>
              <w:t>n (%)</w:t>
            </w:r>
          </w:p>
        </w:tc>
        <w:tc>
          <w:tcPr>
            <w:tcW w:w="1418" w:type="dxa"/>
          </w:tcPr>
          <w:p w14:paraId="609E8753" w14:textId="77777777" w:rsidR="00637FCD" w:rsidRDefault="00637FCD" w:rsidP="002D57E0">
            <w:pPr>
              <w:rPr>
                <w:rFonts w:ascii="Calibri" w:hAnsi="Calibri" w:cs="Calibri"/>
                <w:sz w:val="20"/>
                <w:szCs w:val="20"/>
              </w:rPr>
            </w:pPr>
          </w:p>
          <w:p w14:paraId="3CBA6EB1" w14:textId="77777777" w:rsidR="00637FCD" w:rsidRDefault="00637FCD" w:rsidP="002D57E0">
            <w:pPr>
              <w:rPr>
                <w:rFonts w:ascii="Calibri" w:hAnsi="Calibri" w:cs="Calibri"/>
                <w:sz w:val="20"/>
                <w:szCs w:val="20"/>
              </w:rPr>
            </w:pPr>
            <w:r>
              <w:rPr>
                <w:rFonts w:ascii="Calibri" w:hAnsi="Calibri" w:cs="Calibri"/>
                <w:sz w:val="20"/>
                <w:szCs w:val="20"/>
              </w:rPr>
              <w:t>4604 (66.9)</w:t>
            </w:r>
          </w:p>
          <w:p w14:paraId="57355996" w14:textId="77777777" w:rsidR="00637FCD" w:rsidRDefault="00637FCD" w:rsidP="002D57E0">
            <w:pPr>
              <w:rPr>
                <w:rFonts w:ascii="Calibri" w:hAnsi="Calibri" w:cs="Calibri"/>
                <w:sz w:val="20"/>
                <w:szCs w:val="20"/>
              </w:rPr>
            </w:pPr>
            <w:r>
              <w:rPr>
                <w:rFonts w:ascii="Calibri" w:hAnsi="Calibri" w:cs="Calibri"/>
                <w:sz w:val="20"/>
                <w:szCs w:val="20"/>
              </w:rPr>
              <w:t>1345 (19.5)</w:t>
            </w:r>
          </w:p>
          <w:p w14:paraId="34BAAECD" w14:textId="77777777" w:rsidR="00637FCD" w:rsidRPr="003776F9" w:rsidRDefault="00637FCD" w:rsidP="002D57E0">
            <w:pPr>
              <w:rPr>
                <w:rFonts w:ascii="Calibri" w:hAnsi="Calibri" w:cs="Calibri"/>
                <w:sz w:val="20"/>
                <w:szCs w:val="20"/>
              </w:rPr>
            </w:pPr>
            <w:r>
              <w:rPr>
                <w:rFonts w:ascii="Calibri" w:hAnsi="Calibri" w:cs="Calibri"/>
                <w:sz w:val="20"/>
                <w:szCs w:val="20"/>
              </w:rPr>
              <w:t>935 (13.6)</w:t>
            </w:r>
          </w:p>
        </w:tc>
        <w:tc>
          <w:tcPr>
            <w:tcW w:w="1417" w:type="dxa"/>
          </w:tcPr>
          <w:p w14:paraId="78D0CA1B" w14:textId="77777777" w:rsidR="00637FCD" w:rsidRPr="003776F9" w:rsidRDefault="00637FCD" w:rsidP="002D57E0">
            <w:pPr>
              <w:rPr>
                <w:rFonts w:ascii="Calibri" w:hAnsi="Calibri" w:cs="Calibri"/>
                <w:sz w:val="20"/>
                <w:szCs w:val="20"/>
              </w:rPr>
            </w:pPr>
          </w:p>
        </w:tc>
        <w:tc>
          <w:tcPr>
            <w:tcW w:w="851" w:type="dxa"/>
          </w:tcPr>
          <w:p w14:paraId="7CE673A1" w14:textId="77777777" w:rsidR="00637FCD" w:rsidRPr="003776F9" w:rsidRDefault="00637FCD" w:rsidP="002D57E0">
            <w:pPr>
              <w:rPr>
                <w:rFonts w:ascii="Calibri" w:hAnsi="Calibri" w:cs="Calibri"/>
                <w:sz w:val="20"/>
                <w:szCs w:val="20"/>
              </w:rPr>
            </w:pPr>
          </w:p>
        </w:tc>
        <w:tc>
          <w:tcPr>
            <w:tcW w:w="1559" w:type="dxa"/>
          </w:tcPr>
          <w:p w14:paraId="2FEED137" w14:textId="77777777" w:rsidR="00637FCD" w:rsidRPr="000E3D06" w:rsidRDefault="00637FCD" w:rsidP="002D57E0">
            <w:pPr>
              <w:spacing w:line="259" w:lineRule="auto"/>
              <w:rPr>
                <w:rFonts w:ascii="Calibri" w:eastAsia="Calibri" w:hAnsi="Calibri" w:cs="Calibri"/>
              </w:rPr>
            </w:pPr>
          </w:p>
          <w:p w14:paraId="77DCE9D8" w14:textId="77777777" w:rsidR="00637FCD" w:rsidRPr="000E3D06" w:rsidRDefault="00637FCD" w:rsidP="002D57E0">
            <w:pPr>
              <w:spacing w:line="259" w:lineRule="auto"/>
              <w:rPr>
                <w:rFonts w:ascii="Calibri" w:eastAsia="Calibri" w:hAnsi="Calibri" w:cs="Calibri"/>
              </w:rPr>
            </w:pPr>
            <w:r w:rsidRPr="000E3D06">
              <w:rPr>
                <w:rFonts w:ascii="Calibri" w:eastAsia="Calibri" w:hAnsi="Calibri" w:cs="Calibri"/>
              </w:rPr>
              <w:t>2014 (74.6)</w:t>
            </w:r>
          </w:p>
          <w:p w14:paraId="7103EC84" w14:textId="77777777" w:rsidR="00637FCD" w:rsidRPr="000E3D06" w:rsidRDefault="00637FCD" w:rsidP="002D57E0">
            <w:pPr>
              <w:spacing w:line="259" w:lineRule="auto"/>
              <w:rPr>
                <w:rFonts w:ascii="Calibri" w:eastAsia="Calibri" w:hAnsi="Calibri" w:cs="Calibri"/>
              </w:rPr>
            </w:pPr>
            <w:r w:rsidRPr="000E3D06">
              <w:rPr>
                <w:rFonts w:ascii="Calibri" w:eastAsia="Calibri" w:hAnsi="Calibri" w:cs="Calibri"/>
              </w:rPr>
              <w:t>414 (15.3)</w:t>
            </w:r>
          </w:p>
          <w:p w14:paraId="3E957745" w14:textId="77777777" w:rsidR="00637FCD" w:rsidRPr="003776F9" w:rsidRDefault="00637FCD" w:rsidP="002D57E0">
            <w:pPr>
              <w:rPr>
                <w:rFonts w:ascii="Calibri" w:hAnsi="Calibri" w:cs="Calibri"/>
                <w:sz w:val="20"/>
                <w:szCs w:val="20"/>
              </w:rPr>
            </w:pPr>
            <w:r w:rsidRPr="000E3D06">
              <w:rPr>
                <w:rFonts w:ascii="Calibri" w:eastAsia="Calibri" w:hAnsi="Calibri" w:cs="Calibri"/>
              </w:rPr>
              <w:t>270 (10.0)</w:t>
            </w:r>
          </w:p>
        </w:tc>
        <w:tc>
          <w:tcPr>
            <w:tcW w:w="1418" w:type="dxa"/>
          </w:tcPr>
          <w:p w14:paraId="070D5A87" w14:textId="77777777" w:rsidR="00637FCD" w:rsidRPr="000E3D06" w:rsidRDefault="00637FCD" w:rsidP="002D57E0">
            <w:pPr>
              <w:spacing w:line="259" w:lineRule="auto"/>
              <w:rPr>
                <w:rFonts w:ascii="Calibri" w:eastAsia="Calibri" w:hAnsi="Calibri" w:cs="Calibri"/>
              </w:rPr>
            </w:pPr>
          </w:p>
          <w:p w14:paraId="265692F5" w14:textId="77777777" w:rsidR="00637FCD" w:rsidRPr="000E3D06" w:rsidRDefault="00637FCD" w:rsidP="002D57E0">
            <w:pPr>
              <w:spacing w:line="259" w:lineRule="auto"/>
              <w:rPr>
                <w:rFonts w:ascii="Calibri" w:eastAsia="Calibri" w:hAnsi="Calibri" w:cs="Calibri"/>
              </w:rPr>
            </w:pPr>
            <w:r w:rsidRPr="000E3D06">
              <w:rPr>
                <w:rFonts w:ascii="Calibri" w:eastAsia="Calibri" w:hAnsi="Calibri" w:cs="Calibri"/>
              </w:rPr>
              <w:t>2590 (61.9)</w:t>
            </w:r>
          </w:p>
          <w:p w14:paraId="62509765" w14:textId="77777777" w:rsidR="00637FCD" w:rsidRPr="000E3D06" w:rsidRDefault="00637FCD" w:rsidP="002D57E0">
            <w:pPr>
              <w:spacing w:line="259" w:lineRule="auto"/>
              <w:rPr>
                <w:rFonts w:ascii="Calibri" w:eastAsia="Calibri" w:hAnsi="Calibri" w:cs="Calibri"/>
              </w:rPr>
            </w:pPr>
            <w:r w:rsidRPr="000E3D06">
              <w:rPr>
                <w:rFonts w:ascii="Calibri" w:eastAsia="Calibri" w:hAnsi="Calibri" w:cs="Calibri"/>
              </w:rPr>
              <w:t>931 (22.2)</w:t>
            </w:r>
          </w:p>
          <w:p w14:paraId="48CCE817" w14:textId="77777777" w:rsidR="00637FCD" w:rsidRPr="003776F9" w:rsidRDefault="00637FCD" w:rsidP="002D57E0">
            <w:pPr>
              <w:rPr>
                <w:rFonts w:ascii="Calibri" w:hAnsi="Calibri" w:cs="Calibri"/>
                <w:sz w:val="20"/>
                <w:szCs w:val="20"/>
              </w:rPr>
            </w:pPr>
            <w:r w:rsidRPr="000E3D06">
              <w:rPr>
                <w:rFonts w:ascii="Calibri" w:eastAsia="Calibri" w:hAnsi="Calibri" w:cs="Calibri"/>
              </w:rPr>
              <w:t>665 (15.9)</w:t>
            </w:r>
          </w:p>
        </w:tc>
        <w:tc>
          <w:tcPr>
            <w:tcW w:w="1134" w:type="dxa"/>
          </w:tcPr>
          <w:p w14:paraId="77F0917E" w14:textId="77777777" w:rsidR="00637FCD" w:rsidRPr="003776F9" w:rsidRDefault="00637FCD" w:rsidP="002D57E0">
            <w:pPr>
              <w:rPr>
                <w:rFonts w:ascii="Calibri" w:hAnsi="Calibri" w:cs="Calibri"/>
                <w:sz w:val="20"/>
                <w:szCs w:val="20"/>
              </w:rPr>
            </w:pPr>
            <w:r w:rsidRPr="000E3D06">
              <w:rPr>
                <w:rFonts w:ascii="Calibri" w:eastAsia="Calibri" w:hAnsi="Calibri" w:cs="Calibri"/>
              </w:rPr>
              <w:t>&lt;0.001</w:t>
            </w:r>
          </w:p>
        </w:tc>
      </w:tr>
      <w:tr w:rsidR="00637FCD" w:rsidRPr="003776F9" w14:paraId="30B9A4A7" w14:textId="77777777" w:rsidTr="002D57E0">
        <w:tc>
          <w:tcPr>
            <w:tcW w:w="3400" w:type="dxa"/>
          </w:tcPr>
          <w:p w14:paraId="2888EE38" w14:textId="77777777" w:rsidR="00637FCD" w:rsidRPr="00817DE0" w:rsidRDefault="00637FCD" w:rsidP="002D57E0">
            <w:pPr>
              <w:rPr>
                <w:rFonts w:ascii="Calibri" w:hAnsi="Calibri" w:cs="Calibri"/>
                <w:sz w:val="20"/>
                <w:szCs w:val="20"/>
              </w:rPr>
            </w:pPr>
            <w:r w:rsidRPr="00817DE0">
              <w:rPr>
                <w:rFonts w:ascii="Calibri" w:hAnsi="Calibri" w:cs="Calibri"/>
                <w:sz w:val="20"/>
                <w:szCs w:val="20"/>
              </w:rPr>
              <w:t>Parathyroidectomy</w:t>
            </w:r>
          </w:p>
        </w:tc>
        <w:tc>
          <w:tcPr>
            <w:tcW w:w="1134" w:type="dxa"/>
          </w:tcPr>
          <w:p w14:paraId="2827A905" w14:textId="77777777" w:rsidR="00637FCD" w:rsidRPr="003776F9" w:rsidRDefault="00637FCD" w:rsidP="002D57E0">
            <w:pPr>
              <w:rPr>
                <w:rFonts w:ascii="Calibri" w:hAnsi="Calibri" w:cs="Calibri"/>
                <w:sz w:val="20"/>
                <w:szCs w:val="20"/>
              </w:rPr>
            </w:pPr>
            <w:r w:rsidRPr="001D2315">
              <w:rPr>
                <w:rFonts w:ascii="Calibri" w:hAnsi="Calibri" w:cs="Calibri"/>
                <w:sz w:val="20"/>
                <w:szCs w:val="20"/>
              </w:rPr>
              <w:t>n (%)</w:t>
            </w:r>
          </w:p>
        </w:tc>
        <w:tc>
          <w:tcPr>
            <w:tcW w:w="1418" w:type="dxa"/>
          </w:tcPr>
          <w:p w14:paraId="148BF405" w14:textId="77777777" w:rsidR="00637FCD" w:rsidRPr="003776F9" w:rsidRDefault="00637FCD" w:rsidP="002D57E0">
            <w:pPr>
              <w:rPr>
                <w:rFonts w:ascii="Calibri" w:hAnsi="Calibri" w:cs="Calibri"/>
                <w:sz w:val="20"/>
                <w:szCs w:val="20"/>
              </w:rPr>
            </w:pPr>
            <w:r>
              <w:rPr>
                <w:rFonts w:ascii="Calibri" w:hAnsi="Calibri" w:cs="Calibri"/>
                <w:sz w:val="20"/>
                <w:szCs w:val="20"/>
              </w:rPr>
              <w:t>4186 (60.8)</w:t>
            </w:r>
          </w:p>
        </w:tc>
        <w:tc>
          <w:tcPr>
            <w:tcW w:w="1417" w:type="dxa"/>
          </w:tcPr>
          <w:p w14:paraId="581D1711" w14:textId="77777777" w:rsidR="00637FCD" w:rsidRPr="003776F9" w:rsidRDefault="00637FCD" w:rsidP="002D57E0">
            <w:pPr>
              <w:rPr>
                <w:rFonts w:ascii="Calibri" w:hAnsi="Calibri" w:cs="Calibri"/>
                <w:sz w:val="20"/>
                <w:szCs w:val="20"/>
              </w:rPr>
            </w:pPr>
          </w:p>
        </w:tc>
        <w:tc>
          <w:tcPr>
            <w:tcW w:w="851" w:type="dxa"/>
          </w:tcPr>
          <w:p w14:paraId="6F0ACA4E" w14:textId="77777777" w:rsidR="00637FCD" w:rsidRPr="003776F9" w:rsidRDefault="00637FCD" w:rsidP="002D57E0">
            <w:pPr>
              <w:rPr>
                <w:rFonts w:ascii="Calibri" w:hAnsi="Calibri" w:cs="Calibri"/>
                <w:sz w:val="20"/>
                <w:szCs w:val="20"/>
              </w:rPr>
            </w:pPr>
          </w:p>
        </w:tc>
        <w:tc>
          <w:tcPr>
            <w:tcW w:w="1559" w:type="dxa"/>
          </w:tcPr>
          <w:p w14:paraId="0BFFF818" w14:textId="77777777" w:rsidR="00637FCD" w:rsidRPr="003776F9" w:rsidRDefault="00637FCD" w:rsidP="002D57E0">
            <w:pPr>
              <w:rPr>
                <w:rFonts w:ascii="Calibri" w:hAnsi="Calibri" w:cs="Calibri"/>
                <w:sz w:val="20"/>
                <w:szCs w:val="20"/>
              </w:rPr>
            </w:pPr>
            <w:r>
              <w:rPr>
                <w:rFonts w:ascii="Calibri" w:hAnsi="Calibri" w:cs="Calibri"/>
                <w:sz w:val="20"/>
                <w:szCs w:val="20"/>
              </w:rPr>
              <w:t>0 (0.0)</w:t>
            </w:r>
          </w:p>
        </w:tc>
        <w:tc>
          <w:tcPr>
            <w:tcW w:w="1418" w:type="dxa"/>
          </w:tcPr>
          <w:p w14:paraId="75DD579B" w14:textId="77777777" w:rsidR="00637FCD" w:rsidRPr="003776F9" w:rsidRDefault="00637FCD" w:rsidP="002D57E0">
            <w:pPr>
              <w:rPr>
                <w:rFonts w:ascii="Calibri" w:hAnsi="Calibri" w:cs="Calibri"/>
                <w:sz w:val="20"/>
                <w:szCs w:val="20"/>
              </w:rPr>
            </w:pPr>
            <w:r w:rsidRPr="00123920">
              <w:rPr>
                <w:rFonts w:ascii="Calibri" w:hAnsi="Calibri" w:cs="Calibri"/>
                <w:sz w:val="20"/>
                <w:szCs w:val="20"/>
              </w:rPr>
              <w:t>4186 (100.0)</w:t>
            </w:r>
          </w:p>
        </w:tc>
        <w:tc>
          <w:tcPr>
            <w:tcW w:w="1134" w:type="dxa"/>
          </w:tcPr>
          <w:p w14:paraId="4776B990" w14:textId="77777777" w:rsidR="00637FCD" w:rsidRPr="003776F9" w:rsidRDefault="00637FCD" w:rsidP="002D57E0">
            <w:pPr>
              <w:rPr>
                <w:rFonts w:ascii="Calibri" w:hAnsi="Calibri" w:cs="Calibri"/>
                <w:sz w:val="20"/>
                <w:szCs w:val="20"/>
              </w:rPr>
            </w:pPr>
          </w:p>
        </w:tc>
      </w:tr>
      <w:tr w:rsidR="00637FCD" w:rsidRPr="003776F9" w14:paraId="0DBB203B" w14:textId="77777777" w:rsidTr="002D57E0">
        <w:tc>
          <w:tcPr>
            <w:tcW w:w="3400" w:type="dxa"/>
            <w:tcBorders>
              <w:bottom w:val="single" w:sz="4" w:space="0" w:color="auto"/>
            </w:tcBorders>
          </w:tcPr>
          <w:p w14:paraId="5CEE5E40" w14:textId="77777777" w:rsidR="00637FCD" w:rsidRPr="003776F9" w:rsidRDefault="00637FCD" w:rsidP="002D57E0">
            <w:pPr>
              <w:rPr>
                <w:rFonts w:ascii="Calibri" w:hAnsi="Calibri" w:cs="Calibri"/>
                <w:sz w:val="20"/>
                <w:szCs w:val="20"/>
              </w:rPr>
            </w:pPr>
            <w:r>
              <w:rPr>
                <w:rFonts w:ascii="Calibri" w:hAnsi="Calibri" w:cs="Calibri"/>
                <w:sz w:val="20"/>
                <w:szCs w:val="20"/>
              </w:rPr>
              <w:t>Time to parathyroidectomy (years)</w:t>
            </w:r>
          </w:p>
        </w:tc>
        <w:tc>
          <w:tcPr>
            <w:tcW w:w="1134" w:type="dxa"/>
            <w:tcBorders>
              <w:bottom w:val="single" w:sz="4" w:space="0" w:color="auto"/>
            </w:tcBorders>
          </w:tcPr>
          <w:p w14:paraId="3FA2B74F" w14:textId="77777777" w:rsidR="00637FCD" w:rsidRPr="003776F9" w:rsidRDefault="00637FCD" w:rsidP="002D57E0">
            <w:pPr>
              <w:rPr>
                <w:rFonts w:ascii="Calibri" w:hAnsi="Calibri" w:cs="Calibri"/>
                <w:sz w:val="20"/>
                <w:szCs w:val="20"/>
              </w:rPr>
            </w:pPr>
            <w:r w:rsidRPr="003776F9">
              <w:rPr>
                <w:rFonts w:ascii="Calibri" w:hAnsi="Calibri" w:cs="Calibri"/>
                <w:sz w:val="20"/>
                <w:szCs w:val="20"/>
              </w:rPr>
              <w:t>Mean (SD</w:t>
            </w:r>
            <w:r>
              <w:rPr>
                <w:rFonts w:ascii="Calibri" w:hAnsi="Calibri" w:cs="Calibri"/>
                <w:sz w:val="20"/>
                <w:szCs w:val="20"/>
              </w:rPr>
              <w:t>)</w:t>
            </w:r>
          </w:p>
        </w:tc>
        <w:tc>
          <w:tcPr>
            <w:tcW w:w="1418" w:type="dxa"/>
            <w:tcBorders>
              <w:bottom w:val="single" w:sz="4" w:space="0" w:color="auto"/>
            </w:tcBorders>
          </w:tcPr>
          <w:p w14:paraId="605F276A" w14:textId="77777777" w:rsidR="00637FCD" w:rsidRPr="003776F9" w:rsidRDefault="00637FCD" w:rsidP="002D57E0">
            <w:pPr>
              <w:rPr>
                <w:rFonts w:ascii="Calibri" w:hAnsi="Calibri" w:cs="Calibri"/>
                <w:sz w:val="20"/>
                <w:szCs w:val="20"/>
              </w:rPr>
            </w:pPr>
            <w:r>
              <w:rPr>
                <w:rFonts w:ascii="Calibri" w:hAnsi="Calibri" w:cs="Calibri"/>
                <w:sz w:val="20"/>
                <w:szCs w:val="20"/>
              </w:rPr>
              <w:t>1.1 (1.7)</w:t>
            </w:r>
          </w:p>
        </w:tc>
        <w:tc>
          <w:tcPr>
            <w:tcW w:w="1417" w:type="dxa"/>
            <w:tcBorders>
              <w:bottom w:val="single" w:sz="4" w:space="0" w:color="auto"/>
            </w:tcBorders>
          </w:tcPr>
          <w:p w14:paraId="3D7805EB" w14:textId="77777777" w:rsidR="00637FCD" w:rsidRPr="003776F9" w:rsidRDefault="00637FCD" w:rsidP="002D57E0">
            <w:pPr>
              <w:rPr>
                <w:rFonts w:ascii="Calibri" w:hAnsi="Calibri" w:cs="Calibri"/>
                <w:sz w:val="20"/>
                <w:szCs w:val="20"/>
              </w:rPr>
            </w:pPr>
          </w:p>
        </w:tc>
        <w:tc>
          <w:tcPr>
            <w:tcW w:w="851" w:type="dxa"/>
            <w:tcBorders>
              <w:bottom w:val="single" w:sz="4" w:space="0" w:color="auto"/>
            </w:tcBorders>
          </w:tcPr>
          <w:p w14:paraId="4087DE3D" w14:textId="77777777" w:rsidR="00637FCD" w:rsidRPr="003776F9" w:rsidRDefault="00637FCD" w:rsidP="002D57E0">
            <w:pPr>
              <w:rPr>
                <w:rFonts w:ascii="Calibri" w:hAnsi="Calibri" w:cs="Calibri"/>
                <w:sz w:val="20"/>
                <w:szCs w:val="20"/>
              </w:rPr>
            </w:pPr>
          </w:p>
        </w:tc>
        <w:tc>
          <w:tcPr>
            <w:tcW w:w="1559" w:type="dxa"/>
            <w:tcBorders>
              <w:bottom w:val="single" w:sz="4" w:space="0" w:color="auto"/>
            </w:tcBorders>
          </w:tcPr>
          <w:p w14:paraId="3765AA25" w14:textId="77777777" w:rsidR="00637FCD" w:rsidRPr="003776F9" w:rsidRDefault="00637FCD" w:rsidP="002D57E0">
            <w:pPr>
              <w:rPr>
                <w:rFonts w:ascii="Calibri" w:hAnsi="Calibri" w:cs="Calibri"/>
                <w:sz w:val="20"/>
                <w:szCs w:val="20"/>
              </w:rPr>
            </w:pPr>
            <w:r w:rsidRPr="003741D5">
              <w:rPr>
                <w:rFonts w:ascii="Calibri" w:hAnsi="Calibri" w:cs="Calibri"/>
                <w:sz w:val="20"/>
                <w:szCs w:val="20"/>
              </w:rPr>
              <w:t>-</w:t>
            </w:r>
          </w:p>
        </w:tc>
        <w:tc>
          <w:tcPr>
            <w:tcW w:w="1418" w:type="dxa"/>
            <w:tcBorders>
              <w:bottom w:val="single" w:sz="4" w:space="0" w:color="auto"/>
            </w:tcBorders>
          </w:tcPr>
          <w:p w14:paraId="523D1B11" w14:textId="77777777" w:rsidR="00637FCD" w:rsidRPr="003776F9" w:rsidRDefault="00637FCD" w:rsidP="002D57E0">
            <w:pPr>
              <w:rPr>
                <w:rFonts w:ascii="Calibri" w:hAnsi="Calibri" w:cs="Calibri"/>
                <w:sz w:val="20"/>
                <w:szCs w:val="20"/>
              </w:rPr>
            </w:pPr>
            <w:r w:rsidRPr="00123920">
              <w:rPr>
                <w:rFonts w:ascii="Calibri" w:hAnsi="Calibri" w:cs="Calibri"/>
                <w:sz w:val="20"/>
                <w:szCs w:val="20"/>
              </w:rPr>
              <w:t>1.1 (1.7)</w:t>
            </w:r>
          </w:p>
        </w:tc>
        <w:tc>
          <w:tcPr>
            <w:tcW w:w="1134" w:type="dxa"/>
            <w:tcBorders>
              <w:bottom w:val="single" w:sz="4" w:space="0" w:color="auto"/>
            </w:tcBorders>
          </w:tcPr>
          <w:p w14:paraId="0D443BE9" w14:textId="77777777" w:rsidR="00637FCD" w:rsidRPr="003776F9" w:rsidRDefault="00637FCD" w:rsidP="002D57E0">
            <w:pPr>
              <w:rPr>
                <w:rFonts w:ascii="Calibri" w:hAnsi="Calibri" w:cs="Calibri"/>
                <w:sz w:val="20"/>
                <w:szCs w:val="20"/>
              </w:rPr>
            </w:pPr>
          </w:p>
        </w:tc>
      </w:tr>
      <w:tr w:rsidR="00637FCD" w:rsidRPr="003776F9" w14:paraId="73A63754" w14:textId="77777777" w:rsidTr="002D57E0">
        <w:tc>
          <w:tcPr>
            <w:tcW w:w="12331" w:type="dxa"/>
            <w:gridSpan w:val="8"/>
            <w:tcBorders>
              <w:top w:val="single" w:sz="4" w:space="0" w:color="auto"/>
            </w:tcBorders>
          </w:tcPr>
          <w:p w14:paraId="5ED02EF4" w14:textId="77777777" w:rsidR="00637FCD" w:rsidRPr="003776F9" w:rsidRDefault="00637FCD" w:rsidP="002D57E0">
            <w:pPr>
              <w:rPr>
                <w:rFonts w:ascii="Calibri" w:hAnsi="Calibri" w:cs="Calibri"/>
                <w:sz w:val="20"/>
                <w:szCs w:val="20"/>
              </w:rPr>
            </w:pPr>
            <w:r>
              <w:rPr>
                <w:rFonts w:ascii="Calibri" w:hAnsi="Calibri" w:cs="Calibri"/>
                <w:sz w:val="20"/>
                <w:szCs w:val="20"/>
              </w:rPr>
              <w:t>P</w:t>
            </w:r>
            <w:r w:rsidRPr="00B27C11">
              <w:rPr>
                <w:rFonts w:ascii="Calibri" w:hAnsi="Calibri" w:cs="Calibri"/>
                <w:sz w:val="20"/>
                <w:szCs w:val="20"/>
                <w:vertAlign w:val="superscript"/>
              </w:rPr>
              <w:t>1</w:t>
            </w:r>
            <w:r>
              <w:rPr>
                <w:rFonts w:ascii="Calibri" w:hAnsi="Calibri" w:cs="Calibri"/>
                <w:sz w:val="20"/>
                <w:szCs w:val="20"/>
              </w:rPr>
              <w:t>, All cases vs. population controls;  P</w:t>
            </w:r>
            <w:r w:rsidRPr="00B27C11">
              <w:rPr>
                <w:rFonts w:ascii="Calibri" w:hAnsi="Calibri" w:cs="Calibri"/>
                <w:sz w:val="20"/>
                <w:szCs w:val="20"/>
                <w:vertAlign w:val="superscript"/>
              </w:rPr>
              <w:t>2</w:t>
            </w:r>
            <w:r>
              <w:rPr>
                <w:rFonts w:ascii="Calibri" w:hAnsi="Calibri" w:cs="Calibri"/>
                <w:sz w:val="20"/>
                <w:szCs w:val="20"/>
              </w:rPr>
              <w:t>, Conservative management vs. Parathyroidectomy (PTX)</w:t>
            </w:r>
          </w:p>
        </w:tc>
      </w:tr>
    </w:tbl>
    <w:p w14:paraId="4AA598E9" w14:textId="77777777" w:rsidR="00637FCD" w:rsidRDefault="00637FCD" w:rsidP="00637FCD"/>
    <w:p w14:paraId="20A8C46D" w14:textId="77777777" w:rsidR="000E3D06" w:rsidRPr="004F5FE4" w:rsidRDefault="000E3D06" w:rsidP="00637FCD"/>
    <w:sectPr w:rsidR="000E3D06" w:rsidRPr="004F5FE4" w:rsidSect="004C635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57FF2" w14:textId="77777777" w:rsidR="00EA234E" w:rsidRDefault="00EA234E" w:rsidP="00B61206">
      <w:pPr>
        <w:spacing w:after="0" w:line="240" w:lineRule="auto"/>
      </w:pPr>
      <w:r>
        <w:separator/>
      </w:r>
    </w:p>
  </w:endnote>
  <w:endnote w:type="continuationSeparator" w:id="0">
    <w:p w14:paraId="339188A6" w14:textId="77777777" w:rsidR="00EA234E" w:rsidRDefault="00EA234E" w:rsidP="00B6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68D3F" w14:textId="77777777" w:rsidR="00B61206" w:rsidRDefault="00B612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E74BB" w14:textId="77777777" w:rsidR="00B61206" w:rsidRDefault="00B612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59862" w14:textId="77777777" w:rsidR="00B61206" w:rsidRDefault="00B61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BF61D" w14:textId="77777777" w:rsidR="00EA234E" w:rsidRDefault="00EA234E" w:rsidP="00B61206">
      <w:pPr>
        <w:spacing w:after="0" w:line="240" w:lineRule="auto"/>
      </w:pPr>
      <w:r>
        <w:separator/>
      </w:r>
    </w:p>
  </w:footnote>
  <w:footnote w:type="continuationSeparator" w:id="0">
    <w:p w14:paraId="22C7B74D" w14:textId="77777777" w:rsidR="00EA234E" w:rsidRDefault="00EA234E" w:rsidP="00B61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B3B6D" w14:textId="77777777" w:rsidR="00B61206" w:rsidRDefault="00B612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348967"/>
      <w:docPartObj>
        <w:docPartGallery w:val="Page Numbers (Top of Page)"/>
        <w:docPartUnique/>
      </w:docPartObj>
    </w:sdtPr>
    <w:sdtEndPr>
      <w:rPr>
        <w:noProof/>
      </w:rPr>
    </w:sdtEndPr>
    <w:sdtContent>
      <w:p w14:paraId="0173D048" w14:textId="424CC1F3" w:rsidR="00B61206" w:rsidRDefault="00B6120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86CC325" w14:textId="77777777" w:rsidR="00B61206" w:rsidRDefault="00B612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4587C" w14:textId="77777777" w:rsidR="00B61206" w:rsidRDefault="00B612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C10E44"/>
    <w:multiLevelType w:val="hybridMultilevel"/>
    <w:tmpl w:val="477CB74C"/>
    <w:lvl w:ilvl="0" w:tplc="592410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F71"/>
    <w:rsid w:val="000015A1"/>
    <w:rsid w:val="00002756"/>
    <w:rsid w:val="00002D2E"/>
    <w:rsid w:val="00003911"/>
    <w:rsid w:val="00003C05"/>
    <w:rsid w:val="000041F6"/>
    <w:rsid w:val="0000459C"/>
    <w:rsid w:val="0000505A"/>
    <w:rsid w:val="000050DA"/>
    <w:rsid w:val="0000517F"/>
    <w:rsid w:val="00006CC7"/>
    <w:rsid w:val="00007A33"/>
    <w:rsid w:val="00020C45"/>
    <w:rsid w:val="00020D24"/>
    <w:rsid w:val="00020FD7"/>
    <w:rsid w:val="000216C8"/>
    <w:rsid w:val="00023DA4"/>
    <w:rsid w:val="0002510F"/>
    <w:rsid w:val="000275B2"/>
    <w:rsid w:val="000301E8"/>
    <w:rsid w:val="0003173B"/>
    <w:rsid w:val="0003179E"/>
    <w:rsid w:val="0003185A"/>
    <w:rsid w:val="00032587"/>
    <w:rsid w:val="00041F75"/>
    <w:rsid w:val="000420B3"/>
    <w:rsid w:val="0004294F"/>
    <w:rsid w:val="00044021"/>
    <w:rsid w:val="0004422B"/>
    <w:rsid w:val="00045681"/>
    <w:rsid w:val="00045717"/>
    <w:rsid w:val="000458D3"/>
    <w:rsid w:val="0004593C"/>
    <w:rsid w:val="000461C6"/>
    <w:rsid w:val="00047555"/>
    <w:rsid w:val="000477C1"/>
    <w:rsid w:val="00050045"/>
    <w:rsid w:val="00050355"/>
    <w:rsid w:val="000532D2"/>
    <w:rsid w:val="00053873"/>
    <w:rsid w:val="00053920"/>
    <w:rsid w:val="00053CBE"/>
    <w:rsid w:val="0005482C"/>
    <w:rsid w:val="00054D0A"/>
    <w:rsid w:val="00054E70"/>
    <w:rsid w:val="0006010D"/>
    <w:rsid w:val="000603AA"/>
    <w:rsid w:val="000603ED"/>
    <w:rsid w:val="00060C36"/>
    <w:rsid w:val="000619E5"/>
    <w:rsid w:val="00062880"/>
    <w:rsid w:val="000631E2"/>
    <w:rsid w:val="00063F7C"/>
    <w:rsid w:val="00063FFA"/>
    <w:rsid w:val="000646D2"/>
    <w:rsid w:val="00064886"/>
    <w:rsid w:val="00065871"/>
    <w:rsid w:val="00066230"/>
    <w:rsid w:val="0006637A"/>
    <w:rsid w:val="0007035F"/>
    <w:rsid w:val="00071497"/>
    <w:rsid w:val="00073F8F"/>
    <w:rsid w:val="000749BB"/>
    <w:rsid w:val="00076CF0"/>
    <w:rsid w:val="000777C4"/>
    <w:rsid w:val="00077F79"/>
    <w:rsid w:val="0008261F"/>
    <w:rsid w:val="000859FF"/>
    <w:rsid w:val="00087B91"/>
    <w:rsid w:val="00091591"/>
    <w:rsid w:val="00091E4B"/>
    <w:rsid w:val="000920B2"/>
    <w:rsid w:val="000924CD"/>
    <w:rsid w:val="0009332D"/>
    <w:rsid w:val="00094C2B"/>
    <w:rsid w:val="000956F3"/>
    <w:rsid w:val="0009794B"/>
    <w:rsid w:val="000A12A4"/>
    <w:rsid w:val="000A4FCE"/>
    <w:rsid w:val="000A5601"/>
    <w:rsid w:val="000A757C"/>
    <w:rsid w:val="000B0A4C"/>
    <w:rsid w:val="000B3556"/>
    <w:rsid w:val="000B46C8"/>
    <w:rsid w:val="000B77AB"/>
    <w:rsid w:val="000C025F"/>
    <w:rsid w:val="000C1516"/>
    <w:rsid w:val="000C23C8"/>
    <w:rsid w:val="000C29B4"/>
    <w:rsid w:val="000C3598"/>
    <w:rsid w:val="000C4C0E"/>
    <w:rsid w:val="000D01B9"/>
    <w:rsid w:val="000D3C86"/>
    <w:rsid w:val="000D4417"/>
    <w:rsid w:val="000D708D"/>
    <w:rsid w:val="000D7365"/>
    <w:rsid w:val="000D7916"/>
    <w:rsid w:val="000E0621"/>
    <w:rsid w:val="000E1534"/>
    <w:rsid w:val="000E167D"/>
    <w:rsid w:val="000E3C86"/>
    <w:rsid w:val="000E3D06"/>
    <w:rsid w:val="000E45AD"/>
    <w:rsid w:val="000E4A76"/>
    <w:rsid w:val="000E57FF"/>
    <w:rsid w:val="000F0FD4"/>
    <w:rsid w:val="000F253A"/>
    <w:rsid w:val="000F3969"/>
    <w:rsid w:val="000F5C8E"/>
    <w:rsid w:val="000F621C"/>
    <w:rsid w:val="000F6D02"/>
    <w:rsid w:val="000F760B"/>
    <w:rsid w:val="001000EB"/>
    <w:rsid w:val="00102C4D"/>
    <w:rsid w:val="0010323D"/>
    <w:rsid w:val="001032D5"/>
    <w:rsid w:val="00103BD1"/>
    <w:rsid w:val="00103FD0"/>
    <w:rsid w:val="001046C3"/>
    <w:rsid w:val="00105F99"/>
    <w:rsid w:val="00105FED"/>
    <w:rsid w:val="0010723B"/>
    <w:rsid w:val="0011135A"/>
    <w:rsid w:val="001118CB"/>
    <w:rsid w:val="00113239"/>
    <w:rsid w:val="00113916"/>
    <w:rsid w:val="00114BCC"/>
    <w:rsid w:val="001167B7"/>
    <w:rsid w:val="001169E8"/>
    <w:rsid w:val="00117BEB"/>
    <w:rsid w:val="001201D9"/>
    <w:rsid w:val="0012055A"/>
    <w:rsid w:val="00122051"/>
    <w:rsid w:val="00123046"/>
    <w:rsid w:val="00123B5F"/>
    <w:rsid w:val="00124C53"/>
    <w:rsid w:val="00124FAC"/>
    <w:rsid w:val="00126DFE"/>
    <w:rsid w:val="00127870"/>
    <w:rsid w:val="0013005A"/>
    <w:rsid w:val="00137FB2"/>
    <w:rsid w:val="00142D3B"/>
    <w:rsid w:val="00145867"/>
    <w:rsid w:val="001459EC"/>
    <w:rsid w:val="00150DFA"/>
    <w:rsid w:val="00153D4A"/>
    <w:rsid w:val="00154A3D"/>
    <w:rsid w:val="00156408"/>
    <w:rsid w:val="00156715"/>
    <w:rsid w:val="0015772B"/>
    <w:rsid w:val="00157760"/>
    <w:rsid w:val="00161673"/>
    <w:rsid w:val="00166EA6"/>
    <w:rsid w:val="00170988"/>
    <w:rsid w:val="00170FBC"/>
    <w:rsid w:val="001736DC"/>
    <w:rsid w:val="0018097B"/>
    <w:rsid w:val="0018133C"/>
    <w:rsid w:val="0018286B"/>
    <w:rsid w:val="00182E3A"/>
    <w:rsid w:val="00183E89"/>
    <w:rsid w:val="00184450"/>
    <w:rsid w:val="001869FC"/>
    <w:rsid w:val="00190516"/>
    <w:rsid w:val="00190B2A"/>
    <w:rsid w:val="00192FD9"/>
    <w:rsid w:val="00193B38"/>
    <w:rsid w:val="001947C0"/>
    <w:rsid w:val="00194BF7"/>
    <w:rsid w:val="00195294"/>
    <w:rsid w:val="00195F1E"/>
    <w:rsid w:val="00197E0A"/>
    <w:rsid w:val="00197F11"/>
    <w:rsid w:val="001A053C"/>
    <w:rsid w:val="001A08DC"/>
    <w:rsid w:val="001A23F3"/>
    <w:rsid w:val="001A4D30"/>
    <w:rsid w:val="001A53E3"/>
    <w:rsid w:val="001A5C3E"/>
    <w:rsid w:val="001A62FE"/>
    <w:rsid w:val="001B17BA"/>
    <w:rsid w:val="001B270E"/>
    <w:rsid w:val="001B6E24"/>
    <w:rsid w:val="001C2C4C"/>
    <w:rsid w:val="001C3713"/>
    <w:rsid w:val="001C4618"/>
    <w:rsid w:val="001C740A"/>
    <w:rsid w:val="001C77F6"/>
    <w:rsid w:val="001C7FC5"/>
    <w:rsid w:val="001D0C86"/>
    <w:rsid w:val="001D22EF"/>
    <w:rsid w:val="001D314E"/>
    <w:rsid w:val="001D3A69"/>
    <w:rsid w:val="001D786A"/>
    <w:rsid w:val="001E0118"/>
    <w:rsid w:val="001E03EC"/>
    <w:rsid w:val="001E1060"/>
    <w:rsid w:val="001E189C"/>
    <w:rsid w:val="001E22E1"/>
    <w:rsid w:val="001E2418"/>
    <w:rsid w:val="001E527F"/>
    <w:rsid w:val="001E5360"/>
    <w:rsid w:val="001E6721"/>
    <w:rsid w:val="001E6CE4"/>
    <w:rsid w:val="001E735C"/>
    <w:rsid w:val="001F08D6"/>
    <w:rsid w:val="001F11D5"/>
    <w:rsid w:val="001F1640"/>
    <w:rsid w:val="001F1A45"/>
    <w:rsid w:val="001F307D"/>
    <w:rsid w:val="001F3707"/>
    <w:rsid w:val="001F4834"/>
    <w:rsid w:val="001F6504"/>
    <w:rsid w:val="001F7A03"/>
    <w:rsid w:val="001F7C30"/>
    <w:rsid w:val="00200C50"/>
    <w:rsid w:val="00200FF1"/>
    <w:rsid w:val="002011C7"/>
    <w:rsid w:val="00201461"/>
    <w:rsid w:val="00204559"/>
    <w:rsid w:val="00205DE3"/>
    <w:rsid w:val="00206E61"/>
    <w:rsid w:val="00207464"/>
    <w:rsid w:val="00207BBB"/>
    <w:rsid w:val="00207C3C"/>
    <w:rsid w:val="00210691"/>
    <w:rsid w:val="00211374"/>
    <w:rsid w:val="00211B6C"/>
    <w:rsid w:val="0021355E"/>
    <w:rsid w:val="00213C0F"/>
    <w:rsid w:val="0021472B"/>
    <w:rsid w:val="00214BE2"/>
    <w:rsid w:val="002174FB"/>
    <w:rsid w:val="00220E32"/>
    <w:rsid w:val="002225C7"/>
    <w:rsid w:val="0022609F"/>
    <w:rsid w:val="002267D6"/>
    <w:rsid w:val="00227F43"/>
    <w:rsid w:val="00230356"/>
    <w:rsid w:val="00231D7A"/>
    <w:rsid w:val="00232D9C"/>
    <w:rsid w:val="00233281"/>
    <w:rsid w:val="00234FDE"/>
    <w:rsid w:val="00235DA3"/>
    <w:rsid w:val="0023728B"/>
    <w:rsid w:val="00237E3E"/>
    <w:rsid w:val="00243BA3"/>
    <w:rsid w:val="00244E30"/>
    <w:rsid w:val="00245262"/>
    <w:rsid w:val="00246C21"/>
    <w:rsid w:val="002507FE"/>
    <w:rsid w:val="00251465"/>
    <w:rsid w:val="00252F98"/>
    <w:rsid w:val="0025393B"/>
    <w:rsid w:val="00254069"/>
    <w:rsid w:val="002552F6"/>
    <w:rsid w:val="00257C95"/>
    <w:rsid w:val="0026108D"/>
    <w:rsid w:val="0026215F"/>
    <w:rsid w:val="00262298"/>
    <w:rsid w:val="00262D7A"/>
    <w:rsid w:val="00263BA6"/>
    <w:rsid w:val="00264481"/>
    <w:rsid w:val="0026511D"/>
    <w:rsid w:val="0026518B"/>
    <w:rsid w:val="00270F9D"/>
    <w:rsid w:val="00271678"/>
    <w:rsid w:val="00271D8E"/>
    <w:rsid w:val="00272888"/>
    <w:rsid w:val="0027329B"/>
    <w:rsid w:val="00274FAB"/>
    <w:rsid w:val="00275402"/>
    <w:rsid w:val="00275719"/>
    <w:rsid w:val="0027682C"/>
    <w:rsid w:val="00277D47"/>
    <w:rsid w:val="00282887"/>
    <w:rsid w:val="00283B91"/>
    <w:rsid w:val="00284C87"/>
    <w:rsid w:val="00285AE0"/>
    <w:rsid w:val="0028701D"/>
    <w:rsid w:val="002909C0"/>
    <w:rsid w:val="0029174F"/>
    <w:rsid w:val="00291999"/>
    <w:rsid w:val="00293096"/>
    <w:rsid w:val="002940BD"/>
    <w:rsid w:val="0029496D"/>
    <w:rsid w:val="002956EB"/>
    <w:rsid w:val="00295D76"/>
    <w:rsid w:val="00297F33"/>
    <w:rsid w:val="002A0EEE"/>
    <w:rsid w:val="002A1164"/>
    <w:rsid w:val="002A32E6"/>
    <w:rsid w:val="002A4290"/>
    <w:rsid w:val="002A575C"/>
    <w:rsid w:val="002A5F33"/>
    <w:rsid w:val="002A7EC4"/>
    <w:rsid w:val="002B0CC3"/>
    <w:rsid w:val="002B22C3"/>
    <w:rsid w:val="002B29A4"/>
    <w:rsid w:val="002B2DEB"/>
    <w:rsid w:val="002B34A4"/>
    <w:rsid w:val="002B3DD7"/>
    <w:rsid w:val="002B4CC6"/>
    <w:rsid w:val="002B5627"/>
    <w:rsid w:val="002B61EB"/>
    <w:rsid w:val="002B63AD"/>
    <w:rsid w:val="002B6B44"/>
    <w:rsid w:val="002B6BD1"/>
    <w:rsid w:val="002C07E6"/>
    <w:rsid w:val="002C101C"/>
    <w:rsid w:val="002C24B4"/>
    <w:rsid w:val="002C3FED"/>
    <w:rsid w:val="002C6610"/>
    <w:rsid w:val="002D39F6"/>
    <w:rsid w:val="002D4974"/>
    <w:rsid w:val="002D7559"/>
    <w:rsid w:val="002E0F96"/>
    <w:rsid w:val="002E6CA2"/>
    <w:rsid w:val="002F081F"/>
    <w:rsid w:val="002F0DD5"/>
    <w:rsid w:val="002F1B15"/>
    <w:rsid w:val="002F1D7E"/>
    <w:rsid w:val="002F1F4F"/>
    <w:rsid w:val="002F2486"/>
    <w:rsid w:val="002F24A1"/>
    <w:rsid w:val="002F2A1F"/>
    <w:rsid w:val="002F4E43"/>
    <w:rsid w:val="002F5838"/>
    <w:rsid w:val="002F76AA"/>
    <w:rsid w:val="0030031B"/>
    <w:rsid w:val="0030287C"/>
    <w:rsid w:val="003035A7"/>
    <w:rsid w:val="00305A28"/>
    <w:rsid w:val="00306523"/>
    <w:rsid w:val="00306580"/>
    <w:rsid w:val="00306A0C"/>
    <w:rsid w:val="00312EB5"/>
    <w:rsid w:val="00313683"/>
    <w:rsid w:val="00314BB2"/>
    <w:rsid w:val="00320458"/>
    <w:rsid w:val="00324F93"/>
    <w:rsid w:val="00330D96"/>
    <w:rsid w:val="00332ED5"/>
    <w:rsid w:val="003355D7"/>
    <w:rsid w:val="003365B8"/>
    <w:rsid w:val="003443E5"/>
    <w:rsid w:val="0034598A"/>
    <w:rsid w:val="0034634D"/>
    <w:rsid w:val="003466B2"/>
    <w:rsid w:val="0034678A"/>
    <w:rsid w:val="00346BF2"/>
    <w:rsid w:val="00346EA8"/>
    <w:rsid w:val="00347BC2"/>
    <w:rsid w:val="003529CD"/>
    <w:rsid w:val="00353382"/>
    <w:rsid w:val="00354ED7"/>
    <w:rsid w:val="003551AE"/>
    <w:rsid w:val="003559F0"/>
    <w:rsid w:val="00356817"/>
    <w:rsid w:val="00357109"/>
    <w:rsid w:val="003575F8"/>
    <w:rsid w:val="00361AA7"/>
    <w:rsid w:val="00361F2E"/>
    <w:rsid w:val="003622E8"/>
    <w:rsid w:val="00362C66"/>
    <w:rsid w:val="003634DA"/>
    <w:rsid w:val="00367F3F"/>
    <w:rsid w:val="0037456E"/>
    <w:rsid w:val="00374E99"/>
    <w:rsid w:val="0037573B"/>
    <w:rsid w:val="00376E4E"/>
    <w:rsid w:val="00377EDA"/>
    <w:rsid w:val="003807FB"/>
    <w:rsid w:val="00381D23"/>
    <w:rsid w:val="00382E96"/>
    <w:rsid w:val="00382FC4"/>
    <w:rsid w:val="00384424"/>
    <w:rsid w:val="003872C0"/>
    <w:rsid w:val="0038737F"/>
    <w:rsid w:val="00387EA6"/>
    <w:rsid w:val="00390BA2"/>
    <w:rsid w:val="00390DE0"/>
    <w:rsid w:val="0039163E"/>
    <w:rsid w:val="003916EF"/>
    <w:rsid w:val="00391F8E"/>
    <w:rsid w:val="00396992"/>
    <w:rsid w:val="003A19C1"/>
    <w:rsid w:val="003A2987"/>
    <w:rsid w:val="003A326E"/>
    <w:rsid w:val="003A6D77"/>
    <w:rsid w:val="003A6E67"/>
    <w:rsid w:val="003A7F9F"/>
    <w:rsid w:val="003B0946"/>
    <w:rsid w:val="003B107C"/>
    <w:rsid w:val="003B2805"/>
    <w:rsid w:val="003B3791"/>
    <w:rsid w:val="003B3BAF"/>
    <w:rsid w:val="003B4DD7"/>
    <w:rsid w:val="003B6138"/>
    <w:rsid w:val="003B6672"/>
    <w:rsid w:val="003B77E1"/>
    <w:rsid w:val="003C07B0"/>
    <w:rsid w:val="003C12F5"/>
    <w:rsid w:val="003C3579"/>
    <w:rsid w:val="003C592A"/>
    <w:rsid w:val="003C5A12"/>
    <w:rsid w:val="003D0D19"/>
    <w:rsid w:val="003D2287"/>
    <w:rsid w:val="003D2D7B"/>
    <w:rsid w:val="003D56D4"/>
    <w:rsid w:val="003D65A0"/>
    <w:rsid w:val="003D6F91"/>
    <w:rsid w:val="003D73BF"/>
    <w:rsid w:val="003E1F18"/>
    <w:rsid w:val="003E2752"/>
    <w:rsid w:val="003E32D9"/>
    <w:rsid w:val="003E6F5A"/>
    <w:rsid w:val="003F014F"/>
    <w:rsid w:val="003F3CCC"/>
    <w:rsid w:val="003F4C0D"/>
    <w:rsid w:val="003F604F"/>
    <w:rsid w:val="003F783F"/>
    <w:rsid w:val="004026AD"/>
    <w:rsid w:val="004032FE"/>
    <w:rsid w:val="00403848"/>
    <w:rsid w:val="00404D07"/>
    <w:rsid w:val="0040592B"/>
    <w:rsid w:val="00406BF4"/>
    <w:rsid w:val="00407FED"/>
    <w:rsid w:val="0041209C"/>
    <w:rsid w:val="00412638"/>
    <w:rsid w:val="0041466E"/>
    <w:rsid w:val="0041472D"/>
    <w:rsid w:val="00420A73"/>
    <w:rsid w:val="00421EF0"/>
    <w:rsid w:val="004238F3"/>
    <w:rsid w:val="004239CF"/>
    <w:rsid w:val="00426067"/>
    <w:rsid w:val="00427766"/>
    <w:rsid w:val="00427A92"/>
    <w:rsid w:val="00432E8E"/>
    <w:rsid w:val="00433E32"/>
    <w:rsid w:val="00435B18"/>
    <w:rsid w:val="0043659D"/>
    <w:rsid w:val="0043683B"/>
    <w:rsid w:val="0043754D"/>
    <w:rsid w:val="00443745"/>
    <w:rsid w:val="0044384E"/>
    <w:rsid w:val="00443A24"/>
    <w:rsid w:val="00443E95"/>
    <w:rsid w:val="00445458"/>
    <w:rsid w:val="004477D3"/>
    <w:rsid w:val="004501A7"/>
    <w:rsid w:val="00450DB2"/>
    <w:rsid w:val="0045175E"/>
    <w:rsid w:val="00453B0D"/>
    <w:rsid w:val="00455363"/>
    <w:rsid w:val="00455774"/>
    <w:rsid w:val="00455888"/>
    <w:rsid w:val="00455E9F"/>
    <w:rsid w:val="004564BA"/>
    <w:rsid w:val="00457303"/>
    <w:rsid w:val="004608E0"/>
    <w:rsid w:val="00461A73"/>
    <w:rsid w:val="00462D49"/>
    <w:rsid w:val="0046383A"/>
    <w:rsid w:val="00463FF2"/>
    <w:rsid w:val="00464372"/>
    <w:rsid w:val="00464C86"/>
    <w:rsid w:val="00466063"/>
    <w:rsid w:val="00466BAF"/>
    <w:rsid w:val="004711E1"/>
    <w:rsid w:val="00471A11"/>
    <w:rsid w:val="0047266F"/>
    <w:rsid w:val="004745A1"/>
    <w:rsid w:val="00476C69"/>
    <w:rsid w:val="0047780C"/>
    <w:rsid w:val="0048248D"/>
    <w:rsid w:val="004832FE"/>
    <w:rsid w:val="004858A9"/>
    <w:rsid w:val="0048792B"/>
    <w:rsid w:val="00490538"/>
    <w:rsid w:val="00490961"/>
    <w:rsid w:val="0049192E"/>
    <w:rsid w:val="00491CE3"/>
    <w:rsid w:val="00492F11"/>
    <w:rsid w:val="00494D91"/>
    <w:rsid w:val="00496CD5"/>
    <w:rsid w:val="00497422"/>
    <w:rsid w:val="00497C6C"/>
    <w:rsid w:val="004A0734"/>
    <w:rsid w:val="004A1447"/>
    <w:rsid w:val="004A1A50"/>
    <w:rsid w:val="004A2ADB"/>
    <w:rsid w:val="004A2C7F"/>
    <w:rsid w:val="004A2D28"/>
    <w:rsid w:val="004A2F11"/>
    <w:rsid w:val="004A3452"/>
    <w:rsid w:val="004A3748"/>
    <w:rsid w:val="004A3D8B"/>
    <w:rsid w:val="004A3FAE"/>
    <w:rsid w:val="004A409D"/>
    <w:rsid w:val="004A42BC"/>
    <w:rsid w:val="004A4A68"/>
    <w:rsid w:val="004A5413"/>
    <w:rsid w:val="004B18D4"/>
    <w:rsid w:val="004B1FBF"/>
    <w:rsid w:val="004B2FCA"/>
    <w:rsid w:val="004B5DEB"/>
    <w:rsid w:val="004C14EE"/>
    <w:rsid w:val="004C24E2"/>
    <w:rsid w:val="004C37D8"/>
    <w:rsid w:val="004C3A4B"/>
    <w:rsid w:val="004C3DD9"/>
    <w:rsid w:val="004C635F"/>
    <w:rsid w:val="004C6710"/>
    <w:rsid w:val="004C7ED3"/>
    <w:rsid w:val="004D4C6C"/>
    <w:rsid w:val="004D5105"/>
    <w:rsid w:val="004D5735"/>
    <w:rsid w:val="004D7F9C"/>
    <w:rsid w:val="004E03E4"/>
    <w:rsid w:val="004E0BEC"/>
    <w:rsid w:val="004E18DB"/>
    <w:rsid w:val="004E1ED5"/>
    <w:rsid w:val="004E2A14"/>
    <w:rsid w:val="004E5668"/>
    <w:rsid w:val="004E7003"/>
    <w:rsid w:val="004F008A"/>
    <w:rsid w:val="004F0734"/>
    <w:rsid w:val="004F0AA0"/>
    <w:rsid w:val="004F1926"/>
    <w:rsid w:val="004F38D7"/>
    <w:rsid w:val="004F5DE7"/>
    <w:rsid w:val="004F5FE4"/>
    <w:rsid w:val="004F761C"/>
    <w:rsid w:val="004F7828"/>
    <w:rsid w:val="0050074B"/>
    <w:rsid w:val="005018CC"/>
    <w:rsid w:val="00502130"/>
    <w:rsid w:val="00503A7F"/>
    <w:rsid w:val="00504F57"/>
    <w:rsid w:val="0050614E"/>
    <w:rsid w:val="005069E8"/>
    <w:rsid w:val="005073D8"/>
    <w:rsid w:val="00512AE9"/>
    <w:rsid w:val="00513107"/>
    <w:rsid w:val="00514129"/>
    <w:rsid w:val="00514840"/>
    <w:rsid w:val="00514BAD"/>
    <w:rsid w:val="005152D9"/>
    <w:rsid w:val="00525783"/>
    <w:rsid w:val="00526449"/>
    <w:rsid w:val="00526706"/>
    <w:rsid w:val="005269CC"/>
    <w:rsid w:val="0053036E"/>
    <w:rsid w:val="00530C0D"/>
    <w:rsid w:val="00531789"/>
    <w:rsid w:val="00531FB0"/>
    <w:rsid w:val="00532C54"/>
    <w:rsid w:val="00533A37"/>
    <w:rsid w:val="00533DCA"/>
    <w:rsid w:val="00540E4A"/>
    <w:rsid w:val="00543332"/>
    <w:rsid w:val="00543920"/>
    <w:rsid w:val="00551B43"/>
    <w:rsid w:val="00551C18"/>
    <w:rsid w:val="0055312C"/>
    <w:rsid w:val="005547D2"/>
    <w:rsid w:val="00557C7C"/>
    <w:rsid w:val="005622D4"/>
    <w:rsid w:val="00562E8A"/>
    <w:rsid w:val="00565D80"/>
    <w:rsid w:val="0056634F"/>
    <w:rsid w:val="0056667E"/>
    <w:rsid w:val="00566794"/>
    <w:rsid w:val="00566A28"/>
    <w:rsid w:val="00567F1D"/>
    <w:rsid w:val="00570522"/>
    <w:rsid w:val="00571B87"/>
    <w:rsid w:val="00574F83"/>
    <w:rsid w:val="00575450"/>
    <w:rsid w:val="0057661C"/>
    <w:rsid w:val="00577A96"/>
    <w:rsid w:val="00581201"/>
    <w:rsid w:val="00582A02"/>
    <w:rsid w:val="00584811"/>
    <w:rsid w:val="00587673"/>
    <w:rsid w:val="00590927"/>
    <w:rsid w:val="00592417"/>
    <w:rsid w:val="00594777"/>
    <w:rsid w:val="005A03C9"/>
    <w:rsid w:val="005A0C52"/>
    <w:rsid w:val="005A21AA"/>
    <w:rsid w:val="005A3C46"/>
    <w:rsid w:val="005A5561"/>
    <w:rsid w:val="005A66B8"/>
    <w:rsid w:val="005A7F04"/>
    <w:rsid w:val="005B1F89"/>
    <w:rsid w:val="005B2345"/>
    <w:rsid w:val="005B2B15"/>
    <w:rsid w:val="005B33D2"/>
    <w:rsid w:val="005B5221"/>
    <w:rsid w:val="005B554C"/>
    <w:rsid w:val="005B7F04"/>
    <w:rsid w:val="005C0CED"/>
    <w:rsid w:val="005C12D3"/>
    <w:rsid w:val="005C1BB7"/>
    <w:rsid w:val="005C3FC3"/>
    <w:rsid w:val="005C51BE"/>
    <w:rsid w:val="005C6DDE"/>
    <w:rsid w:val="005C7159"/>
    <w:rsid w:val="005C7769"/>
    <w:rsid w:val="005C798C"/>
    <w:rsid w:val="005C7BE8"/>
    <w:rsid w:val="005D0133"/>
    <w:rsid w:val="005D10CE"/>
    <w:rsid w:val="005D135E"/>
    <w:rsid w:val="005D1AEE"/>
    <w:rsid w:val="005D6851"/>
    <w:rsid w:val="005D6D82"/>
    <w:rsid w:val="005D7E4C"/>
    <w:rsid w:val="005D7FDE"/>
    <w:rsid w:val="005E138D"/>
    <w:rsid w:val="005E1A32"/>
    <w:rsid w:val="005E274B"/>
    <w:rsid w:val="005E2CF5"/>
    <w:rsid w:val="005E3ADD"/>
    <w:rsid w:val="005E42AA"/>
    <w:rsid w:val="005E4AC4"/>
    <w:rsid w:val="005E4D39"/>
    <w:rsid w:val="005E6D37"/>
    <w:rsid w:val="005F0695"/>
    <w:rsid w:val="005F0B7A"/>
    <w:rsid w:val="005F2EA8"/>
    <w:rsid w:val="005F4356"/>
    <w:rsid w:val="005F68C9"/>
    <w:rsid w:val="00600765"/>
    <w:rsid w:val="00600E40"/>
    <w:rsid w:val="00601B9F"/>
    <w:rsid w:val="006037EC"/>
    <w:rsid w:val="00603C78"/>
    <w:rsid w:val="00604C52"/>
    <w:rsid w:val="00607003"/>
    <w:rsid w:val="00610793"/>
    <w:rsid w:val="00613DD3"/>
    <w:rsid w:val="00615EF1"/>
    <w:rsid w:val="00617F2A"/>
    <w:rsid w:val="006215B7"/>
    <w:rsid w:val="00621F02"/>
    <w:rsid w:val="006233F7"/>
    <w:rsid w:val="00625411"/>
    <w:rsid w:val="00625623"/>
    <w:rsid w:val="00625988"/>
    <w:rsid w:val="00625BDA"/>
    <w:rsid w:val="00627502"/>
    <w:rsid w:val="00630CFA"/>
    <w:rsid w:val="00630EF5"/>
    <w:rsid w:val="00632A53"/>
    <w:rsid w:val="00633D11"/>
    <w:rsid w:val="00634341"/>
    <w:rsid w:val="006359D1"/>
    <w:rsid w:val="00637FCD"/>
    <w:rsid w:val="00642DAE"/>
    <w:rsid w:val="00643860"/>
    <w:rsid w:val="00645ED3"/>
    <w:rsid w:val="006507AB"/>
    <w:rsid w:val="0065118C"/>
    <w:rsid w:val="00651249"/>
    <w:rsid w:val="00651AD1"/>
    <w:rsid w:val="0065410A"/>
    <w:rsid w:val="00654EC6"/>
    <w:rsid w:val="00656B93"/>
    <w:rsid w:val="00660C6A"/>
    <w:rsid w:val="006626E5"/>
    <w:rsid w:val="0066514C"/>
    <w:rsid w:val="006672C3"/>
    <w:rsid w:val="00670F74"/>
    <w:rsid w:val="006713BB"/>
    <w:rsid w:val="00671465"/>
    <w:rsid w:val="00671D5E"/>
    <w:rsid w:val="00672A1F"/>
    <w:rsid w:val="00674329"/>
    <w:rsid w:val="006745CD"/>
    <w:rsid w:val="0067648E"/>
    <w:rsid w:val="0067670C"/>
    <w:rsid w:val="006776AD"/>
    <w:rsid w:val="006819F3"/>
    <w:rsid w:val="006849D6"/>
    <w:rsid w:val="006866EE"/>
    <w:rsid w:val="00686CDC"/>
    <w:rsid w:val="00687725"/>
    <w:rsid w:val="0069026B"/>
    <w:rsid w:val="006909D4"/>
    <w:rsid w:val="00690C07"/>
    <w:rsid w:val="00691002"/>
    <w:rsid w:val="00691485"/>
    <w:rsid w:val="006930E3"/>
    <w:rsid w:val="0069361F"/>
    <w:rsid w:val="00693810"/>
    <w:rsid w:val="00694908"/>
    <w:rsid w:val="0069588A"/>
    <w:rsid w:val="00695CF7"/>
    <w:rsid w:val="00696635"/>
    <w:rsid w:val="00697908"/>
    <w:rsid w:val="006A099E"/>
    <w:rsid w:val="006A114A"/>
    <w:rsid w:val="006A14A4"/>
    <w:rsid w:val="006A2516"/>
    <w:rsid w:val="006A31C1"/>
    <w:rsid w:val="006A527A"/>
    <w:rsid w:val="006A5B4B"/>
    <w:rsid w:val="006A6C3D"/>
    <w:rsid w:val="006A74FE"/>
    <w:rsid w:val="006B208E"/>
    <w:rsid w:val="006B4E32"/>
    <w:rsid w:val="006C1334"/>
    <w:rsid w:val="006C7B5C"/>
    <w:rsid w:val="006D3090"/>
    <w:rsid w:val="006D384E"/>
    <w:rsid w:val="006D4F8F"/>
    <w:rsid w:val="006D57AD"/>
    <w:rsid w:val="006D631F"/>
    <w:rsid w:val="006D6AD9"/>
    <w:rsid w:val="006D6DF1"/>
    <w:rsid w:val="006D7959"/>
    <w:rsid w:val="006E1841"/>
    <w:rsid w:val="006E1D50"/>
    <w:rsid w:val="006E2AA9"/>
    <w:rsid w:val="006E2E16"/>
    <w:rsid w:val="006E5153"/>
    <w:rsid w:val="006F168B"/>
    <w:rsid w:val="006F7E32"/>
    <w:rsid w:val="007000A5"/>
    <w:rsid w:val="00702AB2"/>
    <w:rsid w:val="00702E20"/>
    <w:rsid w:val="00703996"/>
    <w:rsid w:val="007058E9"/>
    <w:rsid w:val="0070666C"/>
    <w:rsid w:val="007113DC"/>
    <w:rsid w:val="00713EB3"/>
    <w:rsid w:val="00714EDE"/>
    <w:rsid w:val="007174F3"/>
    <w:rsid w:val="0072319D"/>
    <w:rsid w:val="007255B9"/>
    <w:rsid w:val="00725A22"/>
    <w:rsid w:val="00727CE4"/>
    <w:rsid w:val="0073086C"/>
    <w:rsid w:val="00731663"/>
    <w:rsid w:val="00731A9B"/>
    <w:rsid w:val="00731EEC"/>
    <w:rsid w:val="00733C52"/>
    <w:rsid w:val="00733F1B"/>
    <w:rsid w:val="007409D6"/>
    <w:rsid w:val="0074342C"/>
    <w:rsid w:val="00746671"/>
    <w:rsid w:val="00750C96"/>
    <w:rsid w:val="00750E14"/>
    <w:rsid w:val="007532F9"/>
    <w:rsid w:val="00753EF0"/>
    <w:rsid w:val="00755547"/>
    <w:rsid w:val="00756EAE"/>
    <w:rsid w:val="00757C18"/>
    <w:rsid w:val="0076085E"/>
    <w:rsid w:val="00760BEF"/>
    <w:rsid w:val="007623A8"/>
    <w:rsid w:val="007637FE"/>
    <w:rsid w:val="00764061"/>
    <w:rsid w:val="00766042"/>
    <w:rsid w:val="0076641E"/>
    <w:rsid w:val="00770744"/>
    <w:rsid w:val="00770805"/>
    <w:rsid w:val="007730ED"/>
    <w:rsid w:val="007733A7"/>
    <w:rsid w:val="00776288"/>
    <w:rsid w:val="00777FC5"/>
    <w:rsid w:val="00780892"/>
    <w:rsid w:val="007819AA"/>
    <w:rsid w:val="007828DC"/>
    <w:rsid w:val="00782D19"/>
    <w:rsid w:val="00785084"/>
    <w:rsid w:val="00785297"/>
    <w:rsid w:val="007901B3"/>
    <w:rsid w:val="007907BD"/>
    <w:rsid w:val="00793052"/>
    <w:rsid w:val="007967D1"/>
    <w:rsid w:val="007A0AC4"/>
    <w:rsid w:val="007A1083"/>
    <w:rsid w:val="007A366C"/>
    <w:rsid w:val="007A3AC9"/>
    <w:rsid w:val="007A6CFF"/>
    <w:rsid w:val="007A7463"/>
    <w:rsid w:val="007A7FCC"/>
    <w:rsid w:val="007B0668"/>
    <w:rsid w:val="007B7597"/>
    <w:rsid w:val="007B7C94"/>
    <w:rsid w:val="007B7FED"/>
    <w:rsid w:val="007C0AB7"/>
    <w:rsid w:val="007C2E1F"/>
    <w:rsid w:val="007C3D21"/>
    <w:rsid w:val="007C510F"/>
    <w:rsid w:val="007C5627"/>
    <w:rsid w:val="007C588E"/>
    <w:rsid w:val="007C5BB8"/>
    <w:rsid w:val="007C6765"/>
    <w:rsid w:val="007C6835"/>
    <w:rsid w:val="007C6B83"/>
    <w:rsid w:val="007C6F35"/>
    <w:rsid w:val="007C6FBF"/>
    <w:rsid w:val="007D08F8"/>
    <w:rsid w:val="007D5893"/>
    <w:rsid w:val="007D58E6"/>
    <w:rsid w:val="007E3AA0"/>
    <w:rsid w:val="007E4969"/>
    <w:rsid w:val="007E5B53"/>
    <w:rsid w:val="007E5B55"/>
    <w:rsid w:val="007F02E7"/>
    <w:rsid w:val="007F05B6"/>
    <w:rsid w:val="007F1A50"/>
    <w:rsid w:val="007F1CCD"/>
    <w:rsid w:val="007F227A"/>
    <w:rsid w:val="007F6E1C"/>
    <w:rsid w:val="007F73A6"/>
    <w:rsid w:val="008008EB"/>
    <w:rsid w:val="00801388"/>
    <w:rsid w:val="00801B35"/>
    <w:rsid w:val="008020F0"/>
    <w:rsid w:val="00803237"/>
    <w:rsid w:val="00803686"/>
    <w:rsid w:val="00803F1A"/>
    <w:rsid w:val="00804087"/>
    <w:rsid w:val="00804391"/>
    <w:rsid w:val="008053B7"/>
    <w:rsid w:val="00805478"/>
    <w:rsid w:val="008065B3"/>
    <w:rsid w:val="00807ED5"/>
    <w:rsid w:val="00810B6D"/>
    <w:rsid w:val="008117B7"/>
    <w:rsid w:val="00812B84"/>
    <w:rsid w:val="00813233"/>
    <w:rsid w:val="00814F55"/>
    <w:rsid w:val="00816874"/>
    <w:rsid w:val="00816C2F"/>
    <w:rsid w:val="00817DE0"/>
    <w:rsid w:val="00822670"/>
    <w:rsid w:val="0082423A"/>
    <w:rsid w:val="00825255"/>
    <w:rsid w:val="0082663A"/>
    <w:rsid w:val="0082689C"/>
    <w:rsid w:val="00826B49"/>
    <w:rsid w:val="0082776D"/>
    <w:rsid w:val="00827FA5"/>
    <w:rsid w:val="008307DC"/>
    <w:rsid w:val="00830EB2"/>
    <w:rsid w:val="00831DCB"/>
    <w:rsid w:val="008325DB"/>
    <w:rsid w:val="0083311F"/>
    <w:rsid w:val="008348FE"/>
    <w:rsid w:val="0084055F"/>
    <w:rsid w:val="0084083D"/>
    <w:rsid w:val="00851252"/>
    <w:rsid w:val="008520BC"/>
    <w:rsid w:val="0085291B"/>
    <w:rsid w:val="00852FBB"/>
    <w:rsid w:val="00854DB7"/>
    <w:rsid w:val="0085660C"/>
    <w:rsid w:val="00856DCF"/>
    <w:rsid w:val="008604D3"/>
    <w:rsid w:val="00860F5A"/>
    <w:rsid w:val="008616A0"/>
    <w:rsid w:val="00862E79"/>
    <w:rsid w:val="0086310A"/>
    <w:rsid w:val="00863312"/>
    <w:rsid w:val="00865D2D"/>
    <w:rsid w:val="00865F10"/>
    <w:rsid w:val="0086613C"/>
    <w:rsid w:val="008672C9"/>
    <w:rsid w:val="00867FC5"/>
    <w:rsid w:val="008729C0"/>
    <w:rsid w:val="0087523F"/>
    <w:rsid w:val="008753C4"/>
    <w:rsid w:val="008766BA"/>
    <w:rsid w:val="00877B29"/>
    <w:rsid w:val="0088415A"/>
    <w:rsid w:val="008841E3"/>
    <w:rsid w:val="0088511A"/>
    <w:rsid w:val="00886BB3"/>
    <w:rsid w:val="008901B4"/>
    <w:rsid w:val="00890CF5"/>
    <w:rsid w:val="00890D08"/>
    <w:rsid w:val="00892049"/>
    <w:rsid w:val="008925DC"/>
    <w:rsid w:val="008950C1"/>
    <w:rsid w:val="008972C6"/>
    <w:rsid w:val="008A006D"/>
    <w:rsid w:val="008A23B7"/>
    <w:rsid w:val="008A2FE5"/>
    <w:rsid w:val="008A44A5"/>
    <w:rsid w:val="008A47C4"/>
    <w:rsid w:val="008A508A"/>
    <w:rsid w:val="008B2C7F"/>
    <w:rsid w:val="008B4A2F"/>
    <w:rsid w:val="008B5F98"/>
    <w:rsid w:val="008B6DC2"/>
    <w:rsid w:val="008B71C1"/>
    <w:rsid w:val="008C03AF"/>
    <w:rsid w:val="008C05DC"/>
    <w:rsid w:val="008C224A"/>
    <w:rsid w:val="008C550C"/>
    <w:rsid w:val="008C6812"/>
    <w:rsid w:val="008D1CA3"/>
    <w:rsid w:val="008D307E"/>
    <w:rsid w:val="008D3E54"/>
    <w:rsid w:val="008D476B"/>
    <w:rsid w:val="008D4FA3"/>
    <w:rsid w:val="008D6BFD"/>
    <w:rsid w:val="008E2048"/>
    <w:rsid w:val="008E38FF"/>
    <w:rsid w:val="008E4394"/>
    <w:rsid w:val="008E4721"/>
    <w:rsid w:val="008E5209"/>
    <w:rsid w:val="008E54F2"/>
    <w:rsid w:val="008E573B"/>
    <w:rsid w:val="008E58DA"/>
    <w:rsid w:val="008E5F8C"/>
    <w:rsid w:val="008E776F"/>
    <w:rsid w:val="008F0AD5"/>
    <w:rsid w:val="008F249F"/>
    <w:rsid w:val="008F44E5"/>
    <w:rsid w:val="008F4D0D"/>
    <w:rsid w:val="008F4ED9"/>
    <w:rsid w:val="008F4F76"/>
    <w:rsid w:val="008F52B5"/>
    <w:rsid w:val="008F7D21"/>
    <w:rsid w:val="0090490F"/>
    <w:rsid w:val="00906F0C"/>
    <w:rsid w:val="00910E48"/>
    <w:rsid w:val="009111F2"/>
    <w:rsid w:val="00911D4B"/>
    <w:rsid w:val="009127DC"/>
    <w:rsid w:val="0091429E"/>
    <w:rsid w:val="00914609"/>
    <w:rsid w:val="0091514E"/>
    <w:rsid w:val="0091738B"/>
    <w:rsid w:val="0092015B"/>
    <w:rsid w:val="00921585"/>
    <w:rsid w:val="009217EF"/>
    <w:rsid w:val="00923912"/>
    <w:rsid w:val="00923CE9"/>
    <w:rsid w:val="00925EE8"/>
    <w:rsid w:val="009264BD"/>
    <w:rsid w:val="009268F3"/>
    <w:rsid w:val="00926E5C"/>
    <w:rsid w:val="00930039"/>
    <w:rsid w:val="009309D5"/>
    <w:rsid w:val="00931CA1"/>
    <w:rsid w:val="00941450"/>
    <w:rsid w:val="00941B90"/>
    <w:rsid w:val="00942C17"/>
    <w:rsid w:val="00944F99"/>
    <w:rsid w:val="00945412"/>
    <w:rsid w:val="00945A76"/>
    <w:rsid w:val="00946792"/>
    <w:rsid w:val="00946EA0"/>
    <w:rsid w:val="00950129"/>
    <w:rsid w:val="009532CE"/>
    <w:rsid w:val="00954B4E"/>
    <w:rsid w:val="009601DA"/>
    <w:rsid w:val="00961051"/>
    <w:rsid w:val="0096252A"/>
    <w:rsid w:val="00963FC6"/>
    <w:rsid w:val="00964A8B"/>
    <w:rsid w:val="00965485"/>
    <w:rsid w:val="009675F2"/>
    <w:rsid w:val="00967CF2"/>
    <w:rsid w:val="00970AA1"/>
    <w:rsid w:val="00970C1A"/>
    <w:rsid w:val="00976421"/>
    <w:rsid w:val="00977F2D"/>
    <w:rsid w:val="00985096"/>
    <w:rsid w:val="009855CE"/>
    <w:rsid w:val="009865B4"/>
    <w:rsid w:val="00990404"/>
    <w:rsid w:val="00990EC7"/>
    <w:rsid w:val="00993632"/>
    <w:rsid w:val="009949B1"/>
    <w:rsid w:val="0099585B"/>
    <w:rsid w:val="00995CC3"/>
    <w:rsid w:val="0099649F"/>
    <w:rsid w:val="00996AC4"/>
    <w:rsid w:val="009A101C"/>
    <w:rsid w:val="009A1775"/>
    <w:rsid w:val="009A3AF5"/>
    <w:rsid w:val="009A3FC1"/>
    <w:rsid w:val="009A4C6F"/>
    <w:rsid w:val="009A6C88"/>
    <w:rsid w:val="009A72AD"/>
    <w:rsid w:val="009B0032"/>
    <w:rsid w:val="009B077E"/>
    <w:rsid w:val="009B10E5"/>
    <w:rsid w:val="009B1C59"/>
    <w:rsid w:val="009B37BF"/>
    <w:rsid w:val="009B3FAB"/>
    <w:rsid w:val="009B694A"/>
    <w:rsid w:val="009C01CC"/>
    <w:rsid w:val="009C1E57"/>
    <w:rsid w:val="009C2317"/>
    <w:rsid w:val="009C2A60"/>
    <w:rsid w:val="009C2DD2"/>
    <w:rsid w:val="009C32D0"/>
    <w:rsid w:val="009C4305"/>
    <w:rsid w:val="009C4D87"/>
    <w:rsid w:val="009C4EAD"/>
    <w:rsid w:val="009C5664"/>
    <w:rsid w:val="009C64A7"/>
    <w:rsid w:val="009C70C2"/>
    <w:rsid w:val="009C7DBA"/>
    <w:rsid w:val="009D28C2"/>
    <w:rsid w:val="009D2906"/>
    <w:rsid w:val="009D2EE2"/>
    <w:rsid w:val="009D3ED8"/>
    <w:rsid w:val="009D4274"/>
    <w:rsid w:val="009D5717"/>
    <w:rsid w:val="009D638E"/>
    <w:rsid w:val="009E1A54"/>
    <w:rsid w:val="009E2372"/>
    <w:rsid w:val="009E2C6B"/>
    <w:rsid w:val="009E3482"/>
    <w:rsid w:val="009E37CC"/>
    <w:rsid w:val="009E4953"/>
    <w:rsid w:val="009E610A"/>
    <w:rsid w:val="009E71C3"/>
    <w:rsid w:val="009E745C"/>
    <w:rsid w:val="009F0915"/>
    <w:rsid w:val="009F2655"/>
    <w:rsid w:val="009F3EF8"/>
    <w:rsid w:val="009F5279"/>
    <w:rsid w:val="009F5A05"/>
    <w:rsid w:val="009F6D04"/>
    <w:rsid w:val="009F73B4"/>
    <w:rsid w:val="009F78F2"/>
    <w:rsid w:val="00A0123E"/>
    <w:rsid w:val="00A0368D"/>
    <w:rsid w:val="00A03A5A"/>
    <w:rsid w:val="00A04EE6"/>
    <w:rsid w:val="00A050E8"/>
    <w:rsid w:val="00A06730"/>
    <w:rsid w:val="00A12BBC"/>
    <w:rsid w:val="00A13B1E"/>
    <w:rsid w:val="00A14918"/>
    <w:rsid w:val="00A163DF"/>
    <w:rsid w:val="00A17AB6"/>
    <w:rsid w:val="00A20C18"/>
    <w:rsid w:val="00A22691"/>
    <w:rsid w:val="00A25683"/>
    <w:rsid w:val="00A2686A"/>
    <w:rsid w:val="00A276E9"/>
    <w:rsid w:val="00A32B95"/>
    <w:rsid w:val="00A34358"/>
    <w:rsid w:val="00A347E7"/>
    <w:rsid w:val="00A3716E"/>
    <w:rsid w:val="00A40076"/>
    <w:rsid w:val="00A406DC"/>
    <w:rsid w:val="00A42272"/>
    <w:rsid w:val="00A42434"/>
    <w:rsid w:val="00A428CE"/>
    <w:rsid w:val="00A428E7"/>
    <w:rsid w:val="00A43228"/>
    <w:rsid w:val="00A45DD2"/>
    <w:rsid w:val="00A45FF2"/>
    <w:rsid w:val="00A470E5"/>
    <w:rsid w:val="00A530F5"/>
    <w:rsid w:val="00A538A3"/>
    <w:rsid w:val="00A543C6"/>
    <w:rsid w:val="00A55D63"/>
    <w:rsid w:val="00A605EA"/>
    <w:rsid w:val="00A61F0D"/>
    <w:rsid w:val="00A62228"/>
    <w:rsid w:val="00A62A61"/>
    <w:rsid w:val="00A6316C"/>
    <w:rsid w:val="00A6358C"/>
    <w:rsid w:val="00A63C41"/>
    <w:rsid w:val="00A651ED"/>
    <w:rsid w:val="00A6522A"/>
    <w:rsid w:val="00A6732B"/>
    <w:rsid w:val="00A6747F"/>
    <w:rsid w:val="00A674D2"/>
    <w:rsid w:val="00A67C36"/>
    <w:rsid w:val="00A707D7"/>
    <w:rsid w:val="00A72634"/>
    <w:rsid w:val="00A72AC3"/>
    <w:rsid w:val="00A72B01"/>
    <w:rsid w:val="00A752E7"/>
    <w:rsid w:val="00A75D04"/>
    <w:rsid w:val="00A77753"/>
    <w:rsid w:val="00A77ABC"/>
    <w:rsid w:val="00A80800"/>
    <w:rsid w:val="00A81B2A"/>
    <w:rsid w:val="00A82DA4"/>
    <w:rsid w:val="00A8323E"/>
    <w:rsid w:val="00A837FE"/>
    <w:rsid w:val="00A84B22"/>
    <w:rsid w:val="00A87E75"/>
    <w:rsid w:val="00A9169B"/>
    <w:rsid w:val="00A91D00"/>
    <w:rsid w:val="00A91D96"/>
    <w:rsid w:val="00A92A84"/>
    <w:rsid w:val="00A94085"/>
    <w:rsid w:val="00A946CA"/>
    <w:rsid w:val="00A95970"/>
    <w:rsid w:val="00A95A80"/>
    <w:rsid w:val="00A95E7E"/>
    <w:rsid w:val="00A96D12"/>
    <w:rsid w:val="00A979C4"/>
    <w:rsid w:val="00AA0150"/>
    <w:rsid w:val="00AA1830"/>
    <w:rsid w:val="00AA199A"/>
    <w:rsid w:val="00AA2C53"/>
    <w:rsid w:val="00AA3955"/>
    <w:rsid w:val="00AA4ED4"/>
    <w:rsid w:val="00AB0546"/>
    <w:rsid w:val="00AB21EE"/>
    <w:rsid w:val="00AB3ED3"/>
    <w:rsid w:val="00AB4294"/>
    <w:rsid w:val="00AB661C"/>
    <w:rsid w:val="00AB6795"/>
    <w:rsid w:val="00AC14F2"/>
    <w:rsid w:val="00AC3478"/>
    <w:rsid w:val="00AC4470"/>
    <w:rsid w:val="00AC5027"/>
    <w:rsid w:val="00AC5234"/>
    <w:rsid w:val="00AC61AB"/>
    <w:rsid w:val="00AC6E9F"/>
    <w:rsid w:val="00AC7ADE"/>
    <w:rsid w:val="00AD0B43"/>
    <w:rsid w:val="00AD10B4"/>
    <w:rsid w:val="00AD133D"/>
    <w:rsid w:val="00AD203B"/>
    <w:rsid w:val="00AD22F6"/>
    <w:rsid w:val="00AD37C0"/>
    <w:rsid w:val="00AD4554"/>
    <w:rsid w:val="00AD4EF8"/>
    <w:rsid w:val="00AD6C80"/>
    <w:rsid w:val="00AE0781"/>
    <w:rsid w:val="00AE14E1"/>
    <w:rsid w:val="00AE433E"/>
    <w:rsid w:val="00AE4749"/>
    <w:rsid w:val="00AE7053"/>
    <w:rsid w:val="00AE7571"/>
    <w:rsid w:val="00AF108D"/>
    <w:rsid w:val="00AF10FE"/>
    <w:rsid w:val="00AF231D"/>
    <w:rsid w:val="00AF65CF"/>
    <w:rsid w:val="00AF676E"/>
    <w:rsid w:val="00AF7278"/>
    <w:rsid w:val="00AF7EF4"/>
    <w:rsid w:val="00B01485"/>
    <w:rsid w:val="00B02A7A"/>
    <w:rsid w:val="00B040AC"/>
    <w:rsid w:val="00B064BB"/>
    <w:rsid w:val="00B0694F"/>
    <w:rsid w:val="00B0715B"/>
    <w:rsid w:val="00B07701"/>
    <w:rsid w:val="00B116E5"/>
    <w:rsid w:val="00B124D4"/>
    <w:rsid w:val="00B127D4"/>
    <w:rsid w:val="00B13285"/>
    <w:rsid w:val="00B134E4"/>
    <w:rsid w:val="00B1378E"/>
    <w:rsid w:val="00B149F0"/>
    <w:rsid w:val="00B14AA0"/>
    <w:rsid w:val="00B17F52"/>
    <w:rsid w:val="00B22F71"/>
    <w:rsid w:val="00B2388D"/>
    <w:rsid w:val="00B24716"/>
    <w:rsid w:val="00B25824"/>
    <w:rsid w:val="00B27491"/>
    <w:rsid w:val="00B3079E"/>
    <w:rsid w:val="00B3117D"/>
    <w:rsid w:val="00B343C8"/>
    <w:rsid w:val="00B37323"/>
    <w:rsid w:val="00B37B79"/>
    <w:rsid w:val="00B40718"/>
    <w:rsid w:val="00B416FE"/>
    <w:rsid w:val="00B42A43"/>
    <w:rsid w:val="00B44166"/>
    <w:rsid w:val="00B45C9E"/>
    <w:rsid w:val="00B4612F"/>
    <w:rsid w:val="00B4720B"/>
    <w:rsid w:val="00B5406D"/>
    <w:rsid w:val="00B54CC4"/>
    <w:rsid w:val="00B60D60"/>
    <w:rsid w:val="00B60ED2"/>
    <w:rsid w:val="00B61206"/>
    <w:rsid w:val="00B6161C"/>
    <w:rsid w:val="00B61629"/>
    <w:rsid w:val="00B6207A"/>
    <w:rsid w:val="00B62D18"/>
    <w:rsid w:val="00B652F1"/>
    <w:rsid w:val="00B657D2"/>
    <w:rsid w:val="00B67351"/>
    <w:rsid w:val="00B71AF7"/>
    <w:rsid w:val="00B72623"/>
    <w:rsid w:val="00B728BC"/>
    <w:rsid w:val="00B74133"/>
    <w:rsid w:val="00B75DC3"/>
    <w:rsid w:val="00B81BEE"/>
    <w:rsid w:val="00B83C5C"/>
    <w:rsid w:val="00B86949"/>
    <w:rsid w:val="00B902F7"/>
    <w:rsid w:val="00B910EA"/>
    <w:rsid w:val="00B912C6"/>
    <w:rsid w:val="00B91CFA"/>
    <w:rsid w:val="00B930C6"/>
    <w:rsid w:val="00B93781"/>
    <w:rsid w:val="00B93D46"/>
    <w:rsid w:val="00B94A2C"/>
    <w:rsid w:val="00B959D0"/>
    <w:rsid w:val="00B9604B"/>
    <w:rsid w:val="00BA3DBB"/>
    <w:rsid w:val="00BA4FA8"/>
    <w:rsid w:val="00BA72D7"/>
    <w:rsid w:val="00BB024A"/>
    <w:rsid w:val="00BB171D"/>
    <w:rsid w:val="00BB195A"/>
    <w:rsid w:val="00BB1E9F"/>
    <w:rsid w:val="00BB3555"/>
    <w:rsid w:val="00BB41B5"/>
    <w:rsid w:val="00BB62E9"/>
    <w:rsid w:val="00BC43F2"/>
    <w:rsid w:val="00BD3218"/>
    <w:rsid w:val="00BD7422"/>
    <w:rsid w:val="00BD76B8"/>
    <w:rsid w:val="00BD7847"/>
    <w:rsid w:val="00BE2D7F"/>
    <w:rsid w:val="00BE3585"/>
    <w:rsid w:val="00BE3CE8"/>
    <w:rsid w:val="00BE4902"/>
    <w:rsid w:val="00BE67AF"/>
    <w:rsid w:val="00BE71EC"/>
    <w:rsid w:val="00BE7BB3"/>
    <w:rsid w:val="00BE7FAF"/>
    <w:rsid w:val="00BF05B1"/>
    <w:rsid w:val="00BF0AC7"/>
    <w:rsid w:val="00BF0BBB"/>
    <w:rsid w:val="00BF191D"/>
    <w:rsid w:val="00BF1973"/>
    <w:rsid w:val="00BF224C"/>
    <w:rsid w:val="00BF40C5"/>
    <w:rsid w:val="00BF5963"/>
    <w:rsid w:val="00BF7DBB"/>
    <w:rsid w:val="00C009D0"/>
    <w:rsid w:val="00C0135F"/>
    <w:rsid w:val="00C06713"/>
    <w:rsid w:val="00C06E75"/>
    <w:rsid w:val="00C10C5B"/>
    <w:rsid w:val="00C10CD1"/>
    <w:rsid w:val="00C12EE1"/>
    <w:rsid w:val="00C15AE5"/>
    <w:rsid w:val="00C171E4"/>
    <w:rsid w:val="00C179EA"/>
    <w:rsid w:val="00C2040B"/>
    <w:rsid w:val="00C206F9"/>
    <w:rsid w:val="00C21DFC"/>
    <w:rsid w:val="00C24BFC"/>
    <w:rsid w:val="00C2521F"/>
    <w:rsid w:val="00C25793"/>
    <w:rsid w:val="00C322C3"/>
    <w:rsid w:val="00C3252F"/>
    <w:rsid w:val="00C33EDC"/>
    <w:rsid w:val="00C35C71"/>
    <w:rsid w:val="00C36A35"/>
    <w:rsid w:val="00C37196"/>
    <w:rsid w:val="00C403BE"/>
    <w:rsid w:val="00C408B0"/>
    <w:rsid w:val="00C40981"/>
    <w:rsid w:val="00C41462"/>
    <w:rsid w:val="00C45485"/>
    <w:rsid w:val="00C466F1"/>
    <w:rsid w:val="00C4721D"/>
    <w:rsid w:val="00C47ABA"/>
    <w:rsid w:val="00C47C7B"/>
    <w:rsid w:val="00C515D5"/>
    <w:rsid w:val="00C51FD4"/>
    <w:rsid w:val="00C542F1"/>
    <w:rsid w:val="00C54A2C"/>
    <w:rsid w:val="00C54C8E"/>
    <w:rsid w:val="00C55652"/>
    <w:rsid w:val="00C62604"/>
    <w:rsid w:val="00C64563"/>
    <w:rsid w:val="00C659EC"/>
    <w:rsid w:val="00C66476"/>
    <w:rsid w:val="00C67BF4"/>
    <w:rsid w:val="00C67D50"/>
    <w:rsid w:val="00C72155"/>
    <w:rsid w:val="00C755DE"/>
    <w:rsid w:val="00C76738"/>
    <w:rsid w:val="00C77CA3"/>
    <w:rsid w:val="00C83A2A"/>
    <w:rsid w:val="00C83DC7"/>
    <w:rsid w:val="00C84DE7"/>
    <w:rsid w:val="00C8594B"/>
    <w:rsid w:val="00C85E33"/>
    <w:rsid w:val="00C91C28"/>
    <w:rsid w:val="00C938C9"/>
    <w:rsid w:val="00C95049"/>
    <w:rsid w:val="00C9628C"/>
    <w:rsid w:val="00C96445"/>
    <w:rsid w:val="00C96E57"/>
    <w:rsid w:val="00CA02E9"/>
    <w:rsid w:val="00CA095A"/>
    <w:rsid w:val="00CA0E86"/>
    <w:rsid w:val="00CA28E1"/>
    <w:rsid w:val="00CA31EA"/>
    <w:rsid w:val="00CA3AF6"/>
    <w:rsid w:val="00CA3D0B"/>
    <w:rsid w:val="00CA6724"/>
    <w:rsid w:val="00CA7B4E"/>
    <w:rsid w:val="00CB0ED9"/>
    <w:rsid w:val="00CB165B"/>
    <w:rsid w:val="00CB35D2"/>
    <w:rsid w:val="00CB7921"/>
    <w:rsid w:val="00CC1569"/>
    <w:rsid w:val="00CC24AD"/>
    <w:rsid w:val="00CC32E8"/>
    <w:rsid w:val="00CC3D54"/>
    <w:rsid w:val="00CC406F"/>
    <w:rsid w:val="00CC5063"/>
    <w:rsid w:val="00CC6A0E"/>
    <w:rsid w:val="00CC7797"/>
    <w:rsid w:val="00CD1912"/>
    <w:rsid w:val="00CD1A48"/>
    <w:rsid w:val="00CD1AC8"/>
    <w:rsid w:val="00CD464D"/>
    <w:rsid w:val="00CD4A4B"/>
    <w:rsid w:val="00CD4F13"/>
    <w:rsid w:val="00CD6648"/>
    <w:rsid w:val="00CE04CF"/>
    <w:rsid w:val="00CE1255"/>
    <w:rsid w:val="00CE1B74"/>
    <w:rsid w:val="00CE636C"/>
    <w:rsid w:val="00CE6F2C"/>
    <w:rsid w:val="00CE7D2E"/>
    <w:rsid w:val="00CE7F08"/>
    <w:rsid w:val="00CF0DBE"/>
    <w:rsid w:val="00CF1C5F"/>
    <w:rsid w:val="00CF2144"/>
    <w:rsid w:val="00CF42EC"/>
    <w:rsid w:val="00CF4424"/>
    <w:rsid w:val="00CF480B"/>
    <w:rsid w:val="00CF4E1E"/>
    <w:rsid w:val="00CF6D09"/>
    <w:rsid w:val="00CF751E"/>
    <w:rsid w:val="00CF7CEB"/>
    <w:rsid w:val="00CF7D90"/>
    <w:rsid w:val="00CF7E19"/>
    <w:rsid w:val="00D013A5"/>
    <w:rsid w:val="00D020E9"/>
    <w:rsid w:val="00D0388A"/>
    <w:rsid w:val="00D03B8B"/>
    <w:rsid w:val="00D05D7F"/>
    <w:rsid w:val="00D07E74"/>
    <w:rsid w:val="00D1008D"/>
    <w:rsid w:val="00D10F58"/>
    <w:rsid w:val="00D10FB9"/>
    <w:rsid w:val="00D110FE"/>
    <w:rsid w:val="00D1117F"/>
    <w:rsid w:val="00D13185"/>
    <w:rsid w:val="00D13E8D"/>
    <w:rsid w:val="00D205EF"/>
    <w:rsid w:val="00D20AF2"/>
    <w:rsid w:val="00D22EB5"/>
    <w:rsid w:val="00D24ABB"/>
    <w:rsid w:val="00D25130"/>
    <w:rsid w:val="00D26F66"/>
    <w:rsid w:val="00D2766F"/>
    <w:rsid w:val="00D30F0D"/>
    <w:rsid w:val="00D30F24"/>
    <w:rsid w:val="00D31789"/>
    <w:rsid w:val="00D33A9D"/>
    <w:rsid w:val="00D33E60"/>
    <w:rsid w:val="00D34A4C"/>
    <w:rsid w:val="00D34CC6"/>
    <w:rsid w:val="00D35444"/>
    <w:rsid w:val="00D3546A"/>
    <w:rsid w:val="00D37E78"/>
    <w:rsid w:val="00D41466"/>
    <w:rsid w:val="00D428AE"/>
    <w:rsid w:val="00D43B89"/>
    <w:rsid w:val="00D4486F"/>
    <w:rsid w:val="00D454FE"/>
    <w:rsid w:val="00D46EB6"/>
    <w:rsid w:val="00D47DE9"/>
    <w:rsid w:val="00D47E13"/>
    <w:rsid w:val="00D52B85"/>
    <w:rsid w:val="00D55685"/>
    <w:rsid w:val="00D55CEC"/>
    <w:rsid w:val="00D56416"/>
    <w:rsid w:val="00D56AA8"/>
    <w:rsid w:val="00D578C6"/>
    <w:rsid w:val="00D57F3A"/>
    <w:rsid w:val="00D61A10"/>
    <w:rsid w:val="00D61DBD"/>
    <w:rsid w:val="00D6242F"/>
    <w:rsid w:val="00D6279C"/>
    <w:rsid w:val="00D62A78"/>
    <w:rsid w:val="00D62D4C"/>
    <w:rsid w:val="00D6332C"/>
    <w:rsid w:val="00D6365B"/>
    <w:rsid w:val="00D65181"/>
    <w:rsid w:val="00D657FF"/>
    <w:rsid w:val="00D65F70"/>
    <w:rsid w:val="00D70617"/>
    <w:rsid w:val="00D70E32"/>
    <w:rsid w:val="00D718B6"/>
    <w:rsid w:val="00D71C80"/>
    <w:rsid w:val="00D729AB"/>
    <w:rsid w:val="00D72CD6"/>
    <w:rsid w:val="00D7306D"/>
    <w:rsid w:val="00D730C3"/>
    <w:rsid w:val="00D76453"/>
    <w:rsid w:val="00D801FD"/>
    <w:rsid w:val="00D81E2C"/>
    <w:rsid w:val="00D83E50"/>
    <w:rsid w:val="00D8460D"/>
    <w:rsid w:val="00D85E59"/>
    <w:rsid w:val="00D85F44"/>
    <w:rsid w:val="00D87BCD"/>
    <w:rsid w:val="00D90396"/>
    <w:rsid w:val="00D905B2"/>
    <w:rsid w:val="00D9077A"/>
    <w:rsid w:val="00D927B5"/>
    <w:rsid w:val="00D93471"/>
    <w:rsid w:val="00D93867"/>
    <w:rsid w:val="00D97B52"/>
    <w:rsid w:val="00DA6925"/>
    <w:rsid w:val="00DA6C34"/>
    <w:rsid w:val="00DB08CD"/>
    <w:rsid w:val="00DB18E6"/>
    <w:rsid w:val="00DB444E"/>
    <w:rsid w:val="00DB52E4"/>
    <w:rsid w:val="00DB549C"/>
    <w:rsid w:val="00DB57A7"/>
    <w:rsid w:val="00DB5BC5"/>
    <w:rsid w:val="00DB6171"/>
    <w:rsid w:val="00DC0B7F"/>
    <w:rsid w:val="00DC1339"/>
    <w:rsid w:val="00DC1CA9"/>
    <w:rsid w:val="00DC1E27"/>
    <w:rsid w:val="00DC2D21"/>
    <w:rsid w:val="00DC3D46"/>
    <w:rsid w:val="00DC3FB7"/>
    <w:rsid w:val="00DC52A6"/>
    <w:rsid w:val="00DC59A1"/>
    <w:rsid w:val="00DD465D"/>
    <w:rsid w:val="00DD4A70"/>
    <w:rsid w:val="00DD4D69"/>
    <w:rsid w:val="00DD5726"/>
    <w:rsid w:val="00DE73F2"/>
    <w:rsid w:val="00DF060B"/>
    <w:rsid w:val="00DF0709"/>
    <w:rsid w:val="00DF199E"/>
    <w:rsid w:val="00DF252C"/>
    <w:rsid w:val="00DF7C58"/>
    <w:rsid w:val="00E018B3"/>
    <w:rsid w:val="00E02558"/>
    <w:rsid w:val="00E03C02"/>
    <w:rsid w:val="00E0477E"/>
    <w:rsid w:val="00E048F9"/>
    <w:rsid w:val="00E05962"/>
    <w:rsid w:val="00E060A2"/>
    <w:rsid w:val="00E06269"/>
    <w:rsid w:val="00E0627C"/>
    <w:rsid w:val="00E076D3"/>
    <w:rsid w:val="00E1031C"/>
    <w:rsid w:val="00E10ED7"/>
    <w:rsid w:val="00E1128E"/>
    <w:rsid w:val="00E114BF"/>
    <w:rsid w:val="00E1172B"/>
    <w:rsid w:val="00E12E3C"/>
    <w:rsid w:val="00E13262"/>
    <w:rsid w:val="00E1423A"/>
    <w:rsid w:val="00E156AE"/>
    <w:rsid w:val="00E16335"/>
    <w:rsid w:val="00E20D08"/>
    <w:rsid w:val="00E21C35"/>
    <w:rsid w:val="00E229C6"/>
    <w:rsid w:val="00E237EF"/>
    <w:rsid w:val="00E2429F"/>
    <w:rsid w:val="00E27239"/>
    <w:rsid w:val="00E31248"/>
    <w:rsid w:val="00E32F9C"/>
    <w:rsid w:val="00E36360"/>
    <w:rsid w:val="00E3773A"/>
    <w:rsid w:val="00E37A9D"/>
    <w:rsid w:val="00E4000B"/>
    <w:rsid w:val="00E42673"/>
    <w:rsid w:val="00E429FF"/>
    <w:rsid w:val="00E42A41"/>
    <w:rsid w:val="00E4332D"/>
    <w:rsid w:val="00E43E93"/>
    <w:rsid w:val="00E45545"/>
    <w:rsid w:val="00E47010"/>
    <w:rsid w:val="00E476D6"/>
    <w:rsid w:val="00E47890"/>
    <w:rsid w:val="00E52DF9"/>
    <w:rsid w:val="00E543F1"/>
    <w:rsid w:val="00E5598B"/>
    <w:rsid w:val="00E55ABB"/>
    <w:rsid w:val="00E56F08"/>
    <w:rsid w:val="00E57E28"/>
    <w:rsid w:val="00E614E4"/>
    <w:rsid w:val="00E61B02"/>
    <w:rsid w:val="00E620B0"/>
    <w:rsid w:val="00E626A2"/>
    <w:rsid w:val="00E62C25"/>
    <w:rsid w:val="00E633A6"/>
    <w:rsid w:val="00E67FFD"/>
    <w:rsid w:val="00E749E4"/>
    <w:rsid w:val="00E7767B"/>
    <w:rsid w:val="00E80048"/>
    <w:rsid w:val="00E80597"/>
    <w:rsid w:val="00E80B6A"/>
    <w:rsid w:val="00E80EB7"/>
    <w:rsid w:val="00E81177"/>
    <w:rsid w:val="00E81696"/>
    <w:rsid w:val="00E851C4"/>
    <w:rsid w:val="00E86456"/>
    <w:rsid w:val="00E93482"/>
    <w:rsid w:val="00E95426"/>
    <w:rsid w:val="00E95E11"/>
    <w:rsid w:val="00E95E73"/>
    <w:rsid w:val="00E97B9A"/>
    <w:rsid w:val="00EA1346"/>
    <w:rsid w:val="00EA234E"/>
    <w:rsid w:val="00EA2796"/>
    <w:rsid w:val="00EA3BC0"/>
    <w:rsid w:val="00EA3E4D"/>
    <w:rsid w:val="00EA7648"/>
    <w:rsid w:val="00EB183B"/>
    <w:rsid w:val="00EB1D20"/>
    <w:rsid w:val="00EB1FD0"/>
    <w:rsid w:val="00EB204B"/>
    <w:rsid w:val="00EB29C8"/>
    <w:rsid w:val="00EB3313"/>
    <w:rsid w:val="00EB462A"/>
    <w:rsid w:val="00EB46C7"/>
    <w:rsid w:val="00EB4740"/>
    <w:rsid w:val="00EB49EA"/>
    <w:rsid w:val="00EB5902"/>
    <w:rsid w:val="00EB669F"/>
    <w:rsid w:val="00EB756E"/>
    <w:rsid w:val="00EC19FA"/>
    <w:rsid w:val="00EC568E"/>
    <w:rsid w:val="00EC6213"/>
    <w:rsid w:val="00ED1857"/>
    <w:rsid w:val="00ED25FF"/>
    <w:rsid w:val="00ED2D65"/>
    <w:rsid w:val="00ED4A8C"/>
    <w:rsid w:val="00ED5777"/>
    <w:rsid w:val="00ED5C03"/>
    <w:rsid w:val="00EE083F"/>
    <w:rsid w:val="00EE0B1D"/>
    <w:rsid w:val="00EE132E"/>
    <w:rsid w:val="00EE1A7D"/>
    <w:rsid w:val="00EE506F"/>
    <w:rsid w:val="00EE527E"/>
    <w:rsid w:val="00EF003F"/>
    <w:rsid w:val="00EF182D"/>
    <w:rsid w:val="00EF1860"/>
    <w:rsid w:val="00EF1A31"/>
    <w:rsid w:val="00EF1BF9"/>
    <w:rsid w:val="00EF5D76"/>
    <w:rsid w:val="00F01CAE"/>
    <w:rsid w:val="00F02438"/>
    <w:rsid w:val="00F04CE7"/>
    <w:rsid w:val="00F05858"/>
    <w:rsid w:val="00F065AB"/>
    <w:rsid w:val="00F10656"/>
    <w:rsid w:val="00F107A7"/>
    <w:rsid w:val="00F12866"/>
    <w:rsid w:val="00F1315A"/>
    <w:rsid w:val="00F139B2"/>
    <w:rsid w:val="00F15DE7"/>
    <w:rsid w:val="00F20A11"/>
    <w:rsid w:val="00F211CA"/>
    <w:rsid w:val="00F22860"/>
    <w:rsid w:val="00F229E0"/>
    <w:rsid w:val="00F22F57"/>
    <w:rsid w:val="00F22F8E"/>
    <w:rsid w:val="00F23E99"/>
    <w:rsid w:val="00F267F0"/>
    <w:rsid w:val="00F27117"/>
    <w:rsid w:val="00F3076D"/>
    <w:rsid w:val="00F30AF0"/>
    <w:rsid w:val="00F30C38"/>
    <w:rsid w:val="00F310DA"/>
    <w:rsid w:val="00F33B65"/>
    <w:rsid w:val="00F33C6D"/>
    <w:rsid w:val="00F34F85"/>
    <w:rsid w:val="00F3603F"/>
    <w:rsid w:val="00F36211"/>
    <w:rsid w:val="00F3696F"/>
    <w:rsid w:val="00F374EB"/>
    <w:rsid w:val="00F406F3"/>
    <w:rsid w:val="00F418CA"/>
    <w:rsid w:val="00F4213E"/>
    <w:rsid w:val="00F448FD"/>
    <w:rsid w:val="00F45B95"/>
    <w:rsid w:val="00F46A22"/>
    <w:rsid w:val="00F502B8"/>
    <w:rsid w:val="00F52B1B"/>
    <w:rsid w:val="00F52E4B"/>
    <w:rsid w:val="00F53D6F"/>
    <w:rsid w:val="00F5670C"/>
    <w:rsid w:val="00F57CB3"/>
    <w:rsid w:val="00F57F54"/>
    <w:rsid w:val="00F6410B"/>
    <w:rsid w:val="00F66435"/>
    <w:rsid w:val="00F669A7"/>
    <w:rsid w:val="00F67F5D"/>
    <w:rsid w:val="00F700FC"/>
    <w:rsid w:val="00F70905"/>
    <w:rsid w:val="00F70CA1"/>
    <w:rsid w:val="00F70DEC"/>
    <w:rsid w:val="00F7124E"/>
    <w:rsid w:val="00F74199"/>
    <w:rsid w:val="00F75FF6"/>
    <w:rsid w:val="00F76426"/>
    <w:rsid w:val="00F80F72"/>
    <w:rsid w:val="00F82B66"/>
    <w:rsid w:val="00F82E89"/>
    <w:rsid w:val="00F83352"/>
    <w:rsid w:val="00F83471"/>
    <w:rsid w:val="00F83B5B"/>
    <w:rsid w:val="00F8518A"/>
    <w:rsid w:val="00F93600"/>
    <w:rsid w:val="00F9433E"/>
    <w:rsid w:val="00F968C9"/>
    <w:rsid w:val="00FA034A"/>
    <w:rsid w:val="00FA093F"/>
    <w:rsid w:val="00FA425A"/>
    <w:rsid w:val="00FA45C4"/>
    <w:rsid w:val="00FA4AF7"/>
    <w:rsid w:val="00FA5820"/>
    <w:rsid w:val="00FA7E6C"/>
    <w:rsid w:val="00FB0375"/>
    <w:rsid w:val="00FB224E"/>
    <w:rsid w:val="00FB526F"/>
    <w:rsid w:val="00FC03F5"/>
    <w:rsid w:val="00FC1279"/>
    <w:rsid w:val="00FC1FAA"/>
    <w:rsid w:val="00FC2064"/>
    <w:rsid w:val="00FC3D9E"/>
    <w:rsid w:val="00FC41D6"/>
    <w:rsid w:val="00FC5FBB"/>
    <w:rsid w:val="00FC675C"/>
    <w:rsid w:val="00FC7F3E"/>
    <w:rsid w:val="00FD0010"/>
    <w:rsid w:val="00FD1EE0"/>
    <w:rsid w:val="00FD2484"/>
    <w:rsid w:val="00FD2853"/>
    <w:rsid w:val="00FD2962"/>
    <w:rsid w:val="00FD2D29"/>
    <w:rsid w:val="00FD2F4A"/>
    <w:rsid w:val="00FD43EB"/>
    <w:rsid w:val="00FD5140"/>
    <w:rsid w:val="00FD5F83"/>
    <w:rsid w:val="00FD7246"/>
    <w:rsid w:val="00FD79D0"/>
    <w:rsid w:val="00FE067F"/>
    <w:rsid w:val="00FE11AB"/>
    <w:rsid w:val="00FE34FC"/>
    <w:rsid w:val="00FE5584"/>
    <w:rsid w:val="00FF0276"/>
    <w:rsid w:val="00FF0741"/>
    <w:rsid w:val="00FF16BB"/>
    <w:rsid w:val="00FF44D1"/>
    <w:rsid w:val="00FF48C7"/>
    <w:rsid w:val="00FF4D89"/>
    <w:rsid w:val="00FF4DC7"/>
    <w:rsid w:val="00FF5CBD"/>
    <w:rsid w:val="00FF609F"/>
    <w:rsid w:val="00FF642F"/>
    <w:rsid w:val="00FF73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16854"/>
  <w15:chartTrackingRefBased/>
  <w15:docId w15:val="{F4C5FFD0-B79E-433C-9075-F8D850C7B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3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7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2DA4"/>
    <w:rPr>
      <w:sz w:val="16"/>
      <w:szCs w:val="16"/>
    </w:rPr>
  </w:style>
  <w:style w:type="paragraph" w:styleId="CommentText">
    <w:name w:val="annotation text"/>
    <w:basedOn w:val="Normal"/>
    <w:link w:val="CommentTextChar"/>
    <w:uiPriority w:val="99"/>
    <w:unhideWhenUsed/>
    <w:rsid w:val="00A82DA4"/>
    <w:pPr>
      <w:spacing w:line="240" w:lineRule="auto"/>
    </w:pPr>
    <w:rPr>
      <w:sz w:val="20"/>
      <w:szCs w:val="20"/>
    </w:rPr>
  </w:style>
  <w:style w:type="character" w:customStyle="1" w:styleId="CommentTextChar">
    <w:name w:val="Comment Text Char"/>
    <w:basedOn w:val="DefaultParagraphFont"/>
    <w:link w:val="CommentText"/>
    <w:uiPriority w:val="99"/>
    <w:rsid w:val="00A82DA4"/>
    <w:rPr>
      <w:sz w:val="20"/>
      <w:szCs w:val="20"/>
    </w:rPr>
  </w:style>
  <w:style w:type="paragraph" w:styleId="CommentSubject">
    <w:name w:val="annotation subject"/>
    <w:basedOn w:val="CommentText"/>
    <w:next w:val="CommentText"/>
    <w:link w:val="CommentSubjectChar"/>
    <w:uiPriority w:val="99"/>
    <w:semiHidden/>
    <w:unhideWhenUsed/>
    <w:rsid w:val="00A82DA4"/>
    <w:rPr>
      <w:b/>
      <w:bCs/>
    </w:rPr>
  </w:style>
  <w:style w:type="character" w:customStyle="1" w:styleId="CommentSubjectChar">
    <w:name w:val="Comment Subject Char"/>
    <w:basedOn w:val="CommentTextChar"/>
    <w:link w:val="CommentSubject"/>
    <w:uiPriority w:val="99"/>
    <w:semiHidden/>
    <w:rsid w:val="00A82DA4"/>
    <w:rPr>
      <w:b/>
      <w:bCs/>
      <w:sz w:val="20"/>
      <w:szCs w:val="20"/>
    </w:rPr>
  </w:style>
  <w:style w:type="table" w:customStyle="1" w:styleId="TableGrid1">
    <w:name w:val="Table Grid1"/>
    <w:basedOn w:val="TableNormal"/>
    <w:next w:val="TableGrid"/>
    <w:uiPriority w:val="39"/>
    <w:rsid w:val="007113D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702AB2"/>
    <w:pPr>
      <w:spacing w:after="0" w:line="240" w:lineRule="auto"/>
    </w:pPr>
    <w:rPr>
      <w:rFonts w:ascii="Consolas" w:hAnsi="Consolas"/>
      <w:sz w:val="21"/>
      <w:szCs w:val="21"/>
      <w:lang w:val="sv-SE"/>
    </w:rPr>
  </w:style>
  <w:style w:type="character" w:customStyle="1" w:styleId="PlainTextChar">
    <w:name w:val="Plain Text Char"/>
    <w:basedOn w:val="DefaultParagraphFont"/>
    <w:link w:val="PlainText"/>
    <w:uiPriority w:val="99"/>
    <w:rsid w:val="00702AB2"/>
    <w:rPr>
      <w:rFonts w:ascii="Consolas" w:hAnsi="Consolas"/>
      <w:sz w:val="21"/>
      <w:szCs w:val="21"/>
      <w:lang w:val="sv-SE"/>
    </w:rPr>
  </w:style>
  <w:style w:type="paragraph" w:styleId="Revision">
    <w:name w:val="Revision"/>
    <w:hidden/>
    <w:uiPriority w:val="99"/>
    <w:semiHidden/>
    <w:rsid w:val="00A42434"/>
    <w:pPr>
      <w:spacing w:after="0" w:line="240" w:lineRule="auto"/>
    </w:pPr>
  </w:style>
  <w:style w:type="paragraph" w:styleId="BalloonText">
    <w:name w:val="Balloon Text"/>
    <w:basedOn w:val="Normal"/>
    <w:link w:val="BalloonTextChar"/>
    <w:uiPriority w:val="99"/>
    <w:semiHidden/>
    <w:unhideWhenUsed/>
    <w:rsid w:val="00252F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F98"/>
    <w:rPr>
      <w:rFonts w:ascii="Segoe UI" w:hAnsi="Segoe UI" w:cs="Segoe UI"/>
      <w:sz w:val="18"/>
      <w:szCs w:val="18"/>
    </w:rPr>
  </w:style>
  <w:style w:type="paragraph" w:styleId="NoSpacing">
    <w:name w:val="No Spacing"/>
    <w:link w:val="NoSpacingChar"/>
    <w:uiPriority w:val="1"/>
    <w:qFormat/>
    <w:rsid w:val="00D8460D"/>
    <w:pPr>
      <w:spacing w:after="0" w:line="240" w:lineRule="auto"/>
    </w:pPr>
    <w:rPr>
      <w:sz w:val="24"/>
      <w:szCs w:val="24"/>
      <w:lang w:val="da-DK"/>
    </w:rPr>
  </w:style>
  <w:style w:type="character" w:customStyle="1" w:styleId="NoSpacingChar">
    <w:name w:val="No Spacing Char"/>
    <w:basedOn w:val="DefaultParagraphFont"/>
    <w:link w:val="NoSpacing"/>
    <w:uiPriority w:val="1"/>
    <w:rsid w:val="00D8460D"/>
    <w:rPr>
      <w:sz w:val="24"/>
      <w:szCs w:val="24"/>
      <w:lang w:val="da-DK"/>
    </w:rPr>
  </w:style>
  <w:style w:type="table" w:customStyle="1" w:styleId="TableGrid2">
    <w:name w:val="Table Grid2"/>
    <w:basedOn w:val="TableNormal"/>
    <w:next w:val="TableGrid"/>
    <w:uiPriority w:val="39"/>
    <w:rsid w:val="002C07E6"/>
    <w:pPr>
      <w:spacing w:after="0" w:line="240" w:lineRule="auto"/>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2C07E6"/>
    <w:pPr>
      <w:spacing w:after="0" w:line="240" w:lineRule="auto"/>
    </w:pPr>
    <w:rPr>
      <w:rFonts w:ascii="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C07E6"/>
    <w:pPr>
      <w:spacing w:after="0" w:line="240" w:lineRule="auto"/>
    </w:pPr>
    <w:rPr>
      <w:rFonts w:ascii="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649F"/>
    <w:rPr>
      <w:color w:val="0563C1" w:themeColor="hyperlink"/>
      <w:u w:val="single"/>
    </w:rPr>
  </w:style>
  <w:style w:type="character" w:styleId="UnresolvedMention">
    <w:name w:val="Unresolved Mention"/>
    <w:basedOn w:val="DefaultParagraphFont"/>
    <w:uiPriority w:val="99"/>
    <w:semiHidden/>
    <w:unhideWhenUsed/>
    <w:rsid w:val="0099649F"/>
    <w:rPr>
      <w:color w:val="605E5C"/>
      <w:shd w:val="clear" w:color="auto" w:fill="E1DFDD"/>
    </w:rPr>
  </w:style>
  <w:style w:type="paragraph" w:styleId="Header">
    <w:name w:val="header"/>
    <w:basedOn w:val="Normal"/>
    <w:link w:val="HeaderChar"/>
    <w:uiPriority w:val="99"/>
    <w:unhideWhenUsed/>
    <w:rsid w:val="00B612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1206"/>
  </w:style>
  <w:style w:type="paragraph" w:styleId="Footer">
    <w:name w:val="footer"/>
    <w:basedOn w:val="Normal"/>
    <w:link w:val="FooterChar"/>
    <w:uiPriority w:val="99"/>
    <w:unhideWhenUsed/>
    <w:rsid w:val="00B612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1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74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mailto:w.j.pontefract@sheffield.ac.uk" TargetMode="Externa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hyperlink" Target="https://www.sheffield.ac.uk/FRAX/pdfs/WHO_Technical_Report.pdf"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sv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7084</Words>
  <Characters>40382</Characters>
  <Application>Microsoft Office Word</Application>
  <DocSecurity>0</DocSecurity>
  <Lines>336</Lines>
  <Paragraphs>94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47372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Kanis</dc:creator>
  <cp:keywords/>
  <dc:description/>
  <cp:lastModifiedBy>Karen Drake</cp:lastModifiedBy>
  <cp:revision>2</cp:revision>
  <cp:lastPrinted>2021-10-14T13:22:00Z</cp:lastPrinted>
  <dcterms:created xsi:type="dcterms:W3CDTF">2022-12-22T10:11:00Z</dcterms:created>
  <dcterms:modified xsi:type="dcterms:W3CDTF">2022-12-22T10:11:00Z</dcterms:modified>
</cp:coreProperties>
</file>