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B384" w14:textId="39D9C13D" w:rsidR="000E6E3C" w:rsidRDefault="000E6E3C" w:rsidP="000E6E3C">
      <w:pPr>
        <w:pStyle w:val="Title"/>
      </w:pPr>
      <w:r>
        <w:t xml:space="preserve">A study </w:t>
      </w:r>
      <w:proofErr w:type="gramStart"/>
      <w:r>
        <w:t>of  diet</w:t>
      </w:r>
      <w:proofErr w:type="gramEnd"/>
      <w:r>
        <w:t xml:space="preserve"> in older</w:t>
      </w:r>
      <w:r w:rsidR="00D05E55">
        <w:t xml:space="preserve"> </w:t>
      </w:r>
      <w:r>
        <w:t>community-dwelling adults in the UK</w:t>
      </w:r>
      <w:r w:rsidR="2D45C570">
        <w:t xml:space="preserve"> during the COVID-19 pandemic</w:t>
      </w:r>
      <w:r>
        <w:t>: findings from</w:t>
      </w:r>
      <w:r w:rsidR="00F0762E">
        <w:t xml:space="preserve"> the Southampton Longitudinal Study of Ageing</w:t>
      </w:r>
      <w:r>
        <w:t xml:space="preserve"> </w:t>
      </w:r>
      <w:r w:rsidR="00F0762E">
        <w:t>(</w:t>
      </w:r>
      <w:proofErr w:type="spellStart"/>
      <w:r w:rsidR="00021E6C">
        <w:t>SaLSA</w:t>
      </w:r>
      <w:proofErr w:type="spellEnd"/>
      <w:r w:rsidR="00F0762E">
        <w:t>)</w:t>
      </w:r>
    </w:p>
    <w:p w14:paraId="0FBC4334" w14:textId="55DC3461" w:rsidR="000B09E9" w:rsidRPr="00706C03" w:rsidRDefault="000B09E9" w:rsidP="006B2D5B">
      <w:pPr>
        <w:spacing w:before="240" w:after="0"/>
        <w:rPr>
          <w:rFonts w:cs="Times New Roman"/>
          <w:szCs w:val="24"/>
        </w:rPr>
      </w:pPr>
      <w:r w:rsidRPr="7604A36F">
        <w:rPr>
          <w:rFonts w:ascii="Calibri" w:eastAsia="Calibri" w:hAnsi="Calibri" w:cs="Calibri"/>
          <w:b/>
          <w:bCs/>
        </w:rPr>
        <w:t>F</w:t>
      </w:r>
      <w:r>
        <w:rPr>
          <w:rFonts w:ascii="Calibri" w:eastAsia="Calibri" w:hAnsi="Calibri" w:cs="Calibri"/>
          <w:b/>
          <w:bCs/>
        </w:rPr>
        <w:t xml:space="preserve">aidra </w:t>
      </w:r>
      <w:r w:rsidRPr="7604A36F">
        <w:rPr>
          <w:rFonts w:ascii="Calibri" w:eastAsia="Calibri" w:hAnsi="Calibri" w:cs="Calibri"/>
          <w:b/>
          <w:bCs/>
        </w:rPr>
        <w:t>L</w:t>
      </w:r>
      <w:r>
        <w:rPr>
          <w:rFonts w:ascii="Calibri" w:eastAsia="Calibri" w:hAnsi="Calibri" w:cs="Calibri"/>
          <w:b/>
          <w:bCs/>
        </w:rPr>
        <w:t>askou</w:t>
      </w:r>
      <w:r w:rsidR="00C21B75">
        <w:rPr>
          <w:rFonts w:ascii="Calibri" w:eastAsia="Calibri" w:hAnsi="Calibri" w:cs="Calibri"/>
          <w:b/>
          <w:bCs/>
          <w:vertAlign w:val="superscript"/>
        </w:rPr>
        <w:t>1,2</w:t>
      </w:r>
      <w:r>
        <w:rPr>
          <w:rFonts w:ascii="Calibri" w:eastAsia="Calibri" w:hAnsi="Calibri" w:cs="Calibri"/>
          <w:b/>
          <w:bCs/>
        </w:rPr>
        <w:t>,</w:t>
      </w:r>
      <w:r w:rsidRPr="7604A36F">
        <w:rPr>
          <w:rFonts w:ascii="Calibri" w:eastAsia="Calibri" w:hAnsi="Calibri" w:cs="Calibri"/>
          <w:b/>
          <w:bCs/>
        </w:rPr>
        <w:t xml:space="preserve"> G</w:t>
      </w:r>
      <w:r>
        <w:rPr>
          <w:rFonts w:ascii="Calibri" w:eastAsia="Calibri" w:hAnsi="Calibri" w:cs="Calibri"/>
          <w:b/>
          <w:bCs/>
        </w:rPr>
        <w:t>regorio Bevilacqua</w:t>
      </w:r>
      <w:r w:rsidR="00C21B75">
        <w:rPr>
          <w:rFonts w:ascii="Calibri" w:eastAsia="Calibri" w:hAnsi="Calibri" w:cs="Calibri"/>
          <w:b/>
          <w:bCs/>
          <w:vertAlign w:val="superscript"/>
        </w:rPr>
        <w:t>1</w:t>
      </w:r>
      <w:r>
        <w:rPr>
          <w:rFonts w:ascii="Calibri" w:eastAsia="Calibri" w:hAnsi="Calibri" w:cs="Calibri"/>
          <w:b/>
          <w:bCs/>
        </w:rPr>
        <w:t>,</w:t>
      </w:r>
      <w:r w:rsidRPr="7604A36F">
        <w:rPr>
          <w:rFonts w:ascii="Calibri" w:eastAsia="Calibri" w:hAnsi="Calibri" w:cs="Calibri"/>
          <w:b/>
          <w:bCs/>
        </w:rPr>
        <w:t xml:space="preserve"> L</w:t>
      </w:r>
      <w:r>
        <w:rPr>
          <w:rFonts w:ascii="Calibri" w:eastAsia="Calibri" w:hAnsi="Calibri" w:cs="Calibri"/>
          <w:b/>
          <w:bCs/>
        </w:rPr>
        <w:t xml:space="preserve">eo </w:t>
      </w:r>
      <w:r w:rsidR="00021E6C">
        <w:rPr>
          <w:rFonts w:ascii="Calibri" w:eastAsia="Calibri" w:hAnsi="Calibri" w:cs="Calibri"/>
          <w:b/>
          <w:bCs/>
        </w:rPr>
        <w:t xml:space="preserve">D </w:t>
      </w:r>
      <w:r w:rsidRPr="7604A36F">
        <w:rPr>
          <w:rFonts w:ascii="Calibri" w:eastAsia="Calibri" w:hAnsi="Calibri" w:cs="Calibri"/>
          <w:b/>
          <w:bCs/>
        </w:rPr>
        <w:t>W</w:t>
      </w:r>
      <w:r>
        <w:rPr>
          <w:rFonts w:ascii="Calibri" w:eastAsia="Calibri" w:hAnsi="Calibri" w:cs="Calibri"/>
          <w:b/>
          <w:bCs/>
        </w:rPr>
        <w:t>estbury</w:t>
      </w:r>
      <w:r w:rsidR="00C21B75">
        <w:rPr>
          <w:rFonts w:ascii="Calibri" w:eastAsia="Calibri" w:hAnsi="Calibri" w:cs="Calibri"/>
          <w:b/>
          <w:bCs/>
          <w:vertAlign w:val="superscript"/>
        </w:rPr>
        <w:t>1</w:t>
      </w:r>
      <w:r>
        <w:rPr>
          <w:rFonts w:ascii="Calibri" w:eastAsia="Calibri" w:hAnsi="Calibri" w:cs="Calibri"/>
          <w:b/>
          <w:bCs/>
        </w:rPr>
        <w:t>,</w:t>
      </w:r>
      <w:r w:rsidRPr="7604A36F">
        <w:rPr>
          <w:rFonts w:ascii="Calibri" w:eastAsia="Calibri" w:hAnsi="Calibri" w:cs="Calibri"/>
          <w:b/>
          <w:bCs/>
        </w:rPr>
        <w:t xml:space="preserve"> I</w:t>
      </w:r>
      <w:r>
        <w:rPr>
          <w:rFonts w:ascii="Calibri" w:eastAsia="Calibri" w:hAnsi="Calibri" w:cs="Calibri"/>
          <w:b/>
          <w:bCs/>
        </w:rPr>
        <w:t xml:space="preserve">lse </w:t>
      </w:r>
      <w:r w:rsidRPr="7604A36F">
        <w:rPr>
          <w:rFonts w:ascii="Calibri" w:eastAsia="Calibri" w:hAnsi="Calibri" w:cs="Calibri"/>
          <w:b/>
          <w:bCs/>
        </w:rPr>
        <w:t>B</w:t>
      </w:r>
      <w:r>
        <w:rPr>
          <w:rFonts w:ascii="Calibri" w:eastAsia="Calibri" w:hAnsi="Calibri" w:cs="Calibri"/>
          <w:b/>
          <w:bCs/>
        </w:rPr>
        <w:t>loom</w:t>
      </w:r>
      <w:r w:rsidR="00C21B75">
        <w:rPr>
          <w:rFonts w:ascii="Calibri" w:eastAsia="Calibri" w:hAnsi="Calibri" w:cs="Calibri"/>
          <w:b/>
          <w:bCs/>
          <w:vertAlign w:val="superscript"/>
        </w:rPr>
        <w:t>1</w:t>
      </w:r>
      <w:r>
        <w:rPr>
          <w:rFonts w:ascii="Calibri" w:eastAsia="Calibri" w:hAnsi="Calibri" w:cs="Calibri"/>
          <w:b/>
          <w:bCs/>
        </w:rPr>
        <w:t>,</w:t>
      </w:r>
      <w:r w:rsidRPr="7604A36F">
        <w:rPr>
          <w:rFonts w:ascii="Calibri" w:eastAsia="Calibri" w:hAnsi="Calibri" w:cs="Calibri"/>
          <w:b/>
          <w:bCs/>
        </w:rPr>
        <w:t xml:space="preserve"> </w:t>
      </w:r>
      <w:proofErr w:type="spellStart"/>
      <w:r w:rsidR="00C21B75" w:rsidRPr="00C21B75">
        <w:rPr>
          <w:rFonts w:asciiTheme="minorHAnsi" w:hAnsiTheme="minorHAnsi" w:cstheme="minorHAnsi"/>
          <w:b/>
          <w:bCs/>
          <w:color w:val="000000"/>
          <w:szCs w:val="24"/>
        </w:rPr>
        <w:t>Pritti</w:t>
      </w:r>
      <w:proofErr w:type="spellEnd"/>
      <w:r w:rsidR="00C21B75" w:rsidRPr="00C21B75">
        <w:rPr>
          <w:rFonts w:asciiTheme="minorHAnsi" w:hAnsiTheme="minorHAnsi" w:cstheme="minorHAnsi"/>
          <w:b/>
          <w:bCs/>
          <w:color w:val="000000"/>
          <w:szCs w:val="24"/>
        </w:rPr>
        <w:t xml:space="preserve"> Aggarwal</w:t>
      </w:r>
      <w:r w:rsidR="00C21B75">
        <w:rPr>
          <w:rFonts w:asciiTheme="minorHAnsi" w:hAnsiTheme="minorHAnsi" w:cstheme="minorHAnsi"/>
          <w:b/>
          <w:bCs/>
          <w:color w:val="000000"/>
          <w:szCs w:val="24"/>
          <w:vertAlign w:val="superscript"/>
        </w:rPr>
        <w:t>3</w:t>
      </w:r>
      <w:r w:rsidR="00C21B75" w:rsidRPr="00C21B75">
        <w:rPr>
          <w:rFonts w:asciiTheme="minorHAnsi" w:hAnsiTheme="minorHAnsi" w:cstheme="minorHAnsi"/>
          <w:b/>
          <w:bCs/>
          <w:color w:val="000000"/>
          <w:szCs w:val="24"/>
        </w:rPr>
        <w:t>,</w:t>
      </w:r>
      <w:r w:rsidR="00C21B75">
        <w:rPr>
          <w:color w:val="000000"/>
          <w:sz w:val="27"/>
          <w:szCs w:val="27"/>
        </w:rPr>
        <w:t xml:space="preserve"> </w:t>
      </w:r>
      <w:r>
        <w:rPr>
          <w:rFonts w:ascii="Calibri" w:eastAsia="Calibri" w:hAnsi="Calibri" w:cs="Calibri"/>
          <w:b/>
          <w:bCs/>
        </w:rPr>
        <w:t xml:space="preserve">Cyrus </w:t>
      </w:r>
      <w:r w:rsidRPr="7604A36F">
        <w:rPr>
          <w:rFonts w:ascii="Calibri" w:eastAsia="Calibri" w:hAnsi="Calibri" w:cs="Calibri"/>
          <w:b/>
          <w:bCs/>
        </w:rPr>
        <w:t>C</w:t>
      </w:r>
      <w:r>
        <w:rPr>
          <w:rFonts w:ascii="Calibri" w:eastAsia="Calibri" w:hAnsi="Calibri" w:cs="Calibri"/>
          <w:b/>
          <w:bCs/>
        </w:rPr>
        <w:t>ooper</w:t>
      </w:r>
      <w:r w:rsidR="00C21B75">
        <w:rPr>
          <w:rFonts w:ascii="Calibri" w:eastAsia="Calibri" w:hAnsi="Calibri" w:cs="Calibri"/>
          <w:b/>
          <w:bCs/>
          <w:vertAlign w:val="superscript"/>
        </w:rPr>
        <w:t>1</w:t>
      </w:r>
      <w:r>
        <w:rPr>
          <w:rFonts w:ascii="Calibri" w:eastAsia="Calibri" w:hAnsi="Calibri" w:cs="Calibri"/>
          <w:b/>
          <w:bCs/>
        </w:rPr>
        <w:t>,</w:t>
      </w:r>
      <w:r w:rsidRPr="7604A36F">
        <w:rPr>
          <w:rFonts w:ascii="Calibri" w:eastAsia="Calibri" w:hAnsi="Calibri" w:cs="Calibri"/>
          <w:b/>
          <w:bCs/>
        </w:rPr>
        <w:t xml:space="preserve"> H</w:t>
      </w:r>
      <w:r>
        <w:rPr>
          <w:rFonts w:ascii="Calibri" w:eastAsia="Calibri" w:hAnsi="Calibri" w:cs="Calibri"/>
          <w:b/>
          <w:bCs/>
        </w:rPr>
        <w:t xml:space="preserve">arnish </w:t>
      </w:r>
      <w:r w:rsidRPr="7604A36F">
        <w:rPr>
          <w:rFonts w:ascii="Calibri" w:eastAsia="Calibri" w:hAnsi="Calibri" w:cs="Calibri"/>
          <w:b/>
          <w:bCs/>
        </w:rPr>
        <w:t>P</w:t>
      </w:r>
      <w:r>
        <w:rPr>
          <w:rFonts w:ascii="Calibri" w:eastAsia="Calibri" w:hAnsi="Calibri" w:cs="Calibri"/>
          <w:b/>
          <w:bCs/>
        </w:rPr>
        <w:t xml:space="preserve"> Patel</w:t>
      </w:r>
      <w:r w:rsidR="00C21B75">
        <w:rPr>
          <w:rFonts w:ascii="Calibri" w:eastAsia="Calibri" w:hAnsi="Calibri" w:cs="Calibri"/>
          <w:b/>
          <w:bCs/>
          <w:vertAlign w:val="superscript"/>
        </w:rPr>
        <w:t>1,2,4</w:t>
      </w:r>
      <w:r>
        <w:rPr>
          <w:rFonts w:ascii="Calibri" w:eastAsia="Calibri" w:hAnsi="Calibri" w:cs="Calibri"/>
          <w:b/>
          <w:bCs/>
        </w:rPr>
        <w:t xml:space="preserve">, </w:t>
      </w:r>
      <w:r w:rsidRPr="7604A36F">
        <w:rPr>
          <w:rFonts w:ascii="Calibri" w:eastAsia="Calibri" w:hAnsi="Calibri" w:cs="Calibri"/>
          <w:b/>
          <w:bCs/>
        </w:rPr>
        <w:t>E</w:t>
      </w:r>
      <w:r>
        <w:rPr>
          <w:rFonts w:ascii="Calibri" w:eastAsia="Calibri" w:hAnsi="Calibri" w:cs="Calibri"/>
          <w:b/>
          <w:bCs/>
        </w:rPr>
        <w:t xml:space="preserve">laine </w:t>
      </w:r>
      <w:r w:rsidRPr="7604A36F">
        <w:rPr>
          <w:rFonts w:ascii="Calibri" w:eastAsia="Calibri" w:hAnsi="Calibri" w:cs="Calibri"/>
          <w:b/>
          <w:bCs/>
        </w:rPr>
        <w:t>D</w:t>
      </w:r>
      <w:r>
        <w:rPr>
          <w:rFonts w:ascii="Calibri" w:eastAsia="Calibri" w:hAnsi="Calibri" w:cs="Calibri"/>
          <w:b/>
          <w:bCs/>
        </w:rPr>
        <w:t>ennison</w:t>
      </w:r>
      <w:r w:rsidR="00C21B75">
        <w:rPr>
          <w:rFonts w:ascii="Calibri" w:eastAsia="Calibri" w:hAnsi="Calibri" w:cs="Calibri"/>
          <w:b/>
          <w:bCs/>
          <w:vertAlign w:val="superscript"/>
        </w:rPr>
        <w:t>1</w:t>
      </w:r>
      <w:r w:rsidRPr="00376CC5">
        <w:rPr>
          <w:rFonts w:cs="Times New Roman"/>
          <w:szCs w:val="24"/>
          <w:vertAlign w:val="superscript"/>
        </w:rPr>
        <w:t xml:space="preserve"> </w:t>
      </w:r>
      <w:r w:rsidR="00A029D1">
        <w:rPr>
          <w:rFonts w:cs="Times New Roman"/>
          <w:szCs w:val="24"/>
          <w:vertAlign w:val="superscript"/>
        </w:rPr>
        <w:t xml:space="preserve">  </w:t>
      </w:r>
    </w:p>
    <w:p w14:paraId="3EC68EFD" w14:textId="2FDCF8D0" w:rsidR="002868E2" w:rsidRPr="00376CC5" w:rsidRDefault="002868E2" w:rsidP="006B2D5B">
      <w:pPr>
        <w:spacing w:before="240" w:after="0"/>
        <w:rPr>
          <w:rFonts w:cs="Times New Roman"/>
          <w:b/>
          <w:szCs w:val="24"/>
        </w:rPr>
      </w:pPr>
      <w:r w:rsidRPr="00376CC5">
        <w:rPr>
          <w:rFonts w:cs="Times New Roman"/>
          <w:szCs w:val="24"/>
          <w:vertAlign w:val="superscript"/>
        </w:rPr>
        <w:t>1</w:t>
      </w:r>
      <w:r w:rsidR="00974698">
        <w:rPr>
          <w:rFonts w:cs="Times New Roman"/>
          <w:szCs w:val="24"/>
        </w:rPr>
        <w:t xml:space="preserve">MRC Lifecourse Epidemiology Centre, </w:t>
      </w:r>
      <w:r w:rsidR="00021E6C">
        <w:rPr>
          <w:rFonts w:cs="Times New Roman"/>
          <w:szCs w:val="24"/>
        </w:rPr>
        <w:t xml:space="preserve">University of Southampton, </w:t>
      </w:r>
      <w:r w:rsidR="00974698">
        <w:rPr>
          <w:rFonts w:cs="Times New Roman"/>
          <w:szCs w:val="24"/>
        </w:rPr>
        <w:t>Southampton, UK</w:t>
      </w:r>
    </w:p>
    <w:p w14:paraId="626845AB" w14:textId="7B260A65" w:rsidR="002868E2" w:rsidRDefault="002868E2" w:rsidP="006B2D5B">
      <w:pPr>
        <w:spacing w:after="0"/>
        <w:rPr>
          <w:rFonts w:cs="Times New Roman"/>
          <w:szCs w:val="24"/>
        </w:rPr>
      </w:pPr>
      <w:r w:rsidRPr="00376CC5">
        <w:rPr>
          <w:rFonts w:cs="Times New Roman"/>
          <w:szCs w:val="24"/>
          <w:vertAlign w:val="superscript"/>
        </w:rPr>
        <w:t>2</w:t>
      </w:r>
      <w:r w:rsidR="00974698">
        <w:rPr>
          <w:rFonts w:cs="Times New Roman"/>
          <w:szCs w:val="24"/>
        </w:rPr>
        <w:t>NIHR BRC Southampton</w:t>
      </w:r>
      <w:r w:rsidR="00021E6C">
        <w:rPr>
          <w:rFonts w:cs="Times New Roman"/>
          <w:szCs w:val="24"/>
        </w:rPr>
        <w:t>, UK</w:t>
      </w:r>
      <w:r w:rsidR="00974698">
        <w:rPr>
          <w:rFonts w:cs="Times New Roman"/>
          <w:szCs w:val="24"/>
        </w:rPr>
        <w:t xml:space="preserve"> </w:t>
      </w:r>
    </w:p>
    <w:p w14:paraId="7D69CD6F" w14:textId="69BF5DFC" w:rsidR="00C21B75" w:rsidRPr="00C21B75" w:rsidRDefault="00C21B75" w:rsidP="006B2D5B">
      <w:pPr>
        <w:spacing w:after="0"/>
        <w:rPr>
          <w:rFonts w:cs="Times New Roman"/>
          <w:szCs w:val="24"/>
        </w:rPr>
      </w:pPr>
      <w:r>
        <w:rPr>
          <w:rFonts w:cs="Times New Roman"/>
          <w:szCs w:val="24"/>
          <w:vertAlign w:val="superscript"/>
        </w:rPr>
        <w:t>3</w:t>
      </w:r>
      <w:r>
        <w:rPr>
          <w:rFonts w:cs="Times New Roman"/>
          <w:szCs w:val="24"/>
        </w:rPr>
        <w:t>Living Well Partnership, Weston Lane, Southampton</w:t>
      </w:r>
    </w:p>
    <w:p w14:paraId="49D7A89F" w14:textId="2D41B75C" w:rsidR="00F0762E" w:rsidRPr="00376CC5" w:rsidRDefault="00C21B75" w:rsidP="006B2D5B">
      <w:pPr>
        <w:spacing w:after="0"/>
        <w:rPr>
          <w:rFonts w:cs="Times New Roman"/>
          <w:b/>
          <w:szCs w:val="24"/>
        </w:rPr>
      </w:pPr>
      <w:r>
        <w:rPr>
          <w:rFonts w:cs="Times New Roman"/>
          <w:szCs w:val="24"/>
          <w:vertAlign w:val="superscript"/>
        </w:rPr>
        <w:t>4</w:t>
      </w:r>
      <w:r w:rsidR="00F0762E">
        <w:rPr>
          <w:rFonts w:cs="Times New Roman"/>
          <w:szCs w:val="24"/>
        </w:rPr>
        <w:t>Medicine for Older People, University Hospital Southampton</w:t>
      </w:r>
    </w:p>
    <w:p w14:paraId="55458F15" w14:textId="64F22B52"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Pr="00376CC5">
        <w:rPr>
          <w:rFonts w:cs="Times New Roman"/>
          <w:szCs w:val="24"/>
        </w:rPr>
        <w:t>Corresponding Author</w:t>
      </w:r>
      <w:r w:rsidR="00671D9A" w:rsidRPr="00376CC5">
        <w:rPr>
          <w:rFonts w:cs="Times New Roman"/>
          <w:szCs w:val="24"/>
        </w:rPr>
        <w:br/>
      </w:r>
      <w:r w:rsidR="00974698">
        <w:rPr>
          <w:rFonts w:cs="Times New Roman"/>
          <w:szCs w:val="24"/>
        </w:rPr>
        <w:t>Prof. Elaine Dennison, emd@mrc.soton.ac.uk</w:t>
      </w:r>
    </w:p>
    <w:p w14:paraId="688EE9ED" w14:textId="2E82D092" w:rsidR="00EA3D3C" w:rsidRPr="00376CC5" w:rsidRDefault="00817DD6" w:rsidP="00651CA2">
      <w:pPr>
        <w:pStyle w:val="AuthorList"/>
      </w:pPr>
      <w:r w:rsidRPr="00376CC5">
        <w:t xml:space="preserve">Keywords: </w:t>
      </w:r>
      <w:r w:rsidR="00974698">
        <w:t>diet, older adults, COVID-19, sarcopenia, frailty</w:t>
      </w:r>
    </w:p>
    <w:p w14:paraId="4DB10602" w14:textId="77777777" w:rsidR="008E2B54" w:rsidRPr="00376CC5" w:rsidRDefault="00EA3D3C" w:rsidP="00147395">
      <w:pPr>
        <w:pStyle w:val="AuthorList"/>
      </w:pPr>
      <w:r w:rsidRPr="00376CC5">
        <w:t>Abstract</w:t>
      </w:r>
    </w:p>
    <w:p w14:paraId="70E3E620" w14:textId="77777777" w:rsidR="00974698" w:rsidRDefault="00974698" w:rsidP="00D05E55">
      <w:r w:rsidRPr="25E073EB">
        <w:t>Introduction</w:t>
      </w:r>
    </w:p>
    <w:p w14:paraId="720050AF" w14:textId="7FBA142E" w:rsidR="00974698" w:rsidRDefault="00F7035D" w:rsidP="00D05E55">
      <w:r>
        <w:t xml:space="preserve">Adequate nutrition is important </w:t>
      </w:r>
      <w:proofErr w:type="gramStart"/>
      <w:r>
        <w:t>for</w:t>
      </w:r>
      <w:r w:rsidR="00F0762E">
        <w:t xml:space="preserve"> </w:t>
      </w:r>
      <w:r>
        <w:t xml:space="preserve"> health</w:t>
      </w:r>
      <w:proofErr w:type="gramEnd"/>
      <w:r w:rsidR="0E572CCD">
        <w:t xml:space="preserve"> in later life</w:t>
      </w:r>
      <w:r w:rsidR="00F0762E">
        <w:t>.</w:t>
      </w:r>
      <w:r>
        <w:t xml:space="preserve"> </w:t>
      </w:r>
      <w:r w:rsidR="00974698">
        <w:t xml:space="preserve">Older adults </w:t>
      </w:r>
      <w:r>
        <w:t>are</w:t>
      </w:r>
      <w:r w:rsidR="00974698">
        <w:t xml:space="preserve"> especially vulnerable to </w:t>
      </w:r>
      <w:r>
        <w:t xml:space="preserve">adverse outcomes following infection by </w:t>
      </w:r>
      <w:r w:rsidR="00F21860">
        <w:t>COVID-19</w:t>
      </w:r>
      <w:r>
        <w:t xml:space="preserve"> and have commonly </w:t>
      </w:r>
      <w:r w:rsidR="00DB2E56">
        <w:t>spent a disproportionate time within</w:t>
      </w:r>
      <w:r>
        <w:t xml:space="preserve"> their</w:t>
      </w:r>
      <w:r w:rsidR="00DB2E56">
        <w:t xml:space="preserve"> own</w:t>
      </w:r>
      <w:r>
        <w:t xml:space="preserve"> homes to reduce risk of infection</w:t>
      </w:r>
      <w:r w:rsidR="00F21860">
        <w:t xml:space="preserve">. There are concerns that advice to shield may have led to </w:t>
      </w:r>
      <w:r w:rsidR="00974698">
        <w:t xml:space="preserve">malnutrition </w:t>
      </w:r>
      <w:r w:rsidR="00F21860">
        <w:t xml:space="preserve">as older adults </w:t>
      </w:r>
      <w:r w:rsidR="00C61244">
        <w:t>m</w:t>
      </w:r>
      <w:r w:rsidR="00F21860">
        <w:t xml:space="preserve">ay modify daily routines including usual shopping habits. </w:t>
      </w:r>
      <w:r w:rsidR="00974698">
        <w:t xml:space="preserve">The aims of this study were to report </w:t>
      </w:r>
      <w:r w:rsidR="06207AE9">
        <w:t xml:space="preserve">self-reported </w:t>
      </w:r>
      <w:r w:rsidR="00974698">
        <w:t xml:space="preserve">pandemic-related changes in diet and examine </w:t>
      </w:r>
      <w:r w:rsidR="07D458FF">
        <w:t xml:space="preserve">lifestyle and medical </w:t>
      </w:r>
      <w:r w:rsidR="00974698">
        <w:t>correlates of these changes in older UK community-dwelling adults.</w:t>
      </w:r>
    </w:p>
    <w:p w14:paraId="11243B8B" w14:textId="77777777" w:rsidR="00974698" w:rsidRDefault="00974698" w:rsidP="00D05E55">
      <w:r w:rsidRPr="25E073EB">
        <w:t>Methods</w:t>
      </w:r>
    </w:p>
    <w:p w14:paraId="360D019D" w14:textId="732B4772" w:rsidR="00974698" w:rsidRDefault="00974698" w:rsidP="00D05E55">
      <w:r>
        <w:t xml:space="preserve">We recruited 491 participants from </w:t>
      </w:r>
      <w:r w:rsidR="00DB2E56">
        <w:t xml:space="preserve">the city of </w:t>
      </w:r>
      <w:r>
        <w:t>Southampton UK</w:t>
      </w:r>
      <w:r w:rsidR="00DB2E56">
        <w:t xml:space="preserve">. </w:t>
      </w:r>
      <w:r>
        <w:t xml:space="preserve"> </w:t>
      </w:r>
      <w:r w:rsidR="00C61244">
        <w:t>Participants</w:t>
      </w:r>
      <w:r>
        <w:t xml:space="preserve"> completed a postal questionnaire in summer/autumn 2021, over a year after the first UK national lockdown was announced. The questionnaire ascertained demographic and lifestyle factors, in addition to number of comorbidities, </w:t>
      </w:r>
      <w:r w:rsidR="007E7A98">
        <w:t>nutrition risk scores</w:t>
      </w:r>
      <w:r w:rsidR="0026784F">
        <w:t>,</w:t>
      </w:r>
      <w:r>
        <w:t xml:space="preserve"> presence of </w:t>
      </w:r>
      <w:r w:rsidR="0E3AEF63">
        <w:t>f</w:t>
      </w:r>
      <w:r w:rsidR="007E7A98">
        <w:t>railty</w:t>
      </w:r>
      <w:r>
        <w:t xml:space="preserve">. Associations between these participant characteristics in relation to </w:t>
      </w:r>
      <w:r w:rsidR="5CA20F2C">
        <w:t xml:space="preserve">self-reported </w:t>
      </w:r>
      <w:r>
        <w:t xml:space="preserve">changes in diet quality (lower, </w:t>
      </w:r>
      <w:proofErr w:type="gramStart"/>
      <w:r>
        <w:t>similar</w:t>
      </w:r>
      <w:proofErr w:type="gramEnd"/>
      <w:r>
        <w:t xml:space="preserve"> or higher when compared to before the first lockdown) were examined using ordinal logistic regression.</w:t>
      </w:r>
    </w:p>
    <w:p w14:paraId="2C03ADC4" w14:textId="77777777" w:rsidR="00974698" w:rsidRDefault="00974698" w:rsidP="00D05E55">
      <w:r w:rsidRPr="4DE4F92E">
        <w:t xml:space="preserve">Results </w:t>
      </w:r>
    </w:p>
    <w:p w14:paraId="242E07DB" w14:textId="5E60C557" w:rsidR="00974698" w:rsidRDefault="00974698" w:rsidP="00D05E55">
      <w:r>
        <w:t xml:space="preserve">Median (lower quartile, upper quartile) age was 79.8 (77.0, 83.7) years.  Overall, 11 (4.9%) men and 25 (9.4%) women had poorer diet quality compared to before the first UK lockdown. The following participant characteristics were associated with increased risk of being in a worse category for change in diet quality after adjustment for sex: lower educational attainment (p=0.009); higher BMI </w:t>
      </w:r>
      <w:r>
        <w:lastRenderedPageBreak/>
        <w:t>(p&lt;0.001); higher DETERMINE</w:t>
      </w:r>
      <w:r w:rsidR="033CBAC2">
        <w:t xml:space="preserve"> (a malnutrition assessment)</w:t>
      </w:r>
      <w:r>
        <w:t xml:space="preserve"> </w:t>
      </w:r>
      <w:proofErr w:type="gramStart"/>
      <w:r>
        <w:t>score</w:t>
      </w:r>
      <w:r w:rsidR="25E2137F">
        <w:t xml:space="preserve"> </w:t>
      </w:r>
      <w:r>
        <w:t xml:space="preserve"> (</w:t>
      </w:r>
      <w:proofErr w:type="gramEnd"/>
      <w:r>
        <w:t xml:space="preserve">p=0.004); </w:t>
      </w:r>
      <w:r w:rsidR="008C245D">
        <w:t>higher SARC-F score (p=0.013)</w:t>
      </w:r>
      <w:r>
        <w:t xml:space="preserve"> and self-reported exhaustion in the previous week on at least three days (p=0.002). </w:t>
      </w:r>
    </w:p>
    <w:p w14:paraId="14F01342" w14:textId="77777777" w:rsidR="00974698" w:rsidRDefault="00974698" w:rsidP="00D05E55">
      <w:r w:rsidRPr="4DE4F92E">
        <w:t>Conclusions</w:t>
      </w:r>
    </w:p>
    <w:p w14:paraId="0585D54E" w14:textId="71255793" w:rsidR="00180C8B" w:rsidRDefault="00974698" w:rsidP="55869305">
      <w:pPr>
        <w:rPr>
          <w:sz w:val="22"/>
        </w:rPr>
      </w:pPr>
      <w:r>
        <w:t>Individuals at high</w:t>
      </w:r>
      <w:r w:rsidR="007E7A98">
        <w:t>er</w:t>
      </w:r>
      <w:r>
        <w:t xml:space="preserve"> nutritional risk were </w:t>
      </w:r>
      <w:r w:rsidR="00F21860">
        <w:t xml:space="preserve">identified as reporting </w:t>
      </w:r>
      <w:r>
        <w:t xml:space="preserve">increased risk of deterioration in diet quality during the pandemic. Further investigation of the factors leading to these changes, </w:t>
      </w:r>
      <w:r w:rsidR="008C245D">
        <w:t xml:space="preserve">and </w:t>
      </w:r>
      <w:r>
        <w:t>an understanding of whether they are reversible</w:t>
      </w:r>
      <w:r w:rsidR="00F7035D">
        <w:t xml:space="preserve"> </w:t>
      </w:r>
      <w:r>
        <w:t>will be important, especially for future pandemic management</w:t>
      </w:r>
      <w:r w:rsidRPr="55869305">
        <w:rPr>
          <w:sz w:val="22"/>
        </w:rPr>
        <w:t xml:space="preserve">. </w:t>
      </w:r>
    </w:p>
    <w:p w14:paraId="405F1455" w14:textId="77777777" w:rsidR="00974698" w:rsidRDefault="00EA3D3C" w:rsidP="00974698">
      <w:pPr>
        <w:pStyle w:val="Heading1"/>
        <w:rPr>
          <w:bCs/>
        </w:rPr>
      </w:pPr>
      <w:r w:rsidRPr="00376CC5">
        <w:t>Introduction</w:t>
      </w:r>
      <w:r w:rsidR="00974698" w:rsidRPr="00974698">
        <w:rPr>
          <w:bCs/>
        </w:rPr>
        <w:t xml:space="preserve"> </w:t>
      </w:r>
    </w:p>
    <w:p w14:paraId="1AE0A515" w14:textId="54AAB058" w:rsidR="00F7035D" w:rsidRPr="00B820EE" w:rsidRDefault="008C245D" w:rsidP="55869305">
      <w:pPr>
        <w:rPr>
          <w:b/>
          <w:bCs/>
        </w:rPr>
      </w:pPr>
      <w:r w:rsidRPr="00B820EE">
        <w:rPr>
          <w:rFonts w:cs="Times New Roman"/>
          <w:color w:val="212121"/>
          <w:szCs w:val="24"/>
          <w:shd w:val="clear" w:color="auto" w:fill="FFFFFF"/>
        </w:rPr>
        <w:t>Frailty is a common condition in late adulthood and is associated with very significant mortality and morbidity (1). Defined as an increased vulnerability to stressors across multiple bodily systems, sarcopenia is considered to be the one of the key pathologies underpinning the frailty syndrome (1).</w:t>
      </w:r>
      <w:r w:rsidR="00974698" w:rsidRPr="00B177B5">
        <w:t xml:space="preserve">Adequate nutrition is known to be associated with better </w:t>
      </w:r>
      <w:r w:rsidRPr="00B820EE">
        <w:t xml:space="preserve">musculoskeletal </w:t>
      </w:r>
      <w:r w:rsidR="00974698" w:rsidRPr="00B177B5">
        <w:t xml:space="preserve">health in later life </w:t>
      </w:r>
      <w:r w:rsidR="00974698" w:rsidRPr="000F4598">
        <w:fldChar w:fldCharType="begin" w:fldLock="1"/>
      </w:r>
      <w:r w:rsidR="00974698" w:rsidRPr="00B177B5">
        <w:instrText>ADDIN CSL_CITATION {"citationItems":[{"id":"ITEM-1","itemData":{"DOI":"10.1016/J.MATURITAS.2016.05.016","ISSN":"18734111","PMID":"27338978","abstract":"Regular physical activity (PA) promotes musculoskeletal health in older adults. However, the majority of older individuals do not meet current PA guidelines and are also highly sedentary. Emerging evidence indicates that large amounts of sedentary time accelerate the loss of skeletal muscle mass (i.e., sarcopenia) and physical function with advancing age. However, current PA recommendations for sedentary time are non-specific (i.e., keep sedentary time to a minimum). Research indicates that physical inactivity and large amounts of sedentary time accelerate sarcopenic muscle loss by inducing skeletal muscle ‘anabolic resistance’. These findings suggest a critical interaction between engaging in ‘sufficient’ levels of PA, minimising sedentary time, and consuming ‘adequate’ nutrition to promote optimal musculoskeletal health in older adults. However, current PA recommendations do not take into account the important role that nutrition plays in ensuring older adults can maximise the benefits from the PA in which they engage. The aim of this narrative review is: (1) to briefly summarise the evidence used to inform current public health recommendations for PA and sedentary time in older adults; and (2) to discuss the presence of ‘anabolic resistance’ in older adults, highlighting the importance of regular PA and minimising sedentary behaviour. It is imperative that the synergy between PA, minimising sedentary behaviour and adequate nutrition is integrated into future PA guidelines to promote optimal musculoskeletal health and metabolic responses in the growing ageing population.","author":[{"dropping-particle":"","family":"Shad","given":"Brandon J.","non-dropping-particle":"","parse-names":false,"suffix":""},{"dropping-particle":"","family":"Wallis","given":"Gareth","non-dropping-particle":"","parse-names":false,"suffix":""},{"dropping-particle":"","family":"Loon","given":"Luc J.C.","non-dropping-particle":"van","parse-names":false,"suffix":""},{"dropping-particle":"","family":"Thompson","given":"Janice L.","non-dropping-particle":"","parse-names":false,"suffix":""}],"container-title":"Maturitas","id":"ITEM-1","issued":{"date-parts":[["2016","11","1"]]},"page":"78-82","publisher":"Elsevier Ireland Ltd","title":"Exercise prescription for the older population: The interactions between physical activity, sedentary time, and adequate nutrition in maintaining musculoskeletal health","type":"article-journal","volume":"93"},"uris":["http://www.mendeley.com/documents/?uuid=b58af5df-d0a9-385c-8df2-a86cdb1a0270"]},{"id":"ITEM-2","itemData":{"DOI":"10.1093/AGEING/AFU115","ISSN":"14682834","PMID":"25241753","abstract":"Objective: to examine the clinical evidence reporting the prevalence of sarcopenia and the effect of nutrition and exercise interventions from studies using the consensus definition of sarcopenia proposed by the European Working Group on Sarcopenia in Older People (EWGSOP). Methods: PubMed and Dialog databases were searched ( January 2000-October 2013) using pre-defined search terms. Prevalence studies and intervention studies investigating muscle mass plus strength or function outcome measures using the EWGSOP definition of sarcopenia, in well-defined populations of adults aged =50 years were selected. Results: prevalence of sarcopenia was, with regional and age-related variations, 1-29% in community-dwelling populations, 14- 33%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~2.5 g of leucine, and ß-hydroxy ß-methylbutyric acid (HMB) supplements, show some effects in improving muscle mass and function parameters. Protein supplements have not shown consistent benefits on muscle mass and function. 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outcomes.","author":[{"dropping-particle":"","family":"Cruz-Jentoft","given":"Alfonso J.","non-dropping-particle":"","parse-names":false,"suffix":""},{"dropping-particle":"","family":"Landi","given":"Francesco","non-dropping-particle":"","parse-names":false,"suffix":""},{"dropping-particle":"","family":"Schneider","given":"Stéphane M.","non-dropping-particle":"","parse-names":false,"suffix":""},{"dropping-particle":"","family":"Zúñiga","given":"Clemente","non-dropping-particle":"","parse-names":false,"suffix":""},{"dropping-particle":"","family":"Arai","given":"Hidenori","non-dropping-particle":"","parse-names":false,"suffix":""},{"dropping-particle":"","family":"Boirie","given":"Yves","non-dropping-particle":"","parse-names":false,"suffix":""},{"dropping-particle":"","family":"Chen","given":"Liang Kung","non-dropping-particle":"","parse-names":false,"suffix":""},{"dropping-particle":"","family":"Fielding","given":"Roger A.","non-dropping-particle":"","parse-names":false,"suffix":""},{"dropping-particle":"","family":"Martin","given":"Finbarr C.","non-dropping-particle":"","parse-names":false,"suffix":""},{"dropping-particle":"","family":"Michel","given":"Jeanpierre","non-dropping-particle":"","parse-names":false,"suffix":""},{"dropping-particle":"","family":"Sieber","given":"Cornel","non-dropping-particle":"","parse-names":false,"suffix":""},{"dropping-particle":"","family":"Stout","given":"Jeffrey R.","non-dropping-particle":"","parse-names":false,"suffix":""},{"dropping-particle":"","family":"Studenski","given":"Stephanie A.","non-dropping-particle":"","parse-names":false,"suffix":""},{"dropping-particle":"","family":"Vellas","given":"Bruno","non-dropping-particle":"","parse-names":false,"suffix":""},{"dropping-particle":"","family":"Woo","given":"Jean","non-dropping-particle":"","parse-names":false,"suffix":""},{"dropping-particle":"","family":"Zamboni","given":"Mauro","non-dropping-particle":"","parse-names":false,"suffix":""},{"dropping-particle":"","family":"Cederholm","given":"Tommy","non-dropping-particle":"","parse-names":false,"suffix":""}],"container-title":"Age and Ageing","id":"ITEM-2","issue":"6","issued":{"date-parts":[["2014","11","1"]]},"page":"748","publisher":"Oxford University Press","title":"Prevalence of and interventions for sarcopenia in ageing adults: a systematic review. Report of the International Sarcopenia Initiative (EWGSOP and IWGS)","type":"article-journal","volume":"43"},"uris":["http://www.mendeley.com/documents/?uuid=6500b3f9-2f8a-363e-a5ee-0f7805322228"]}],"mendeley":{"formattedCitation":"(1,2)","plainTextFormattedCitation":"(1,2)","previouslyFormattedCitation":"(1,2)"},"properties":{"noteIndex":0},"schema":"https://github.com/citation-style-language/schema/raw/master/csl-citation.json"}</w:instrText>
      </w:r>
      <w:r w:rsidR="00974698" w:rsidRPr="000F4598">
        <w:fldChar w:fldCharType="separate"/>
      </w:r>
      <w:r w:rsidR="00974698" w:rsidRPr="00B177B5">
        <w:rPr>
          <w:noProof/>
        </w:rPr>
        <w:t>(1,2)</w:t>
      </w:r>
      <w:r w:rsidR="00974698" w:rsidRPr="000F4598">
        <w:fldChar w:fldCharType="end"/>
      </w:r>
      <w:r w:rsidR="00974698" w:rsidRPr="00B177B5">
        <w:t xml:space="preserve">. More specifically, sufficient intake of calcium, protein and other vitamins and minerals have been linked to better muscle health </w:t>
      </w:r>
      <w:r w:rsidR="00974698" w:rsidRPr="000F4598">
        <w:fldChar w:fldCharType="begin" w:fldLock="1"/>
      </w:r>
      <w:r w:rsidR="00974698" w:rsidRPr="00B177B5">
        <w:instrText xml:space="preserve">ADDIN CSL_CITATION {"citationItems":[{"id":"ITEM-1","itemData":{"DOI":"10.1007/s12603-020-1537-7","ISSN":"17604788","PMID":"33367459","abstract":"Background: Osteosarcopenia is a geriatric syndrome defined by the concomitant presence of osteopenia/osteoporosis (loss of bone mineral density (BMD)) and sarcopenia (loss of muscle mass and/or function), which increases the risk of falls, fractures, and premature mortality. Objective: To examine the efficacy of non-pharmacological (exercise and/or nutritional) interventions on musculoskeletal measures and outcomes in osteosarcopenic adults by reviewing findings from randomized controlled trials (RCTs). Methods: This review was registered at PROSPERO (registration number: CRD42020179292) and conducted in accordance with the PRISMA guidelines. Electronic databases were searched for RCTs assessing the effect of at least one non-pharmacological intervention (any form of exercise and/or supplementation with protein, vitamin D, calcium or creatine) on any musculoskeletal measure/outcome of interest (BMD, bone strength/turnover, muscle mass and strength, physical performance, falls/fractures) in adults with osteosarcopenia as defined by any proposed criteria. Results: Two RCTs (of n=106 older osteosarcopenic adults (≥65 years)) assessing the effects of progressive resistance training (RT) (via resistance bands or machines; 2–3 times/week; </w:instrText>
      </w:r>
      <w:r w:rsidR="00974698" w:rsidRPr="00B177B5">
        <w:rPr>
          <w:rFonts w:ascii="Cambria Math" w:hAnsi="Cambria Math" w:cs="Cambria Math"/>
        </w:rPr>
        <w:instrText>∼</w:instrText>
      </w:r>
      <w:r w:rsidR="00974698" w:rsidRPr="00B177B5">
        <w:instrText>60 minutes in duration) were eligible for inclusion. The two RCTs demonstrated moderate quality evidence that RT increases muscle mass, strength, and quality, with changes in strength and quality occurring before muscle mass (12 vs 28 weeks). There was low quality evidence that RT increases lumbar spine BMD and maintains total hip BMD when performed for 12 and 18 months, respectively, and moderate quality evidence that RT has no effect on markers of bone turnover or physical performance. No major adverse effects were recorded in either of the RCTs. There were no eligible RCTs examining the impact of nutritional interventions. Conclusion: Chronic RT is safe and effective at potentiating gains in muscle mass, strength, and quality, and increasing or maintaining BMD in older osteosarcopenic adults. No RCT has examined the effects of protein, vitamin D, calcium, or creatine against a control/placebo in this high-risk population.","author":[{"dropping-particle":"","family":"Atlihan","given":"R.","non-dropping-particle":"","parse-names":false,"suffix":""},{"dropping-particle":"","family":"Kirk","given":"B.","non-dropping-particle":"","parse-names":false,"suffix":""},{"dropping-particle":"","family":"Duque","given":"Gustavo","non-dropping-particle":"","parse-names":false,"suffix":""}],"container-title":"Journal of Nutrition, Health and Aging","id":"ITEM-1","issue":"1","issued":{"date-parts":[["2021","1","1"]]},"page":"25-32","publisher":"Serdi-Editions","title":"Non-Pharmacological Interventions in Osteosarcopenia: A Systematic Review","type":"article","volume":"25"},"uris":["http://www.mendeley.com/documents/?uuid=23064c71-8867-31b5-afde-bafd8fe794c8"]}],"mendeley":{"formattedCitation":"(3)","plainTextFormattedCitation":"(3)","previouslyFormattedCitation":"(3)"},"properties":{"noteIndex":0},"schema":"https://github.com/citation-style-language/schema/raw/master/csl-citation.json"}</w:instrText>
      </w:r>
      <w:r w:rsidR="00974698" w:rsidRPr="000F4598">
        <w:fldChar w:fldCharType="separate"/>
      </w:r>
      <w:r w:rsidR="00974698" w:rsidRPr="00B177B5">
        <w:rPr>
          <w:noProof/>
        </w:rPr>
        <w:t>(3)</w:t>
      </w:r>
      <w:r w:rsidR="00974698" w:rsidRPr="000F4598">
        <w:fldChar w:fldCharType="end"/>
      </w:r>
      <w:r w:rsidR="00974698" w:rsidRPr="00B177B5">
        <w:t>.</w:t>
      </w:r>
      <w:r w:rsidR="007E7A98" w:rsidRPr="00B177B5">
        <w:t xml:space="preserve"> Several epidemiologic</w:t>
      </w:r>
      <w:r w:rsidR="00021E6C" w:rsidRPr="00B177B5">
        <w:t>al</w:t>
      </w:r>
      <w:r w:rsidR="007E7A98" w:rsidRPr="00B177B5">
        <w:t xml:space="preserve"> studies have explored the association of dietary habits or healthier diets </w:t>
      </w:r>
      <w:r w:rsidR="00F21860" w:rsidRPr="00B177B5">
        <w:t>with</w:t>
      </w:r>
      <w:r w:rsidR="007E7A98" w:rsidRPr="00B177B5">
        <w:t xml:space="preserve"> muscle health, and the association of individual foods and nutrients with fracture, falls and frailty</w:t>
      </w:r>
      <w:r w:rsidR="001C63C2" w:rsidRPr="00B177B5">
        <w:t xml:space="preserve"> </w:t>
      </w:r>
      <w:r w:rsidR="00974698" w:rsidRPr="000F4598">
        <w:fldChar w:fldCharType="begin" w:fldLock="1"/>
      </w:r>
      <w:r w:rsidR="00974698" w:rsidRPr="00B177B5">
        <w:instrText>ADDIN CSL_CITATION {"citationItems":[{"id":"ITEM-1","itemData":{"DOI":"10.3390/NU12041154","ISSN":"2072-6643","PMID":"32326165","abstract":"Research on Mediterranean diet (MD) adherence and musculoskeletal health is limited. The current study determined if adherence to the alternative MD score (aMED) and MD score (MDS), quantified from 7-d food diaries, was associated with fracture incidence, bone density (calcaneal broadband ultrasound attenuation (BUA)) and fat free mass (expressed over BMI (FFMBMI) using bioelectrical impedance) in 25,450 men and women recruited to the European Prospective Investigation into Cancer study in Norfolk, UK. During 17.4 years of follow up (443,178 total person years) 2195 incident fractures occurred. Higher aMED adherence was associated with 23% reduced total (Q5&amp;ndash;Q1 HR 0.77; 95% CI 0.67, 0.88; p-trend &amp;lt; 0.01) and 21% reduced hip (Q5&amp;ndash;Q1 HR 0.79; 95% CI 0.65, 0.96; p-trend = 0.01) fracture incidence, and significantly higher BUA (Q5&amp;ndash;Q1 1.0 dB/MHz 95% CI 0.2, 1.9; p-trend &amp;lt; 0.01) and FFMBMI (Q5&amp;ndash;Q1 0.05 kg/(kg/m2) 95% CI 0.04, 0.06; p-trend &amp;lt; 0.01), comparing extreme adherence quintiles. Higher MDS was also associated with reduced total fractures (Q5&amp;ndash;Q1 HR 0.83; 95% CI 0.71, 0.96; p-trend = 0.03) and significantly higher BUA (Q5&amp;ndash;Q1 1.4 dB/MHz 95% CI 0.5, 2.3; p-trend &amp;lt; 0.01) and FFMBMI (Q5&amp;ndash;Q1 0.03 kg/(kg/m2) 95% CI 0.01, 0.04; p-trend &amp;lt; 0.01). This evidence supports the need to develop interventions to enhance MD adherence, particularly in women, where evidence for associations was stronger.","author":[{"dropping-particle":"","family":"Jennings","given":"Amy","non-dropping-particle":"","parse-names":false,"suffix":""},{"dropping-particle":"","family":"Mulligan","given":"Angela A.","non-dropping-particle":"","parse-names":false,"suffix":""},{"dropping-particle":"","family":"Khaw","given":"Kay Tee","non-dropping-particle":"","parse-names":false,"suffix":""},{"dropping-particle":"","family":"Luben","given":"Robert N.","non-dropping-particle":"","parse-names":false,"suffix":""},{"dropping-particle":"","family":"Welch","given":"Ailsa A.","non-dropping-particle":"","parse-names":false,"suffix":""}],"container-title":"Nutrients 2020, Vol. 12, Page 1154","id":"ITEM-1","issue":"4","issued":{"date-parts":[["2020","4","21"]]},"page":"1154","publisher":"Multidisciplinary Digital Publishing Institute","title":"A Mediterranean Diet Is Positively Associated with Bone and Muscle Health in a Non-Mediterranean Region in 25,450 Men and Women from EPIC-Norfolk","type":"article-journal","volume":"12"},"uris":["http://www.mendeley.com/documents/?uuid=8d3ab4ac-60f7-3f87-985f-094b61eccc21"]},{"id":"ITEM-2","itemData":{"DOI":"10.3390/NU13072349","ISSN":"2072-6643","PMID":"34371858","abstract":"Frailty is a syndrome of growing importance given the global ageing population. While frailty is a multifactorial process, poor nutritional status is considered a key contributor to its pathophysiology. As nutrition is a modifiable risk factor for frailty, strategies to prevent and treat frailty should consider dietary change. Observational evidence linking nutrition with frailty appears most robust for dietary quality: for example, dietary patterns such as the Mediterranean diet appear to be protective. In addition, research on specific foods, such as a higher consumption of fruit and vegetables and lower consumption of ultra-processed foods are consistent, with healthier profiles linked to lower frailty risk. Few dietary intervention studies have been conducted to date, although a growing number of trials that combine supplementation with exercise training suggest a multi-domain approach may be more effective. This review is based on an interdisciplinary workshop, held in November 2020, and synthesises current understanding of dietary influences on frailty, focusing on opportunities for prevention and treatment. Longer term prospective studies and well-designed trials are needed to determine the causal effects of nutrition on frailty risk and progression and how dietary change can be used to prevent and/or treat frailty in the future.","author":[{"dropping-particle":"","family":"Lochlainn","given":"Mary Ni","non-dropping-particle":"","parse-names":false,"suffix":""},{"dropping-particle":"","family":"Cox","given":"Natalie J.","non-dropping-particle":"","parse-names":false,"suffix":""},{"dropping-particle":"","family":"Wilson","given":"Thomas","non-dropping-particle":"","parse-names":false,"suffix":""},{"dropping-particle":"","family":"Hayhoe","given":"Richard P.G.","non-dropping-particle":"","parse-names":false,"suffix":""},{"dropping-particle":"","family":"Ramsay","given":"Sheena E.","non-dropping-particle":"","parse-names":false,"suffix":""},{"dropping-particle":"","family":"Granic","given":"Antoneta","non-dropping-particle":"","parse-names":false,"suffix":""},{"dropping-particle":"","family":"Isanejad","given":"Masoud","non-dropping-particle":"","parse-names":false,"suffix":""},{"dropping-particle":"","family":"Roberts","given":"Helen C.","non-dropping-particle":"","parse-names":false,"suffix":""},{"dropping-particle":"","family":"Wilson","given":"Daisy","non-dropping-particle":"","parse-names":false,"suffix":""},{"dropping-particle":"","family":"Welch","given":"Carly","non-dropping-particle":"","parse-names":false,"suffix":""},{"dropping-particle":"","family":"Hurst","given":"Christopher","non-dropping-particle":"","parse-names":false,"suffix":""},{"dropping-particle":"","family":"Atkins","given":"Janice L.","non-dropping-particle":"","parse-names":false,"suffix":""},{"dropping-particle":"","family":"Mendonça","given":"Nuno","non-dropping-particle":"","parse-names":false,"suffix":""},{"dropping-particle":"","family":"Horner","given":"Katy","non-dropping-particle":"","parse-names":false,"suffix":""},{"dropping-particle":"","family":"Tuttiett","given":"Esme R.","non-dropping-particle":"","parse-names":false,"suffix":""},{"dropping-particle":"","family":"Morgan","given":"Yvie","non-dropping-particle":"","parse-names":false,"suffix":""},{"dropping-particle":"","family":"Heslop","given":"Phil","non-dropping-particle":"","parse-names":false,"suffix":""},{"dropping-particle":"","family":"Williams","given":"Elizabeth A.","non-dropping-particle":"","parse-names":false,"suffix":""},{"dropping-particle":"","family":"Steves","given":"Claire J.","non-dropping-particle":"","parse-names":false,"suffix":""},{"dropping-particle":"","family":"Greig","given":"Carolyn","non-dropping-particle":"","parse-names":false,"suffix":""},{"dropping-particle":"","family":"Draper","given":"John","non-dropping-particle":"","parse-names":false,"suffix":""},{"dropping-particle":"","family":"Corish","given":"Clare A.","non-dropping-particle":"","parse-names":false,"suffix":""},{"dropping-particle":"","family":"Welch","given":"Ailsa","non-dropping-particle":"","parse-names":false,"suffix":""},{"dropping-particle":"","family":"Witham","given":"Miles D.","non-dropping-particle":"","parse-names":false,"suffix":""},{"dropping-particle":"","family":"Sayer","given":"Avan A.","non-dropping-particle":"","parse-names":false,"suffix":""},{"dropping-particle":"","family":"Robinson","given":"Sian","non-dropping-particle":"","parse-names":false,"suffix":""}],"container-title":"Nutrients 2021, Vol. 13, Page 2349","id":"ITEM-2","issue":"7","issued":{"date-parts":[["2021","7","9"]]},"page":"2349","publisher":"Multidisciplinary Digital Publishing Institute","title":"Nutrition and Frailty: Opportunities for Prevention and Treatment","type":"article-journal","volume":"13"},"uris":["http://www.mendeley.com/documents/?uuid=db7d9535-d324-33d3-8467-9f51470b0c6d"]},{"id":"ITEM-3","itemData":{"DOI":"10.3390/NU11040745","ISSN":"2072-6643","PMID":"30935012","abstract":"In recent decades, the significance of diet and dietary patterns (DPs) for skeletal muscle health has been gaining attention in ageing and nutritional research. Sarcopenia, a muscle disease characterised by low muscle strength, mass, and function is associated with an increased risk of functional decline, frailty, hospitalization, and death. The prevalence of sarcopenia increases with age and leads to high personal, social, and economic costs. Finding adequate nutritional measures to maintain muscle health, preserve function, and independence for the growing population of older adults would have important scientific and societal implications. Two main approaches have been employed to study the role of diet/DPs as a modifiable lifestyle factor in sarcopenia. An a priori or hypothesis-driven approach examines the adherence to pre-defined dietary indices such as the Mediterranean diet (MED) and Healthy Eating Index (HEI)&amp;mdash;measures of diet quality&amp;mdash;in relation to muscle health outcomes. A posteriori or data-driven approaches have used statistical tools&amp;mdash;dimension reduction methods or clustering&amp;mdash;to study DP-muscle health relationships. Both approaches recognise the importance of the whole diet and potential cumulative, synergistic, and antagonistic effects of foods and nutrients on ageing muscle. In this review, we have aimed to (i) summarise nutritional epidemiology evidence from four recent systematic reviews with updates from new primary studies about the role of DPs in muscle health, sarcopenia, and its components; (ii) hypothesise about the potential mechanisms of &amp;lsquo;myoprotective&amp;rsquo; diets, with the MED as an example, and (iii) discuss the challenges facing nutritional epidemiology to produce the higher level evidence needed to understand the relationships between whole diets and healthy muscle ageing.","author":[{"dropping-particle":"","family":"Granic","given":"Antoneta","non-dropping-particle":"","parse-names":false,"suffix":""},{"dropping-particle":"","family":"Sayer","given":"Avan A.","non-dropping-particle":"","parse-names":false,"suffix":""},{"dropping-particle":"","family":"Robinson","given":"Sian M.","non-dropping-particle":"","parse-names":false,"suffix":""}],"container-title":"Nutrients 2019, Vol. 11, Page 745","id":"ITEM-3","issue":"4","issued":{"date-parts":[["2019","3","30"]]},"page":"745","publisher":"Multidisciplinary Digital Publishing Institute","title":"Dietary Patterns, Skeletal Muscle Health, and Sarcopenia in Older Adults","type":"article-journal","volume":"11"},"uris":["http://www.mendeley.com/documents/?uuid=548619a0-124e-3e96-a785-d458024bea1f"]},{"id":"ITEM-4","itemData":{"DOI":"10.1093/ADVANCES/NMY073","ISSN":"2161-8313","PMID":"30657847","abstract":"Low bone mineral density (BMD) and osteoporosis-related fractures constitute a considerable public health burden. Several studies have demonstrated the association between diet and bone health. We performed a systematic review to provide an estimate of the association between different dietary patterns defined through the use of a posteriori methods and fracture or low BMD risk. A literature search on PubMed, Web of Science, and Scopus databases, up to March 2018, was performed to identify all eligible case-control, prospective, or cross-sectional studies involving subjects of both sexes and any age. Random-effects models were used. Heterogeneity and publication bias were evaluated. Stratified analyses were conducted on study characteristics. The meta-analysis includes 20 studies and identifies 3 prevalent dietary patterns: “Healthy,” “Milk/dairy,” and “Meat/Western.” From the 10 studies on fracture, adherence to the “Healthy” pattern reduced the risk, particularly in older people (OR: 0.79; 95% CI: 0.66, 0.95; P = 0.011) and in Eastern countries (OR: 0.64; 95% CI: 0.43, 0.97; P = 0.037), whereas the risk increased with the “Meat/Western” pattern, especially for older people (OR: 1.11; 95% CI: 1.04, 1.18, P = 0.001), in those with hip fractures (OR: 1.15; 95% CI: 1.05, 1.25; P = 0.002), and in Western countries (OR: 1.10; 95% CI: 1.07, 1.14; P &lt; 0.0001). Analyses on low BMD showed a reduced risk in the “Healthy” pattern, particularly for younger people (OR: 0.62; 95% CI: 0.44, 0.89; P = 0.009). The “Meat/Western” pattern increased low BMD risk, especially in older people (OR: 1.31; 95% CI: 1.05, 1.64; P = 0.015). The “Milk/dairy” pattern resulted in the strongest reduction in low BMD risk; when stratifying, this effect remained significant (e.g., older women-OR: 0.57; 95% CI: 0.46, 0.70; P &lt; 0.0001). Nutrition is an important modifiable factor affecting bone health. The “Healthy” and “Milk/dairy” patterns are associated with a reduced risk of low BMD and fracture. In contrast, the “Western” pattern is inversely associated. Adv Nutr 2019;10:219-236.","author":[{"dropping-particle":"","family":"Fabiani","given":"Roberto","non-dropping-particle":"","parse-names":false,"suffix":""},{"dropping-particle":"","family":"Naldini","given":"Giulia","non-dropping-particle":"","parse-names":false,"suffix":""},{"dropping-particle":"","family":"Chiavarini","given":"Manuela","non-dropping-particle":"","parse-names":false,"suffix":""}],"container-title":"Advances in Nutrition","id":"ITEM-4","issue":"2","issued":{"date-parts":[["2019","3","1"]]},"page":"219-236","publisher":"Oxford Academic","title":"Dietary Patterns in Relation to Low Bone Mineral Density and Fracture Risk: A Systematic Review and Meta-Analysis","type":"article-journal","volume":"10"},"uris":["http://www.mendeley.com/documents/?uuid=3fb83273-9d90-314c-b164-60a401d31917"]}],"mendeley":{"formattedCitation":"(4–7)","plainTextFormattedCitation":"(4–7)","previouslyFormattedCitation":"(4–7)"},"properties":{"noteIndex":0},"schema":"https://github.com/citation-style-language/schema/raw/master/csl-citation.json"}</w:instrText>
      </w:r>
      <w:r w:rsidR="00974698" w:rsidRPr="000F4598">
        <w:fldChar w:fldCharType="separate"/>
      </w:r>
      <w:r w:rsidR="001C63C2" w:rsidRPr="00B177B5">
        <w:rPr>
          <w:noProof/>
        </w:rPr>
        <w:t>(4–7)</w:t>
      </w:r>
      <w:r w:rsidR="00974698" w:rsidRPr="000F4598">
        <w:fldChar w:fldCharType="end"/>
      </w:r>
      <w:r w:rsidR="007E7A98" w:rsidRPr="00B177B5">
        <w:t>.</w:t>
      </w:r>
      <w:r w:rsidR="00974698" w:rsidRPr="00B820EE">
        <w:rPr>
          <w:b/>
          <w:bCs/>
        </w:rPr>
        <w:t xml:space="preserve"> </w:t>
      </w:r>
    </w:p>
    <w:p w14:paraId="0571B6BD" w14:textId="3FFED193" w:rsidR="00180C8B" w:rsidRDefault="00CB48DA" w:rsidP="00974698">
      <w:r>
        <w:t>The emergence of the coronavirus disease (COVID-19)</w:t>
      </w:r>
      <w:r w:rsidR="00974698">
        <w:t xml:space="preserve"> declared a pandemic by the World Health </w:t>
      </w:r>
      <w:proofErr w:type="spellStart"/>
      <w:r w:rsidR="00974698">
        <w:t>Organisation</w:t>
      </w:r>
      <w:proofErr w:type="spellEnd"/>
      <w:r w:rsidR="00974698">
        <w:t xml:space="preserve"> in March 2020, and subsequent restrictive measures introduced in many countries to reduce the transmission of the disease</w:t>
      </w:r>
      <w:r w:rsidR="00021E6C">
        <w:t>,</w:t>
      </w:r>
      <w:r w:rsidR="00974698">
        <w:t xml:space="preserve"> may have negatively impacted </w:t>
      </w:r>
      <w:r w:rsidR="00F21860">
        <w:t xml:space="preserve">daily routines and </w:t>
      </w:r>
      <w:r w:rsidR="00974698">
        <w:t>lifestyle</w:t>
      </w:r>
      <w:r w:rsidR="00021E6C">
        <w:t xml:space="preserve">. This is </w:t>
      </w:r>
      <w:r w:rsidR="00974698">
        <w:t xml:space="preserve">especially </w:t>
      </w:r>
      <w:r w:rsidR="00021E6C">
        <w:t xml:space="preserve">likely </w:t>
      </w:r>
      <w:r w:rsidR="00974698">
        <w:t xml:space="preserve">among older adults, who are </w:t>
      </w:r>
      <w:r w:rsidR="00F21860">
        <w:t xml:space="preserve">at greatest risk of complications from infection by the </w:t>
      </w:r>
      <w:r w:rsidR="00974698">
        <w:t xml:space="preserve">COVID-19 virus </w:t>
      </w:r>
      <w:r>
        <w:fldChar w:fldCharType="begin" w:fldLock="1"/>
      </w:r>
      <w:r>
        <w:instrText>ADDIN CSL_CITATION {"citationItems":[{"id":"ITEM-1","itemData":{"DOI":"10.1093/AGEING/AFAA093","ISSN":"14682834","PMID":"32377677","abstract":"Introduction: the COVID-19 pandemic poses a high risk to older people. The aim of this article is to provide a rapid overview of the COVID-19 literature, with a specific focus on older adults. We frame our findings within an overview of the disease and have also evaluated the inclusion of older people within forthcoming clinical trials. Methods: we searched PubMed and bioRxiv/medRxiv to identify English language papers describing the testing, treatment and prognosis of COVID-19. PubMed and bioRxiv/medRxiv searches took place on 20 and 24 March 2020, respectively. Results: screening of over 1,100 peer-reviewed and pre-print papers yielded n = 22 on COVID-19 testing, n = 15 on treatment and n = 13 on prognosis. Viral polymerase chain reaction (PCR) and serology are the mainstays of testing, but a positive diagnosis may be increasingly supported by radiological findings. The current evidence for the effectiveness of antiviral, corticosteroid and immunotherapies is inconclusive, although trial data are largely based on younger people. In addition to age, male gender and comorbidities, specific laboratory and radiology findings are important prognostic factors. Evidence suggests that social distancing policies could have important negative consequences, particularly if in place for an extended period. Conclusion: given the established association between increasing age and poor prognosis in COVID-19, we anticipate that this rapid review of the current and emergent evidence might form a basis on which future work can be established. Exclusion of older people, particularly those with comorbidities, from clinical trials is well recognised and is potentially being perpetuated in the field of current COVID-19 research.","author":[{"dropping-particle":"","family":"Lithander","given":"Fiona E.","non-dropping-particle":"","parse-names":false,"suffix":""},{"dropping-particle":"","family":"Neumann","given":"Sandra","non-dropping-particle":"","parse-names":false,"suffix":""},{"dropping-particle":"","family":"Tenison","given":"Emma","non-dropping-particle":"","parse-names":false,"suffix":""},{"dropping-particle":"","family":"Lloyd","given":"Katherine","non-dropping-particle":"","parse-names":false,"suffix":""},{"dropping-particle":"","family":"Welsh","given":"Tomas J.","non-dropping-particle":"","parse-names":false,"suffix":""},{"dropping-particle":"","family":"Rodrigues","given":"Jonathan C.L.","non-dropping-particle":"","parse-names":false,"suffix":""},{"dropping-particle":"","family":"Higgins","given":"Julian P.T.","non-dropping-particle":"","parse-names":false,"suffix":""},{"dropping-particle":"","family":"Scourfield","given":"Lily","non-dropping-particle":"","parse-names":false,"suffix":""},{"dropping-particle":"","family":"Christensen","given":"Hannah","non-dropping-particle":"","parse-names":false,"suffix":""},{"dropping-particle":"","family":"Haunton","given":"Victoria J.","non-dropping-particle":"","parse-names":false,"suffix":""},{"dropping-particle":"","family":"Henderson","given":"Emily J.","non-dropping-particle":"","parse-names":false,"suffix":""}],"container-title":"Age and Ageing","id":"ITEM-1","issue":"4","issued":{"date-parts":[["2020","7","1"]]},"page":"501-515","publisher":"Oxford University Press","title":"COVID-19 in Older People: A Rapid Clinical Review","type":"article-journal","volume":"49"},"uris":["http://www.mendeley.com/documents/?uuid=e21e5b1c-d078-3c52-b88a-adb1d12b4c2d"]},{"id":"ITEM-2","itemData":{"DOI":"10.1016/J.BBI.2020.04.028","ISSN":"10902139","PMID":"32298802","abstract":"In addition to being a public physical health emergency, Coronavirus disease 2019 (COVID-19) affected global mental health, as evidenced by panic-buying worldwide as cases soared. Little is known about changes in levels of psychological impact, stress, anxiety and depression during this pandemic. This longitudinal study surveyed the general population twice - during the initial outbreak, and the epidemic's peak four weeks later, surveying demographics, symptoms, knowledge, concerns, and precautionary measures against COVID-19. There were 1738 respondents from 190 Chinese cities (1210 first-survey respondents, 861 s-survey respondents; 333 respondents participated in both). Psychological impact and mental health status were assessed by the Impact of Event Scale-Revised (IES-R) and the Depression, Anxiety and Stress Scale (DASS-21), respectively. IES-R measures PTSD symptoms in survivorship after an event. DASS -21 is based on tripartite model of psychopathology that comprise a general distress construct with distinct characteristics. This study found that there was a statistically significant longitudinal reduction in mean IES-R scores (from 32.98 to 30.76, p &lt; 0.01) after 4 weeks. Nevertheless, the mean IES-R score of the first- and second-survey respondents were above the cut-off scores (&gt;24) for PTSD symptoms, suggesting that the reduction in scores was not clinically significant. During the initial evaluation, moderate-to-severe stress, anxiety and depression were noted in 8.1%, 28.8% and 16.5%, respectively and there were no significant longitudinal changes in stress, anxiety and depression levels (p &gt; 0.05). Protective factors included high level of confidence in doctors, perceived survival likelihood and low risk of contracting COVID-19, satisfaction with health information, personal precautionary measures. As countries around the world brace for an escalation in cases, Governments should focus on effective methods of disseminating unbiased COVID-19 knowledge, teaching correct containment methods, ensuring availability of essential services/commodities, and providing sufficient financial support.","author":[{"dropping-particle":"","family":"Wang","given":"Cuiyan","non-dropping-particle":"","parse-names":false,"suffix":""},{"dropping-particle":"","family":"Pan","given":"Riyu","non-dropping-particle":"","parse-names":false,"suffix":""},{"dropping-particle":"","family":"Wan","given":"Xiaoyang","non-dropping-particle":"","parse-names":false,"suffix":""},{"dropping-particle":"","family":"Tan","given":"Yilin","non-dropping-particle":"","parse-names":false,"suffix":""},{"dropping-particle":"","family":"Xu","given":"Linkang","non-dropping-particle":"","parse-names":false,"suffix":""},{"dropping-particle":"","family":"McIntyre","given":"Roger S.","non-dropping-particle":"","parse-names":false,"suffix":""},{"dropping-particle":"","family":"Choo","given":"Faith N.","non-dropping-particle":"","parse-names":false,"suffix":""},{"dropping-particle":"","family":"Tran","given":"Bach","non-dropping-particle":"","parse-names":false,"suffix":""},{"dropping-particle":"","family":"Ho","given":"Roger","non-dropping-particle":"","parse-names":false,"suffix":""},{"dropping-particle":"","family":"Sharma","given":"Vijay K.","non-dropping-particle":"","parse-names":false,"suffix":""},{"dropping-particle":"","family":"Ho","given":"Cyrus","non-dropping-particle":"","parse-names":false,"suffix":""}],"container-title":"Brain, Behavior, and Immunity","id":"ITEM-2","issued":{"date-parts":[["2020","7","1"]]},"page":"40","publisher":"Elsevier","title":"A longitudinal study on the mental health of general population during the COVID-19 epidemic in China","type":"article-journal","volume":"87"},"uris":["http://www.mendeley.com/documents/?uuid=67275d40-007d-30fe-ab40-489b5995f741"]},{"id":"ITEM-3","itemData":{"DOI":"10.1177/07334648221099278","ISSN":"1552-4523","PMID":"35503553","abstract":"A longitudinal study, from 2018 to 2021, identified impacts on the nutritional and functional status of older adults when face-to-face activities at a social assistance center in Mexico were suspended due to the COVID-19 pandemic. A total of 71 older adults were evaluated at three different periods: 18 months prior, three months before the pandemic, and 12 months after the onset of the pandemic. Seventy-one older adults completed follow up. Anthropometric measurements, dietary intake, physical tests, and health screening for malnutrition, dependence, and physical frailty, were evaluated. There was a significant decrease in lean body mass and body water in the older adults assessed, in addition to a significant reduction in the frailty scale and gait speed. Finally, a significant reduction in ingested energy and several nutrients such as protein, and carbohydrates, was found, yet an increase in sugar and cholesterol intake was noted.","author":[{"dropping-particle":"","family":"Bricio-Barrios","given":"Jaime Alberto","non-dropping-particle":"","parse-names":false,"suffix":""},{"dropping-particle":"","family":"Ríos-Silva","given":"Mónica","non-dropping-particle":"","parse-names":false,"suffix":""},{"dropping-particle":"","family":"Huerta","given":"Miguel","non-dropping-particle":"","parse-names":false,"suffix":""},{"dropping-particle":"","family":"Cárdenas-María","given":"Rosa Yolitzy","non-dropping-particle":"","parse-names":false,"suffix":""},{"dropping-particle":"","family":"García-Ibáñez","given":"Alondra Elizabeth","non-dropping-particle":"","parse-names":false,"suffix":""},{"dropping-particle":"","family":"Díaz-Mendoza","given":"María Guadalupe","non-dropping-particle":"","parse-names":false,"suffix":""},{"dropping-particle":"","family":"Jiménez-Leal","given":"Héctor Mariano","non-dropping-particle":"","parse-names":false,"suffix":""},{"dropping-particle":"","family":"Chávez-Torres","given":"Liz Argelia","non-dropping-particle":"","parse-names":false,"suffix":""},{"dropping-particle":"","family":"Islas-Piza","given":"Liliana","non-dropping-particle":"","parse-names":false,"suffix":""},{"dropping-particle":"","family":"García-García","given":"Shelem","non-dropping-particle":"","parse-names":false,"suffix":""},{"dropping-particle":"del","family":"Toro-Equihua","given":"Mario","non-dropping-particle":"","parse-names":false,"suffix":""},{"dropping-particle":"","family":"García-Rodríguez","given":"Ricardo","non-dropping-particle":"","parse-names":false,"suffix":""},{"dropping-particle":"","family":"Carrazco-Peña","given":"Karla Berenice","non-dropping-particle":"","parse-names":false,"suffix":""},{"dropping-particle":"","family":"López-Alcaraz","given":"Fátima","non-dropping-particle":"","parse-names":false,"suffix":""},{"dropping-particle":"","family":"Trujillo","given":"Xóchitl","non-dropping-particle":"","parse-names":false,"suffix":""}],"container-title":"Journal of Applied Gerontology","id":"ITEM-3","issue":"0","issued":{"date-parts":[["2022","5","3"]]},"page":"7334648221099278","publisher":"SAGE Publications","title":"Impact on the Nutritional and Functional Status of Older Mexican Adults in the Absence of Recreational Activities due to COVID-19: A Longitudinal Study From 2018 to 2021","type":"article-journal","volume":"2022"},"uris":["http://www.mendeley.com/documents/?uuid=2a6f4495-aed4-3614-8e88-d7fc6ac024c2"]}],"mendeley":{"formattedCitation":"(8–10)","plainTextFormattedCitation":"(8–10)","previouslyFormattedCitation":"(8–10)"},"properties":{"noteIndex":0},"schema":"https://github.com/citation-style-language/schema/raw/master/csl-citation.json"}</w:instrText>
      </w:r>
      <w:r>
        <w:fldChar w:fldCharType="separate"/>
      </w:r>
      <w:r w:rsidR="001C63C2" w:rsidRPr="55869305">
        <w:rPr>
          <w:noProof/>
        </w:rPr>
        <w:t>(8–</w:t>
      </w:r>
      <w:r w:rsidR="00B90B4B">
        <w:rPr>
          <w:noProof/>
        </w:rPr>
        <w:t>9</w:t>
      </w:r>
      <w:r w:rsidR="001C63C2" w:rsidRPr="55869305">
        <w:rPr>
          <w:noProof/>
        </w:rPr>
        <w:t>)</w:t>
      </w:r>
      <w:r>
        <w:fldChar w:fldCharType="end"/>
      </w:r>
      <w:r w:rsidR="00974698">
        <w:t>.</w:t>
      </w:r>
      <w:r w:rsidR="00F7035D">
        <w:t xml:space="preserve"> </w:t>
      </w:r>
      <w:r w:rsidR="00974698">
        <w:t xml:space="preserve">Potential factors associated with changes in diet quality remain controversial. We hypothesized that </w:t>
      </w:r>
      <w:r w:rsidR="00862A27">
        <w:t>the COVID-19 pandemic</w:t>
      </w:r>
      <w:r w:rsidR="00974698">
        <w:t xml:space="preserve"> may have a</w:t>
      </w:r>
      <w:r w:rsidR="5C02729F">
        <w:t xml:space="preserve"> differential</w:t>
      </w:r>
      <w:r w:rsidR="00974698">
        <w:t xml:space="preserve"> impact on </w:t>
      </w:r>
      <w:r w:rsidR="70C8ED5B">
        <w:t>diet</w:t>
      </w:r>
      <w:r w:rsidR="00974698">
        <w:t xml:space="preserve"> of older adults</w:t>
      </w:r>
      <w:r w:rsidR="00F7035D">
        <w:t xml:space="preserve"> in the UK</w:t>
      </w:r>
      <w:r w:rsidR="0FE2D7F7">
        <w:t xml:space="preserve"> dependent on other s</w:t>
      </w:r>
      <w:r w:rsidR="00C322BD">
        <w:t>o</w:t>
      </w:r>
      <w:r w:rsidR="0FE2D7F7">
        <w:t>ciodemographic and medical factors</w:t>
      </w:r>
      <w:r w:rsidR="00974698">
        <w:t xml:space="preserve">. We </w:t>
      </w:r>
      <w:r w:rsidR="07F7C6C7">
        <w:t xml:space="preserve">therefore </w:t>
      </w:r>
      <w:r w:rsidR="00974698">
        <w:t>aim</w:t>
      </w:r>
      <w:r w:rsidR="00862A27">
        <w:t>ed</w:t>
      </w:r>
      <w:r w:rsidR="00974698">
        <w:t xml:space="preserve"> to report pandemic-related changes in diet and examine </w:t>
      </w:r>
      <w:r w:rsidR="00021E6C">
        <w:t xml:space="preserve">correlates </w:t>
      </w:r>
      <w:r w:rsidR="00974698">
        <w:t>of changes in diet quality in a newly established community-dwelling older adult cohort in UK</w:t>
      </w:r>
      <w:r w:rsidR="14572533">
        <w:t>, to consider who might be at greatest risk of malnutrition</w:t>
      </w:r>
      <w:r w:rsidR="00974698">
        <w:t xml:space="preserve">. </w:t>
      </w:r>
    </w:p>
    <w:p w14:paraId="5F9C0625" w14:textId="28C3409E" w:rsidR="00D537FA" w:rsidRDefault="00974698" w:rsidP="00974698">
      <w:pPr>
        <w:pStyle w:val="Heading1"/>
        <w:rPr>
          <w:lang w:val="en-GB" w:eastAsia="en-GB"/>
        </w:rPr>
      </w:pPr>
      <w:r>
        <w:rPr>
          <w:lang w:val="en-GB" w:eastAsia="en-GB"/>
        </w:rPr>
        <w:t>Methods</w:t>
      </w:r>
    </w:p>
    <w:p w14:paraId="11BE7550" w14:textId="66B29D18" w:rsidR="00974698" w:rsidRDefault="00974698" w:rsidP="00974698">
      <w:pPr>
        <w:pStyle w:val="Heading2"/>
      </w:pPr>
      <w:r w:rsidRPr="4DE4F92E">
        <w:t>Southampton Longitudinal Study of Ageing</w:t>
      </w:r>
      <w:r w:rsidR="0026784F">
        <w:t xml:space="preserve"> (</w:t>
      </w:r>
      <w:proofErr w:type="spellStart"/>
      <w:r w:rsidR="0026784F">
        <w:t>SaLSA</w:t>
      </w:r>
      <w:proofErr w:type="spellEnd"/>
      <w:r w:rsidR="0026784F">
        <w:t>)</w:t>
      </w:r>
    </w:p>
    <w:p w14:paraId="18177988" w14:textId="0EADB6BF" w:rsidR="00C30D27" w:rsidRPr="008C245D" w:rsidRDefault="00974698" w:rsidP="55869305">
      <w:pPr>
        <w:rPr>
          <w:rFonts w:eastAsia="Times New Roman" w:cs="Times New Roman"/>
          <w:szCs w:val="24"/>
        </w:rPr>
      </w:pPr>
      <w:r>
        <w:t xml:space="preserve">In July 2021, we identified all patients who were registered at a large </w:t>
      </w:r>
      <w:r w:rsidR="00CD5016">
        <w:t>General Practice</w:t>
      </w:r>
      <w:r>
        <w:t xml:space="preserve"> within Southampton, UK over the age of 75</w:t>
      </w:r>
      <w:r w:rsidR="00F857F5">
        <w:t xml:space="preserve"> (</w:t>
      </w:r>
      <w:r w:rsidR="00B90B4B">
        <w:t>10</w:t>
      </w:r>
      <w:r w:rsidR="00F857F5">
        <w:t>).</w:t>
      </w:r>
      <w:r>
        <w:t xml:space="preserve"> Eligibility to participate in the study was decided by their primary care physician. </w:t>
      </w:r>
      <w:r w:rsidR="78E48576">
        <w:t xml:space="preserve">All </w:t>
      </w:r>
      <w:r>
        <w:t xml:space="preserve">participants </w:t>
      </w:r>
      <w:r w:rsidR="3A1F6DBE">
        <w:t xml:space="preserve">were </w:t>
      </w:r>
      <w:r>
        <w:t xml:space="preserve">&gt;75 years of age at the time of recruitment. </w:t>
      </w:r>
      <w:r w:rsidR="1758DF05">
        <w:t xml:space="preserve">We did not approach </w:t>
      </w:r>
      <w:r w:rsidR="00F7035D">
        <w:t>p</w:t>
      </w:r>
      <w:r>
        <w:t xml:space="preserve">atients </w:t>
      </w:r>
      <w:r w:rsidR="59707E1C">
        <w:t xml:space="preserve">who their primary care physician reported as having </w:t>
      </w:r>
      <w:r w:rsidR="19E04F40">
        <w:t xml:space="preserve">any of the following </w:t>
      </w:r>
      <w:proofErr w:type="gramStart"/>
      <w:r w:rsidR="19E04F40">
        <w:t>problems;</w:t>
      </w:r>
      <w:proofErr w:type="gramEnd"/>
      <w:r w:rsidR="19E04F40">
        <w:t xml:space="preserve"> </w:t>
      </w:r>
      <w:r>
        <w:t xml:space="preserve">safeguarding issues, patients with mental health and capacity issues, patients with dementia or who </w:t>
      </w:r>
      <w:r w:rsidR="00C30D27">
        <w:t>we</w:t>
      </w:r>
      <w:r>
        <w:t xml:space="preserve">re unable to provide consent, patients with learning disabilities, patients who </w:t>
      </w:r>
      <w:r w:rsidR="00C30D27">
        <w:t>we</w:t>
      </w:r>
      <w:r>
        <w:t xml:space="preserve">re end of life, patients who </w:t>
      </w:r>
      <w:r w:rsidR="00C30D27">
        <w:t>we</w:t>
      </w:r>
      <w:r>
        <w:t xml:space="preserve">re permanently bed bound, </w:t>
      </w:r>
      <w:r w:rsidR="00021E6C">
        <w:t xml:space="preserve">and </w:t>
      </w:r>
      <w:r>
        <w:t xml:space="preserve">patients in residential or nursing homes. </w:t>
      </w:r>
      <w:r w:rsidR="7E58210E">
        <w:t xml:space="preserve">Of </w:t>
      </w:r>
      <w:r>
        <w:t>2523 registered patients over the age of 75 years</w:t>
      </w:r>
      <w:r w:rsidR="182E4103">
        <w:t xml:space="preserve"> at the practice</w:t>
      </w:r>
      <w:r>
        <w:t xml:space="preserve"> 1993 (</w:t>
      </w:r>
      <w:r w:rsidR="00021E6C">
        <w:t>79</w:t>
      </w:r>
      <w:r>
        <w:t xml:space="preserve">%) were eligible to participate in the study </w:t>
      </w:r>
      <w:r w:rsidR="58B3F9D3">
        <w:t>based on the criteria above</w:t>
      </w:r>
      <w:r>
        <w:t xml:space="preserve"> 516 complete questionnaires</w:t>
      </w:r>
      <w:r w:rsidR="0ADE95F7">
        <w:t xml:space="preserve"> were received.</w:t>
      </w:r>
      <w:r w:rsidR="6416A514">
        <w:t xml:space="preserve"> </w:t>
      </w:r>
      <w:r w:rsidR="6416A514" w:rsidRPr="00B820EE">
        <w:rPr>
          <w:rFonts w:eastAsia="Arial" w:cs="Times New Roman"/>
          <w:color w:val="222222"/>
          <w:szCs w:val="24"/>
        </w:rPr>
        <w:t xml:space="preserve">This study was conducted according to the guidelines of the Declaration of </w:t>
      </w:r>
      <w:proofErr w:type="gramStart"/>
      <w:r w:rsidR="6416A514" w:rsidRPr="00B820EE">
        <w:rPr>
          <w:rFonts w:eastAsia="Arial" w:cs="Times New Roman"/>
          <w:color w:val="222222"/>
          <w:szCs w:val="24"/>
        </w:rPr>
        <w:t>Helsinki, and</w:t>
      </w:r>
      <w:proofErr w:type="gramEnd"/>
      <w:r w:rsidR="6416A514" w:rsidRPr="00B820EE">
        <w:rPr>
          <w:rFonts w:eastAsia="Arial" w:cs="Times New Roman"/>
          <w:color w:val="222222"/>
          <w:szCs w:val="24"/>
        </w:rPr>
        <w:t xml:space="preserve"> approved by the Research Ethics Committee (REC) Health Regulator Authority (HRA) (REC reference 21/SC/0036, 17 March 2021).</w:t>
      </w:r>
    </w:p>
    <w:p w14:paraId="45ACA73F" w14:textId="712AA950" w:rsidR="00021E6C" w:rsidRDefault="00021E6C" w:rsidP="00021E6C">
      <w:pPr>
        <w:pStyle w:val="Heading2"/>
      </w:pPr>
      <w:r>
        <w:t>Ascertainment of participant characteristics</w:t>
      </w:r>
    </w:p>
    <w:p w14:paraId="218D31D8" w14:textId="5FA11061" w:rsidR="00974698" w:rsidRDefault="00C30D27" w:rsidP="55869305">
      <w:pPr>
        <w:rPr>
          <w:rFonts w:ascii="Helvetica" w:hAnsi="Helvetica" w:cs="Helvetica"/>
          <w:color w:val="26282A"/>
          <w:sz w:val="20"/>
          <w:szCs w:val="20"/>
        </w:rPr>
      </w:pPr>
      <w:r>
        <w:lastRenderedPageBreak/>
        <w:t xml:space="preserve"> </w:t>
      </w:r>
      <w:r w:rsidR="00974698">
        <w:t xml:space="preserve">All participant information was self-reported using postal questionnaires. Sociodemographic factors included: age; sex; ethnicity; educational qualifications achieved; living arrangements; and current marital status. </w:t>
      </w:r>
      <w:r w:rsidR="6A0E3BED" w:rsidRPr="55869305">
        <w:rPr>
          <w:rFonts w:eastAsia="Times New Roman" w:cs="Times New Roman"/>
          <w:color w:val="D13438"/>
          <w:szCs w:val="24"/>
        </w:rPr>
        <w:t>Participants were asked to indicate if they had any of the following qualifications: O Levels/GCSEs; A Levels; vocational training certificates; university degree(s) or Higher National Diploma; or higher professional qualifications. Participants were asked to select one of the following options for their living arrangement: their own property; rented accommodation; residential home; nursing home; or ‘other’.</w:t>
      </w:r>
      <w:r w:rsidR="6A0E3BED" w:rsidRPr="55869305">
        <w:rPr>
          <w:rFonts w:eastAsia="Times New Roman" w:cs="Times New Roman"/>
          <w:szCs w:val="24"/>
        </w:rPr>
        <w:t xml:space="preserve"> </w:t>
      </w:r>
      <w:r w:rsidR="00974698">
        <w:t>Self-reported height and weight were used to derive BMI (kg/m</w:t>
      </w:r>
      <w:r w:rsidR="00974698" w:rsidRPr="55869305">
        <w:rPr>
          <w:vertAlign w:val="superscript"/>
        </w:rPr>
        <w:t>2</w:t>
      </w:r>
      <w:r w:rsidR="00974698">
        <w:t xml:space="preserve">). Information on health </w:t>
      </w:r>
      <w:proofErr w:type="spellStart"/>
      <w:r w:rsidR="00974698">
        <w:t>behaviours</w:t>
      </w:r>
      <w:proofErr w:type="spellEnd"/>
      <w:r w:rsidR="00974698">
        <w:t xml:space="preserve"> such as smoking, alcohol consumption, and information on malnutrition risk using the DETERMINE tool </w:t>
      </w:r>
      <w:r>
        <w:fldChar w:fldCharType="begin" w:fldLock="1"/>
      </w:r>
      <w:r>
        <w:instrText>ADDIN CSL_CITATION {"citationItems":[{"id":"ITEM-1","itemData":{"DOI":"10.2105/AJPH.83.7.972","ISSN":"00900036","PMID":"8328619","abstract":"Objectives. The Nutrition Screening Initiative is a national collaborative effort committed to the identification and treatment of nutritional problems in older persons. Methods. A 14-item checklist of characteristics associated with nutritional status was administered to a random sample of Medicare beneficiaries, aged 70 years and older, in New England. Regression analysis was used to derive item weights that would predict poor nutrient intakes and low perceived health status. Sensitivity and specificity values were reviewed to define low, moderate, and high nutritional risk scores. Results. A revised checklist containing 10 yes/no items was adopted. Scores of 6 or more points defined persons at high nutritional risk. Twenty-four percent of the Medicare population was estimated to be at high nutritional risk according to the checklist. Among those in the high-risk group, 56% perceived their health to be 'fair' or 'poor' and 38% had dietary intakes below 75% of the recommended dietary allowances for three or more nutrients. Conclusions. The Nutrition Screening Initiative Checklist is a brief, easily scored instrument that can accurately identify noninstitutionalized older persons at risk for low nutrient intake and health problems.","author":[{"dropping-particle":"","family":"Posner","given":"B. M.","non-dropping-particle":"","parse-names":false,"suffix":""},{"dropping-particle":"","family":"Jette","given":"A. M.","non-dropping-particle":"","parse-names":false,"suffix":""},{"dropping-particle":"","family":"Smith","given":"K. W.","non-dropping-particle":"","parse-names":false,"suffix":""},{"dropping-particle":"","family":"Miller","given":"D. R.","non-dropping-particle":"","parse-names":false,"suffix":""}],"container-title":"American Journal of Public Health","id":"ITEM-1","issue":"7","issued":{"date-parts":[["1993"]]},"page":"972","publisher":"American Public Health Association","title":"Nutrition and health risks in the elderly: the nutrition screening initiative.","type":"article-journal","volume":"83"},"uris":["http://www.mendeley.com/documents/?uuid=542011d4-7265-34ce-aab9-3d15b9bd8ef9"]}],"mendeley":{"formattedCitation":"(11)","plainTextFormattedCitation":"(11)","previouslyFormattedCitation":"(11)"},"properties":{"noteIndex":0},"schema":"https://github.com/citation-style-language/schema/raw/master/csl-citation.json"}</w:instrText>
      </w:r>
      <w:r>
        <w:fldChar w:fldCharType="separate"/>
      </w:r>
      <w:r w:rsidR="001C63C2" w:rsidRPr="55869305">
        <w:rPr>
          <w:noProof/>
        </w:rPr>
        <w:t>(11)</w:t>
      </w:r>
      <w:r>
        <w:fldChar w:fldCharType="end"/>
      </w:r>
      <w:r w:rsidR="00974698">
        <w:t xml:space="preserve"> were also ascertained.</w:t>
      </w:r>
      <w:r w:rsidR="06061A2E">
        <w:t xml:space="preserve"> </w:t>
      </w:r>
      <w:r w:rsidR="06061A2E" w:rsidRPr="00B90B4B">
        <w:rPr>
          <w:rFonts w:cs="Times New Roman"/>
        </w:rPr>
        <w:t xml:space="preserve">In </w:t>
      </w:r>
      <w:proofErr w:type="gramStart"/>
      <w:r w:rsidR="06061A2E" w:rsidRPr="00B90B4B">
        <w:rPr>
          <w:rFonts w:cs="Times New Roman"/>
        </w:rPr>
        <w:t>brief</w:t>
      </w:r>
      <w:r w:rsidR="00B90B4B" w:rsidRPr="00B90B4B">
        <w:rPr>
          <w:rFonts w:cs="Times New Roman"/>
        </w:rPr>
        <w:t xml:space="preserve"> </w:t>
      </w:r>
      <w:r w:rsidR="06061A2E" w:rsidRPr="00B90B4B">
        <w:rPr>
          <w:rFonts w:cs="Times New Roman"/>
        </w:rPr>
        <w:t xml:space="preserve"> DETERMINE</w:t>
      </w:r>
      <w:proofErr w:type="gramEnd"/>
      <w:r w:rsidR="06061A2E" w:rsidRPr="00B90B4B">
        <w:rPr>
          <w:rFonts w:cs="Times New Roman"/>
        </w:rPr>
        <w:t xml:space="preserve"> </w:t>
      </w:r>
      <w:r w:rsidR="06061A2E" w:rsidRPr="00EB1A96">
        <w:rPr>
          <w:rFonts w:cs="Times New Roman"/>
        </w:rPr>
        <w:t>is a tool</w:t>
      </w:r>
      <w:r w:rsidR="06061A2E" w:rsidRPr="00B820EE">
        <w:rPr>
          <w:rFonts w:eastAsia="Arial" w:cs="Times New Roman"/>
          <w:color w:val="202124"/>
          <w:szCs w:val="24"/>
        </w:rPr>
        <w:t xml:space="preserve"> designed by the American Academy of Family Physicians, the National Council on the Aging and others as part of the Nutrition Screening Initiative which can be used by professionals working with older people to assess their risk for poor nutritional status or malnutrition.</w:t>
      </w:r>
      <w:r w:rsidR="06061A2E">
        <w:t xml:space="preserve"> </w:t>
      </w:r>
      <w:r w:rsidR="00974698">
        <w:t xml:space="preserve"> Change in the following aspects of lifestyle compared to before the first UK lockdown (23/03/2020) were reported: smoking, alcohol consumption, diet quality</w:t>
      </w:r>
      <w:r w:rsidR="001C63C2">
        <w:t xml:space="preserve"> (reported as ‘healthiness of diet’)</w:t>
      </w:r>
      <w:r w:rsidR="00974698">
        <w:t xml:space="preserve">, amount of food consumed, physical activity, sleep, and social contact. </w:t>
      </w:r>
      <w:r w:rsidR="00CB48DA" w:rsidRPr="55869305">
        <w:rPr>
          <w:rFonts w:cs="Times New Roman"/>
        </w:rPr>
        <w:t>T</w:t>
      </w:r>
      <w:r w:rsidR="00CB48DA" w:rsidRPr="55869305">
        <w:rPr>
          <w:rFonts w:cs="Times New Roman"/>
          <w:color w:val="26282A"/>
        </w:rPr>
        <w:t xml:space="preserve">he questions used were taken from the </w:t>
      </w:r>
      <w:proofErr w:type="spellStart"/>
      <w:r w:rsidR="00CB48DA" w:rsidRPr="55869305">
        <w:rPr>
          <w:rFonts w:cs="Times New Roman"/>
          <w:color w:val="26282A"/>
        </w:rPr>
        <w:t>Wellcome</w:t>
      </w:r>
      <w:proofErr w:type="spellEnd"/>
      <w:r w:rsidR="00CB48DA" w:rsidRPr="55869305">
        <w:rPr>
          <w:rFonts w:cs="Times New Roman"/>
          <w:color w:val="26282A"/>
        </w:rPr>
        <w:t xml:space="preserve"> COVID questionnaire, which was designed to enable researchers to </w:t>
      </w:r>
      <w:r w:rsidR="00CB48DA" w:rsidRPr="55869305">
        <w:rPr>
          <w:rFonts w:cs="Times New Roman"/>
          <w:color w:val="333333"/>
        </w:rPr>
        <w:t xml:space="preserve">collect COVID related data using the same validated questions used or adopted by other cohorts (accessed at </w:t>
      </w:r>
      <w:hyperlink r:id="rId11" w:history="1">
        <w:r w:rsidR="00CB48DA" w:rsidRPr="55869305">
          <w:rPr>
            <w:rStyle w:val="Hyperlink"/>
            <w:rFonts w:ascii="Helvetica" w:hAnsi="Helvetica" w:cs="Helvetica"/>
            <w:sz w:val="20"/>
            <w:szCs w:val="20"/>
          </w:rPr>
          <w:t>https://www.bristol.ac.uk/alspac/researchers/wellcome-covid-19/</w:t>
        </w:r>
      </w:hyperlink>
      <w:r w:rsidR="00CB48DA" w:rsidRPr="55869305">
        <w:rPr>
          <w:rFonts w:ascii="Helvetica" w:hAnsi="Helvetica" w:cs="Helvetica"/>
          <w:color w:val="26282A"/>
          <w:sz w:val="20"/>
          <w:szCs w:val="20"/>
        </w:rPr>
        <w:t xml:space="preserve">) </w:t>
      </w:r>
      <w:r w:rsidRPr="55869305">
        <w:rPr>
          <w:rFonts w:ascii="Helvetica" w:hAnsi="Helvetica" w:cs="Helvetica"/>
          <w:color w:val="26282A"/>
          <w:sz w:val="20"/>
          <w:szCs w:val="20"/>
        </w:rPr>
        <w:fldChar w:fldCharType="begin"/>
      </w:r>
      <w:r w:rsidRPr="55869305">
        <w:rPr>
          <w:rFonts w:ascii="Helvetica" w:hAnsi="Helvetica" w:cs="Helvetica"/>
          <w:color w:val="26282A"/>
          <w:sz w:val="20"/>
          <w:szCs w:val="20"/>
        </w:rPr>
        <w:instrText>ADDIN CSL_CITATION {"citationItems":[{"id":"ITEM-1","itemData":{"URL":"https://www.bristol.ac.uk/alspac/researchers/wellcome-covid-19/","accessed":{"date-parts":[["2022","7","6"]]},"id":"ITEM-1","issued":{"date-parts":[["0"]]},"title":"Wellcome Covid-19 Questionnaire | Avon Longitudinal Study of Parents and Children | University of Bristol","type":"webpage"},"uris":["http://www.mendeley.com/documents/?uuid=48ad1b4c-822e-3b60-a44e-81bc60fcda1b"]}],"mendeley":{"formattedCitation":"(12)","plainTextFormattedCitation":"(12)","previouslyFormattedCitation":"(12)"},"properties":{"noteIndex":0},"schema":"https://github.com/citation-style-language/schema/raw/master/csl-citation.json"}</w:instrText>
      </w:r>
      <w:r w:rsidRPr="55869305">
        <w:rPr>
          <w:rFonts w:ascii="Helvetica" w:hAnsi="Helvetica" w:cs="Helvetica"/>
          <w:color w:val="26282A"/>
          <w:sz w:val="20"/>
          <w:szCs w:val="20"/>
        </w:rPr>
        <w:fldChar w:fldCharType="separate"/>
      </w:r>
      <w:r w:rsidR="00CB48DA" w:rsidRPr="55869305">
        <w:rPr>
          <w:rFonts w:ascii="Helvetica" w:hAnsi="Helvetica" w:cs="Helvetica"/>
          <w:noProof/>
          <w:color w:val="26282A"/>
          <w:sz w:val="20"/>
          <w:szCs w:val="20"/>
        </w:rPr>
        <w:t>(12)</w:t>
      </w:r>
      <w:r w:rsidRPr="55869305">
        <w:rPr>
          <w:rFonts w:ascii="Helvetica" w:hAnsi="Helvetica" w:cs="Helvetica"/>
          <w:color w:val="26282A"/>
          <w:sz w:val="20"/>
          <w:szCs w:val="20"/>
        </w:rPr>
        <w:fldChar w:fldCharType="end"/>
      </w:r>
      <w:r w:rsidR="00CB48DA" w:rsidRPr="55869305">
        <w:rPr>
          <w:rFonts w:ascii="Helvetica" w:hAnsi="Helvetica" w:cs="Helvetica"/>
          <w:color w:val="26282A"/>
          <w:sz w:val="20"/>
          <w:szCs w:val="20"/>
        </w:rPr>
        <w:t>.</w:t>
      </w:r>
      <w:r w:rsidR="44A42141" w:rsidRPr="55869305">
        <w:rPr>
          <w:rFonts w:eastAsia="Times New Roman" w:cs="Times New Roman"/>
          <w:color w:val="26282A"/>
          <w:szCs w:val="24"/>
        </w:rPr>
        <w:t xml:space="preserve"> For example, </w:t>
      </w:r>
      <w:r w:rsidR="70F5A398" w:rsidRPr="55869305">
        <w:rPr>
          <w:rFonts w:eastAsia="Times New Roman" w:cs="Times New Roman"/>
          <w:color w:val="26282A"/>
          <w:szCs w:val="24"/>
        </w:rPr>
        <w:t>t</w:t>
      </w:r>
      <w:r w:rsidR="44A42141" w:rsidRPr="55869305">
        <w:rPr>
          <w:rFonts w:eastAsia="Times New Roman" w:cs="Times New Roman"/>
          <w:color w:val="26282A"/>
          <w:szCs w:val="24"/>
        </w:rPr>
        <w:t>o ascertain change in diet quality, participants were asked to select one of the following options to describe the current healthiness of their diet compared to before the first UK lockdown: ‘less healthy than before’; ‘about the same healthiness as before’; or ‘</w:t>
      </w:r>
      <w:proofErr w:type="gramStart"/>
      <w:r w:rsidR="44A42141" w:rsidRPr="55869305">
        <w:rPr>
          <w:rFonts w:eastAsia="Times New Roman" w:cs="Times New Roman"/>
          <w:color w:val="26282A"/>
          <w:szCs w:val="24"/>
        </w:rPr>
        <w:t>more healthy</w:t>
      </w:r>
      <w:proofErr w:type="gramEnd"/>
      <w:r w:rsidR="44A42141" w:rsidRPr="55869305">
        <w:rPr>
          <w:rFonts w:eastAsia="Times New Roman" w:cs="Times New Roman"/>
          <w:color w:val="26282A"/>
          <w:szCs w:val="24"/>
        </w:rPr>
        <w:t xml:space="preserve"> than before’.</w:t>
      </w:r>
    </w:p>
    <w:p w14:paraId="537169CB" w14:textId="39486998" w:rsidR="00974698" w:rsidRDefault="00974698" w:rsidP="00D05E55">
      <w:r>
        <w:t xml:space="preserve">Comorbidities were ascertained by asking participants whether they were ever diagnosed by a doctor with any of the following conditions: heart attack or angina; stroke or transient </w:t>
      </w:r>
      <w:proofErr w:type="spellStart"/>
      <w:r>
        <w:t>ischaemic</w:t>
      </w:r>
      <w:proofErr w:type="spellEnd"/>
      <w:r>
        <w:t xml:space="preserve"> attack; hypertension; diabetes; asthma, bronchitis, emphysema, or chronic obstructive pulmonary disease (COPD); depression; osteoporosis; anxiety; memory problems or dementia; Parkinson’s disease; osteoarthritis or degenerative joint disease; rheumatoid/inflammatory arthritis; cancer; or high cholesterol. The resulting number of comorbidities reported was used as a marker of morbidity. The Strength, Ambulation, Rising from a chair, Stair climbing and history of Falling (SARC-F) screening tool for sarcopenia </w:t>
      </w:r>
      <w:r>
        <w:fldChar w:fldCharType="begin" w:fldLock="1"/>
      </w:r>
      <w:r>
        <w:instrText>ADDIN CSL_CITATION {"citationItems":[{"id":"ITEM-1","itemData":{"DOI":"10.1016/j.jamda.2013.05.018","ISSN":"15389375","author":[{"dropping-particle":"","family":"Malmstrom","given":"Theodore K.","non-dropping-particle":"","parse-names":false,"suffix":""},{"dropping-particle":"","family":"Morley","given":"John E.","non-dropping-particle":"","parse-names":false,"suffix":""}],"container-title":"Journal of the American Medical Directors Association","id":"ITEM-1","issue":"8","issued":{"date-parts":[["2013"]]},"page":"531-532","publisher":"American Medical Directors Association, Inc.","title":"SARC-F: A simple questionnaire to rapidly diagnose sarcopenia","type":"article-journal","volume":"14"},"uris":["http://www.mendeley.com/documents/?uuid=835474e9-0de6-4dfe-a01a-f591791f526c"]}],"mendeley":{"formattedCitation":"(13)","plainTextFormattedCitation":"(13)","previouslyFormattedCitation":"(13)"},"properties":{"noteIndex":0},"schema":"https://github.com/citation-style-language/schema/raw/master/csl-citation.json"}</w:instrText>
      </w:r>
      <w:r>
        <w:fldChar w:fldCharType="separate"/>
      </w:r>
      <w:r w:rsidRPr="55869305">
        <w:rPr>
          <w:noProof/>
        </w:rPr>
        <w:t>(13)</w:t>
      </w:r>
      <w:r>
        <w:fldChar w:fldCharType="end"/>
      </w:r>
      <w:r>
        <w:t xml:space="preserve"> and the following Fried frailty questions were also included</w:t>
      </w:r>
      <w:r w:rsidR="008D6C3D">
        <w:t xml:space="preserve"> </w:t>
      </w:r>
      <w:r>
        <w:fldChar w:fldCharType="begin" w:fldLock="1"/>
      </w:r>
      <w:r>
        <w:instrText>ADDIN CSL_CITATION {"citationItems":[{"id":"ITEM-1","itemData":{"DOI":"10.1093/gerona/56.3.M146","ISSN":"1079-5006","abstract":"Background. Frailty is considered highly prevalent in old age and to confer high risk for falls, disability, hospitalization, and mortality. Frailty has been considered synonymous with disability, comorbidity, and other characteristics, but it is recognized that it may have a biologic basis and be a distinct clinical syndrome. A standardized definition has not yet been established. Methods. To develop and operationalize a phenotype of frailty in older adults and assess concurrent and predictive validity, the study used data from the Cardiovascular Health Study. Participants were 5.317 men and women 65 years and older (4,735 from an original cohort recruited in 1989-90 and 582 from an African American cohort recruited in 1992-93). Both cohorts received almost identical baseline evaluations and 7 and 4 years of follow-up, respectively, with annual examinations and surveillance for outcomes including incident disease, hospitalization, falls, disability, and mortality. Results. Frailty was defined as a clinical syndrome in which three or more of the following criteria were present: unintentional weight loss (10 lbs in past year), self-reported exhaustion, weakness (grip strength), slow walking speed, and low physical activity. The overall prevalence of frailty in this community-dwelling pupulation was 6.9%: it increased with age and was greater in women than men. Four-year incidence was 7.2%. Frailty was associated with being African American having lower education and income, poorer health, and having higher rates of comorbid chronic diseases and disability. There was overlap, but not concordance, in the cooccurrence of frailty, comorbidity, and disability. This frailty phenotype was independently predictive (over 3 years) of incident falls, worsening mobility or ADL disability, hospitalization, and death, with hazard ratios ranging from 1.82 to 4.46, unadjusted, and 1.29-2.24, adjusted for a number of health, disease, and social characteristics predictive of 5-year mortality. Intermediate frailty status, as indicated by the presence of one or two criteria, showed intermediate risk of these outcomes as well as increased risk of becoming frail over 3-4 years of follow-up (odds ratios for incident frailty = 4.51 unadjusted and 2.63 adjusted for covariates, compared to those with no frailty criteria at baseline). Conclusions. This study provides a potential standardized definition for frailty in community-dwelling older adults and offers concurrent and predic…","author":[{"dropping-particle":"","family":"Fried","given":"L. P.","non-dropping-particle":"","parse-names":false,"suffix":""},{"dropping-particle":"","family":"Tangen","given":"C. M.","non-dropping-particle":"","parse-names":false,"suffix":""},{"dropping-particle":"","family":"Walston","given":"J.","non-dropping-particle":"","parse-names":false,"suffix":""},{"dropping-particle":"","family":"Newman","given":"A. B.","non-dropping-particle":"","parse-names":false,"suffix":""},{"dropping-particle":"","family":"Hirsch","given":"C.","non-dropping-particle":"","parse-names":false,"suffix":""},{"dropping-particle":"","family":"Gottdiener","given":"J.","non-dropping-particle":"","parse-names":false,"suffix":""},{"dropping-particle":"","family":"Seeman","given":"T.","non-dropping-particle":"","parse-names":false,"suffix":""},{"dropping-particle":"","family":"Tracy","given":"R.","non-dropping-particle":"","parse-names":false,"suffix":""},{"dropping-particle":"","family":"Kop","given":"W. J.","non-dropping-particle":"","parse-names":false,"suffix":""},{"dropping-particle":"","family":"Burke","given":"G.","non-dropping-particle":"","parse-names":false,"suffix":""},{"dropping-particle":"","family":"McBurnie","given":"M. A.","non-dropping-particle":"","parse-names":false,"suffix":""}],"container-title":"The Journals of Gerontology Series A: Biological Sciences and Medical Sciences","id":"ITEM-1","issue":"3","issued":{"date-parts":[["2001","3","1"]]},"page":"M146-M157","publisher":"Gerontological Society of America","title":"Frailty in Older Adults: Evidence for a Phenotype","type":"article-journal","volume":"56"},"uris":["http://www.mendeley.com/documents/?uuid=f7dfa010-f97c-3643-86d5-214f54342ef5"]}],"mendeley":{"formattedCitation":"(14)","plainTextFormattedCitation":"(14)","previouslyFormattedCitation":"(14)"},"properties":{"noteIndex":0},"schema":"https://github.com/citation-style-language/schema/raw/master/csl-citation.json"}</w:instrText>
      </w:r>
      <w:r>
        <w:fldChar w:fldCharType="separate"/>
      </w:r>
      <w:r w:rsidR="00CB48DA" w:rsidRPr="55869305">
        <w:rPr>
          <w:noProof/>
        </w:rPr>
        <w:t>(14)</w:t>
      </w:r>
      <w:r>
        <w:fldChar w:fldCharType="end"/>
      </w:r>
      <w:r>
        <w:t>: 'In the last year, have you lost more than 10 pounds unintentionally?' and 'How often in the last week did the following apply? ‘I felt that everything I did was an effort’ or ‘I could not get going’?'</w:t>
      </w:r>
    </w:p>
    <w:p w14:paraId="40F482CA" w14:textId="77777777" w:rsidR="00974698" w:rsidRPr="00B438EF" w:rsidRDefault="00974698" w:rsidP="00974698">
      <w:pPr>
        <w:pStyle w:val="Heading2"/>
      </w:pPr>
      <w:r w:rsidRPr="00B438EF">
        <w:t>Statistical methods</w:t>
      </w:r>
    </w:p>
    <w:p w14:paraId="7F4A4463" w14:textId="2A07CC81" w:rsidR="00974698" w:rsidRPr="00906965" w:rsidRDefault="00974698" w:rsidP="00974698">
      <w:r>
        <w:t xml:space="preserve">Summary statistics were used to describe baseline participant characteristics and changes in the following aspects of lifestyle compared to before the first UK lockdown: smoking, alcohol consumption, diet quality, amount of food consumed, physical activity, </w:t>
      </w:r>
      <w:proofErr w:type="gramStart"/>
      <w:r>
        <w:t>sleep</w:t>
      </w:r>
      <w:proofErr w:type="gramEnd"/>
      <w:r>
        <w:t xml:space="preserve"> and social contact. Sex-adjusted ordinal logistic regression was used to examine risk of being in a worse category for change in diet quality (compared to before the first UK lockdown) according to various participant characteristics; sex-interaction effects were not statistically significant</w:t>
      </w:r>
      <w:r w:rsidR="7F6C908F">
        <w:t xml:space="preserve"> </w:t>
      </w:r>
      <w:proofErr w:type="gramStart"/>
      <w:r w:rsidR="7F6C908F">
        <w:t>The</w:t>
      </w:r>
      <w:proofErr w:type="gramEnd"/>
      <w:r w:rsidR="7F6C908F">
        <w:t xml:space="preserve"> outcome, change in diet quality, was coded as follows: 1: higher than before; 2: about the same as before; 3: lower than before. Therefore, examples</w:t>
      </w:r>
      <w:r>
        <w:t xml:space="preserve"> of a worse category for change in diet quality would be ‘lower than before’ as opposed to ‘about the same’ or ‘about the same’ as opposed to ‘higher than before’. Participant characteristics considered as exposures included: sociodemographic factors, BMI, current health </w:t>
      </w:r>
      <w:proofErr w:type="spellStart"/>
      <w:r>
        <w:t>behaviours</w:t>
      </w:r>
      <w:proofErr w:type="spellEnd"/>
      <w:r>
        <w:t xml:space="preserve">, number of comorbidities, SARC-F score, and Fried frailty components (unintentional weight loss and self-reported exhaustion). Cross-tabulations of pandemic-related changes in diet quality and physical activity were examined using chi-squared tests and Fisher’s exact tests, as appropriate. </w:t>
      </w:r>
    </w:p>
    <w:p w14:paraId="4490D8CB" w14:textId="33D6EAF0" w:rsidR="00180C8B" w:rsidRDefault="00974698" w:rsidP="00974698">
      <w:r w:rsidRPr="00D05E55">
        <w:lastRenderedPageBreak/>
        <w:t>All analyses were conducted using Stata (</w:t>
      </w:r>
      <w:proofErr w:type="spellStart"/>
      <w:r w:rsidRPr="00D05E55">
        <w:t>StataCorp</w:t>
      </w:r>
      <w:proofErr w:type="spellEnd"/>
      <w:r w:rsidRPr="00D05E55">
        <w:t>, College Station, TX, USA), release 17.0; p&lt;0.05 was regarded as statistically significant. The analysis sample comprised the 491 participants who had data on self-reported change in diet quality since before the first UK lockdown</w:t>
      </w:r>
      <w:r>
        <w:t>.</w:t>
      </w:r>
    </w:p>
    <w:p w14:paraId="0B75CCAF" w14:textId="5F5E1798" w:rsidR="00974698" w:rsidRDefault="00974698" w:rsidP="00974698">
      <w:pPr>
        <w:pStyle w:val="Heading1"/>
        <w:rPr>
          <w:lang w:val="en-GB" w:eastAsia="en-GB"/>
        </w:rPr>
      </w:pPr>
      <w:r>
        <w:rPr>
          <w:lang w:val="en-GB" w:eastAsia="en-GB"/>
        </w:rPr>
        <w:t>Results</w:t>
      </w:r>
    </w:p>
    <w:p w14:paraId="596FB3D8" w14:textId="77777777" w:rsidR="008D6C3D" w:rsidRPr="001D7CC8" w:rsidRDefault="008D6C3D" w:rsidP="008D6C3D">
      <w:pPr>
        <w:pStyle w:val="Heading2"/>
      </w:pPr>
      <w:r w:rsidRPr="001D7CC8">
        <w:t>Descriptive statistics</w:t>
      </w:r>
    </w:p>
    <w:p w14:paraId="2D533BDD" w14:textId="1F9EA80D" w:rsidR="008D6C3D" w:rsidRDefault="008D6C3D" w:rsidP="008D6C3D">
      <w:r w:rsidRPr="00D05E55">
        <w:t xml:space="preserve">The participant characteristics of the analysis sample at baseline are presented in </w:t>
      </w:r>
      <w:r w:rsidR="00CB48DA">
        <w:t>Table 1</w:t>
      </w:r>
      <w:r w:rsidRPr="00D05E55">
        <w:t>. Median (lower quartile, upper quartile) age was 79.8 (77.0, 83.7) years; 482 (99.0%) were of white ethnicity; 420 (87.7%) lived in their own property; and 260 (53.4%) were in a current relationship (married/civil partnership/cohabiting</w:t>
      </w:r>
      <w:r>
        <w:t xml:space="preserve">). </w:t>
      </w:r>
    </w:p>
    <w:p w14:paraId="6D2C5151" w14:textId="482215AE" w:rsidR="008D6C3D" w:rsidRDefault="008D6C3D" w:rsidP="008D6C3D">
      <w:r>
        <w:t xml:space="preserve">Changes in lifestyle compared to before the first UK lockdown are presented in Table 2. A greater proportion of participants consumed less alcohol than before (11.6% men, 9.8% women) compared to those that consumed more than before (3.7% men, 3.3% women); over 99% of men and women did not smoke or reported no change in their smoking </w:t>
      </w:r>
      <w:proofErr w:type="spellStart"/>
      <w:r>
        <w:t>behaviour</w:t>
      </w:r>
      <w:proofErr w:type="spellEnd"/>
      <w:r>
        <w:t>. Most participants reported no change in diet quality (88.9% men, 85.7% women) with small</w:t>
      </w:r>
      <w:r w:rsidR="00C30D27">
        <w:t>er numbers</w:t>
      </w:r>
      <w:r>
        <w:t xml:space="preserve"> reporting declines in diet quality (4.9% men, 9.4% women) and increases in diet quality (6.2% men, 4.9% women); a similar pattern was observed for amount of food consumed.</w:t>
      </w:r>
      <w:r w:rsidR="00C30D27">
        <w:t xml:space="preserve"> C</w:t>
      </w:r>
      <w:r>
        <w:t>onsiderably more participants reported declines in physical activity, sleep quality and social contact in comparison to the number who reported increases. For example, 36.0% of men and 42.8% of women reported declines in physical activity whereas only 5.8% of men and 6.4% of women reported increases.</w:t>
      </w:r>
      <w:r w:rsidR="35A3A5A6">
        <w:t xml:space="preserve"> Statistically s</w:t>
      </w:r>
      <w:r w:rsidR="563AB3D6">
        <w:t>ignificant sex-differences in these lifestyle changes were only observed for alcohol consumption (p&lt;0.001).</w:t>
      </w:r>
    </w:p>
    <w:p w14:paraId="7415AD8C" w14:textId="77777777" w:rsidR="003617D8" w:rsidRDefault="003617D8" w:rsidP="003617D8">
      <w:pPr>
        <w:pStyle w:val="Heading2"/>
      </w:pPr>
      <w:r w:rsidRPr="4E70ED39">
        <w:t>Predictors of change in diet quality compared to before the first UK lockdown</w:t>
      </w:r>
    </w:p>
    <w:p w14:paraId="7EAFB783" w14:textId="77777777" w:rsidR="003617D8" w:rsidRDefault="003617D8" w:rsidP="003617D8">
      <w:r>
        <w:t>Cross-sectional associations between participant characteristics and risk of being in a worse category for change in diet quality (compared to before the first UK lockdown) are presented in Table 3. The following participant characteristics were associated with increased risk of being in a worse category for change in diet quality after adjustment for sex: lower educational attainment (p=0.009); higher BMI (p&lt;0.001); higher nutrition risk score (p=0.004); higher SARC-F score (p=0.013); and self-reported exhaustion in the previous week on at least three days (p=0.002). For example, after adjustment for sex, the odds ratio (95% CI) for being in a worse category for change in diet quality was 1.13 (1.06, 1.19) per unit increase in BMI and 2.76 (1.47, 5.18) for those who reported exhaustion in the previous week on at least three days compared to those who did not.</w:t>
      </w:r>
    </w:p>
    <w:p w14:paraId="36200CE9" w14:textId="77777777" w:rsidR="003617D8" w:rsidRDefault="003617D8" w:rsidP="003617D8">
      <w:pPr>
        <w:pStyle w:val="Heading2"/>
      </w:pPr>
      <w:bookmarkStart w:id="0" w:name="_Hlk106631046"/>
      <w:r w:rsidRPr="4552C5DA">
        <w:t>Association between change in diet quality and change in physical activity</w:t>
      </w:r>
    </w:p>
    <w:bookmarkEnd w:id="0"/>
    <w:p w14:paraId="1E04281F" w14:textId="4398F6BF" w:rsidR="003617D8" w:rsidRDefault="003617D8" w:rsidP="008D6C3D">
      <w:r>
        <w:t>Changes in diet quality and physical activity compared to before the first UK lockdown were correlated among men (p=0.002) and women (p=0.007). For example, among men who did not report declines in physical activity, only 1.4% reported declines in diet quality, compared to 11.1% among those who did report declines in physical activity; corresponding figures among women were 5.3% and 15.0%, respectively</w:t>
      </w:r>
      <w:r w:rsidR="0B943C50">
        <w:t xml:space="preserve"> (Table 4)</w:t>
      </w:r>
      <w:r>
        <w:t>.</w:t>
      </w:r>
    </w:p>
    <w:p w14:paraId="678DA9B9" w14:textId="7DBB0338" w:rsidR="00974698" w:rsidRDefault="00974698" w:rsidP="00974698">
      <w:pPr>
        <w:pStyle w:val="Heading1"/>
        <w:rPr>
          <w:lang w:val="en-GB" w:eastAsia="en-GB"/>
        </w:rPr>
      </w:pPr>
      <w:r>
        <w:rPr>
          <w:lang w:val="en-GB" w:eastAsia="en-GB"/>
        </w:rPr>
        <w:t>Discussion</w:t>
      </w:r>
    </w:p>
    <w:p w14:paraId="0972F6B0" w14:textId="095D4810" w:rsidR="008D6C3D" w:rsidRPr="008D6C3D" w:rsidRDefault="008D6C3D" w:rsidP="008D6C3D">
      <w:r>
        <w:t xml:space="preserve">This study has described changes in lifestyle factors and examined </w:t>
      </w:r>
      <w:r w:rsidR="00862A27">
        <w:t>correlates</w:t>
      </w:r>
      <w:r>
        <w:t xml:space="preserve"> of change in diet quality compared to before the first UK national lockdown in March 2020. Although self-reported changes in alcohol consumption and smoking were minimal, considerably more participants reported declines </w:t>
      </w:r>
      <w:r>
        <w:lastRenderedPageBreak/>
        <w:t xml:space="preserve">in physical activity, sleep quality and social contact in comparison to those who reported increases. Most participants reported no change in diet quality with small proportions reporting declines or increases in diet quality. However, the following were associated with increased risk of being in a worse category for change in diet quality after adjustment for sex: lower educational attainment; higher BMI; higher DETERMINE score; higher SARC-F score; and self-reported exhaustion. This suggests that there is a small subset of older </w:t>
      </w:r>
      <w:r w:rsidR="00862A27">
        <w:t xml:space="preserve">community-dwelling </w:t>
      </w:r>
      <w:r>
        <w:t>adults whose diet deteriorated over the first year of the COVID-19 pandemic. Worryingly, this included individuals with a higher DETERMINE score</w:t>
      </w:r>
      <w:r w:rsidR="00862A27">
        <w:t xml:space="preserve">, a score </w:t>
      </w:r>
      <w:r w:rsidR="005B1EEA">
        <w:t xml:space="preserve">used by health professionals to identify older adults at risk of malnutrition </w:t>
      </w:r>
      <w:r>
        <w:t>and/or higher SARC-F score, where a cut-off of 4 or higher is suggestive of sarcopenia and poor outcomes.</w:t>
      </w:r>
    </w:p>
    <w:p w14:paraId="1BF8CA8D" w14:textId="083D3401" w:rsidR="008D6C3D" w:rsidRDefault="005B1EEA" w:rsidP="00D05E55">
      <w:r>
        <w:t xml:space="preserve">Our results are in accord with previous work where in </w:t>
      </w:r>
      <w:r w:rsidR="008D6C3D">
        <w:t xml:space="preserve">a study of Dutch adults, younger generations were more likely, when compared to older generations, to be influenced by COVID-19 lockdowns and to change their eating </w:t>
      </w:r>
      <w:proofErr w:type="spellStart"/>
      <w:r w:rsidR="008D6C3D">
        <w:t>behaviours</w:t>
      </w:r>
      <w:proofErr w:type="spellEnd"/>
      <w:r w:rsidR="008D6C3D">
        <w:t xml:space="preserve"> </w:t>
      </w:r>
      <w:r>
        <w:fldChar w:fldCharType="begin" w:fldLock="1"/>
      </w:r>
      <w:r>
        <w:instrText>ADDIN CSL_CITATION {"citationItems":[{"id":"ITEM-1","itemData":{"DOI":"10.1016/J.APPET.2020.105002","ISSN":"0195-6663","PMID":"33068668","abstract":"On March 15, 2020, the Dutch Government implemented COVID-19 lockdown measures. Although self-quarantine and social-distancing measures were implemented, restrictions were less severe compared to several other countries. The aim of this study was to assess changes in eating behavior and food purchases among a representative adult sample in the Netherlands (n = 1030), five weeks into lockdown. The results show that most participants did not change their eating behaviors (83.0%) or food purchases (73.3%). However, socio-demographic differences were observed among those that reported changes during lockdown. For example, participants with overweight (OR = 2.26, 95%CI = 1.24–4.11) and obesity (OR = 4.21, 95%CI = 2.13–8.32) were more likely to indicate to eat unhealthier during lockdown compared to participants with a healthy weight. Those with a high educational level (OR = 2.25, 95%-CI = 1.03–4.93) were also more likely to indicate to eat unhealthier during lockdown compared to those with a low educational level. Older participants were more likely to indicate to experience no differences in their eating behaviors compared to those of younger age, who were more likely to indicate that they ate healthier (OR = 1.03, 95%CI = 1.01–1.04) as well as unhealthier (OR = 1.04, 95%CI = 1.02–1.06) during lockdown. Participants with obesity were more likely to indicate to purchase more chips/snacks (OR = 2.79, 95%CI = 1.43–5.45) and more nonalcoholic beverages (OR = 2.74, 95%CI = 1.36–5.50) during lockdown in comparison with those with a healthy weight. Of those that used meal delivery services before, 174 (29.5%) indicated to use meal delivery services more frequently during lockdown. Although the results confirm the persistence of dietary routines, profound socio-demographic differences were observed for those that did report changes. Especially for individuals with overweight and obesity, the lockdown has taken its toll on healthy dietary choices. Further research should unravel underlying mechanisms for these observations.","author":[{"dropping-particle":"","family":"Poelman","given":"Maartje P.","non-dropping-particle":"","parse-names":false,"suffix":""},{"dropping-particle":"","family":"Gillebaart","given":"Marleen","non-dropping-particle":"","parse-names":false,"suffix":""},{"dropping-particle":"","family":"Schlinkert","given":"Caroline","non-dropping-particle":"","parse-names":false,"suffix":""},{"dropping-particle":"","family":"Dijkstra","given":"S. Coosje","non-dropping-particle":"","parse-names":false,"suffix":""},{"dropping-particle":"","family":"Derksen","given":"Elianne","non-dropping-particle":"","parse-names":false,"suffix":""},{"dropping-particle":"","family":"Mensink","given":"Frederike","non-dropping-particle":"","parse-names":false,"suffix":""},{"dropping-particle":"","family":"Hermans","given":"Roel C.J.","non-dropping-particle":"","parse-names":false,"suffix":""},{"dropping-particle":"","family":"Aardening","given":"Pleun","non-dropping-particle":"","parse-names":false,"suffix":""},{"dropping-particle":"","family":"Ridder","given":"Denise","non-dropping-particle":"de","parse-names":false,"suffix":""},{"dropping-particle":"","family":"Vet","given":"Emely","non-dropping-particle":"de","parse-names":false,"suffix":""}],"container-title":"Appetite","id":"ITEM-1","issued":{"date-parts":[["2021","2","1"]]},"page":"105002","publisher":"Academic Press","title":"Eating behavior and food purchases during the COVID-19 lockdown: A cross-sectional study among adults in the Netherlands","type":"article-journal","volume":"157"},"uris":["http://www.mendeley.com/documents/?uuid=0f4c004b-d6cc-33d3-8b3b-e170979042cf"]}],"mendeley":{"formattedCitation":"(15)","plainTextFormattedCitation":"(15)","previouslyFormattedCitation":"(15)"},"properties":{"noteIndex":0},"schema":"https://github.com/citation-style-language/schema/raw/master/csl-citation.json"}</w:instrText>
      </w:r>
      <w:r>
        <w:fldChar w:fldCharType="separate"/>
      </w:r>
      <w:r w:rsidR="00CB48DA" w:rsidRPr="55869305">
        <w:rPr>
          <w:noProof/>
        </w:rPr>
        <w:t>(15)</w:t>
      </w:r>
      <w:r>
        <w:fldChar w:fldCharType="end"/>
      </w:r>
      <w:r w:rsidR="008D6C3D">
        <w:t xml:space="preserve">. </w:t>
      </w:r>
      <w:r>
        <w:t xml:space="preserve">This observation </w:t>
      </w:r>
      <w:r w:rsidR="008D6C3D">
        <w:t xml:space="preserve">was also supported by a recent systematic review looking into the impact of the COVID-19 pandemic on diet where 6 out of 10 studies examined observed no significant changes in dietary habits of older adults </w:t>
      </w:r>
      <w:r>
        <w:fldChar w:fldCharType="begin" w:fldLock="1"/>
      </w:r>
      <w:r>
        <w:instrText>ADDIN CSL_CITATION {"citationItems":[{"id":"ITEM-1","itemData":{"DOI":"10.14336/AD.2021.0606","ISSN":"21525250","PMID":"34881078","abstract":"The lockdown restrictions imposed globally to curb the COVID-19 pandemic have altered many aspects of daily life, including diet and physical activity. The aim of this systematic review was to evaluate evidence for changes in the diet and physical activity habits of older adults due to COVID-19-related lockdowns. We included analytic observational studies that reported on changes in diet, physical activity, or both, among older individuals (≥50 years old). We searched PubMed and EBSCO LISTA to identify original research articles published between 01/2020-03/2021. We identified 27 studies, 5 of which reported on changes in diet, 17 on changes in physical activity, and 5 on changes in both. The sample sizes ranged from 17 to 3110 subjects. Six of 10 papers on diet reported no significant changes in quantity or quality of food consumption; of those who did find changes in diet, these were generally unfavorable. Thirteen of 22 studies on physical activity reported a decrease in physical activity or an increase in sedentary time; the rest reported no major changes. Pre-lockdown habits were a predictor of change in some studies. The safer-at-home measures have not greatly impacted the diet of older adults but have led to a significant decrease in their physical activity, putting them at higher risk for non-communicable diseases, which may further increase their susceptibility to COVID-19. Ultimately, these findings may help guide clinical practice, by promoting additional health screenings by general practitioners for the elderly and by emphasizing the need for lifestyle interventions like at-home exercise initiatives, to help mitigate the negative impact of the pandemic on this especially vulnerable age group.","author":[{"dropping-particle":"","family":"Larson","given":"Elisabeth Anne","non-dropping-particle":"","parse-names":false,"suffix":""},{"dropping-particle":"","family":"Bader-Larsen","given":"Karlen Stade","non-dropping-particle":"","parse-names":false,"suffix":""},{"dropping-particle":"","family":"Magkos","given":"Faidon","non-dropping-particle":"","parse-names":false,"suffix":""}],"container-title":"Aging and Disease","id":"ITEM-1","issue":"8","issued":{"date-parts":[["2021","12","1"]]},"page":"1935","publisher":"JKL International LLC","title":"The Effect of COVID-19-related Lockdowns on Diet and Physical Activity in Older Adults: A Systematic Review","type":"article-journal","volume":"12"},"uris":["http://www.mendeley.com/documents/?uuid=186e4778-ed5e-3521-b9eb-fec2fa531f21"]}],"mendeley":{"formattedCitation":"(16)","plainTextFormattedCitation":"(16)","previouslyFormattedCitation":"(16)"},"properties":{"noteIndex":0},"schema":"https://github.com/citation-style-language/schema/raw/master/csl-citation.json"}</w:instrText>
      </w:r>
      <w:r>
        <w:fldChar w:fldCharType="separate"/>
      </w:r>
      <w:r w:rsidR="00CB48DA" w:rsidRPr="55869305">
        <w:rPr>
          <w:noProof/>
        </w:rPr>
        <w:t>(16)</w:t>
      </w:r>
      <w:r>
        <w:fldChar w:fldCharType="end"/>
      </w:r>
      <w:r w:rsidR="00AF6C61">
        <w:t>.</w:t>
      </w:r>
      <w:r w:rsidR="008D6C3D">
        <w:t xml:space="preserve"> </w:t>
      </w:r>
      <w:r w:rsidR="00AF6C61">
        <w:t>H</w:t>
      </w:r>
      <w:r>
        <w:t>owever</w:t>
      </w:r>
      <w:r w:rsidR="00AF6C61">
        <w:t xml:space="preserve">, </w:t>
      </w:r>
      <w:r w:rsidR="008D6C3D">
        <w:t>the</w:t>
      </w:r>
      <w:r w:rsidR="00C30D27">
        <w:t xml:space="preserve"> included</w:t>
      </w:r>
      <w:r w:rsidR="008D6C3D">
        <w:t xml:space="preserve"> studies </w:t>
      </w:r>
      <w:r w:rsidR="00C30D27">
        <w:t>were heterogenous in findings</w:t>
      </w:r>
      <w:r>
        <w:t>, and did not consider correlates of dietary decline or associated health outcomes</w:t>
      </w:r>
      <w:r w:rsidR="008D6C3D">
        <w:t xml:space="preserve">. </w:t>
      </w:r>
      <w:r>
        <w:t>For example, i</w:t>
      </w:r>
      <w:r w:rsidR="008D6C3D">
        <w:t xml:space="preserve">n 2 studies, no more than 50% of participants were found not to have altered their dietary habits </w:t>
      </w:r>
      <w:r>
        <w:fldChar w:fldCharType="begin" w:fldLock="1"/>
      </w:r>
      <w:r>
        <w:instrText>ADDIN CSL_CITATION {"citationItems":[{"id":"ITEM-1","itemData":{"DOI":"10.3390/NU13020309","ISSN":"20726643","PMID":"33499027","abstract":"North of Italy was severely hit by the COVID-19 (Coronavirus disease 19) pandemic. This induced the government to adopt severely restrictive measures to reduce the contagion risk, forcing most of the population to stop working and from leisure activities, and to remain at home for several weeks. Our study aimed to evaluate the effect of COVID-related quarantine on smoking and dietary habits of a well-characterized northern Italian rural population. For this purpose, while lockdown restrictions were in place (February–April 2020), 359 subjects from the Brisighella Heart Study cohort underwent a phone interview about their lifestyle habit changes during COVID-19-related quarantine. Quarantine did not significantly modify smoking habit nor body mass index. Subjects significantly increased daily carbohydrates consumption, all fresh vegetables, healthy vegetable oils, milk and yogurt, alcoholic drinks, sugars and sweets, and coffee. The weekly consumption of low-fat meat, cured meat other than ham, cheeses, eggs, nuts and mixed seed oils significantly increased, while the weekly intake of fish, mussels, and legumes significantly decreased during lockdown. The Dietary Quality Index was reduced from 42.4 ± 4.1 to 37.8 ± 4.7 (p &lt; 0.03). In accordance with our findings, COVID-19-related quarantine might worsen the quality of diet, also leading to an increased intake of almost all food categories.","author":[{"dropping-particle":"","family":"Cicero","given":"Arrigo F.G.","non-dropping-particle":"","parse-names":false,"suffix":""},{"dropping-particle":"","family":"Fogacci","given":"Federica","non-dropping-particle":"","parse-names":false,"suffix":""},{"dropping-particle":"","family":"Giovannini","given":"Marina","non-dropping-particle":"","parse-names":false,"suffix":""},{"dropping-particle":"","family":"Mezzadri","given":"Martina","non-dropping-particle":"","parse-names":false,"suffix":""},{"dropping-particle":"","family":"Grandi","given":"Elisa","non-dropping-particle":"","parse-names":false,"suffix":""},{"dropping-particle":"","family":"Borghi","given":"Claudio","non-dropping-particle":"","parse-names":false,"suffix":""}],"container-title":"Nutrients","id":"ITEM-1","issue":"2","issued":{"date-parts":[["2021","2","1"]]},"page":"1-10","publisher":"Multidisciplinary Digital Publishing Institute  (MDPI)","title":"COVID-19-Related Quarantine Effect on Dietary Habits in a Northern Italian Rural Population: Data from the Brisighella Heart Study","type":"article-journal","volume":"13"},"uris":["http://www.mendeley.com/documents/?uuid=61469821-7125-3622-a801-7ae58131b4ed"]},{"id":"ITEM-2","itemData":{"DOI":"10.2196/19630","ISSN":"23692960","PMID":"32589149","abstract":"Background: The international outbreak of coronavirus disease (COVID-19) has led many countries to enforce drastic containment measures. It has been suggested that this abrupt lockdown of populations will foster addiction-related habits such as caloric/salty food intake, screen use, and substance use. Objective: Our aim was to assess the global changes and factors of increase in addiction-related habits during the early COVID-19 containment phase in France. Methods: A web-based survey was provided from day 8 to day 13 of the containment and was completed by 11,391 participants. The questions explored sociodemographic features, psychiatric/addiction history, material conditions of lockdown, general stress, mental well-being, and reported changes in several addiction-related behaviors. Global changes were described and factors of increase were explored using population-weighted and adjusted logistic regression models, providing adjusted odds ratios (aORs) and their 95% confidence intervals. Results: Overall, the respondents reported more increases in addiction-related habits than decreases, specifically 28.4% (caloric/salty food intake), 64.6% (screen use), 35.6% (tobacco use), 24.8% (alcohol use), and 31.2% (cannabis use). Reduced well-being scores and increased stress scores were general factors of increase in addiction-related habits (P&lt;.001 for all habits). Factors of increase in caloric/salty food intake (n=10,771) were female gender (aOR 1.62, 95% CI 1.48-1.77), age less than 29 years (P&lt;.001), having a partner (aOR 1.19, 95% CI 1.06-1.35), being locked down in a more confined space (per 1 square meter/person decrease: aOR 1.02, 95% CI 1.01-1.03), being locked down alone (aOR 1.29, 95% CI 1.11-1.49), and reporting current (aOR 1.94, 95% CI 1.62-2.31) or past (aOR 1.27, 95% CI 1.09-1.47) psychiatric treatment. Factors of increase in screen use (n=11,267) were female gender (aOR 1.31, 95% CI 1.21-1.43), age less than 29 years (P&lt;.001), having no partner (aOR 1.18, 95% CI 1.06-1.32), being employed (P&lt;.001), intermediate/high education level (P&lt;.001), being locked down with no access to an outdoor space (aOR 1.16, 95% CI 1.05-1.29), being locked down alone (aOR 1.15, 95% CI 1.01-1.32), living in an urban environment (P&lt;.01), and not working (P&lt;.001). Factors of increase in tobacco use (n=2787) were female gender (aOR 1.31, 95% CI 1.11-1.55), having no partner (aOR 1.30, 95% CI 1.06-1.59), intermediate/low education level (P&lt;.01), and still working in t…","author":[{"dropping-particle":"","family":"Rolland","given":"Benjamin","non-dropping-particle":"","parse-names":false,"suffix":""},{"dropping-particle":"","family":"Haesebaert","given":"Frédéric","non-dropping-particle":"","parse-names":false,"suffix":""},{"dropping-particle":"","family":"Zante","given":"Elodie","non-dropping-particle":"","parse-names":false,"suffix":""},{"dropping-particle":"","family":"Benyamina","given":"Amine","non-dropping-particle":"","parse-names":false,"suffix":""},{"dropping-particle":"","family":"Haesebaert","given":"Julie","non-dropping-particle":"","parse-names":false,"suffix":""},{"dropping-particle":"","family":"Franck","given":"Nicolas","non-dropping-particle":"","parse-names":false,"suffix":""}],"container-title":"JMIR Public Health and Surveillance","id":"ITEM-2","issue":"3","issued":{"date-parts":[["2020","7","1"]]},"publisher":"JMIR Publications Inc.","title":"Global Changes and Factors of Increase in Caloric/Salty Food Intake, Screen Use, and Substance Use During the Early COVID-19 Containment Phase in the General Population in France: Survey Study","type":"article-journal","volume":"6"},"uris":["http://www.mendeley.com/documents/?uuid=953c44f3-e025-374e-baf6-60b11c21b208"]}],"mendeley":{"formattedCitation":"(17,18)","plainTextFormattedCitation":"(17,18)","previouslyFormattedCitation":"(17,18)"},"properties":{"noteIndex":0},"schema":"https://github.com/citation-style-language/schema/raw/master/csl-citation.json"}</w:instrText>
      </w:r>
      <w:r>
        <w:fldChar w:fldCharType="separate"/>
      </w:r>
      <w:r w:rsidR="00CB48DA" w:rsidRPr="55869305">
        <w:rPr>
          <w:noProof/>
        </w:rPr>
        <w:t>(17,18)</w:t>
      </w:r>
      <w:r>
        <w:fldChar w:fldCharType="end"/>
      </w:r>
      <w:r w:rsidR="008D6C3D">
        <w:t>.</w:t>
      </w:r>
      <w:r w:rsidR="58518679">
        <w:t xml:space="preserve"> </w:t>
      </w:r>
      <w:r w:rsidR="00C30D27" w:rsidRPr="000B6CCA">
        <w:t>In other work, o</w:t>
      </w:r>
      <w:r w:rsidR="008D6C3D" w:rsidRPr="000B6CCA">
        <w:t xml:space="preserve">lder participants tended to be less likely to report changes in food </w:t>
      </w:r>
      <w:proofErr w:type="spellStart"/>
      <w:r w:rsidR="008D6C3D" w:rsidRPr="000B6CCA">
        <w:t>behaviours</w:t>
      </w:r>
      <w:proofErr w:type="spellEnd"/>
      <w:r w:rsidR="008D6C3D" w:rsidRPr="000B6CCA">
        <w:t>, overall diet healthfulness</w:t>
      </w:r>
      <w:r w:rsidR="008D6C3D" w:rsidRPr="00D05E55">
        <w:t xml:space="preserve">, and food security compared to younger participants in the International Food Policy Study </w:t>
      </w:r>
      <w:r w:rsidR="003512A8">
        <w:t xml:space="preserve">conducted </w:t>
      </w:r>
      <w:r w:rsidR="008D6C3D" w:rsidRPr="00D05E55">
        <w:t xml:space="preserve">across 5 countries </w:t>
      </w:r>
      <w:r w:rsidR="008D6C3D" w:rsidRPr="00D05E55">
        <w:fldChar w:fldCharType="begin" w:fldLock="1"/>
      </w:r>
      <w:r w:rsidR="00CB48DA">
        <w:instrText>ADDIN CSL_CITATION {"citationItems":[{"id":"ITEM-1","itemData":{"DOI":"10.1093/JN/NXAC025","ISSN":"0022-3166","PMID":"35274699","abstract":"BACKGROUND: The COVID-19 pandemic has impacted many aspects of daily life,  including dietary intake; however, few studies have reported its impacts on dietary behaviours and food security across multiple countries. OBJECTIVES: We examined self-reported impacts of COVID-19 on food behaviours, food security, and overall diet healthfulness in five countries. METHODS: Adults aged 18-100 years (n = 20,554) in Australia, Canada, Mexico, the UK and the US completed an online survey in November-December 2020 as part of the International Food Policy Study, an annual repeat cross-sectional survey. Survey measures assessed perceived impacts of the COVID-19 pandemic on eating food prepared away from home, having food delivered from a restaurant, and buying groceries online, as well as perceived food security and overall diet healthfulness. Regression models examined associations between each outcome and sociodemographic correlates. RESULTS: Across all countries, 62% of respondents reported eating less food prepared away from home due to the pandemic, while 11% reported eating more. Some participants reported having less food delivered from a restaurant (35%) and buying fewer groceries online (17%), while other respondents reported more of each (19% and 25% respectively). An average of 39% reported impacts on their food security, and 27% reported healthful changes to their overall diet. The largest changes for all outcomes were observed in Mexico. Participants who were younger, ethnic minorities, or had lower income adequacy tended to be more likely to report food-related changes in either direction; however, these relationships were often less pronounced among respondents in Mexico. CONCLUSIONS: Respondents reported important changes in how they sourced their food during the pandemic, with trends suggesting shifts towards less food prepared away from home and more healthful diets overall. However, changes in diet and food behaviours occurred in both healthful and less healthful directions, suggesting that dietary responses to the pandemic were highly variable.","author":[{"dropping-particle":"","family":"Acton","given":"Rachel B","non-dropping-particle":"","parse-names":false,"suffix":""},{"dropping-particle":"","family":"Vanderlee","given":"Lana","non-dropping-particle":"","parse-names":false,"suffix":""},{"dropping-particle":"","family":"Cameron","given":"Adrian J","non-dropping-particle":"","parse-names":false,"suffix":""},{"dropping-particle":"","family":"Goodman","given":"Samantha","non-dropping-particle":"","parse-names":false,"suffix":""},{"dropping-particle":"","family":"Jáuregui","given":"Alejandra","non-dropping-particle":"","parse-names":false,"suffix":""},{"dropping-particle":"","family":"Sacks","given":"Gary","non-dropping-particle":"","parse-names":false,"suffix":""},{"dropping-particle":"","family":"White","given":"Christine M","non-dropping-particle":"","parse-names":false,"suffix":""},{"dropping-particle":"","family":"White","given":"Martin","non-dropping-particle":"","parse-names":false,"suffix":""},{"dropping-particle":"","family":"Hammond","given":"David","non-dropping-particle":"","parse-names":false,"suffix":""}],"container-title":"The Journal of Nutrition","id":"ITEM-1","issued":{"date-parts":[["2022","3","11"]]},"publisher":"Oxford University Press","title":"Self-reported impacts of the COVID-19 pandemic on diet-related behaviours and food security in five countries: results from the International Food Policy Study 2020","type":"article-journal"},"uris":["http://www.mendeley.com/documents/?uuid=287b1572-6631-3ce1-acf1-0ceb6a0b1431"]}],"mendeley":{"formattedCitation":"(19)","plainTextFormattedCitation":"(19)","previouslyFormattedCitation":"(19)"},"properties":{"noteIndex":0},"schema":"https://github.com/citation-style-language/schema/raw/master/csl-citation.json"}</w:instrText>
      </w:r>
      <w:r w:rsidR="008D6C3D" w:rsidRPr="00D05E55">
        <w:fldChar w:fldCharType="separate"/>
      </w:r>
      <w:r w:rsidR="00CB48DA" w:rsidRPr="00CB48DA">
        <w:rPr>
          <w:noProof/>
        </w:rPr>
        <w:t>(19)</w:t>
      </w:r>
      <w:r w:rsidR="008D6C3D" w:rsidRPr="00D05E55">
        <w:fldChar w:fldCharType="end"/>
      </w:r>
      <w:r w:rsidR="008D6C3D" w:rsidRPr="00D05E55">
        <w:t>. Other</w:t>
      </w:r>
      <w:r w:rsidR="003512A8">
        <w:t xml:space="preserve"> researchers have </w:t>
      </w:r>
      <w:r w:rsidR="008D6C3D" w:rsidRPr="00D05E55">
        <w:t>report</w:t>
      </w:r>
      <w:r w:rsidR="003512A8">
        <w:t>ed</w:t>
      </w:r>
      <w:r w:rsidR="008D6C3D" w:rsidRPr="00D05E55">
        <w:t xml:space="preserve"> that age was negatively associated with healthy dietary change </w:t>
      </w:r>
      <w:r w:rsidR="008D6C3D" w:rsidRPr="00D05E55">
        <w:fldChar w:fldCharType="begin" w:fldLock="1"/>
      </w:r>
      <w:r w:rsidR="00CB48DA">
        <w:instrText>ADDIN CSL_CITATION {"citationItems":[{"id":"ITEM-1","itemData":{"DOI":"10.3390/NU12082324","ISBN":"4822593711","ISSN":"2072-6643","PMID":"32756458","abstract":"The present study aimed to identify patterns of dietary changes during the COVID-19 pandemic and their associations with sociodemographics, body mass index (BMI) before pandemic, and lifestyle changes in Polish adults and to examine the effects of lockdowns on dietary&amp;ndash;lifestyle changes. This study used a cross-sectional online survey to collect data. The k-means algorithm was used to determine of patterns of dietary changes, and logistic regression analyses were performed. During the study period, 43% of respondents decreased physical activity (PA), 49%&amp;mdash;increased screen time, and 34%&amp;mdash;increased food consumption. Among the three dietary changes patterns, two opposite patterns were found: Prohealthy (28% participants) and Unhealthy (19% participants).The adherence to the Prohealthy pattern was negatively associated with age, but positively with being overweight (aOR 1.31) or obese before pandemic (aOR 1.64). Residing in a macroeconomic region with GDP &amp;gt; 100% decreased adherence to the Prohealthy (aOR 0.73) but increased adherence to the Unhealthy pattern (aOR 1.47). Adults over 40 years old, those living with children, unemployed, those living in a region with a higher GDP, and those not consuming homemade meals could be more exposed to unhealthy behaviors. From a public health perspective, enhancing the message &amp;ldquo;to be active&amp;rdquo; during the compulsory isolation period should be prioritized.","author":[{"dropping-particle":"","family":"Górnicka","given":"Magdalena","non-dropping-particle":"","parse-names":false,"suffix":""},{"dropping-particle":"","family":"Drywień","given":"Małgorzata Ewa","non-dropping-particle":"","parse-names":false,"suffix":""},{"dropping-particle":"","family":"Zielinska","given":"Monika A.","non-dropping-particle":"","parse-names":false,"suffix":""},{"dropping-particle":"","family":"Hamułka","given":"Jadwiga","non-dropping-particle":"","parse-names":false,"suffix":""}],"container-title":"Nutrients 2020, Vol. 12, Page 2324","id":"ITEM-1","issue":"8","issued":{"date-parts":[["2020","8","3"]]},"page":"2324","publisher":"Multidisciplinary Digital Publishing Institute","title":"Dietary and Lifestyle Changes During COVID-19 and the Subsequent Lockdowns among Polish Adults: A Cross-Sectional Online Survey PLifeCOVID-19 Study","type":"article-journal","volume":"12"},"uris":["http://www.mendeley.com/documents/?uuid=0ff58c2d-62ef-3673-b477-6432f3f26031"]},{"id":"ITEM-2","itemData":{"DOI":"10.1093/AJCN/NQAA363","ISSN":"0002-9165","PMID":"33398347","abstract":"Background: The impact that the coronavirus disease 2019 (COVID-19)-related early lockdown has had on dietary habits of the population and on food insecurity is unknown. Objective: The aim of this study was to document the change in diet quality and in food insecurity observed during the COVID-19-related early lockdown. We hypothesized that the lockdown was associated with a deterioration in overall diet quality and an increase in food insecurity. Methods: Data are from a COVID-19 subsample of NutriQuébec, a web-based cohort destined to study temporal changes in dietary habits among adults in Quebec, Canada. Participants completed questionnaires before (between June 2019 and February 2020) and during (April to May 2020) early lockdown, including a validated web-based 24-h recall (n = 853) and a questionnaire on food security (n = 922). Primary study outcomes were temporal changes in diet quality measured by the Healthy Eating Index (HEI)-2015 and in the prevalence of food insecurity. Results: There was a small increase in the HEI-2015 during the COVID-19 early lockdown compared with baseline (+1.1 points; 95% CI: 0.6, 1.5), mostly due to small improvements in the intakes of whole grains, greens and beans, refined grains, total vegetables, total dairy, seafood and plant proteins, added sugar, and total protein subscores of the HEI-2015. Exploratory analyses suggested that individuals aged 18-29 y (+3.6 points; 95% CI: 2.4, 4.7), participants with lower education (+1.9 points; 95% CI: 1.3, 2.6), or with obesity (+3.8 points; 95% CI: 2.7, 4.8) showed particularly important increases in the HEI-2015. The prevalence of food insecurity was reduced from 3.8% at baseline to 1.0% during the early lockdown (prevalence ratio = 0.27; 95% CI: 0.08, 0.94). Conclusions: Contrary to our hypotheses, diet quality has slightly improved and prevalence of food insecurity was reduced in this sample of adults from Quebec during the COVID-19-related early lockdown. These results may be generalizable only to relatively healthy populations.","author":[{"dropping-particle":"","family":"Lamarche","given":"Benoît","non-dropping-particle":"","parse-names":false,"suffix":""},{"dropping-particle":"","family":"Brassard","given":"Didier","non-dropping-particle":"","parse-names":false,"suffix":""},{"dropping-particle":"","family":"Lapointe","given":"Annie","non-dropping-particle":"","parse-names":false,"suffix":""},{"dropping-particle":"","family":"Laramée","given":"Catherine","non-dropping-particle":"","parse-names":false,"suffix":""},{"dropping-particle":"","family":"Kearney","given":"Michèle","non-dropping-particle":"","parse-names":false,"suffix":""},{"dropping-particle":"","family":"Côté","given":"Mélina","non-dropping-particle":"","parse-names":false,"suffix":""},{"dropping-particle":"","family":"Bélanger-Gravel","given":"Ariane","non-dropping-particle":"","parse-names":false,"suffix":""},{"dropping-particle":"","family":"Desroches","given":"Sophie","non-dropping-particle":"","parse-names":false,"suffix":""},{"dropping-particle":"","family":"Lemieux","given":"Simone","non-dropping-particle":"","parse-names":false,"suffix":""},{"dropping-particle":"","family":"Plante","given":"Céline","non-dropping-particle":"","parse-names":false,"suffix":""}],"container-title":"The American Journal of Clinical Nutrition","id":"ITEM-2","issue":"4","issued":{"date-parts":[["2021","4","6"]]},"page":"984-992","publisher":"Oxford Academic","title":"Changes in diet quality and food security among adults during the COVID-19–related early lockdown: results from NutriQuébec","type":"article-journal","volume":"113"},"uris":["http://www.mendeley.com/documents/?uuid=48971932-9954-33f0-8fe0-bcca7d6db1c7"]}],"mendeley":{"formattedCitation":"(20,21)","plainTextFormattedCitation":"(20,21)","previouslyFormattedCitation":"(20,21)"},"properties":{"noteIndex":0},"schema":"https://github.com/citation-style-language/schema/raw/master/csl-citation.json"}</w:instrText>
      </w:r>
      <w:r w:rsidR="008D6C3D" w:rsidRPr="00D05E55">
        <w:fldChar w:fldCharType="separate"/>
      </w:r>
      <w:r w:rsidR="00CB48DA" w:rsidRPr="00CB48DA">
        <w:rPr>
          <w:noProof/>
        </w:rPr>
        <w:t>(20,21)</w:t>
      </w:r>
      <w:r w:rsidR="008D6C3D" w:rsidRPr="00D05E55">
        <w:fldChar w:fldCharType="end"/>
      </w:r>
      <w:r w:rsidR="008D6C3D" w:rsidRPr="00D05E55">
        <w:t xml:space="preserve"> and increased intake of junk food </w:t>
      </w:r>
      <w:r w:rsidR="008D6C3D" w:rsidRPr="00D05E55">
        <w:fldChar w:fldCharType="begin" w:fldLock="1"/>
      </w:r>
      <w:r w:rsidR="00CB48DA">
        <w:instrText>ADDIN CSL_CITATION {"citationItems":[{"id":"ITEM-1","itemData":{"DOI":"10.1186/S12967-020-02399-5/FIGURES/4","ISSN":"14795876","PMID":"32513197","abstract":"Background: On December 12th 2019, a new coronavirus (SARS-Cov2) emerged in Wuhan, China, sparking a pandemic of acute respiratory syndrome in humans (COVID-19). On the 24th of April 2020, the number of COVID-19 deaths in the world, according to the COVID-Case Tracker by Johns Hopkins University, was 195,313, and the number of COVID-19 confirmed cases was 2,783,512. The COVID-19 pandemic represents a massive impact on human health, causing sudden lifestyle changes, through social distancing and isolation at home, with social and economic consequences. Optimizing public health during this pandemic requires not only knowledge from the medical and biological sciences, but also of all human sciences related to lifestyle, social and behavioural studies, including dietary habits and lifestyle. Methods: Our study aimed to investigate the immediate impact of the COVID-19 pandemic on eating habits and lifestyle changes among the Italian population aged ≥ 12 years. The study comprised a structured questionnaire packet that inquired demographic information (age, gender, place of residence, current employment); anthropometric data (reported weight and height); dietary habits information (adherence to the Mediterranean diet, daily intake of certain foods, food frequency, and number of meals/day); lifestyle habits information (grocery shopping, habit of smoking, sleep quality and physical activity). The survey was conducted from the 5th to the 24th of April 2020. Results: A total of 3533 respondents have been included in the study, aged between 12 and 86 years (76.1% females). The perception of weight gain was observed in 48.6% of the population; 3.3% of smokers decided to quit smoking; a slight increased physical activity has been reported, especially for bodyweight training, in 38.3% of respondents; the population group aged 18-30 years resulted in having a higher adherence to the Mediterranean diet when compared to the younger and the elderly population (p &lt; 0.001; p &lt; 0.001, respectively); 15% of respondents turned to farmers or organic, purchasing fruits and vegetables, especially in the North and Center of Italy, where BMI values were lower. Conclusions: In this study, we have provided for the first time data on the Italian population lifestyle, eating habits and adherence to the Mediterranean Diet pattern during the COVID-19 lockdown. However, as the COVID-19 pandemic is ongoing, our data need to be confirmed and investigated in future more extensive populatio…","author":[{"dropping-particle":"","family":"Renzo","given":"Laura","non-dropping-particle":"Di","parse-names":false,"suffix":""},{"dropping-particle":"","family":"Gualtieri","given":"Paola","non-dropping-particle":"","parse-names":false,"suffix":""},{"dropping-particle":"","family":"Pivari","given":"Francesca","non-dropping-particle":"","parse-names":false,"suffix":""},{"dropping-particle":"","family":"Soldati","given":"Laura","non-dropping-particle":"","parse-names":false,"suffix":""},{"dropping-particle":"","family":"Attinà","given":"Alda","non-dropping-particle":"","parse-names":false,"suffix":""},{"dropping-particle":"","family":"Cinelli","given":"Giulia","non-dropping-particle":"","parse-names":false,"suffix":""},{"dropping-particle":"","family":"Cinelli","given":"Giulia","non-dropping-particle":"","parse-names":false,"suffix":""},{"dropping-particle":"","family":"Leggeri","given":"Claudia","non-dropping-particle":"","parse-names":false,"suffix":""},{"dropping-particle":"","family":"Caparello","given":"Giovanna","non-dropping-particle":"","parse-names":false,"suffix":""},{"dropping-particle":"","family":"Barrea","given":"Luigi","non-dropping-particle":"","parse-names":false,"suffix":""},{"dropping-particle":"","family":"Scerbo","given":"Francesco","non-dropping-particle":"","parse-names":false,"suffix":""},{"dropping-particle":"","family":"Esposito","given":"Ernesto","non-dropping-particle":"","parse-names":false,"suffix":""},{"dropping-particle":"","family":"Lorenzo","given":"Antonino","non-dropping-particle":"De","parse-names":false,"suffix":""}],"container-title":"Journal of Translational Medicine","id":"ITEM-1","issue":"1","issued":{"date-parts":[["2020","6","8"]]},"page":"1-15","publisher":"BioMed Central Ltd.","title":"Eating habits and lifestyle changes during COVID-19 lockdown: An Italian survey","type":"article-journal","volume":"18"},"uris":["http://www.mendeley.com/documents/?uuid=7ebf3170-b764-3760-a823-8af15846c0b5"]}],"mendeley":{"formattedCitation":"(22)","plainTextFormattedCitation":"(22)","previouslyFormattedCitation":"(22)"},"properties":{"noteIndex":0},"schema":"https://github.com/citation-style-language/schema/raw/master/csl-citation.json"}</w:instrText>
      </w:r>
      <w:r w:rsidR="008D6C3D" w:rsidRPr="00D05E55">
        <w:fldChar w:fldCharType="separate"/>
      </w:r>
      <w:r w:rsidR="00CB48DA" w:rsidRPr="00CB48DA">
        <w:rPr>
          <w:noProof/>
        </w:rPr>
        <w:t>(22)</w:t>
      </w:r>
      <w:r w:rsidR="008D6C3D" w:rsidRPr="00D05E55">
        <w:fldChar w:fldCharType="end"/>
      </w:r>
      <w:r w:rsidR="008D6C3D" w:rsidRPr="00D05E55">
        <w:t xml:space="preserve">. Constant et al. found that individuals aged 40-60 and 60+ years were around 20% less likely to have made a “positive” lifestyle change in eating habits during the lockdown period in France </w:t>
      </w:r>
      <w:r w:rsidR="008D6C3D" w:rsidRPr="00D05E55">
        <w:fldChar w:fldCharType="begin" w:fldLock="1"/>
      </w:r>
      <w:r w:rsidR="00CB48DA">
        <w:instrText>ADDIN CSL_CITATION {"citationItems":[{"id":"ITEM-1","itemData":{"DOI":"10.3389/FPSYG.2020.579460","ISSN":"16641078","PMID":"33132989","abstract":"Background: The aims of the present study were to assess changes in lifestyles in the general population in response to coronavirus disease 2019 (COVID-19) lockdown and the influence of COVID-19 perceptions, as assessed by the Extended Parallel Process Model (EPPM), on these changes. Methods: Data were collected from 4005 individuals through an online survey conducted 3–4 weeks after the nationwide lockdown implementation in France. Participants were asked whether they practiced five behaviors (i.e., screen watching, snacking, eating fruits and vegetables, exercising, and walking) less often, as often as, or more often than prior to the lockdown. Beliefs and expectations toward the COVID-19 epidemic were also assessed using an adapted version of Witte’s EPPM, together with sociodemographic and environmental variables. Among the respondents consuming regularly alcohol and tobacco, logistic regressions were performed to estimate the Odds ratios (ORs) of increase (yes/no) and decrease (yes/no) in drinking and smoking since the lockdown. Results: More than 8 in 10 respondents reported unhealthy changes in lifestyle since the lockdown, mostly in relation to physical activity. The unhealthy changes were positively associated with male sex (RR = 1.17; confidence interval [95% CI] = 1.10–1.24), living urban density, having a garden (RR = 1.16 [1.07–1.26]), financial difficulties because of COVID-19 (RR = 1.09 [1.02–1.18]), and lack of fear control (RR = 1.04 [1.01–1.09]) and negatively with cognitive avoidance (RR = 0.92 [0.89–0.95]). Less than 4 in 10 respondents reported healthy changes over the same period, mostly in relation to better eating habits. They were positively associated with living with more than two persons (RR = 1.22 [1.02–1.45]), having a terrace (RR = 1.14 [1.02–1.29], and perceived efficacy (RR = 1.11 [1.04–1.08]) and negatively with being aged 40 or higher. Alcohol consumption overall declined in regular drinkers, while a slight increase in tobacco use was observed in regular smokers. Discussion: The COVID-19 pandemic and lockdown resulted in frequent and mostly unhealthy changes in lifestyle among the general population. These changes were related to individual and environmental characteristics but also to EPPM appraisals in the wake of fear appeal from COVID-19 campaigns. Communication and preventive measures should include messages and initiatives toward the maintenance of healthy lifestyles during pandemics such as the adaptation of phy…","author":[{"dropping-particle":"","family":"Constant","given":"Aymery","non-dropping-particle":"","parse-names":false,"suffix":""},{"dropping-particle":"","family":"Conserve","given":"Donaldson Fadael","non-dropping-particle":"","parse-names":false,"suffix":""},{"dropping-particle":"","family":"Gallopel-Morvan","given":"Karine","non-dropping-particle":"","parse-names":false,"suffix":""},{"dropping-particle":"","family":"Raude","given":"Jocelyn","non-dropping-particle":"","parse-names":false,"suffix":""}],"container-title":"Frontiers in Psychology","id":"ITEM-1","issued":{"date-parts":[["2020","9","29"]]},"publisher":"Frontiers Media SA","title":"Socio-Cognitive Factors Associated With Lifestyle Changes in Response to the COVID-19 Epidemic in the General Population: Results From a Cross-Sectional Study in France","type":"article-journal","volume":"11"},"uris":["http://www.mendeley.com/documents/?uuid=1370c77a-fb0c-31ef-8139-8e5851f645e9"]}],"mendeley":{"formattedCitation":"(23)","plainTextFormattedCitation":"(23)","previouslyFormattedCitation":"(23)"},"properties":{"noteIndex":0},"schema":"https://github.com/citation-style-language/schema/raw/master/csl-citation.json"}</w:instrText>
      </w:r>
      <w:r w:rsidR="008D6C3D" w:rsidRPr="00D05E55">
        <w:fldChar w:fldCharType="separate"/>
      </w:r>
      <w:r w:rsidR="00CB48DA" w:rsidRPr="00CB48DA">
        <w:rPr>
          <w:noProof/>
        </w:rPr>
        <w:t>(23)</w:t>
      </w:r>
      <w:r w:rsidR="008D6C3D" w:rsidRPr="00D05E55">
        <w:fldChar w:fldCharType="end"/>
      </w:r>
      <w:r w:rsidR="008D6C3D" w:rsidRPr="00D05E55">
        <w:t>. Similar findings were reported in a recent study by Bevilacqua et al. of participants from two UK</w:t>
      </w:r>
      <w:r w:rsidR="00180C8B">
        <w:t xml:space="preserve"> cohorts of</w:t>
      </w:r>
      <w:r w:rsidR="008D6C3D" w:rsidRPr="00D05E55">
        <w:t xml:space="preserve"> community-dwelling older adults: during the first months of the pandemic, individuals from the younger cohort (median age 65 years) reported more negative changes to their diets when compared to those from the older cohort (median age 84 years) </w:t>
      </w:r>
      <w:r w:rsidR="008D6C3D" w:rsidRPr="00D05E55">
        <w:fldChar w:fldCharType="begin" w:fldLock="1"/>
      </w:r>
      <w:r w:rsidR="00CB48DA">
        <w:instrText>ADDIN CSL_CITATION {"citationItems":[{"id":"ITEM-1","itemData":{"DOI":"10.3389/FENDO.2022.882399","ISSN":"1664-2392","abstract":"Background: Physical activity, nutrition and other lifestyle factors play important roles in maintaining musculoskeletal health. The coronavirus disease (COVID-19) originated in late 2019, spread globally to be declared a pandemic by the World Health Organisation in March 2020, and led to widespread behaviour change. The aim of this study was to use two existing cohorts, the Hertfordshire Cohort Study (HCS) and Health and Employment After Fifty Study (HEAF), to understand how wave one of the COVID-19 pandemic impacted lifestyle factors associated with musculoskeletal health in the UK. Methods: 125 eligible participants, 65 males and 60 females (drawn from the HCS study, median (IQR) age 84.3 (82.4-86.6) years, all Caucasian, and community dwelling) were contacted by telephone and asked to complete a questionnaire administered by a trained researcher. Data collection occurred over the period July 2020 to February 2021. 2469 participants, 1086 men and 1383 women (drawn from the HEAF study, median age 65.7 (62.0-69.3) years, mostly Caucasian and community dwelling) completed an online questionnaire in March 2021. Results: In HCS, 47% respondents reported being less physically active than before the pandemic (and only 5% more so), 27% said they consumed less alcohol compared to pre-pandemic times (and only 3% more so), and 18% reported eating less than before, although quality of diet was generally unchanged over this timeframe surveyed. In HEAF, 44% participants said they were less active than before the pandemic, while 17% reported being more active. The majority of participants reported no changes in alcohol consumption and diet; however, 19% said they drank more than before (32% of which was above recommended levels), 16% said their diet was less healthy, and 19% reported eating more than before. Conclusion: We have reported the experience of the first wave of the COVID-19 pandemic among participants of two Caucasian community dwelling UK cohorts, highlighting the impact of the pandemic on lifestyle factors associated with musculoskeletal health. Changed physical activity levels were reported in a high proportion of respondents in both studies; an investigation of reversibility of these changes is required.","author":[{"dropping-particle":"","family":"Bevilacqua","given":"Gregorio","non-dropping-particle":"","parse-names":false,"suffix":""},{"dropping-particle":"","family":"D’Angelo","given":"Stefania","non-dropping-particle":"","parse-names":false,"suffix":""},{"dropping-particle":"","family":"Linaker","given":"Cathy","non-dropping-particle":"","parse-names":false,"suffix":""},{"dropping-particle":"","family":"Paul","given":"Alice","non-dropping-particle":"","parse-names":false,"suffix":""},{"dropping-particle":"","family":"Bloom","given":"Ilse","non-dropping-particle":"","parse-names":false,"suffix":""},{"dropping-particle":"","family":"Zhang","given":"Jean","non-dropping-particle":"","parse-names":false,"suffix":""},{"dropping-particle":"","family":"Laskou","given":"Faidra","non-dropping-particle":"","parse-names":false,"suffix":""},{"dropping-particle":"","family":"Cooper","given":"Cyrus","non-dropping-particle":"","parse-names":false,"suffix":""},{"dropping-particle":"","family":"Ward","given":"Kate A.","non-dropping-particle":"","parse-names":false,"suffix":""},{"dropping-particle":"","family":"Walker-Bone","given":"Karen","non-dropping-particle":"","parse-names":false,"suffix":""},{"dropping-particle":"","family":"Dennison","given":"Elaine M.","non-dropping-particle":"","parse-names":false,"suffix":""}],"container-title":"Frontiers in Endocrinology","id":"ITEM-1","issued":{"date-parts":[["2022","5","3"]]},"page":"716","publisher":"Frontiers","title":"Physical Activity and Diet in a Global Pandemic: An Investigation of the Impact of COVID-19 on Factors Relevant for Musculoskeletal Health at Two Different Stages of the Lifecourse","type":"article-journal","volume":"0"},"uris":["http://www.mendeley.com/documents/?uuid=c731b5d8-a0f1-3596-a9aa-7f577de062aa"]}],"mendeley":{"formattedCitation":"(24)","plainTextFormattedCitation":"(24)","previouslyFormattedCitation":"(24)"},"properties":{"noteIndex":0},"schema":"https://github.com/citation-style-language/schema/raw/master/csl-citation.json"}</w:instrText>
      </w:r>
      <w:r w:rsidR="008D6C3D" w:rsidRPr="00D05E55">
        <w:fldChar w:fldCharType="separate"/>
      </w:r>
      <w:r w:rsidR="00CB48DA" w:rsidRPr="00CB48DA">
        <w:rPr>
          <w:noProof/>
        </w:rPr>
        <w:t>(24)</w:t>
      </w:r>
      <w:r w:rsidR="008D6C3D" w:rsidRPr="00D05E55">
        <w:fldChar w:fldCharType="end"/>
      </w:r>
      <w:r w:rsidR="008D6C3D" w:rsidRPr="00D05E55">
        <w:t xml:space="preserve">. In addition, Bevilacqua et al. reported that younger women were more likely to have increased their food intake and reduced the quality of their diet compared to men </w:t>
      </w:r>
      <w:r w:rsidR="008D6C3D" w:rsidRPr="00D05E55">
        <w:fldChar w:fldCharType="begin" w:fldLock="1"/>
      </w:r>
      <w:r w:rsidR="00CB48DA">
        <w:instrText>ADDIN CSL_CITATION {"citationItems":[{"id":"ITEM-1","itemData":{"DOI":"10.3389/FENDO.2022.882399","ISSN":"1664-2392","abstract":"Background: Physical activity, nutrition and other lifestyle factors play important roles in maintaining musculoskeletal health. The coronavirus disease (COVID-19) originated in late 2019, spread globally to be declared a pandemic by the World Health Organisation in March 2020, and led to widespread behaviour change. The aim of this study was to use two existing cohorts, the Hertfordshire Cohort Study (HCS) and Health and Employment After Fifty Study (HEAF), to understand how wave one of the COVID-19 pandemic impacted lifestyle factors associated with musculoskeletal health in the UK. Methods: 125 eligible participants, 65 males and 60 females (drawn from the HCS study, median (IQR) age 84.3 (82.4-86.6) years, all Caucasian, and community dwelling) were contacted by telephone and asked to complete a questionnaire administered by a trained researcher. Data collection occurred over the period July 2020 to February 2021. 2469 participants, 1086 men and 1383 women (drawn from the HEAF study, median age 65.7 (62.0-69.3) years, mostly Caucasian and community dwelling) completed an online questionnaire in March 2021. Results: In HCS, 47% respondents reported being less physically active than before the pandemic (and only 5% more so), 27% said they consumed less alcohol compared to pre-pandemic times (and only 3% more so), and 18% reported eating less than before, although quality of diet was generally unchanged over this timeframe surveyed. In HEAF, 44% participants said they were less active than before the pandemic, while 17% reported being more active. The majority of participants reported no changes in alcohol consumption and diet; however, 19% said they drank more than before (32% of which was above recommended levels), 16% said their diet was less healthy, and 19% reported eating more than before. Conclusion: We have reported the experience of the first wave of the COVID-19 pandemic among participants of two Caucasian community dwelling UK cohorts, highlighting the impact of the pandemic on lifestyle factors associated with musculoskeletal health. Changed physical activity levels were reported in a high proportion of respondents in both studies; an investigation of reversibility of these changes is required.","author":[{"dropping-particle":"","family":"Bevilacqua","given":"Gregorio","non-dropping-particle":"","parse-names":false,"suffix":""},{"dropping-particle":"","family":"D’Angelo","given":"Stefania","non-dropping-particle":"","parse-names":false,"suffix":""},{"dropping-particle":"","family":"Linaker","given":"Cathy","non-dropping-particle":"","parse-names":false,"suffix":""},{"dropping-particle":"","family":"Paul","given":"Alice","non-dropping-particle":"","parse-names":false,"suffix":""},{"dropping-particle":"","family":"Bloom","given":"Ilse","non-dropping-particle":"","parse-names":false,"suffix":""},{"dropping-particle":"","family":"Zhang","given":"Jean","non-dropping-particle":"","parse-names":false,"suffix":""},{"dropping-particle":"","family":"Laskou","given":"Faidra","non-dropping-particle":"","parse-names":false,"suffix":""},{"dropping-particle":"","family":"Cooper","given":"Cyrus","non-dropping-particle":"","parse-names":false,"suffix":""},{"dropping-particle":"","family":"Ward","given":"Kate A.","non-dropping-particle":"","parse-names":false,"suffix":""},{"dropping-particle":"","family":"Walker-Bone","given":"Karen","non-dropping-particle":"","parse-names":false,"suffix":""},{"dropping-particle":"","family":"Dennison","given":"Elaine M.","non-dropping-particle":"","parse-names":false,"suffix":""}],"container-title":"Frontiers in Endocrinology","id":"ITEM-1","issued":{"date-parts":[["2022","5","3"]]},"page":"716","publisher":"Frontiers","title":"Physical Activity and Diet in a Global Pandemic: An Investigation of the Impact of COVID-19 on Factors Relevant for Musculoskeletal Health at Two Different Stages of the Lifecourse","type":"article-journal","volume":"0"},"uris":["http://www.mendeley.com/documents/?uuid=c731b5d8-a0f1-3596-a9aa-7f577de062aa"]}],"mendeley":{"formattedCitation":"(24)","plainTextFormattedCitation":"(24)","previouslyFormattedCitation":"(24)"},"properties":{"noteIndex":0},"schema":"https://github.com/citation-style-language/schema/raw/master/csl-citation.json"}</w:instrText>
      </w:r>
      <w:r w:rsidR="008D6C3D" w:rsidRPr="00D05E55">
        <w:fldChar w:fldCharType="separate"/>
      </w:r>
      <w:r w:rsidR="00CB48DA" w:rsidRPr="00CB48DA">
        <w:rPr>
          <w:noProof/>
        </w:rPr>
        <w:t>(24)</w:t>
      </w:r>
      <w:r w:rsidR="008D6C3D" w:rsidRPr="00D05E55">
        <w:fldChar w:fldCharType="end"/>
      </w:r>
      <w:r w:rsidR="008D6C3D" w:rsidRPr="00D05E55">
        <w:t>, a tendency that we also notice in our sample population, with more women than men reporting both a decrease in diet quality (9.4% vs. 4.9%) and an increase in food intake (7.2% vs. 4.5%); however, in our study</w:t>
      </w:r>
      <w:r w:rsidR="008D6C3D">
        <w:t xml:space="preserve"> this difference was not statistically significant.</w:t>
      </w:r>
      <w:r w:rsidR="000B6CCA">
        <w:t xml:space="preserve"> </w:t>
      </w:r>
      <w:r w:rsidR="008D6C3D">
        <w:t xml:space="preserve">Quarantine due to the COVID-19 pandemic had a negative impact on physical and mental health as well as on lifestyle in older adults from five Central American countries; a greater effect was reported on having a balanced diet, frequency of falls, and functional ability amongst others </w:t>
      </w:r>
      <w:r w:rsidR="008D6C3D">
        <w:fldChar w:fldCharType="begin" w:fldLock="1"/>
      </w:r>
      <w:r w:rsidR="00CB48DA">
        <w:instrText>ADDIN CSL_CITATION {"citationItems":[{"id":"ITEM-1","itemData":{"DOI":"10.1371/JOURNAL.PONE.0264087","ISSN":"19326203","PMID":"35544521","abstract":"Background The impact of quarantine in older adults have been reported in several studies with contradictory results, reporting from negative effects to no significant outcomes or even beneficial consequences. Heterogeneity in aging plays a role in each region, the aim of this study is to analyze the impact of quarantine on health conditions (physical and mental) and lifestyle in older adults in five Centro American countries during COVID-19 pandemic. Method In this cross-sectional study, n = 712 older adults 60 years and older from Mexico, Guatemala, El Salvador, Honduras and Costa Rica were assessed by telephone. Sociodemographic data, physical and mental health, lifestyle and quarantine conditions were asked previous informed consent. Results In general, mean of days in quarantine at the moment of the study was 142 days (approximately four months and three weeks). In the analysis of the impact of the days in quarantine effects were found on the frequency of falls, functional ability in Activities of Daily Living (ADL), general cognitive function, memory, orientation, language, frequency of drinking alcohol, having a balanced diet, and being active cognitively. Some differences were found between countries. Conclusions Effects of quarantine on older adults in Centro America, requires attention of governments and healthcare to prevent long term morbidity and disability, and to promote healthy aging.","author":[{"dropping-particle":"","family":"Mendoza-Ruvalcaba","given":"Neyda Ma","non-dropping-particle":"","parse-names":false,"suffix":""},{"dropping-particle":"","family":"Gutiérrez-Herrera","given":"Raúl","non-dropping-particle":"","parse-names":false,"suffix":""},{"dropping-particle":"","family":"López","given":"Cecilia","non-dropping-particle":"","parse-names":false,"suffix":""},{"dropping-particle":"","family":"Hesse","given":"Heike","non-dropping-particle":"","parse-names":false,"suffix":""},{"dropping-particle":"","family":"Soto-Añari","given":"Marcio","non-dropping-particle":"","parse-names":false,"suffix":""},{"dropping-particle":"","family":"Ramos-Henderson","given":"Miguel","non-dropping-particle":"","parse-names":false,"suffix":""},{"dropping-particle":"","family":"Cárdenas-Valverde","given":"Juan Carlos","non-dropping-particle":"","parse-names":false,"suffix":""},{"dropping-particle":"","family":"Camargo","given":"Loida","non-dropping-particle":"","parse-names":false,"suffix":""},{"dropping-particle":"","family":"Caldichoury","given":"Nicole","non-dropping-particle":"","parse-names":false,"suffix":""},{"dropping-particle":"","family":"Herrera-Pino","given":"Jorge","non-dropping-particle":"","parse-names":false,"suffix":""},{"dropping-particle":"","family":"Calizaya-López","given":"José","non-dropping-particle":"","parse-names":false,"suffix":""},{"dropping-particle":"","family":"Castellanos","given":"Cesar","non-dropping-particle":"","parse-names":false,"suffix":""},{"dropping-particle":"","family":"García","given":"Claudia","non-dropping-particle":"","parse-names":false,"suffix":""},{"dropping-particle":"","family":"Porto","given":"María F.","non-dropping-particle":"","parse-names":false,"suffix":""},{"dropping-particle":"","family":"López","given":"Norman","non-dropping-particle":"","parse-names":false,"suffix":""}],"container-title":"PLoS ONE","id":"ITEM-1","issue":"5","issued":{"date-parts":[["2022","5","1"]]},"publisher":"Public Library of Science","title":"Impact of quarantine due to COVID-19 pandemic on health and lifestyle conditions in older adults from Centro American countries","type":"article-journal","volume":"17"},"uris":["http://www.mendeley.com/documents/?uuid=745b82d6-dc3f-33d6-af34-5d2c169be769"]}],"mendeley":{"formattedCitation":"(25)","plainTextFormattedCitation":"(25)","previouslyFormattedCitation":"(25)"},"properties":{"noteIndex":0},"schema":"https://github.com/citation-style-language/schema/raw/master/csl-citation.json"}</w:instrText>
      </w:r>
      <w:r w:rsidR="008D6C3D">
        <w:fldChar w:fldCharType="separate"/>
      </w:r>
      <w:r w:rsidR="00CB48DA" w:rsidRPr="00CB48DA">
        <w:rPr>
          <w:noProof/>
        </w:rPr>
        <w:t>(25)</w:t>
      </w:r>
      <w:r w:rsidR="008D6C3D">
        <w:fldChar w:fldCharType="end"/>
      </w:r>
      <w:r w:rsidR="008D6C3D">
        <w:t xml:space="preserve">. Luo et al, also report that older individuals were more likely to change dietary habits during the pandemic </w:t>
      </w:r>
      <w:r w:rsidR="008D6C3D">
        <w:fldChar w:fldCharType="begin" w:fldLock="1"/>
      </w:r>
      <w:r w:rsidR="00CB48DA">
        <w:instrText>ADDIN CSL_CITATION {"citationItems":[{"id":"ITEM-1","itemData":{"DOI":"10.1017/S1368980020002797","ISSN":"1368-9800","PMID":"32669149","abstract":"Objective:To investigate the knowledge, attitudes and practices (K-A-P) about food safety and nutrition in Chinese adults who were recruited to the online survey during the epidemic of corona virus disease 2019 (COVID-19).Design:Participants were recruited by an online snowball sampling method. An electronic questionnaire was sent to our colleagues, students, friends, other professionals and their referrals helped us recruit more participants. The questionnaire included socio-demographic information, the attention paid to COVID-19, K-A-P about food safety and nutrition. Multiple and logistic regression analyses were used to explore related factors of K-A-P.Subjects:Totally, 2272 participants aged 24·09 ± 9·14 years, from twenty-seven provinces, autonomous districts or municipalities, with 18·3 % male and 83·4 % with a medical background.Results:The total possible knowledge score was 8·0, the average score was 5·2 ± 1·6 and 4·2 % obtained 8·0. The total possible attitudes score was 8·0, the average score was 6·5 ± 1·4 and 36·1 % obtained 8·0. The total possible food safety practices score was 5·0, the average score was 3·7 ± 1·0 and 20·7 % obtained 5·0. During this public emergency, 79·4 % participants changed diet habits, including increasing vegetables, fruit and water intake and reducing sugary drinks and snacks. Gender, age, educational and professional background, disease history, the attention paid to COVID-19 and related knowledge were associated with K-A-P.Conclusion:There was room for the improvement of K-A-P in participants during this public health emergency and further strengthening education about food safety and nutrition is needed. Findings indicate that education should address biased or misleading information and promote nutritious food choices and safe food practices.","author":[{"dropping-particle":"","family":"Luo","given":"Yingyi","non-dropping-particle":"","parse-names":false,"suffix":""},{"dropping-particle":"","family":"Chen","given":"Linjun","non-dropping-particle":"","parse-names":false,"suffix":""},{"dropping-particle":"","family":"Xu","given":"Fei","non-dropping-particle":"","parse-names":false,"suffix":""},{"dropping-particle":"","family":"Gao","given":"Xiaoxia","non-dropping-particle":"","parse-names":false,"suffix":""},{"dropping-particle":"","family":"Han","given":"Dan","non-dropping-particle":"","parse-names":false,"suffix":""},{"dropping-particle":"","family":"Na","given":"Lixin","non-dropping-particle":"","parse-names":false,"suffix":""}],"container-title":"Public Health Nutrition","id":"ITEM-1","issue":"2","issued":{"date-parts":[["2021","2","1"]]},"page":"267-274","publisher":"Cambridge University Press","title":"Investigation on knowledge, attitudes and practices about food safety and nutrition in the China during the epidemic of corona virus disease 2019","type":"article-journal","volume":"24"},"uris":["http://www.mendeley.com/documents/?uuid=4b244331-cc97-30c5-8ad4-d464c3a9a232"]}],"mendeley":{"formattedCitation":"(26)","plainTextFormattedCitation":"(26)","previouslyFormattedCitation":"(26)"},"properties":{"noteIndex":0},"schema":"https://github.com/citation-style-language/schema/raw/master/csl-citation.json"}</w:instrText>
      </w:r>
      <w:r w:rsidR="008D6C3D">
        <w:fldChar w:fldCharType="separate"/>
      </w:r>
      <w:r w:rsidR="00CB48DA" w:rsidRPr="00CB48DA">
        <w:rPr>
          <w:noProof/>
        </w:rPr>
        <w:t>(26)</w:t>
      </w:r>
      <w:r w:rsidR="008D6C3D">
        <w:fldChar w:fldCharType="end"/>
      </w:r>
      <w:r w:rsidR="008D6C3D">
        <w:t>.</w:t>
      </w:r>
    </w:p>
    <w:p w14:paraId="6BD5F856" w14:textId="38E8A9A2" w:rsidR="000B6CCA" w:rsidRDefault="008D6C3D" w:rsidP="008D6C3D">
      <w:r>
        <w:t>Differences in socioeconomic status and food availability</w:t>
      </w:r>
      <w:r w:rsidR="001C63C2">
        <w:t xml:space="preserve">, especially during the early phases of the pandemic, </w:t>
      </w:r>
      <w:r w:rsidR="005B1EEA">
        <w:t>may account for some of the differences observed between studies. E</w:t>
      </w:r>
      <w:r w:rsidR="001C63C2" w:rsidRPr="001C63C2">
        <w:t xml:space="preserve">nergy-dense foods </w:t>
      </w:r>
      <w:r w:rsidR="005B1EEA">
        <w:t xml:space="preserve">with high </w:t>
      </w:r>
      <w:r w:rsidR="001C63C2" w:rsidRPr="001C63C2">
        <w:t>sugar and fat</w:t>
      </w:r>
      <w:r w:rsidR="005B1EEA">
        <w:t xml:space="preserve"> may be cheaper and more palatable</w:t>
      </w:r>
      <w:r w:rsidR="001C63C2">
        <w:t>,</w:t>
      </w:r>
      <w:r>
        <w:t xml:space="preserve"> </w:t>
      </w:r>
      <w:r w:rsidR="005B1EEA">
        <w:t>with access different in different groups of adults in different countries</w:t>
      </w:r>
      <w:r w:rsidR="00864CAF">
        <w:t xml:space="preserve"> </w:t>
      </w:r>
      <w:r w:rsidR="00864CAF">
        <w:fldChar w:fldCharType="begin" w:fldLock="1"/>
      </w:r>
      <w:r w:rsidR="00CB48DA">
        <w:instrText>ADDIN CSL_CITATION {"citationItems":[{"id":"ITEM-1","itemData":{"DOI":"10.1093/NUTRIT/NUV027","ISSN":"0029-6643","PMID":"26307238","abstract":"Context: It is well established in the literature that healthier diets cost more than unhealthy diets. Objective: The aim of this review was to examine the contribution of food prices and diet cost to socioeconomic inequalities in diet quality. Data Sources: A systematic literature search of the PubMed, Google Scholar, and Web of Science databases was performed. Study Selection: Publications linking food prices, dietary quality, and socioeconomic status were selected. Data Extraction: Where possible, review conclusions were illustrated using a French national database of commonly consumed foods and their mean retail prices. Data Synthesis: Foods of lower nutritional value and lower-quality diets generally cost less per calorie and tended to be selected by groups of lower socioeconomic status. A number of nutrient-dense foods were available at low cost but were not always palatable or culturally acceptable to the low-income consumer. Acceptable healthier diets were uniformly associated with higher costs. Food budgets in poverty were insufficient to ensure optimum diets. Conclusions: Socioeconomic disparities in diet quality may be explained by the higher cost of healthy diets. Identifying food patterns that are nutrient rich, affordable, and appealing should be a priority to fight social inequalities in nutrition and health.","author":[{"dropping-particle":"","family":"Darmon","given":"Nicole","non-dropping-particle":"","parse-names":false,"suffix":""},{"dropping-particle":"","family":"Drewnowski","given":"Adam","non-dropping-particle":"","parse-names":false,"suffix":""}],"container-title":"Nutrition Reviews","id":"ITEM-1","issue":"10","issued":{"date-parts":[["2015","10","1"]]},"page":"643-660","publisher":"Oxford Academic","title":"Contribution of food prices and diet cost to socioeconomic disparities in diet quality and health: a systematic review and analysis","type":"article-journal","volume":"73"},"uris":["http://www.mendeley.com/documents/?uuid=2bfa26be-bcc9-3368-9d14-b98ee9cfa5a0"]}],"mendeley":{"formattedCitation":"(27)","plainTextFormattedCitation":"(27)","previouslyFormattedCitation":"(27)"},"properties":{"noteIndex":0},"schema":"https://github.com/citation-style-language/schema/raw/master/csl-citation.json"}</w:instrText>
      </w:r>
      <w:r w:rsidR="00864CAF">
        <w:fldChar w:fldCharType="separate"/>
      </w:r>
      <w:r w:rsidR="00CB48DA" w:rsidRPr="00CB48DA">
        <w:rPr>
          <w:noProof/>
        </w:rPr>
        <w:t>(27)</w:t>
      </w:r>
      <w:r w:rsidR="00864CAF">
        <w:fldChar w:fldCharType="end"/>
      </w:r>
      <w:r>
        <w:t>.</w:t>
      </w:r>
      <w:r w:rsidRPr="008D6C3D">
        <w:rPr>
          <w:sz w:val="22"/>
        </w:rPr>
        <w:t xml:space="preserve"> </w:t>
      </w:r>
      <w:r w:rsidRPr="008D6C3D">
        <w:t xml:space="preserve">Lower educational attainment was associated with an increased risk of being in a worse category for </w:t>
      </w:r>
      <w:r w:rsidR="00180C8B">
        <w:t xml:space="preserve">change in </w:t>
      </w:r>
      <w:r w:rsidRPr="008D6C3D">
        <w:t>diet quality in our cohort. Participants with higher adherence to a Mediterranean diet during the COVID</w:t>
      </w:r>
      <w:r w:rsidR="005B1EEA">
        <w:t>-</w:t>
      </w:r>
      <w:r w:rsidRPr="008D6C3D">
        <w:t>19 pandemic were more likely to have a higher education level in a study in Spai</w:t>
      </w:r>
      <w:r>
        <w:t xml:space="preserve">n; </w:t>
      </w:r>
      <w:r w:rsidRPr="008D6C3D">
        <w:t xml:space="preserve">education level was related to </w:t>
      </w:r>
      <w:r w:rsidR="005B1EEA">
        <w:t>following a</w:t>
      </w:r>
      <w:r>
        <w:t xml:space="preserve"> Mediterranean diet </w:t>
      </w:r>
      <w:r w:rsidR="00DD3BA3">
        <w:t>while advised to stay at home during early pandemic</w:t>
      </w:r>
      <w:r>
        <w:t xml:space="preserve"> restrictions</w:t>
      </w:r>
      <w:r w:rsidRPr="008D6C3D">
        <w:t xml:space="preserve"> </w:t>
      </w:r>
      <w:r>
        <w:fldChar w:fldCharType="begin" w:fldLock="1"/>
      </w:r>
      <w:r w:rsidR="00CB48DA">
        <w:instrText>ADDIN CSL_CITATION {"citationItems":[{"id":"ITEM-1","itemData":{"DOI":"10.3390/nu12061730","ISSN":"20726643","PMID":"32531892","abstract":"The aim of this study was to evaluate whether dietary behaviours of the Spanish adult population were changed during the COVID-19 outbreak confinement. For that purpose, an online questionnaire, based on 44 items including socio-demographic data, Mediterranean diet (MedDiet) Adherence Screener (MEDAS) as a reference of a healthy diet, processed foods intake, changes in their usual food choices and weight gain was distributed using social media and snowball sampling. A total of 7514 participants (37% aged below 35 years, 70.6% female, 77.9% university-level education or higher) from all the Spanish territory completed the questionnaire. Results outlined healthier dietary behaviours during the confinement when compared to previous habits. Overall, the MEDAS score (ranging from 0 to 14, whereby higher a scoring reflects greater adherence to the MedDiet) increased significantly from 6.53 ± 2 to 7.34 ± 1.93 during the confinement. Multivariate logistic regression models, adjusted for age, gender, region and other variables, showed a statistically significant higher likelihood of changing the adherence to the MedDiet (towards an increase in adherence) in those persons who decreased the intake of fried foods, snacks, fast foods, red meat, pastries or sweet beverages, but increased MedDiet-related foods such as olive oil, vegetables, fruits or legumes during the confinement. COVID-19 confinement in Spain has led to the adoption of healthier dietary habits/behaviours in the studied population, as reflected by a higher adherence to the MedDiet. This improvement, if sustained in the long-term, could have a positive impact on the prevention of chronic diseases and COVID-19-related complications.","author":[{"dropping-particle":"","family":"Rodríguez-Pérez","given":"Celia","non-dropping-particle":"","parse-names":false,"suffix":""},{"dropping-particle":"","family":"Molina-Montes","given":"Esther","non-dropping-particle":"","parse-names":false,"suffix":""},{"dropping-particle":"","family":"Verardo","given":"Vito","non-dropping-particle":"","parse-names":false,"suffix":""},{"dropping-particle":"","family":"Artacho","given":"Reyes","non-dropping-particle":"","parse-names":false,"suffix":""},{"dropping-particle":"","family":"García-Villanova","given":"Belén","non-dropping-particle":"","parse-names":false,"suffix":""},{"dropping-particle":"","family":"Guerra-Hernández","given":"Eduardo Jesús","non-dropping-particle":"","parse-names":false,"suffix":""},{"dropping-particle":"","family":"Ruíz-López","given":"María Dolores","non-dropping-particle":"","parse-names":false,"suffix":""}],"container-title":"Nutrients","id":"ITEM-1","issue":"6","issued":{"date-parts":[["2020"]]},"page":"1-19","title":"Changes in dietary behaviours during the COVID-19 outbreak confinement in the Spanish COVIDiet study","type":"article-journal","volume":"12"},"uris":["http://www.mendeley.com/documents/?uuid=cbde0d6b-ff8e-40b1-a2cf-0bcc5367413f"]}],"mendeley":{"formattedCitation":"(28)","plainTextFormattedCitation":"(28)","previouslyFormattedCitation":"(28)"},"properties":{"noteIndex":0},"schema":"https://github.com/citation-style-language/schema/raw/master/csl-citation.json"}</w:instrText>
      </w:r>
      <w:r>
        <w:fldChar w:fldCharType="separate"/>
      </w:r>
      <w:r w:rsidR="00CB48DA" w:rsidRPr="00CB48DA">
        <w:rPr>
          <w:noProof/>
        </w:rPr>
        <w:t>(28)</w:t>
      </w:r>
      <w:r>
        <w:fldChar w:fldCharType="end"/>
      </w:r>
      <w:r w:rsidRPr="008D6C3D">
        <w:t>. Higher educational level has been commonly associated with higher socioeconomic status which</w:t>
      </w:r>
      <w:r w:rsidR="00DD3BA3">
        <w:t xml:space="preserve"> is often</w:t>
      </w:r>
      <w:r w:rsidRPr="008D6C3D">
        <w:t xml:space="preserve"> related to better diet </w:t>
      </w:r>
      <w:r w:rsidRPr="00D05E55">
        <w:t xml:space="preserve">quality </w:t>
      </w:r>
      <w:r w:rsidRPr="00D05E55">
        <w:fldChar w:fldCharType="begin" w:fldLock="1"/>
      </w:r>
      <w:r w:rsidR="00CB48DA">
        <w:instrText>ADDIN CSL_CITATION {"citationItems":[{"id":"ITEM-1","itemData":{"DOI":"10.1093/NUTRIT/NUV027","ISSN":"0029-6643","PMID":"26307238","abstract":"Context: It is well established in the literature that healthier diets cost more than unhealthy diets. Objective: The aim of this review was to examine the contribution of food prices and diet cost to socioeconomic inequalities in diet quality. Data Sources: A systematic literature search of the PubMed, Google Scholar, and Web of Science databases was performed. Study Selection: Publications linking food prices, dietary quality, and socioeconomic status were selected. Data Extraction: Where possible, review conclusions were illustrated using a French national database of commonly consumed foods and their mean retail prices. Data Synthesis: Foods of lower nutritional value and lower-quality diets generally cost less per calorie and tended to be selected by groups of lower socioeconomic status. A number of nutrient-dense foods were available at low cost but were not always palatable or culturally acceptable to the low-income consumer. Acceptable healthier diets were uniformly associated with higher costs. Food budgets in poverty were insufficient to ensure optimum diets. Conclusions: Socioeconomic disparities in diet quality may be explained by the higher cost of healthy diets. Identifying food patterns that are nutrient rich, affordable, and appealing should be a priority to fight social inequalities in nutrition and health.","author":[{"dropping-particle":"","family":"Darmon","given":"Nicole","non-dropping-particle":"","parse-names":false,"suffix":""},{"dropping-particle":"","family":"Drewnowski","given":"Adam","non-dropping-particle":"","parse-names":false,"suffix":""}],"container-title":"Nutrition Reviews","id":"ITEM-1","issue":"10","issued":{"date-parts":[["2015","10","1"]]},"page":"643-660","publisher":"Oxford Academic","title":"Contribution of food prices and diet cost to socioeconomic disparities in diet quality and health: a systematic review and analysis","type":"article-journal","volume":"73"},"uris":["http://www.mendeley.com/documents/?uuid=2bfa26be-bcc9-3368-9d14-b98ee9cfa5a0"]}],"mendeley":{"formattedCitation":"(27)","plainTextFormattedCitation":"(27)","previouslyFormattedCitation":"(27)"},"properties":{"noteIndex":0},"schema":"https://github.com/citation-style-language/schema/raw/master/csl-citation.json"}</w:instrText>
      </w:r>
      <w:r w:rsidRPr="00D05E55">
        <w:fldChar w:fldCharType="separate"/>
      </w:r>
      <w:r w:rsidR="00CB48DA" w:rsidRPr="00CB48DA">
        <w:rPr>
          <w:noProof/>
        </w:rPr>
        <w:t>(27)</w:t>
      </w:r>
      <w:r w:rsidRPr="00D05E55">
        <w:fldChar w:fldCharType="end"/>
      </w:r>
      <w:r w:rsidRPr="00D05E55">
        <w:t xml:space="preserve">. </w:t>
      </w:r>
      <w:r w:rsidR="00DD3BA3">
        <w:t>Finally h</w:t>
      </w:r>
      <w:r w:rsidRPr="00D05E55">
        <w:t xml:space="preserve">igher education levels predict an increase in healthier dietary patterns in non-COVID related studies </w:t>
      </w:r>
      <w:r w:rsidRPr="00D05E55">
        <w:fldChar w:fldCharType="begin" w:fldLock="1"/>
      </w:r>
      <w:r w:rsidR="00CB48DA">
        <w:instrText>ADDIN CSL_CITATION {"citationItems":[{"id":"ITEM-1","itemData":{"DOI":"10.1186/S12937-019-0495-6/TABLES/6","ISSN":"14752891","PMID":"31699092","abstract":"Background: Diet is a key risk factor for chronic disease, and an increasing concern among older adults. We aim to examine the changes in dietary patterns using principal component analysis and a diet quality index among older adults and examine the predictors of dietary change over a 4 year period. Methods: Data was obtained via a postal survey in a prospective cohort, the Wellbeing Eating and Exercise for a Long Life (WELL) study. Australian adults aged 55 years and over (n = 1005 men and n = 1106 women) completed a food frequency at three time points and provided self-reported personal characteristics. Principal component analysis was used to assess dietary patterns and diet quality was assessed using the 2013 Revised Dietary Guideline Index. The relationships between predictors and change in dietary patterns were assessed by multiple linear regression. Results: Two dietary patterns were consistently identified in men and women at three time points over 4 years. One was characterised by vegetables, fruit and white meat, and the other was characterised by red and processed meat and processed foods. Reduced consumption of key food groups within the principal component analysis-determined dietary patterns was observed. An increase in diet quality over 4 years was observed in men only. Reported higher education levels and favourable lifestyle characteristics, including not smoking and physical activity, at baseline predicted an increase in healthier dietary patterns over 4 years. Conclusions: There was stability in the main dietary patterns identified over time, however participants reported an overall decrease in the frequency of consumption of key food groups. Compliance with the Australian Dietary Guidelines remained poor and therefore targeting this population in nutritional initiatives is important. Design of nutrition promotion for older adults need to consider those with lower socioeconomic status, as having a lower level of education was a predictor of poorer dietary patterns. It is important to consider how nutrition behaviours can be targeted alongside other lifestyle behaviours, such as smoking and inadequate physical activity to improve health.","author":[{"dropping-particle":"","family":"Thorpe","given":"Maree G.","non-dropping-particle":"","parse-names":false,"suffix":""},{"dropping-particle":"","family":"Milte","given":"Catherine M.","non-dropping-particle":"","parse-names":false,"suffix":""},{"dropping-particle":"","family":"Crawford","given":"David","non-dropping-particle":"","parse-names":false,"suffix":""},{"dropping-particle":"","family":"McNaughton","given":"Sarah A.","non-dropping-particle":"","parse-names":false,"suffix":""}],"container-title":"Nutrition Journal","id":"ITEM-1","issue":"1","issued":{"date-parts":[["2019","11","7"]]},"page":"1-13","publisher":"BioMed Central Ltd.","title":"Education and lifestyle predict change in dietary patterns and diet quality of adults 55 years and over","type":"article-journal","volume":"18"},"uris":["http://www.mendeley.com/documents/?uuid=642a3cc9-da6c-3c2f-bbbb-54676a538164"]}],"mendeley":{"formattedCitation":"(29)","plainTextFormattedCitation":"(29)","previouslyFormattedCitation":"(29)"},"properties":{"noteIndex":0},"schema":"https://github.com/citation-style-language/schema/raw/master/csl-citation.json"}</w:instrText>
      </w:r>
      <w:r w:rsidRPr="00D05E55">
        <w:fldChar w:fldCharType="separate"/>
      </w:r>
      <w:r w:rsidR="00CB48DA" w:rsidRPr="00CB48DA">
        <w:rPr>
          <w:noProof/>
        </w:rPr>
        <w:t>(29)</w:t>
      </w:r>
      <w:r w:rsidRPr="00D05E55">
        <w:fldChar w:fldCharType="end"/>
      </w:r>
      <w:r w:rsidRPr="008D6C3D">
        <w:t xml:space="preserve">. </w:t>
      </w:r>
    </w:p>
    <w:p w14:paraId="1CA8FD8A" w14:textId="423EA2E3" w:rsidR="00B90B4B" w:rsidRDefault="000B6CCA" w:rsidP="00B90B4B">
      <w:r>
        <w:lastRenderedPageBreak/>
        <w:t>While dietary change during the pandemic has been studied by other researchers (29,30), far fewer have considered much older adults.</w:t>
      </w:r>
      <w:r w:rsidR="008D6C3D">
        <w:t xml:space="preserve"> The dietary habits of older people </w:t>
      </w:r>
      <w:r w:rsidR="00AF6C61">
        <w:t xml:space="preserve">living with frailty </w:t>
      </w:r>
      <w:r w:rsidR="00DD3BA3">
        <w:t xml:space="preserve">may have been </w:t>
      </w:r>
      <w:r w:rsidR="008D6C3D">
        <w:t xml:space="preserve">more strongly affected by social isolation during the COVID-19 pandemic than those </w:t>
      </w:r>
      <w:r w:rsidR="00AF6C61">
        <w:t>who were not frail</w:t>
      </w:r>
      <w:r w:rsidR="00DD3BA3">
        <w:t xml:space="preserve"> as reported in one study</w:t>
      </w:r>
      <w:r w:rsidR="00AF6C61">
        <w:t>. In addition,</w:t>
      </w:r>
      <w:r w:rsidR="008D6C3D">
        <w:t xml:space="preserve"> reduced food shopping times during social isolation was significantly higher among frail individuals while frail older adults consumed less high-quality proteins but more protein rich foods and vegetables which might indicate an attempt to improve dietary habits </w:t>
      </w:r>
      <w:r>
        <w:fldChar w:fldCharType="begin" w:fldLock="1"/>
      </w:r>
      <w:r>
        <w:instrText>ADDIN CSL_CITATION {"citationItems":[{"id":"ITEM-1","itemData":{"DOI":"10.14283/JFA.2021.45","ISSN":"22734309","PMID":"35122098","abstract":"Background: The coronavirus disease (COVID-19) pandemic has resulted in reduced physical activity and social interaction. These restrictions may have affected the food intake habits of frail older people more than non-frail older people. Objectives: To investigate the association between frailty and change in dietary habit during the pandemic. Design: Cross-sectional mail survey Setting: Community-based Participants: The study questionnaire was mailed to 4,436 older residents of Higashiura, Aich Japan, who were aged ≥75 years and who did not need care as of April 1, 2020. Of these, 2,738 participants provided complete answers to the questionnaires (75–96 years old, 49.3% males). Measurements: The participants’ frailty status and changes in food consumption during social isolation were assessed. Frailty status was assessed using the five-item frailty screening index (i.e., weight loss, low physical function, low physical activity, cognition, and exhaustion). Any participant who reported an increase or a decrease in ≥1 of the 12 food categories was defined as having change in dietary habit. Using multivariate logistic regression analysis, the odds ratios (ORs) and 95% confidence intervals (CIs) of frailty for changes in diet were estimated by adjusting for age, sex, BMI, and living alone. In each of the 12 food categories, the proportion of participants with increased and decreased food intake was compared between the groups. Results: Among the participants, 470 (17.2%) were frail, and 1,097 (40.1%) experienced a change in dietary habit under social restriction. The adjusted OR (95% CI) of the frail group for a change in dietary habit was 2.01 (1.63–2.47, p&lt;0.001). Participants with decreased consumption of meat, fish, seaweed and mushroom, and fruits and those with increased consumption of eggs, bread, and noodles tended to be frail. Conclusion: The nutritional intervention for frail older people should be strengthened during the pandemic.","author":[{"dropping-particle":"","family":"Kinoshita","given":"K.","non-dropping-particle":"","parse-names":false,"suffix":""},{"dropping-particle":"","family":"Satake","given":"S.","non-dropping-particle":"","parse-names":false,"suffix":""},{"dropping-particle":"","family":"Arai","given":"H.","non-dropping-particle":"","parse-names":false,"suffix":""}],"container-title":"The Journal of Frailty &amp; Aging","id":"ITEM-1","issue":"1","issued":{"date-parts":[["2022","1","1"]]},"page":"109","publisher":"Nature Publishing Group","title":"Impact of Frailty on Dietary Habits among Community-Dwelling Older Persons during the COVID-19 Pandemic in Japan","type":"article-journal","volume":"11"},"uris":["http://www.mendeley.com/documents/?uuid=1dacd7c6-54f7-350e-a023-e365348471a9"]}],"mendeley":{"formattedCitation":"(30)","plainTextFormattedCitation":"(30)","previouslyFormattedCitation":"(30)"},"properties":{"noteIndex":0},"schema":"https://github.com/citation-style-language/schema/raw/master/csl-citation.json"}</w:instrText>
      </w:r>
      <w:r>
        <w:fldChar w:fldCharType="separate"/>
      </w:r>
      <w:r w:rsidR="00CB48DA" w:rsidRPr="55869305">
        <w:rPr>
          <w:noProof/>
        </w:rPr>
        <w:t>(30)</w:t>
      </w:r>
      <w:r>
        <w:fldChar w:fldCharType="end"/>
      </w:r>
      <w:r w:rsidR="008D6C3D">
        <w:t>.</w:t>
      </w:r>
      <w:r w:rsidR="00DD3BA3">
        <w:t xml:space="preserve"> These observations accord with our work where</w:t>
      </w:r>
      <w:r w:rsidR="008D6C3D">
        <w:t xml:space="preserve"> self-reported exhaustion, one of the elements of the Fried Frailty criteria, was associated with an increased risk of being in a worse category for change in diet quality</w:t>
      </w:r>
      <w:r w:rsidR="008D6C3D" w:rsidRPr="55869305">
        <w:rPr>
          <w:rFonts w:ascii="Calibri" w:eastAsia="Calibri" w:hAnsi="Calibri" w:cs="Calibri"/>
        </w:rPr>
        <w:t>.</w:t>
      </w:r>
      <w:r w:rsidR="008D6C3D" w:rsidRPr="55869305">
        <w:rPr>
          <w:rFonts w:ascii="Times" w:eastAsia="Calibri" w:hAnsi="Times" w:cs="Calibri"/>
        </w:rPr>
        <w:t xml:space="preserve"> </w:t>
      </w:r>
      <w:r w:rsidR="00B90B4B">
        <w:t xml:space="preserve">It is of course possible that the deterioration reported by some older adults was unrelated to the COVID-19 pandemic. While this is possible, recent qualitative work in another older UK cohort would suggest that although causality cannot be established, the pandemic has impacted the way older adults access shops </w:t>
      </w:r>
      <w:r w:rsidR="00B90B4B" w:rsidRPr="00B820EE">
        <w:t>(</w:t>
      </w:r>
      <w:r w:rsidR="00745ACB" w:rsidRPr="00B820EE">
        <w:t>31)</w:t>
      </w:r>
      <w:r w:rsidR="00745ACB" w:rsidRPr="00745ACB">
        <w:t>.</w:t>
      </w:r>
    </w:p>
    <w:p w14:paraId="7405C055" w14:textId="1A134AD6" w:rsidR="003569BA" w:rsidRDefault="003569BA" w:rsidP="003569BA"/>
    <w:p w14:paraId="093A29D3" w14:textId="77FBAA84" w:rsidR="003617D8" w:rsidRPr="00CB48DA" w:rsidRDefault="008D6C3D" w:rsidP="00CB48DA">
      <w:pPr>
        <w:rPr>
          <w:color w:val="201F1E"/>
        </w:rPr>
      </w:pPr>
      <w:r w:rsidRPr="00D05E55">
        <w:t xml:space="preserve">This study has some limitations. First, all information was ascertained through self-reported questionnaires. Second, recall bias may have occurred as participants reported changes in lifestyle factors since the UK national lockdown instead of reporting current lifestyle </w:t>
      </w:r>
      <w:proofErr w:type="spellStart"/>
      <w:r w:rsidRPr="00D05E55">
        <w:t>behaviours</w:t>
      </w:r>
      <w:proofErr w:type="spellEnd"/>
      <w:r w:rsidRPr="00D05E55">
        <w:t xml:space="preserve"> at two separate time points before and after the lockdown. Third, investigating the impact of having COVID-19 or experiencing COVID-19 related symptoms on changes in lifestyle factors was not possible as only a </w:t>
      </w:r>
      <w:r w:rsidR="00340F0E">
        <w:t>very small</w:t>
      </w:r>
      <w:r w:rsidRPr="00D05E55">
        <w:t xml:space="preserve"> proportion of participants had a confirmed COVID-19 infection. </w:t>
      </w:r>
      <w:proofErr w:type="gramStart"/>
      <w:r w:rsidR="0B980464" w:rsidRPr="00D05E55">
        <w:t>Furthermore</w:t>
      </w:r>
      <w:proofErr w:type="gramEnd"/>
      <w:r w:rsidR="0B980464" w:rsidRPr="00D05E55">
        <w:t xml:space="preserve"> detailed dietary data were not available. </w:t>
      </w:r>
      <w:r w:rsidR="00CB48DA" w:rsidRPr="55869305">
        <w:rPr>
          <w:color w:val="201F1E"/>
        </w:rPr>
        <w:t xml:space="preserve">In our study, 1993 patients were invited to participate in the study by postal invitation which led to the return of 516 complete questionnaires (26% response rate). However, a previous study which tested the feasibility of setting up a UK sarcopenia registry only achieved a 12% response rate when potential participants aged 65 and over were approached via mailshots from local primary care practices </w:t>
      </w:r>
      <w:r w:rsidRPr="55869305">
        <w:rPr>
          <w:color w:val="201F1E"/>
        </w:rPr>
        <w:fldChar w:fldCharType="begin"/>
      </w:r>
      <w:r w:rsidRPr="55869305">
        <w:rPr>
          <w:color w:val="201F1E"/>
        </w:rPr>
        <w:instrText>ADDIN CSL_CITATION {"citationItems":[{"id":"ITEM-1","itemData":{"DOI":"10.1093/AGEING/AFAB084","ISSN":"0002-0729","PMID":"34038519","abstract":"Background: Sarcopenia registries are a potential method to meet the challenge of recruitment to sarcopenia trials. We tested the feasibility of setting up a UK sarcopenia registry, the feasibility of recruitment methods and sought to characterise the pilot registry population. Methods: Six diverse UK sites took part, with potential participants aged 65 and over approached via mailshots from local primary care practices. Telephone pre-screening using the SARC-F score was followed by in-person screening and baseline visit. Co-morbidities, medications, grip strength, Short Physical Performance Battery, bioimpedance analysis, Geriatric Depression Score, Montreal Cognitive Assessment, Sarcopenia Quality of Life score were performed and permission sought for future recontact. Descriptive statistics for recruitment rates and baseline measures were generated; an embedded randomised trial examined the effect of a University logo on the primary care mailshot on recruitment rates. Results: Sixteen practices contributed a total of 3,508 letters. In total, 428 replies were received (12% response rate); 380 underwent telephone pre-screening of whom 215 (57%) were eligible to attend a screening visit; 150 participants were recruited (40% of those pre-screened) with 147 contributing baseline data. No significant difference was seen in response rates between mailshots with and without the logo (between-group difference 1.1% [95% confidence interval-1.0% to 3.4%], P = 0.31). The mean age of enrollees was 78 years; 72 (49%) were women. In total, 138/147 (94%) had probable sarcopenia on European Working Group on Sarcopenia 2019 criteria and 145/147 (98%) agreed to be recontacted about future studies. Conclusion: Recruitment to a multisite UK sarcopenia registry is feasible, with high levels of consent for recontact.","author":[{"dropping-particle":"","family":"Witham","given":"Miles D.","non-dropping-particle":"","parse-names":false,"suffix":""},{"dropping-particle":"","family":"Heslop","given":"Philip","non-dropping-particle":"","parse-names":false,"suffix":""},{"dropping-particle":"","family":"Dodds","given":"Richard M.","non-dropping-particle":"","parse-names":false,"suffix":""},{"dropping-particle":"","family":"Clegg","given":"Andrew P.","non-dropping-particle":"","parse-names":false,"suffix":""},{"dropping-particle":"V.","family":"Hope","given":"Suzy","non-dropping-particle":"","parse-names":false,"suffix":""},{"dropping-particle":"","family":"Mcdonald","given":"Claire","non-dropping-particle":"","parse-names":false,"suffix":""},{"dropping-particle":"","family":"Smithard","given":"David","non-dropping-particle":"","parse-names":false,"suffix":""},{"dropping-particle":"","family":"Storey","given":"Bryony","non-dropping-particle":"","parse-names":false,"suffix":""},{"dropping-particle":"","family":"Tan","given":"Ai Lyn","non-dropping-particle":"","parse-names":false,"suffix":""},{"dropping-particle":"","family":"Thornhill","given":"Anna","non-dropping-particle":"","parse-names":false,"suffix":""},{"dropping-particle":"","family":"Sayer","given":"Avan A.","non-dropping-particle":"","parse-names":false,"suffix":""}],"container-title":"Age and Ageing","id":"ITEM-1","issue":"5","issued":{"date-parts":[["2021","9","11"]]},"page":"1762-1769","publisher":"Oxford Academic","title":"Developing a UK sarcopenia registry: recruitment and baseline characteristics of the SarcNet pilot","type":"article-journal","volume":"50"},"uris":["http://www.mendeley.com/documents/?uuid=8556de08-0aef-3bcb-84cf-df5c8fee605b"]}],"mendeley":{"formattedCitation":"(31)","plainTextFormattedCitation":"(31)","previouslyFormattedCitation":"(31)"},"properties":{"noteIndex":0},"schema":"https://github.com/citation-style-language/schema/raw/master/csl-citation.json"}</w:instrText>
      </w:r>
      <w:r w:rsidRPr="55869305">
        <w:rPr>
          <w:color w:val="201F1E"/>
        </w:rPr>
        <w:fldChar w:fldCharType="separate"/>
      </w:r>
      <w:r w:rsidR="00CB48DA" w:rsidRPr="55869305">
        <w:rPr>
          <w:noProof/>
          <w:color w:val="201F1E"/>
        </w:rPr>
        <w:t>(3</w:t>
      </w:r>
      <w:r w:rsidR="00745ACB">
        <w:rPr>
          <w:noProof/>
          <w:color w:val="201F1E"/>
        </w:rPr>
        <w:t>2</w:t>
      </w:r>
      <w:r w:rsidR="00CB48DA" w:rsidRPr="55869305">
        <w:rPr>
          <w:noProof/>
          <w:color w:val="201F1E"/>
        </w:rPr>
        <w:t>)</w:t>
      </w:r>
      <w:r w:rsidRPr="55869305">
        <w:rPr>
          <w:color w:val="201F1E"/>
        </w:rPr>
        <w:fldChar w:fldCharType="end"/>
      </w:r>
      <w:r w:rsidR="00CB48DA" w:rsidRPr="55869305">
        <w:rPr>
          <w:color w:val="201F1E"/>
        </w:rPr>
        <w:t xml:space="preserve">. This suggests that our response rate was not unusually low, given that we were contacting participants from the general population. </w:t>
      </w:r>
      <w:r w:rsidR="526EE134" w:rsidRPr="55869305">
        <w:rPr>
          <w:color w:val="201F1E"/>
        </w:rPr>
        <w:t>Fourth, participants completed questionnaires from July 2021 until April 2022</w:t>
      </w:r>
      <w:r w:rsidR="3B4CE878" w:rsidRPr="55869305">
        <w:rPr>
          <w:color w:val="201F1E"/>
        </w:rPr>
        <w:t xml:space="preserve">; the Covid-19 UK Government guidelines and restrictions changed during this time so the reference point for comparing their lifestyles from before the </w:t>
      </w:r>
      <w:r w:rsidR="7E87D7ED" w:rsidRPr="55869305">
        <w:rPr>
          <w:color w:val="201F1E"/>
        </w:rPr>
        <w:t>first UK down would have differed between participants.</w:t>
      </w:r>
      <w:r w:rsidR="526EE134" w:rsidRPr="55869305">
        <w:rPr>
          <w:color w:val="201F1E"/>
        </w:rPr>
        <w:t xml:space="preserve"> </w:t>
      </w:r>
      <w:r w:rsidR="365DAFB8" w:rsidRPr="55869305">
        <w:rPr>
          <w:color w:val="201F1E"/>
        </w:rPr>
        <w:t xml:space="preserve">Fifth, the </w:t>
      </w:r>
      <w:proofErr w:type="gramStart"/>
      <w:r w:rsidR="365DAFB8" w:rsidRPr="55869305">
        <w:rPr>
          <w:color w:val="201F1E"/>
        </w:rPr>
        <w:t>fairly small</w:t>
      </w:r>
      <w:proofErr w:type="gramEnd"/>
      <w:r w:rsidR="365DAFB8" w:rsidRPr="55869305">
        <w:rPr>
          <w:color w:val="201F1E"/>
        </w:rPr>
        <w:t xml:space="preserve"> sample size used for analysis may have limited the power to detect statistically significant differences in declines in diet quality according to the various participant characteristics considered</w:t>
      </w:r>
      <w:r w:rsidR="63D869E7" w:rsidRPr="55869305">
        <w:rPr>
          <w:color w:val="201F1E"/>
        </w:rPr>
        <w:t xml:space="preserve">. </w:t>
      </w:r>
      <w:r w:rsidRPr="00CB48DA">
        <w:t>Finally, as in all cohort studies, participants who consented to be included are likely to have been healthier than those who refused</w:t>
      </w:r>
      <w:r w:rsidR="115CB486">
        <w:t xml:space="preserve"> which may have limited the </w:t>
      </w:r>
      <w:proofErr w:type="spellStart"/>
      <w:r w:rsidR="115CB486">
        <w:t>generalisability</w:t>
      </w:r>
      <w:proofErr w:type="spellEnd"/>
      <w:r w:rsidR="115CB486">
        <w:t xml:space="preserve"> of findings</w:t>
      </w:r>
      <w:r w:rsidRPr="00CB48DA">
        <w:t xml:space="preserve">. </w:t>
      </w:r>
      <w:r w:rsidR="6AD36263">
        <w:t xml:space="preserve">This is supported by the fact that 87.7% of participants lived in their own property and 53.4% were in a current relationship. </w:t>
      </w:r>
      <w:r w:rsidRPr="00CB48DA">
        <w:t>However, as our analyses were internal, substantial bias should only have been introduced if the associations examined differed markedly between those who participated in the study and those who did not; this seems unlikely.</w:t>
      </w:r>
      <w:r w:rsidR="003569BA" w:rsidRPr="00CB48DA">
        <w:t xml:space="preserve"> </w:t>
      </w:r>
      <w:r w:rsidR="00CB48DA">
        <w:t>To confirm this, we assessed demographic characteristics of our populations against national survey data for England</w:t>
      </w:r>
      <w:r w:rsidR="00990062" w:rsidRPr="00990062">
        <w:rPr>
          <w:color w:val="FF0000"/>
        </w:rPr>
        <w:t xml:space="preserve"> (accessed at https://digital.nhs.uk/data-and-information/publications/statistical/health-survey-for-england)</w:t>
      </w:r>
      <w:r w:rsidR="00CB48DA" w:rsidRPr="55869305">
        <w:rPr>
          <w:color w:val="FF0000"/>
        </w:rPr>
        <w:t xml:space="preserve">; </w:t>
      </w:r>
      <w:r w:rsidR="00CB48DA">
        <w:t>p</w:t>
      </w:r>
      <w:r w:rsidR="00CB48DA" w:rsidRPr="55869305">
        <w:rPr>
          <w:color w:val="201F1E"/>
        </w:rPr>
        <w:t>revalence of current smoking in our analysis sample (men 3%, women 2%) was slightly lower than reported among participants aged 75 years and older from the nationally representative 2019 Health Survey for England</w:t>
      </w:r>
      <w:r w:rsidR="00990062" w:rsidRPr="00CB48DA">
        <w:rPr>
          <w:color w:val="201F1E"/>
          <w:bdr w:val="none" w:sz="0" w:space="0" w:color="auto" w:frame="1"/>
        </w:rPr>
        <w:t xml:space="preserve"> </w:t>
      </w:r>
      <w:r w:rsidR="00CB48DA" w:rsidRPr="55869305">
        <w:rPr>
          <w:color w:val="201F1E"/>
        </w:rPr>
        <w:t xml:space="preserve">(men 6%, women 6%). However, these are </w:t>
      </w:r>
      <w:proofErr w:type="gramStart"/>
      <w:r w:rsidR="00CB48DA" w:rsidRPr="55869305">
        <w:rPr>
          <w:color w:val="201F1E"/>
        </w:rPr>
        <w:t>fairly similar</w:t>
      </w:r>
      <w:proofErr w:type="gramEnd"/>
      <w:r w:rsidR="00CB48DA" w:rsidRPr="55869305">
        <w:rPr>
          <w:color w:val="201F1E"/>
        </w:rPr>
        <w:t xml:space="preserve">, given the variability expected from the reasonably small </w:t>
      </w:r>
      <w:proofErr w:type="spellStart"/>
      <w:r w:rsidR="00CB48DA" w:rsidRPr="55869305">
        <w:rPr>
          <w:color w:val="201F1E"/>
        </w:rPr>
        <w:t>SaLSA</w:t>
      </w:r>
      <w:proofErr w:type="spellEnd"/>
      <w:r w:rsidR="00CB48DA" w:rsidRPr="55869305">
        <w:rPr>
          <w:color w:val="201F1E"/>
        </w:rPr>
        <w:t xml:space="preserve"> sample and also the Health Survey for England which reported a 3% current smoking prevalence among men aged 75 years and older in 2018. However, mean BMI in our analysis sample (men 26.0, women 26.4) was slightly lower than reported among participants aged 75 years and older from the 2019 Health Survey for </w:t>
      </w:r>
      <w:proofErr w:type="gramStart"/>
      <w:r w:rsidR="00CB48DA" w:rsidRPr="55869305">
        <w:rPr>
          <w:color w:val="201F1E"/>
        </w:rPr>
        <w:t>England  (</w:t>
      </w:r>
      <w:proofErr w:type="gramEnd"/>
      <w:r w:rsidR="00CB48DA" w:rsidRPr="55869305">
        <w:rPr>
          <w:color w:val="201F1E"/>
        </w:rPr>
        <w:t>men 27.6, women 27.7), suggesting that our cohort may indeed be slightly healthier than national averages.</w:t>
      </w:r>
      <w:r w:rsidR="487521CC" w:rsidRPr="55869305">
        <w:rPr>
          <w:color w:val="201F1E"/>
        </w:rPr>
        <w:t xml:space="preserve"> Finally, </w:t>
      </w:r>
      <w:r w:rsidR="487521CC" w:rsidRPr="55869305">
        <w:rPr>
          <w:color w:val="201F1E"/>
        </w:rPr>
        <w:lastRenderedPageBreak/>
        <w:t>although all data collected were obtained through self-administered questionnaires, we used validated tools wherever possible.</w:t>
      </w:r>
    </w:p>
    <w:p w14:paraId="1313D78B" w14:textId="7497BF40" w:rsidR="00180C8B" w:rsidRPr="00180C8B" w:rsidRDefault="00180C8B" w:rsidP="00180C8B">
      <w:pPr>
        <w:pStyle w:val="Heading1"/>
        <w:rPr>
          <w:lang w:val="en-GB" w:eastAsia="en-GB"/>
        </w:rPr>
      </w:pPr>
      <w:r>
        <w:rPr>
          <w:lang w:val="en-GB" w:eastAsia="en-GB"/>
        </w:rPr>
        <w:t>Conclusion</w:t>
      </w:r>
    </w:p>
    <w:p w14:paraId="747FDF37" w14:textId="75AF3043" w:rsidR="00340F0E" w:rsidRPr="00E46A1C" w:rsidRDefault="00340F0E" w:rsidP="55869305">
      <w:pPr>
        <w:pStyle w:val="Heading1"/>
        <w:numPr>
          <w:ilvl w:val="0"/>
          <w:numId w:val="0"/>
        </w:numPr>
        <w:rPr>
          <w:b w:val="0"/>
        </w:rPr>
      </w:pPr>
      <w:r>
        <w:rPr>
          <w:b w:val="0"/>
        </w:rPr>
        <w:t xml:space="preserve">Older individuals are a particularly vulnerable population </w:t>
      </w:r>
      <w:r w:rsidR="00E46A1C">
        <w:rPr>
          <w:b w:val="0"/>
        </w:rPr>
        <w:t>for COVID-19 infection</w:t>
      </w:r>
      <w:r w:rsidR="000B6CCA">
        <w:rPr>
          <w:b w:val="0"/>
        </w:rPr>
        <w:t xml:space="preserve"> </w:t>
      </w:r>
      <w:r w:rsidR="00E46A1C">
        <w:rPr>
          <w:b w:val="0"/>
        </w:rPr>
        <w:t xml:space="preserve">and </w:t>
      </w:r>
      <w:r w:rsidR="00E46A1C" w:rsidRPr="55869305">
        <w:rPr>
          <w:rFonts w:eastAsia="Calibri"/>
          <w:b w:val="0"/>
          <w:color w:val="212121"/>
        </w:rPr>
        <w:t>were commonly advised to shield to reduce exposure to the virus, which may have impacted access to usual food choices. We have found that g</w:t>
      </w:r>
      <w:r w:rsidR="00864CAF">
        <w:rPr>
          <w:b w:val="0"/>
        </w:rPr>
        <w:t xml:space="preserve">reater nutritional risk </w:t>
      </w:r>
      <w:proofErr w:type="gramStart"/>
      <w:r w:rsidR="00864CAF">
        <w:rPr>
          <w:b w:val="0"/>
        </w:rPr>
        <w:t>were</w:t>
      </w:r>
      <w:proofErr w:type="gramEnd"/>
      <w:r w:rsidR="00864CAF">
        <w:rPr>
          <w:b w:val="0"/>
        </w:rPr>
        <w:t xml:space="preserve"> associated with being in a worse category for change in diet </w:t>
      </w:r>
      <w:r w:rsidR="00E46A1C">
        <w:rPr>
          <w:b w:val="0"/>
        </w:rPr>
        <w:t>quality, highlighting the need to consider this when providing support for shopping and nutritional guidance to older adults in any future pandemics</w:t>
      </w:r>
      <w:r w:rsidR="04263EB4">
        <w:rPr>
          <w:b w:val="0"/>
        </w:rPr>
        <w:t xml:space="preserve"> and should be considered when evaluating older adults as we emerge from the current pandemic.</w:t>
      </w:r>
    </w:p>
    <w:p w14:paraId="6473E720" w14:textId="77777777" w:rsidR="00CB48DA" w:rsidRDefault="00CB48DA">
      <w:pPr>
        <w:spacing w:before="0" w:after="200" w:line="276" w:lineRule="auto"/>
        <w:sectPr w:rsidR="00CB48DA" w:rsidSect="00D537FA">
          <w:headerReference w:type="even" r:id="rId12"/>
          <w:headerReference w:type="default" r:id="rId13"/>
          <w:footerReference w:type="even" r:id="rId14"/>
          <w:footerReference w:type="default" r:id="rId15"/>
          <w:headerReference w:type="first" r:id="rId16"/>
          <w:pgSz w:w="12240" w:h="15840"/>
          <w:pgMar w:top="1138" w:right="1181" w:bottom="1138" w:left="1282" w:header="283" w:footer="510" w:gutter="0"/>
          <w:lnNumType w:countBy="1" w:restart="continuous"/>
          <w:cols w:space="720"/>
          <w:titlePg/>
          <w:docGrid w:linePitch="360"/>
        </w:sectPr>
      </w:pPr>
    </w:p>
    <w:p w14:paraId="4D7649F0" w14:textId="032DD268" w:rsidR="00CB43D5" w:rsidRPr="00C21B75" w:rsidRDefault="00CB43D5" w:rsidP="00CB43D5">
      <w:pPr>
        <w:pStyle w:val="Heading1"/>
      </w:pPr>
      <w:r w:rsidRPr="00C21B75">
        <w:lastRenderedPageBreak/>
        <w:t>Conflict of Interest</w:t>
      </w:r>
    </w:p>
    <w:p w14:paraId="1FABD77D" w14:textId="0DDCD22E" w:rsidR="003617D8" w:rsidRPr="003617D8" w:rsidRDefault="003617D8" w:rsidP="003617D8">
      <w:pPr>
        <w:rPr>
          <w:highlight w:val="yellow"/>
        </w:rPr>
      </w:pPr>
      <w:r w:rsidRPr="00706C03">
        <w:t xml:space="preserve">ED has received honoraria and speaker fees from Pfizer, Lilly, UCB and </w:t>
      </w:r>
      <w:proofErr w:type="spellStart"/>
      <w:r w:rsidRPr="00706C03">
        <w:t>Viatris</w:t>
      </w:r>
      <w:proofErr w:type="spellEnd"/>
      <w:r w:rsidR="0048426D" w:rsidRPr="00706C03">
        <w:t>.</w:t>
      </w:r>
      <w:r w:rsidR="0048426D" w:rsidRPr="0048426D">
        <w:t xml:space="preserve"> CC reports personal fees (outside the submitted work) from Amgen, Danone, Eli Lilly, GSK, Kyowa Kirin, Medtronic, Merck, Nestle, Novartis, Pfizer, Roche, </w:t>
      </w:r>
      <w:proofErr w:type="spellStart"/>
      <w:r w:rsidR="0048426D" w:rsidRPr="0048426D">
        <w:t>Servier</w:t>
      </w:r>
      <w:proofErr w:type="spellEnd"/>
      <w:r w:rsidR="0048426D" w:rsidRPr="0048426D">
        <w:t>, Shire, Takeda and UCB.</w:t>
      </w:r>
      <w:r w:rsidR="00C749E7">
        <w:t xml:space="preserve">  </w:t>
      </w:r>
      <w:r w:rsidR="00C749E7" w:rsidRPr="00115FC4">
        <w:t>HPP has received lecture fees from Abbott, Pfizer, and HC-UK conferences outside of the submitted work</w:t>
      </w:r>
    </w:p>
    <w:p w14:paraId="0D6553A8" w14:textId="2B906622" w:rsidR="00045678" w:rsidRPr="00706C03" w:rsidRDefault="00045678" w:rsidP="00045678">
      <w:pPr>
        <w:pStyle w:val="Heading1"/>
      </w:pPr>
      <w:r w:rsidRPr="00706C03">
        <w:t>Author Contributions</w:t>
      </w:r>
    </w:p>
    <w:p w14:paraId="5DAAE61D" w14:textId="57F480FA" w:rsidR="0048426D" w:rsidRPr="0048426D" w:rsidRDefault="0048426D" w:rsidP="0048426D">
      <w:pPr>
        <w:rPr>
          <w:highlight w:val="yellow"/>
        </w:rPr>
      </w:pPr>
      <w:r w:rsidRPr="0048426D">
        <w:t>FL produced the first draft of the manuscript; LW conducted the statistical analyses; GB, IB and HP</w:t>
      </w:r>
      <w:r w:rsidR="0090046A">
        <w:t>P</w:t>
      </w:r>
      <w:r w:rsidRPr="0048426D">
        <w:t xml:space="preserve"> made substantial additions to the manuscript; ED and CC designed the study and revised the manuscript. All authors made substantial contributions to the manuscript and approved the final version.</w:t>
      </w:r>
    </w:p>
    <w:p w14:paraId="5722F5F5" w14:textId="35A5D5AB" w:rsidR="00AC3EA3" w:rsidRPr="00706C03" w:rsidRDefault="00AC3EA3" w:rsidP="00A53000">
      <w:pPr>
        <w:pStyle w:val="Heading1"/>
      </w:pPr>
      <w:r w:rsidRPr="00706C03">
        <w:t>Funding</w:t>
      </w:r>
    </w:p>
    <w:p w14:paraId="10EBBE77" w14:textId="77777777" w:rsidR="00C749E7" w:rsidRPr="00706C03" w:rsidRDefault="00C749E7" w:rsidP="00706C03">
      <w:pPr>
        <w:pStyle w:val="MDPI62BackMatter"/>
        <w:ind w:left="0"/>
        <w:rPr>
          <w:rFonts w:ascii="Times New Roman" w:hAnsi="Times New Roman"/>
          <w:sz w:val="24"/>
          <w:szCs w:val="24"/>
        </w:rPr>
      </w:pPr>
      <w:r w:rsidRPr="00706C03">
        <w:rPr>
          <w:rFonts w:ascii="Times New Roman" w:hAnsi="Times New Roman"/>
          <w:snapToGrid/>
          <w:sz w:val="24"/>
          <w:szCs w:val="24"/>
        </w:rPr>
        <w:t>FL and HPP are supported by the NIHR Southampton Biomedical Research Centre, Nutrition, and the University of Southampton. This report is independent research and the views expressed in this publication are those of the authors and not necessarily those of the NHS, the NIHR or the Department of Health. These funding bodies had no role in writing of the manuscript or decision to submit for publication</w:t>
      </w:r>
    </w:p>
    <w:p w14:paraId="5E0CBB2F" w14:textId="77777777" w:rsidR="006B2D5B" w:rsidRPr="00706C03" w:rsidRDefault="006B2D5B" w:rsidP="00A53000">
      <w:pPr>
        <w:pStyle w:val="Heading1"/>
      </w:pPr>
      <w:r w:rsidRPr="00706C03">
        <w:t>Acknowledgments</w:t>
      </w:r>
    </w:p>
    <w:p w14:paraId="2975D4D0" w14:textId="17F2CA3D" w:rsidR="006D5B93" w:rsidRPr="00376CC5" w:rsidRDefault="0090046A" w:rsidP="00A53000">
      <w:pPr>
        <w:rPr>
          <w:szCs w:val="24"/>
          <w:shd w:val="clear" w:color="auto" w:fill="FFFFFF"/>
        </w:rPr>
      </w:pPr>
      <w:r>
        <w:rPr>
          <w:szCs w:val="24"/>
          <w:shd w:val="clear" w:color="auto" w:fill="FFFFFF"/>
        </w:rPr>
        <w:t>The authors would like to thank the administration staff at Living Well Partnership for their assistance in establishing this cohort.</w:t>
      </w:r>
    </w:p>
    <w:p w14:paraId="6487B9C5" w14:textId="77777777" w:rsidR="00CB48DA" w:rsidRDefault="00CB48DA" w:rsidP="00974698">
      <w:pPr>
        <w:pStyle w:val="Heading1"/>
        <w:sectPr w:rsidR="00CB48DA" w:rsidSect="00D537FA">
          <w:pgSz w:w="12240" w:h="15840"/>
          <w:pgMar w:top="1138" w:right="1181" w:bottom="1138" w:left="1282" w:header="283" w:footer="510" w:gutter="0"/>
          <w:lnNumType w:countBy="1" w:restart="continuous"/>
          <w:cols w:space="720"/>
          <w:titlePg/>
          <w:docGrid w:linePitch="360"/>
        </w:sectPr>
      </w:pPr>
    </w:p>
    <w:p w14:paraId="7F024A91" w14:textId="112C1E01" w:rsidR="00AC3EA3" w:rsidRDefault="00AC3EA3" w:rsidP="00974698">
      <w:pPr>
        <w:pStyle w:val="Heading1"/>
      </w:pPr>
      <w:r w:rsidRPr="00376CC5">
        <w:lastRenderedPageBreak/>
        <w:t>Reference</w:t>
      </w:r>
      <w:r w:rsidR="00D05E55">
        <w:t>s</w:t>
      </w:r>
    </w:p>
    <w:p w14:paraId="0FBDBD2E" w14:textId="77777777" w:rsidR="008C245D" w:rsidRDefault="00D05E55" w:rsidP="00CB48DA">
      <w:pPr>
        <w:widowControl w:val="0"/>
        <w:autoSpaceDE w:val="0"/>
        <w:autoSpaceDN w:val="0"/>
        <w:adjustRightInd w:val="0"/>
        <w:ind w:left="640" w:hanging="640"/>
        <w:rPr>
          <w:rFonts w:cs="Times New Roman"/>
          <w:noProof/>
          <w:szCs w:val="24"/>
        </w:rPr>
      </w:pPr>
      <w:r>
        <w:fldChar w:fldCharType="begin" w:fldLock="1"/>
      </w:r>
      <w:r>
        <w:instrText xml:space="preserve">ADDIN Mendeley Bibliography CSL_BIBLIOGRAPHY </w:instrText>
      </w:r>
      <w:r>
        <w:fldChar w:fldCharType="separate"/>
      </w:r>
      <w:r w:rsidR="00CB48DA" w:rsidRPr="00CB48DA">
        <w:rPr>
          <w:rFonts w:cs="Times New Roman"/>
          <w:noProof/>
          <w:szCs w:val="24"/>
        </w:rPr>
        <w:t xml:space="preserve">1. </w:t>
      </w:r>
      <w:r w:rsidR="00CB48DA" w:rsidRPr="00CB48DA">
        <w:rPr>
          <w:rFonts w:cs="Times New Roman"/>
          <w:noProof/>
          <w:szCs w:val="24"/>
        </w:rPr>
        <w:tab/>
      </w:r>
      <w:r w:rsidR="008C245D" w:rsidRPr="00CB48DA">
        <w:rPr>
          <w:rFonts w:cs="Times New Roman"/>
          <w:noProof/>
          <w:szCs w:val="24"/>
        </w:rPr>
        <w:t xml:space="preserve">Lochlainn MN, Cox NJ, Wilson T, Hayhoe RPG, Ramsay SE, Granic A, et al. Nutrition and Frailty: Opportunities for Prevention and Treatment. Nutr 2021, Vol 13, Page 2349. 2021 Jul 9;13(7):2349. </w:t>
      </w:r>
    </w:p>
    <w:p w14:paraId="4BBA44ED" w14:textId="20681131" w:rsidR="00CB48DA" w:rsidRPr="00CB48DA" w:rsidRDefault="008C245D" w:rsidP="00CB48DA">
      <w:pPr>
        <w:widowControl w:val="0"/>
        <w:autoSpaceDE w:val="0"/>
        <w:autoSpaceDN w:val="0"/>
        <w:adjustRightInd w:val="0"/>
        <w:ind w:left="640" w:hanging="640"/>
        <w:rPr>
          <w:rFonts w:cs="Times New Roman"/>
          <w:noProof/>
          <w:szCs w:val="24"/>
        </w:rPr>
      </w:pPr>
      <w:r>
        <w:rPr>
          <w:rFonts w:cs="Times New Roman"/>
          <w:noProof/>
          <w:szCs w:val="24"/>
        </w:rPr>
        <w:t xml:space="preserve">2.        </w:t>
      </w:r>
      <w:r w:rsidR="00CB48DA" w:rsidRPr="00CB48DA">
        <w:rPr>
          <w:rFonts w:cs="Times New Roman"/>
          <w:noProof/>
          <w:szCs w:val="24"/>
        </w:rPr>
        <w:t xml:space="preserve">Shad BJ, Wallis G, van Loon LJC, Thompson JL. Exercise prescription for the older population: The interactions between physical activity, sedentary time, and adequate nutrition in maintaining musculoskeletal health. Maturitas. 2016 Nov 1;93:78–82. </w:t>
      </w:r>
    </w:p>
    <w:p w14:paraId="43F321AC" w14:textId="21FE99C5" w:rsidR="00CB48DA" w:rsidRPr="00CB48DA" w:rsidRDefault="008C245D" w:rsidP="00CB48DA">
      <w:pPr>
        <w:widowControl w:val="0"/>
        <w:autoSpaceDE w:val="0"/>
        <w:autoSpaceDN w:val="0"/>
        <w:adjustRightInd w:val="0"/>
        <w:ind w:left="640" w:hanging="640"/>
        <w:rPr>
          <w:rFonts w:cs="Times New Roman"/>
          <w:noProof/>
          <w:szCs w:val="24"/>
        </w:rPr>
      </w:pPr>
      <w:r>
        <w:rPr>
          <w:rFonts w:cs="Times New Roman"/>
          <w:noProof/>
          <w:szCs w:val="24"/>
        </w:rPr>
        <w:t>3</w:t>
      </w:r>
      <w:r w:rsidR="00CB48DA" w:rsidRPr="00CB48DA">
        <w:rPr>
          <w:rFonts w:cs="Times New Roman"/>
          <w:noProof/>
          <w:szCs w:val="24"/>
        </w:rPr>
        <w:t xml:space="preserve">. </w:t>
      </w:r>
      <w:r w:rsidR="00CB48DA" w:rsidRPr="00CB48DA">
        <w:rPr>
          <w:rFonts w:cs="Times New Roman"/>
          <w:noProof/>
          <w:szCs w:val="24"/>
        </w:rPr>
        <w:tab/>
        <w:t xml:space="preserve">Cruz-Jentoft AJ, Landi F, Schneider SM, Zúñiga C, Arai H, Boirie Y, et al. Prevalence of and interventions for sarcopenia in ageing adults: a systematic review. Report of the International Sarcopenia Initiative (EWGSOP and IWGS). Age Ageing. 2014 Nov 1;43(6):748. </w:t>
      </w:r>
    </w:p>
    <w:p w14:paraId="615F9AB3" w14:textId="3F5DD2FD" w:rsidR="00CB48DA" w:rsidRPr="00CB48DA" w:rsidRDefault="008C245D" w:rsidP="00CB48DA">
      <w:pPr>
        <w:widowControl w:val="0"/>
        <w:autoSpaceDE w:val="0"/>
        <w:autoSpaceDN w:val="0"/>
        <w:adjustRightInd w:val="0"/>
        <w:ind w:left="640" w:hanging="640"/>
        <w:rPr>
          <w:rFonts w:cs="Times New Roman"/>
          <w:noProof/>
          <w:szCs w:val="24"/>
        </w:rPr>
      </w:pPr>
      <w:r>
        <w:rPr>
          <w:rFonts w:cs="Times New Roman"/>
          <w:noProof/>
          <w:szCs w:val="24"/>
        </w:rPr>
        <w:t>4</w:t>
      </w:r>
      <w:r w:rsidR="00CB48DA" w:rsidRPr="00CB48DA">
        <w:rPr>
          <w:rFonts w:cs="Times New Roman"/>
          <w:noProof/>
          <w:szCs w:val="24"/>
        </w:rPr>
        <w:t xml:space="preserve">. </w:t>
      </w:r>
      <w:r w:rsidR="00CB48DA" w:rsidRPr="00CB48DA">
        <w:rPr>
          <w:rFonts w:cs="Times New Roman"/>
          <w:noProof/>
          <w:szCs w:val="24"/>
        </w:rPr>
        <w:tab/>
        <w:t xml:space="preserve">Atlihan R, Kirk B, Duque G. Non-Pharmacological Interventions in Osteosarcopenia: A Systematic Review [Internet]. Vol. 25, Journal of Nutrition, Health and Aging. Serdi-Editions; 2021. p. 25–32. </w:t>
      </w:r>
    </w:p>
    <w:p w14:paraId="2BBEAF5A" w14:textId="0D740523" w:rsidR="00CB48DA" w:rsidRPr="00CB48DA" w:rsidRDefault="008C245D" w:rsidP="00CB48DA">
      <w:pPr>
        <w:widowControl w:val="0"/>
        <w:autoSpaceDE w:val="0"/>
        <w:autoSpaceDN w:val="0"/>
        <w:adjustRightInd w:val="0"/>
        <w:ind w:left="640" w:hanging="640"/>
        <w:rPr>
          <w:rFonts w:cs="Times New Roman"/>
          <w:noProof/>
          <w:szCs w:val="24"/>
        </w:rPr>
      </w:pPr>
      <w:r>
        <w:rPr>
          <w:rFonts w:cs="Times New Roman"/>
          <w:noProof/>
          <w:szCs w:val="24"/>
        </w:rPr>
        <w:t>5</w:t>
      </w:r>
      <w:r w:rsidR="00CB48DA" w:rsidRPr="00CB48DA">
        <w:rPr>
          <w:rFonts w:cs="Times New Roman"/>
          <w:noProof/>
          <w:szCs w:val="24"/>
        </w:rPr>
        <w:t xml:space="preserve">. </w:t>
      </w:r>
      <w:r w:rsidR="00CB48DA" w:rsidRPr="00CB48DA">
        <w:rPr>
          <w:rFonts w:cs="Times New Roman"/>
          <w:noProof/>
          <w:szCs w:val="24"/>
        </w:rPr>
        <w:tab/>
        <w:t xml:space="preserve">Jennings A, Mulligan AA, Khaw KT, Luben RN, Welch AA. A Mediterranean Diet Is Positively Associated with Bone and Muscle Health in a Non-Mediterranean Region in 25,450 Men and Women from EPIC-Norfolk. Nutr 2020, Vol 12, Page 1154. 2020 Apr 21;12(4):1154. </w:t>
      </w:r>
    </w:p>
    <w:p w14:paraId="4D59DFDE" w14:textId="0CB88733"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5. </w:t>
      </w:r>
      <w:r w:rsidRPr="00CB48DA">
        <w:rPr>
          <w:rFonts w:cs="Times New Roman"/>
          <w:noProof/>
          <w:szCs w:val="24"/>
        </w:rPr>
        <w:tab/>
        <w:t xml:space="preserve"> </w:t>
      </w:r>
    </w:p>
    <w:p w14:paraId="0BEE2F21"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6. </w:t>
      </w:r>
      <w:r w:rsidRPr="00CB48DA">
        <w:rPr>
          <w:rFonts w:cs="Times New Roman"/>
          <w:noProof/>
          <w:szCs w:val="24"/>
        </w:rPr>
        <w:tab/>
        <w:t xml:space="preserve">Granic A, Sayer AA, Robinson SM. Dietary Patterns, Skeletal Muscle Health, and Sarcopenia in Older Adults. Nutr 2019, Vol 11, Page 745. 2019 Mar 30;11(4):745. </w:t>
      </w:r>
    </w:p>
    <w:p w14:paraId="4B92B28B"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7. </w:t>
      </w:r>
      <w:r w:rsidRPr="00CB48DA">
        <w:rPr>
          <w:rFonts w:cs="Times New Roman"/>
          <w:noProof/>
          <w:szCs w:val="24"/>
        </w:rPr>
        <w:tab/>
        <w:t xml:space="preserve">Fabiani R, Naldini G, Chiavarini M. Dietary Patterns in Relation to Low Bone Mineral Density and Fracture Risk: A Systematic Review and Meta-Analysis. Adv Nutr. 2019 Mar 1;10(2):219–36. </w:t>
      </w:r>
    </w:p>
    <w:p w14:paraId="55D8691E"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8. </w:t>
      </w:r>
      <w:r w:rsidRPr="00CB48DA">
        <w:rPr>
          <w:rFonts w:cs="Times New Roman"/>
          <w:noProof/>
          <w:szCs w:val="24"/>
        </w:rPr>
        <w:tab/>
      </w:r>
      <w:r w:rsidRPr="00B90B4B">
        <w:rPr>
          <w:rFonts w:cs="Times New Roman"/>
          <w:noProof/>
          <w:szCs w:val="24"/>
        </w:rPr>
        <w:t>Lithander FE, Neumann S, Tenison E, Lloyd K, Welsh TJ, Rodrigues JCL, et al. COVID-19 in Older People: A Rapid Clinical Review. Age Ageing. 2020 Jul 1;49(4):501–15.</w:t>
      </w:r>
      <w:r w:rsidRPr="00CB48DA">
        <w:rPr>
          <w:rFonts w:cs="Times New Roman"/>
          <w:noProof/>
          <w:szCs w:val="24"/>
        </w:rPr>
        <w:t xml:space="preserve"> </w:t>
      </w:r>
    </w:p>
    <w:p w14:paraId="6A458FF1" w14:textId="6B5B0903"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9. </w:t>
      </w:r>
      <w:r w:rsidRPr="00CB48DA">
        <w:rPr>
          <w:rFonts w:cs="Times New Roman"/>
          <w:noProof/>
          <w:szCs w:val="24"/>
        </w:rPr>
        <w:tab/>
        <w:t xml:space="preserve"> </w:t>
      </w:r>
    </w:p>
    <w:p w14:paraId="09B00DE9" w14:textId="1E75A184" w:rsidR="00CB48DA" w:rsidRDefault="00B90B4B" w:rsidP="00CB48DA">
      <w:pPr>
        <w:widowControl w:val="0"/>
        <w:autoSpaceDE w:val="0"/>
        <w:autoSpaceDN w:val="0"/>
        <w:adjustRightInd w:val="0"/>
        <w:ind w:left="640" w:hanging="640"/>
        <w:rPr>
          <w:rFonts w:cs="Times New Roman"/>
          <w:noProof/>
          <w:szCs w:val="24"/>
        </w:rPr>
      </w:pPr>
      <w:r>
        <w:rPr>
          <w:rFonts w:cs="Times New Roman"/>
          <w:noProof/>
          <w:szCs w:val="24"/>
        </w:rPr>
        <w:t>9</w:t>
      </w:r>
      <w:r w:rsidR="00CB48DA" w:rsidRPr="00CB48DA">
        <w:rPr>
          <w:rFonts w:cs="Times New Roman"/>
          <w:noProof/>
          <w:szCs w:val="24"/>
        </w:rPr>
        <w:t xml:space="preserve">. </w:t>
      </w:r>
      <w:r w:rsidR="00CB48DA" w:rsidRPr="00CB48DA">
        <w:rPr>
          <w:rFonts w:cs="Times New Roman"/>
          <w:noProof/>
          <w:szCs w:val="24"/>
        </w:rPr>
        <w:tab/>
        <w:t xml:space="preserve">Bricio-Barrios JA, Ríos-Silva M, Huerta M, Cárdenas-María RY, García-Ibáñez AE, Díaz-Mendoza MG, et al. Impact on the Nutritional and Functional Status of Older Mexican Adults in the Absence of Recreational Activities due to COVID-19: A Longitudinal Study From 2018 to 2021. J Appl Gerontol. 2022 May 3;2022(0):7334648221099278. </w:t>
      </w:r>
    </w:p>
    <w:p w14:paraId="1513F420" w14:textId="6994A510" w:rsidR="00B90B4B" w:rsidRPr="00B820EE" w:rsidRDefault="00B90B4B" w:rsidP="00B820EE">
      <w:pPr>
        <w:spacing w:before="0" w:after="160" w:line="259" w:lineRule="auto"/>
        <w:rPr>
          <w:rFonts w:eastAsia="Calibri" w:cs="Times New Roman"/>
          <w:szCs w:val="24"/>
        </w:rPr>
      </w:pPr>
      <w:r>
        <w:rPr>
          <w:rFonts w:cs="Times New Roman"/>
          <w:noProof/>
          <w:szCs w:val="24"/>
        </w:rPr>
        <w:t xml:space="preserve">10.     </w:t>
      </w:r>
      <w:r w:rsidRPr="00B820EE">
        <w:rPr>
          <w:rFonts w:eastAsia="Calibri" w:cs="Times New Roman"/>
          <w:color w:val="222222"/>
          <w:szCs w:val="24"/>
          <w:shd w:val="clear" w:color="auto" w:fill="FFFFFF"/>
        </w:rPr>
        <w:t>Laskou, F.; Linfield, A.; Aggarwal, P.; Dennison, E.M.; Patel, H.P. Establishing a Resource to Assess</w:t>
      </w:r>
      <w:r>
        <w:rPr>
          <w:rFonts w:eastAsia="Calibri" w:cs="Times New Roman"/>
          <w:color w:val="222222"/>
          <w:szCs w:val="24"/>
          <w:shd w:val="clear" w:color="auto" w:fill="FFFFFF"/>
        </w:rPr>
        <w:t xml:space="preserve"> </w:t>
      </w:r>
      <w:r w:rsidRPr="00B820EE">
        <w:rPr>
          <w:rFonts w:eastAsia="Calibri" w:cs="Times New Roman"/>
          <w:color w:val="222222"/>
          <w:szCs w:val="24"/>
          <w:shd w:val="clear" w:color="auto" w:fill="FFFFFF"/>
        </w:rPr>
        <w:t>Musculoskeletal Health in Older Adults in the Post-COVID-19 Era: Time to SaLSA? Osteology 2022, </w:t>
      </w:r>
      <w:r w:rsidRPr="00B820EE">
        <w:rPr>
          <w:rFonts w:eastAsia="Calibri" w:cs="Times New Roman"/>
          <w:i/>
          <w:iCs/>
          <w:color w:val="222222"/>
          <w:szCs w:val="24"/>
          <w:shd w:val="clear" w:color="auto" w:fill="FFFFFF"/>
        </w:rPr>
        <w:t>2</w:t>
      </w:r>
      <w:r w:rsidRPr="00B820EE">
        <w:rPr>
          <w:rFonts w:eastAsia="Calibri" w:cs="Times New Roman"/>
          <w:color w:val="222222"/>
          <w:szCs w:val="24"/>
          <w:shd w:val="clear" w:color="auto" w:fill="FFFFFF"/>
        </w:rPr>
        <w:t xml:space="preserve">, 41-51. </w:t>
      </w:r>
    </w:p>
    <w:p w14:paraId="2F051E1F" w14:textId="39893A2E" w:rsidR="00B90B4B" w:rsidRPr="00B90B4B" w:rsidRDefault="00B90B4B" w:rsidP="00CB48DA">
      <w:pPr>
        <w:widowControl w:val="0"/>
        <w:autoSpaceDE w:val="0"/>
        <w:autoSpaceDN w:val="0"/>
        <w:adjustRightInd w:val="0"/>
        <w:ind w:left="640" w:hanging="640"/>
        <w:rPr>
          <w:rFonts w:cs="Times New Roman"/>
          <w:noProof/>
          <w:szCs w:val="24"/>
        </w:rPr>
      </w:pPr>
    </w:p>
    <w:p w14:paraId="421252B3"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11. </w:t>
      </w:r>
      <w:r w:rsidRPr="00CB48DA">
        <w:rPr>
          <w:rFonts w:cs="Times New Roman"/>
          <w:noProof/>
          <w:szCs w:val="24"/>
        </w:rPr>
        <w:tab/>
        <w:t xml:space="preserve">Posner BM, Jette AM, Smith KW, Miller DR. Nutrition and health risks in the elderly: the </w:t>
      </w:r>
      <w:r w:rsidRPr="00CB48DA">
        <w:rPr>
          <w:rFonts w:cs="Times New Roman"/>
          <w:noProof/>
          <w:szCs w:val="24"/>
        </w:rPr>
        <w:lastRenderedPageBreak/>
        <w:t xml:space="preserve">nutrition screening initiative. Am J Public Health. 1993;83(7):972. </w:t>
      </w:r>
    </w:p>
    <w:p w14:paraId="53FB7990"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12. </w:t>
      </w:r>
      <w:r w:rsidRPr="00CB48DA">
        <w:rPr>
          <w:rFonts w:cs="Times New Roman"/>
          <w:noProof/>
          <w:szCs w:val="24"/>
        </w:rPr>
        <w:tab/>
        <w:t xml:space="preserve">Wellcome Covid-19 Questionnaire | Avon Longitudinal Study of Parents and Children | University of Bristol [Internet]. </w:t>
      </w:r>
    </w:p>
    <w:p w14:paraId="71736FA9"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13. </w:t>
      </w:r>
      <w:r w:rsidRPr="00CB48DA">
        <w:rPr>
          <w:rFonts w:cs="Times New Roman"/>
          <w:noProof/>
          <w:szCs w:val="24"/>
        </w:rPr>
        <w:tab/>
        <w:t xml:space="preserve">Malmstrom TK, Morley JE. SARC-F: A simple questionnaire to rapidly diagnose sarcopenia. J Am Med Dir Assoc. 2013;14(8):531–2. </w:t>
      </w:r>
    </w:p>
    <w:p w14:paraId="748FAB3D"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14. </w:t>
      </w:r>
      <w:r w:rsidRPr="00CB48DA">
        <w:rPr>
          <w:rFonts w:cs="Times New Roman"/>
          <w:noProof/>
          <w:szCs w:val="24"/>
        </w:rPr>
        <w:tab/>
        <w:t xml:space="preserve">Fried LP, Tangen CM, Walston J, Newman AB, Hirsch C, Gottdiener J, et al. Frailty in Older Adults: Evidence for a Phenotype. Journals Gerontol Ser A Biol Sci Med Sci. 2001 Mar 1;56(3):M146–57. </w:t>
      </w:r>
    </w:p>
    <w:p w14:paraId="46A9454F"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15. </w:t>
      </w:r>
      <w:r w:rsidRPr="00CB48DA">
        <w:rPr>
          <w:rFonts w:cs="Times New Roman"/>
          <w:noProof/>
          <w:szCs w:val="24"/>
        </w:rPr>
        <w:tab/>
        <w:t xml:space="preserve">Poelman MP, Gillebaart M, Schlinkert C, Dijkstra SC, Derksen E, Mensink F, et al. Eating behavior and food purchases during the COVID-19 lockdown: A cross-sectional study among adults in the Netherlands. Appetite. 2021 Feb 1;157:105002. </w:t>
      </w:r>
    </w:p>
    <w:p w14:paraId="66D4D52B"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16. </w:t>
      </w:r>
      <w:r w:rsidRPr="00CB48DA">
        <w:rPr>
          <w:rFonts w:cs="Times New Roman"/>
          <w:noProof/>
          <w:szCs w:val="24"/>
        </w:rPr>
        <w:tab/>
        <w:t xml:space="preserve">Larson EA, Bader-Larsen KS, Magkos F. The Effect of COVID-19-related Lockdowns on Diet and Physical Activity in Older Adults: A Systematic Review. Aging Dis. 2021 Dec 1;12(8):1935. </w:t>
      </w:r>
    </w:p>
    <w:p w14:paraId="0E02BAED"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17. </w:t>
      </w:r>
      <w:r w:rsidRPr="00CB48DA">
        <w:rPr>
          <w:rFonts w:cs="Times New Roman"/>
          <w:noProof/>
          <w:szCs w:val="24"/>
        </w:rPr>
        <w:tab/>
        <w:t xml:space="preserve">Cicero AFG, Fogacci F, Giovannini M, Mezzadri M, Grandi E, Borghi C. COVID-19-Related Quarantine Effect on Dietary Habits in a Northern Italian Rural Population: Data from the Brisighella Heart Study. Nutrients. 2021 Feb 1;13(2):1–10. </w:t>
      </w:r>
    </w:p>
    <w:p w14:paraId="19C9C395"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18. </w:t>
      </w:r>
      <w:r w:rsidRPr="00CB48DA">
        <w:rPr>
          <w:rFonts w:cs="Times New Roman"/>
          <w:noProof/>
          <w:szCs w:val="24"/>
        </w:rPr>
        <w:tab/>
        <w:t xml:space="preserve">Rolland B, Haesebaert F, Zante E, Benyamina A, Haesebaert J, Franck N. Global Changes and Factors of Increase in Caloric/Salty Food Intake, Screen Use, and Substance Use During the Early COVID-19 Containment Phase in the General Population in France: Survey Study. JMIR Public Heal Surveill. 2020 Jul 1;6(3). </w:t>
      </w:r>
    </w:p>
    <w:p w14:paraId="6C60E86B"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19. </w:t>
      </w:r>
      <w:r w:rsidRPr="00CB48DA">
        <w:rPr>
          <w:rFonts w:cs="Times New Roman"/>
          <w:noProof/>
          <w:szCs w:val="24"/>
        </w:rPr>
        <w:tab/>
        <w:t xml:space="preserve">Acton RB, Vanderlee L, Cameron AJ, Goodman S, Jáuregui A, Sacks G, et al. Self-reported impacts of the COVID-19 pandemic on diet-related behaviours and food security in five countries: results from the International Food Policy Study 2020. J Nutr. 2022 Mar 11; </w:t>
      </w:r>
    </w:p>
    <w:p w14:paraId="5CC1410A"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20. </w:t>
      </w:r>
      <w:r w:rsidRPr="00CB48DA">
        <w:rPr>
          <w:rFonts w:cs="Times New Roman"/>
          <w:noProof/>
          <w:szCs w:val="24"/>
        </w:rPr>
        <w:tab/>
        <w:t xml:space="preserve">Górnicka M, Drywień ME, Zielinska MA, Hamułka J. Dietary and Lifestyle Changes During COVID-19 and the Subsequent Lockdowns among Polish Adults: A Cross-Sectional Online Survey PLifeCOVID-19 Study. Nutr 2020, Vol 12, Page 2324. 2020 Aug 3;12(8):2324. </w:t>
      </w:r>
    </w:p>
    <w:p w14:paraId="7CE8F352"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21. </w:t>
      </w:r>
      <w:r w:rsidRPr="00CB48DA">
        <w:rPr>
          <w:rFonts w:cs="Times New Roman"/>
          <w:noProof/>
          <w:szCs w:val="24"/>
        </w:rPr>
        <w:tab/>
        <w:t xml:space="preserve">Lamarche B, Brassard D, Lapointe A, Laramée C, Kearney M, Côté M, et al. Changes in diet quality and food security among adults during the COVID-19–related early lockdown: results from NutriQuébec. Am J Clin Nutr. 2021 Apr 6;113(4):984–92. </w:t>
      </w:r>
    </w:p>
    <w:p w14:paraId="0FCB9710"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22. </w:t>
      </w:r>
      <w:r w:rsidRPr="00CB48DA">
        <w:rPr>
          <w:rFonts w:cs="Times New Roman"/>
          <w:noProof/>
          <w:szCs w:val="24"/>
        </w:rPr>
        <w:tab/>
        <w:t xml:space="preserve">Di Renzo L, Gualtieri P, Pivari F, Soldati L, Attinà A, Cinelli G, et al. Eating habits and lifestyle changes during COVID-19 lockdown: An Italian survey. J Transl Med. 2020 Jun 8;18(1):1–15. </w:t>
      </w:r>
    </w:p>
    <w:p w14:paraId="106F0779"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23. </w:t>
      </w:r>
      <w:r w:rsidRPr="00CB48DA">
        <w:rPr>
          <w:rFonts w:cs="Times New Roman"/>
          <w:noProof/>
          <w:szCs w:val="24"/>
        </w:rPr>
        <w:tab/>
        <w:t xml:space="preserve">Constant A, Conserve DF, Gallopel-Morvan K, Raude J. Socio-Cognitive Factors Associated With Lifestyle Changes in Response to the COVID-19 Epidemic in the General Population: Results From a Cross-Sectional Study in France. Front Psychol. 2020 Sep 29;11. </w:t>
      </w:r>
    </w:p>
    <w:p w14:paraId="0E7E6B73"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24. </w:t>
      </w:r>
      <w:r w:rsidRPr="00CB48DA">
        <w:rPr>
          <w:rFonts w:cs="Times New Roman"/>
          <w:noProof/>
          <w:szCs w:val="24"/>
        </w:rPr>
        <w:tab/>
        <w:t xml:space="preserve">Bevilacqua G, D’Angelo S, Linaker C, Paul A, Bloom I, Zhang J, et al. Physical Activity and </w:t>
      </w:r>
      <w:r w:rsidRPr="00CB48DA">
        <w:rPr>
          <w:rFonts w:cs="Times New Roman"/>
          <w:noProof/>
          <w:szCs w:val="24"/>
        </w:rPr>
        <w:lastRenderedPageBreak/>
        <w:t xml:space="preserve">Diet in a Global Pandemic: An Investigation of the Impact of COVID-19 on Factors Relevant for Musculoskeletal Health at Two Different Stages of the Lifecourse. Front Endocrinol (Lausanne). 2022 May 3;0:716. </w:t>
      </w:r>
    </w:p>
    <w:p w14:paraId="22ECE0FD"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25. </w:t>
      </w:r>
      <w:r w:rsidRPr="00CB48DA">
        <w:rPr>
          <w:rFonts w:cs="Times New Roman"/>
          <w:noProof/>
          <w:szCs w:val="24"/>
        </w:rPr>
        <w:tab/>
        <w:t xml:space="preserve">Mendoza-Ruvalcaba NM, Gutiérrez-Herrera R, López C, Hesse H, Soto-Añari M, Ramos-Henderson M, et al. Impact of quarantine due to COVID-19 pandemic on health and lifestyle conditions in older adults from Centro American countries. PLoS One. 2022 May 1;17(5). </w:t>
      </w:r>
    </w:p>
    <w:p w14:paraId="748004F3"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26. </w:t>
      </w:r>
      <w:r w:rsidRPr="00CB48DA">
        <w:rPr>
          <w:rFonts w:cs="Times New Roman"/>
          <w:noProof/>
          <w:szCs w:val="24"/>
        </w:rPr>
        <w:tab/>
        <w:t xml:space="preserve">Luo Y, Chen L, Xu F, Gao X, Han D, Na L. Investigation on knowledge, attitudes and practices about food safety and nutrition in the China during the epidemic of corona virus disease 2019. Public Health Nutr. 2021 Feb 1;24(2):267–74. </w:t>
      </w:r>
    </w:p>
    <w:p w14:paraId="6E4AE393"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27. </w:t>
      </w:r>
      <w:r w:rsidRPr="00CB48DA">
        <w:rPr>
          <w:rFonts w:cs="Times New Roman"/>
          <w:noProof/>
          <w:szCs w:val="24"/>
        </w:rPr>
        <w:tab/>
        <w:t xml:space="preserve">Darmon N, Drewnowski A. Contribution of food prices and diet cost to socioeconomic disparities in diet quality and health: a systematic review and analysis. Nutr Rev. 2015 Oct 1;73(10):643–60. </w:t>
      </w:r>
    </w:p>
    <w:p w14:paraId="4A095DA3"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28. </w:t>
      </w:r>
      <w:r w:rsidRPr="00CB48DA">
        <w:rPr>
          <w:rFonts w:cs="Times New Roman"/>
          <w:noProof/>
          <w:szCs w:val="24"/>
        </w:rPr>
        <w:tab/>
        <w:t xml:space="preserve">Rodríguez-Pérez C, Molina-Montes E, Verardo V, Artacho R, García-Villanova B, Guerra-Hernández EJ, et al. Changes in dietary behaviours during the COVID-19 outbreak confinement in the Spanish COVIDiet study. Nutrients. 2020;12(6):1–19. </w:t>
      </w:r>
    </w:p>
    <w:p w14:paraId="645A0AF5" w14:textId="77777777" w:rsidR="00CB48DA" w:rsidRP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29. </w:t>
      </w:r>
      <w:r w:rsidRPr="00CB48DA">
        <w:rPr>
          <w:rFonts w:cs="Times New Roman"/>
          <w:noProof/>
          <w:szCs w:val="24"/>
        </w:rPr>
        <w:tab/>
        <w:t xml:space="preserve">Thorpe MG, Milte CM, Crawford D, McNaughton SA. Education and lifestyle predict change in dietary patterns and diet quality of adults 55 years and over. Nutr J. 2019 Nov 7;18(1):1–13. </w:t>
      </w:r>
    </w:p>
    <w:p w14:paraId="6D63438D" w14:textId="696017E2" w:rsidR="00CB48DA" w:rsidRDefault="00CB48DA" w:rsidP="00CB48DA">
      <w:pPr>
        <w:widowControl w:val="0"/>
        <w:autoSpaceDE w:val="0"/>
        <w:autoSpaceDN w:val="0"/>
        <w:adjustRightInd w:val="0"/>
        <w:ind w:left="640" w:hanging="640"/>
        <w:rPr>
          <w:rFonts w:cs="Times New Roman"/>
          <w:noProof/>
          <w:szCs w:val="24"/>
        </w:rPr>
      </w:pPr>
      <w:r w:rsidRPr="00CB48DA">
        <w:rPr>
          <w:rFonts w:cs="Times New Roman"/>
          <w:noProof/>
          <w:szCs w:val="24"/>
        </w:rPr>
        <w:t xml:space="preserve">30. </w:t>
      </w:r>
      <w:r w:rsidRPr="00CB48DA">
        <w:rPr>
          <w:rFonts w:cs="Times New Roman"/>
          <w:noProof/>
          <w:szCs w:val="24"/>
        </w:rPr>
        <w:tab/>
        <w:t xml:space="preserve">Kinoshita K, Satake S, Arai H. Impact of Frailty on Dietary Habits among Community-Dwelling Older Persons during the COVID-19 Pandemic in Japan. J Frailty Aging. 2022 Jan 1;11(1):109. </w:t>
      </w:r>
    </w:p>
    <w:p w14:paraId="26811E8E" w14:textId="63984B27" w:rsidR="00B90B4B" w:rsidRPr="00745ACB" w:rsidRDefault="00B90B4B" w:rsidP="00CB48DA">
      <w:pPr>
        <w:widowControl w:val="0"/>
        <w:autoSpaceDE w:val="0"/>
        <w:autoSpaceDN w:val="0"/>
        <w:adjustRightInd w:val="0"/>
        <w:ind w:left="640" w:hanging="640"/>
        <w:rPr>
          <w:rFonts w:cs="Times New Roman"/>
          <w:noProof/>
          <w:szCs w:val="24"/>
        </w:rPr>
      </w:pPr>
      <w:r>
        <w:rPr>
          <w:rFonts w:cs="Times New Roman"/>
          <w:noProof/>
          <w:szCs w:val="24"/>
        </w:rPr>
        <w:t xml:space="preserve">31. </w:t>
      </w:r>
      <w:r w:rsidR="00745ACB">
        <w:rPr>
          <w:rFonts w:cs="Times New Roman"/>
          <w:noProof/>
          <w:szCs w:val="24"/>
        </w:rPr>
        <w:t xml:space="preserve">   </w:t>
      </w:r>
      <w:r w:rsidR="00745ACB" w:rsidRPr="00745ACB">
        <w:rPr>
          <w:rFonts w:cs="Times New Roman"/>
          <w:noProof/>
          <w:szCs w:val="24"/>
        </w:rPr>
        <w:t xml:space="preserve"> </w:t>
      </w:r>
      <w:r w:rsidR="00745ACB" w:rsidRPr="00B820EE">
        <w:rPr>
          <w:rFonts w:cs="Times New Roman"/>
          <w:color w:val="212121"/>
          <w:shd w:val="clear" w:color="auto" w:fill="FFFFFF"/>
        </w:rPr>
        <w:t xml:space="preserve">Bloom I, Zhang J, Parsons C, Bevilacqua G, Dennison EM, Cooper C, Ward KA. Nutritional risk and its relationship with physical function in community-dwelling older adults. Aging Clin Exp Res. 2022 Sep;34(9):2031-2039. </w:t>
      </w:r>
    </w:p>
    <w:p w14:paraId="1D736543" w14:textId="53EC9950" w:rsidR="00B90B4B" w:rsidRDefault="00745ACB" w:rsidP="00990062">
      <w:pPr>
        <w:widowControl w:val="0"/>
        <w:autoSpaceDE w:val="0"/>
        <w:autoSpaceDN w:val="0"/>
        <w:adjustRightInd w:val="0"/>
        <w:ind w:left="640" w:hanging="640"/>
        <w:rPr>
          <w:rFonts w:cs="Times New Roman"/>
          <w:noProof/>
          <w:szCs w:val="24"/>
        </w:rPr>
      </w:pPr>
      <w:r>
        <w:rPr>
          <w:rFonts w:cs="Times New Roman"/>
          <w:noProof/>
          <w:szCs w:val="24"/>
        </w:rPr>
        <w:t>32</w:t>
      </w:r>
      <w:r w:rsidR="00CB48DA" w:rsidRPr="00CB48DA">
        <w:rPr>
          <w:rFonts w:cs="Times New Roman"/>
          <w:noProof/>
          <w:szCs w:val="24"/>
        </w:rPr>
        <w:t xml:space="preserve"> </w:t>
      </w:r>
      <w:r w:rsidR="00CB48DA" w:rsidRPr="00CB48DA">
        <w:rPr>
          <w:rFonts w:cs="Times New Roman"/>
          <w:noProof/>
          <w:szCs w:val="24"/>
        </w:rPr>
        <w:tab/>
        <w:t xml:space="preserve">Witham MD, Heslop P, Dodds RM, Clegg AP, Hope S V., Mcdonald C, et al. Developing a UK sarcopenia registry: recruitment and baseline characteristics of the SarcNet pilot. Age Ageing. 2021 Sep 11;50(5):1762–9. . </w:t>
      </w:r>
    </w:p>
    <w:p w14:paraId="211E23A3" w14:textId="4FB9712D" w:rsidR="00974698" w:rsidRDefault="00CB48DA" w:rsidP="00990062">
      <w:pPr>
        <w:widowControl w:val="0"/>
        <w:autoSpaceDE w:val="0"/>
        <w:autoSpaceDN w:val="0"/>
        <w:adjustRightInd w:val="0"/>
        <w:ind w:left="640" w:hanging="640"/>
      </w:pPr>
      <w:r w:rsidRPr="00CB48DA">
        <w:rPr>
          <w:rFonts w:cs="Times New Roman"/>
          <w:noProof/>
          <w:szCs w:val="24"/>
        </w:rPr>
        <w:tab/>
      </w:r>
      <w:r w:rsidR="00D05E55">
        <w:fldChar w:fldCharType="end"/>
      </w:r>
    </w:p>
    <w:p w14:paraId="24AE0B78" w14:textId="3A64D80E" w:rsidR="009604BF" w:rsidRDefault="009604BF">
      <w:pPr>
        <w:spacing w:before="0" w:after="200" w:line="276" w:lineRule="auto"/>
      </w:pPr>
      <w:r>
        <w:br w:type="page"/>
      </w:r>
    </w:p>
    <w:p w14:paraId="1BC17327" w14:textId="77777777" w:rsidR="009604BF" w:rsidRPr="00D05E55" w:rsidRDefault="009604BF" w:rsidP="009604BF">
      <w:r w:rsidRPr="00376CC5">
        <w:lastRenderedPageBreak/>
        <w:t>Tables</w:t>
      </w:r>
    </w:p>
    <w:p w14:paraId="676B6274" w14:textId="3BF5B92A" w:rsidR="009604BF" w:rsidRDefault="009604BF" w:rsidP="009604BF">
      <w:pPr>
        <w:pStyle w:val="Caption"/>
      </w:pPr>
      <w:r>
        <w:t xml:space="preserve">Table </w:t>
      </w:r>
      <w:fldSimple w:instr=" SEQ Table \* ARABIC ">
        <w:r w:rsidR="000F4598">
          <w:rPr>
            <w:noProof/>
          </w:rPr>
          <w:t>1</w:t>
        </w:r>
      </w:fldSimple>
      <w:r>
        <w:t>:</w:t>
      </w:r>
      <w:r w:rsidRPr="00B6631B">
        <w:t xml:space="preserve"> Baseline participant characteristics</w:t>
      </w:r>
    </w:p>
    <w:tbl>
      <w:tblPr>
        <w:tblW w:w="10206" w:type="dxa"/>
        <w:tblLayout w:type="fixed"/>
        <w:tblLook w:val="04A0" w:firstRow="1" w:lastRow="0" w:firstColumn="1" w:lastColumn="0" w:noHBand="0" w:noVBand="1"/>
      </w:tblPr>
      <w:tblGrid>
        <w:gridCol w:w="4950"/>
        <w:gridCol w:w="2847"/>
        <w:gridCol w:w="2409"/>
      </w:tblGrid>
      <w:tr w:rsidR="009604BF" w14:paraId="45BBDB9B" w14:textId="77777777" w:rsidTr="55869305">
        <w:trPr>
          <w:trHeight w:val="15"/>
        </w:trPr>
        <w:tc>
          <w:tcPr>
            <w:tcW w:w="4950" w:type="dxa"/>
            <w:vMerge w:val="restart"/>
            <w:tcBorders>
              <w:top w:val="single" w:sz="8" w:space="0" w:color="auto"/>
              <w:left w:val="nil"/>
              <w:bottom w:val="single" w:sz="4" w:space="0" w:color="auto"/>
              <w:right w:val="nil"/>
            </w:tcBorders>
            <w:vAlign w:val="center"/>
          </w:tcPr>
          <w:p w14:paraId="1DACDA54" w14:textId="77777777" w:rsidR="009604BF" w:rsidRDefault="009604BF" w:rsidP="00FF27D2">
            <w:pPr>
              <w:spacing w:line="276" w:lineRule="auto"/>
              <w:contextualSpacing/>
            </w:pPr>
            <w:r w:rsidRPr="1FEE1B07">
              <w:rPr>
                <w:rFonts w:ascii="Calibri" w:eastAsia="Calibri" w:hAnsi="Calibri" w:cs="Calibri"/>
                <w:b/>
                <w:bCs/>
                <w:sz w:val="20"/>
                <w:szCs w:val="20"/>
              </w:rPr>
              <w:t>Participant characteristic</w:t>
            </w:r>
          </w:p>
        </w:tc>
        <w:tc>
          <w:tcPr>
            <w:tcW w:w="5256" w:type="dxa"/>
            <w:gridSpan w:val="2"/>
            <w:tcBorders>
              <w:top w:val="single" w:sz="8" w:space="0" w:color="auto"/>
              <w:left w:val="nil"/>
              <w:bottom w:val="single" w:sz="4" w:space="0" w:color="auto"/>
              <w:right w:val="nil"/>
            </w:tcBorders>
            <w:vAlign w:val="center"/>
          </w:tcPr>
          <w:p w14:paraId="0B40885C" w14:textId="77777777" w:rsidR="009604BF" w:rsidRDefault="009604BF" w:rsidP="00FF27D2">
            <w:pPr>
              <w:spacing w:line="276" w:lineRule="auto"/>
              <w:contextualSpacing/>
              <w:jc w:val="center"/>
            </w:pPr>
            <w:r w:rsidRPr="1FEE1B07">
              <w:rPr>
                <w:rFonts w:ascii="Calibri" w:eastAsia="Calibri" w:hAnsi="Calibri" w:cs="Calibri"/>
                <w:b/>
                <w:bCs/>
                <w:sz w:val="20"/>
                <w:szCs w:val="20"/>
              </w:rPr>
              <w:t>Mean (SD), median (lower quartile, upper quartile) or n</w:t>
            </w:r>
            <w:r>
              <w:rPr>
                <w:rFonts w:ascii="Calibri" w:eastAsia="Calibri" w:hAnsi="Calibri" w:cs="Calibri"/>
                <w:b/>
                <w:bCs/>
                <w:sz w:val="20"/>
                <w:szCs w:val="20"/>
              </w:rPr>
              <w:t xml:space="preserve"> </w:t>
            </w:r>
            <w:r w:rsidRPr="1FEE1B07">
              <w:rPr>
                <w:rFonts w:ascii="Calibri" w:eastAsia="Calibri" w:hAnsi="Calibri" w:cs="Calibri"/>
                <w:b/>
                <w:bCs/>
                <w:sz w:val="20"/>
                <w:szCs w:val="20"/>
              </w:rPr>
              <w:t>(%)</w:t>
            </w:r>
          </w:p>
        </w:tc>
      </w:tr>
      <w:tr w:rsidR="009604BF" w14:paraId="11AA66B8" w14:textId="77777777" w:rsidTr="55869305">
        <w:trPr>
          <w:trHeight w:val="15"/>
        </w:trPr>
        <w:tc>
          <w:tcPr>
            <w:tcW w:w="4950" w:type="dxa"/>
            <w:vMerge/>
            <w:vAlign w:val="center"/>
          </w:tcPr>
          <w:p w14:paraId="52E4AD43" w14:textId="77777777" w:rsidR="009604BF" w:rsidRDefault="009604BF" w:rsidP="00FF27D2">
            <w:pPr>
              <w:spacing w:line="276" w:lineRule="auto"/>
              <w:contextualSpacing/>
            </w:pPr>
          </w:p>
        </w:tc>
        <w:tc>
          <w:tcPr>
            <w:tcW w:w="2847" w:type="dxa"/>
            <w:tcBorders>
              <w:top w:val="single" w:sz="4" w:space="0" w:color="auto"/>
              <w:left w:val="nil"/>
              <w:bottom w:val="single" w:sz="8" w:space="0" w:color="auto"/>
              <w:right w:val="nil"/>
            </w:tcBorders>
            <w:vAlign w:val="center"/>
          </w:tcPr>
          <w:p w14:paraId="29D7C905" w14:textId="77777777" w:rsidR="009604BF" w:rsidRDefault="009604BF" w:rsidP="00FF27D2">
            <w:pPr>
              <w:spacing w:line="276" w:lineRule="auto"/>
              <w:contextualSpacing/>
            </w:pPr>
            <w:r w:rsidRPr="1FEE1B07">
              <w:rPr>
                <w:rFonts w:ascii="Calibri" w:eastAsia="Calibri" w:hAnsi="Calibri" w:cs="Calibri"/>
                <w:b/>
                <w:bCs/>
                <w:color w:val="000000" w:themeColor="text1"/>
                <w:sz w:val="20"/>
                <w:szCs w:val="20"/>
              </w:rPr>
              <w:t>Men (n= 225)</w:t>
            </w:r>
          </w:p>
        </w:tc>
        <w:tc>
          <w:tcPr>
            <w:tcW w:w="2409" w:type="dxa"/>
            <w:tcBorders>
              <w:top w:val="single" w:sz="4" w:space="0" w:color="auto"/>
              <w:left w:val="nil"/>
              <w:bottom w:val="single" w:sz="8" w:space="0" w:color="auto"/>
              <w:right w:val="nil"/>
            </w:tcBorders>
            <w:vAlign w:val="center"/>
          </w:tcPr>
          <w:p w14:paraId="56478AF3" w14:textId="77777777" w:rsidR="009604BF" w:rsidRDefault="009604BF" w:rsidP="00FF27D2">
            <w:pPr>
              <w:spacing w:line="276" w:lineRule="auto"/>
              <w:contextualSpacing/>
            </w:pPr>
            <w:r w:rsidRPr="4552C5DA">
              <w:rPr>
                <w:rFonts w:ascii="Calibri" w:eastAsia="Calibri" w:hAnsi="Calibri" w:cs="Calibri"/>
                <w:b/>
                <w:bCs/>
                <w:color w:val="000000" w:themeColor="text1"/>
                <w:sz w:val="20"/>
                <w:szCs w:val="20"/>
              </w:rPr>
              <w:t>Women (n= 266)</w:t>
            </w:r>
          </w:p>
        </w:tc>
      </w:tr>
      <w:tr w:rsidR="009604BF" w14:paraId="734E7A24" w14:textId="77777777" w:rsidTr="55869305">
        <w:trPr>
          <w:trHeight w:val="15"/>
        </w:trPr>
        <w:tc>
          <w:tcPr>
            <w:tcW w:w="4950" w:type="dxa"/>
            <w:tcBorders>
              <w:top w:val="single" w:sz="4" w:space="0" w:color="auto"/>
              <w:left w:val="nil"/>
              <w:bottom w:val="nil"/>
              <w:right w:val="nil"/>
            </w:tcBorders>
            <w:vAlign w:val="center"/>
          </w:tcPr>
          <w:p w14:paraId="51335D89"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Age (years)</w:t>
            </w:r>
          </w:p>
        </w:tc>
        <w:tc>
          <w:tcPr>
            <w:tcW w:w="2847" w:type="dxa"/>
            <w:tcBorders>
              <w:top w:val="single" w:sz="8" w:space="0" w:color="auto"/>
              <w:left w:val="nil"/>
              <w:bottom w:val="nil"/>
              <w:right w:val="nil"/>
            </w:tcBorders>
            <w:vAlign w:val="center"/>
          </w:tcPr>
          <w:p w14:paraId="3A982F8E"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79.7 (76.7, 83.3)</w:t>
            </w:r>
          </w:p>
        </w:tc>
        <w:tc>
          <w:tcPr>
            <w:tcW w:w="2409" w:type="dxa"/>
            <w:tcBorders>
              <w:top w:val="single" w:sz="8" w:space="0" w:color="auto"/>
              <w:left w:val="nil"/>
              <w:bottom w:val="nil"/>
              <w:right w:val="nil"/>
            </w:tcBorders>
            <w:vAlign w:val="center"/>
          </w:tcPr>
          <w:p w14:paraId="7B652BCE"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80.1 (77.2, 84.4)</w:t>
            </w:r>
          </w:p>
        </w:tc>
      </w:tr>
      <w:tr w:rsidR="009604BF" w14:paraId="274635C5" w14:textId="77777777" w:rsidTr="55869305">
        <w:trPr>
          <w:trHeight w:val="15"/>
        </w:trPr>
        <w:tc>
          <w:tcPr>
            <w:tcW w:w="4950" w:type="dxa"/>
            <w:tcBorders>
              <w:left w:val="nil"/>
              <w:bottom w:val="none" w:sz="8" w:space="0" w:color="000000" w:themeColor="text1"/>
            </w:tcBorders>
            <w:vAlign w:val="center"/>
          </w:tcPr>
          <w:p w14:paraId="24B09E1B"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w:t>
            </w:r>
          </w:p>
        </w:tc>
        <w:tc>
          <w:tcPr>
            <w:tcW w:w="2847" w:type="dxa"/>
            <w:vAlign w:val="center"/>
          </w:tcPr>
          <w:p w14:paraId="26AE425C" w14:textId="77777777" w:rsidR="009604BF" w:rsidRDefault="009604BF" w:rsidP="00FF27D2">
            <w:pPr>
              <w:spacing w:line="276" w:lineRule="auto"/>
              <w:contextualSpacing/>
            </w:pPr>
            <w:r w:rsidRPr="1FEE1B07">
              <w:rPr>
                <w:rFonts w:ascii="Calibri" w:eastAsia="Calibri" w:hAnsi="Calibri" w:cs="Calibri"/>
                <w:b/>
                <w:bCs/>
                <w:color w:val="000000" w:themeColor="text1"/>
                <w:sz w:val="20"/>
                <w:szCs w:val="20"/>
              </w:rPr>
              <w:t xml:space="preserve"> </w:t>
            </w:r>
          </w:p>
        </w:tc>
        <w:tc>
          <w:tcPr>
            <w:tcW w:w="2409" w:type="dxa"/>
            <w:vAlign w:val="center"/>
          </w:tcPr>
          <w:p w14:paraId="06348104" w14:textId="77777777" w:rsidR="009604BF" w:rsidRDefault="009604BF" w:rsidP="00FF27D2">
            <w:pPr>
              <w:spacing w:line="276" w:lineRule="auto"/>
              <w:contextualSpacing/>
            </w:pPr>
            <w:r w:rsidRPr="1FEE1B07">
              <w:rPr>
                <w:rFonts w:ascii="Calibri" w:eastAsia="Calibri" w:hAnsi="Calibri" w:cs="Calibri"/>
                <w:sz w:val="20"/>
                <w:szCs w:val="20"/>
              </w:rPr>
              <w:t xml:space="preserve"> </w:t>
            </w:r>
          </w:p>
        </w:tc>
      </w:tr>
      <w:tr w:rsidR="009604BF" w14:paraId="07803875" w14:textId="77777777" w:rsidTr="55869305">
        <w:trPr>
          <w:trHeight w:val="15"/>
        </w:trPr>
        <w:tc>
          <w:tcPr>
            <w:tcW w:w="4950" w:type="dxa"/>
            <w:tcBorders>
              <w:top w:val="none" w:sz="4" w:space="0" w:color="000000" w:themeColor="text1"/>
              <w:left w:val="none" w:sz="4" w:space="0" w:color="000000" w:themeColor="text1"/>
              <w:bottom w:val="none" w:sz="4" w:space="0" w:color="000000" w:themeColor="text1"/>
              <w:right w:val="none" w:sz="4" w:space="0" w:color="000000" w:themeColor="text1"/>
            </w:tcBorders>
            <w:vAlign w:val="center"/>
          </w:tcPr>
          <w:p w14:paraId="4B898CB3"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Education (University </w:t>
            </w:r>
            <w:r w:rsidRPr="1FEE1B07">
              <w:rPr>
                <w:rFonts w:ascii="Calibri" w:eastAsia="Calibri" w:hAnsi="Calibri" w:cs="Calibri"/>
                <w:sz w:val="20"/>
                <w:szCs w:val="20"/>
              </w:rPr>
              <w:t>degree / HND / Higher professional qualifications</w:t>
            </w:r>
            <w:r w:rsidRPr="1FEE1B07">
              <w:rPr>
                <w:rFonts w:ascii="Calibri" w:eastAsia="Calibri" w:hAnsi="Calibri" w:cs="Calibri"/>
                <w:color w:val="000000" w:themeColor="text1"/>
                <w:sz w:val="20"/>
                <w:szCs w:val="20"/>
              </w:rPr>
              <w:t>)</w:t>
            </w:r>
          </w:p>
        </w:tc>
        <w:tc>
          <w:tcPr>
            <w:tcW w:w="2847" w:type="dxa"/>
            <w:tcBorders>
              <w:left w:val="none" w:sz="4" w:space="0" w:color="000000" w:themeColor="text1"/>
            </w:tcBorders>
            <w:vAlign w:val="center"/>
          </w:tcPr>
          <w:p w14:paraId="76E78976"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55 (24.4%)</w:t>
            </w:r>
          </w:p>
        </w:tc>
        <w:tc>
          <w:tcPr>
            <w:tcW w:w="2409" w:type="dxa"/>
            <w:vAlign w:val="center"/>
          </w:tcPr>
          <w:p w14:paraId="2B917D4A"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41 (15.4%)</w:t>
            </w:r>
          </w:p>
        </w:tc>
      </w:tr>
      <w:tr w:rsidR="009604BF" w14:paraId="50E175E6" w14:textId="77777777" w:rsidTr="55869305">
        <w:trPr>
          <w:trHeight w:val="15"/>
        </w:trPr>
        <w:tc>
          <w:tcPr>
            <w:tcW w:w="4950" w:type="dxa"/>
            <w:tcBorders>
              <w:top w:val="none" w:sz="4" w:space="0" w:color="000000" w:themeColor="text1"/>
            </w:tcBorders>
            <w:vAlign w:val="center"/>
          </w:tcPr>
          <w:p w14:paraId="5D02994C" w14:textId="77777777" w:rsidR="009604BF" w:rsidRDefault="009604BF" w:rsidP="00FF27D2">
            <w:pPr>
              <w:spacing w:line="276" w:lineRule="auto"/>
              <w:contextualSpacing/>
            </w:pPr>
            <w:r w:rsidRPr="1FEE1B07">
              <w:rPr>
                <w:rFonts w:ascii="Calibri" w:eastAsia="Calibri" w:hAnsi="Calibri" w:cs="Calibri"/>
                <w:sz w:val="20"/>
                <w:szCs w:val="20"/>
              </w:rPr>
              <w:t xml:space="preserve"> </w:t>
            </w:r>
          </w:p>
        </w:tc>
        <w:tc>
          <w:tcPr>
            <w:tcW w:w="2847" w:type="dxa"/>
            <w:vAlign w:val="center"/>
          </w:tcPr>
          <w:p w14:paraId="47BFECAC" w14:textId="77777777" w:rsidR="009604BF" w:rsidRDefault="009604BF" w:rsidP="00FF27D2">
            <w:pPr>
              <w:spacing w:line="276" w:lineRule="auto"/>
              <w:contextualSpacing/>
            </w:pPr>
            <w:r w:rsidRPr="1FEE1B07">
              <w:rPr>
                <w:rFonts w:ascii="Calibri" w:eastAsia="Calibri" w:hAnsi="Calibri" w:cs="Calibri"/>
                <w:sz w:val="20"/>
                <w:szCs w:val="20"/>
              </w:rPr>
              <w:t xml:space="preserve"> </w:t>
            </w:r>
          </w:p>
        </w:tc>
        <w:tc>
          <w:tcPr>
            <w:tcW w:w="2409" w:type="dxa"/>
            <w:vAlign w:val="center"/>
          </w:tcPr>
          <w:p w14:paraId="28E76A30" w14:textId="77777777" w:rsidR="009604BF" w:rsidRDefault="009604BF" w:rsidP="00FF27D2">
            <w:pPr>
              <w:spacing w:line="276" w:lineRule="auto"/>
              <w:contextualSpacing/>
            </w:pPr>
            <w:r w:rsidRPr="1FEE1B07">
              <w:rPr>
                <w:rFonts w:ascii="Calibri" w:eastAsia="Calibri" w:hAnsi="Calibri" w:cs="Calibri"/>
                <w:sz w:val="20"/>
                <w:szCs w:val="20"/>
              </w:rPr>
              <w:t xml:space="preserve"> </w:t>
            </w:r>
          </w:p>
        </w:tc>
      </w:tr>
      <w:tr w:rsidR="009604BF" w14:paraId="48AC9B68" w14:textId="77777777" w:rsidTr="55869305">
        <w:trPr>
          <w:trHeight w:val="15"/>
        </w:trPr>
        <w:tc>
          <w:tcPr>
            <w:tcW w:w="4950" w:type="dxa"/>
            <w:vAlign w:val="center"/>
          </w:tcPr>
          <w:p w14:paraId="7474D6D0"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Living arrangement</w:t>
            </w:r>
          </w:p>
        </w:tc>
        <w:tc>
          <w:tcPr>
            <w:tcW w:w="2847" w:type="dxa"/>
            <w:vAlign w:val="center"/>
          </w:tcPr>
          <w:p w14:paraId="4161D6BC" w14:textId="77777777" w:rsidR="009604BF" w:rsidRDefault="009604BF" w:rsidP="00FF27D2">
            <w:pPr>
              <w:spacing w:line="276" w:lineRule="auto"/>
              <w:contextualSpacing/>
            </w:pPr>
          </w:p>
        </w:tc>
        <w:tc>
          <w:tcPr>
            <w:tcW w:w="2409" w:type="dxa"/>
            <w:vAlign w:val="center"/>
          </w:tcPr>
          <w:p w14:paraId="6177B6CC" w14:textId="77777777" w:rsidR="009604BF" w:rsidRDefault="009604BF" w:rsidP="00FF27D2">
            <w:pPr>
              <w:spacing w:line="276" w:lineRule="auto"/>
              <w:contextualSpacing/>
            </w:pPr>
          </w:p>
        </w:tc>
      </w:tr>
      <w:tr w:rsidR="009604BF" w14:paraId="68F5B80F" w14:textId="77777777" w:rsidTr="55869305">
        <w:trPr>
          <w:trHeight w:val="15"/>
        </w:trPr>
        <w:tc>
          <w:tcPr>
            <w:tcW w:w="4950" w:type="dxa"/>
            <w:vAlign w:val="center"/>
          </w:tcPr>
          <w:p w14:paraId="20D2C2D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Own property</w:t>
            </w:r>
          </w:p>
        </w:tc>
        <w:tc>
          <w:tcPr>
            <w:tcW w:w="2847" w:type="dxa"/>
            <w:vAlign w:val="bottom"/>
          </w:tcPr>
          <w:p w14:paraId="5088A431"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191 (87.2%)</w:t>
            </w:r>
          </w:p>
        </w:tc>
        <w:tc>
          <w:tcPr>
            <w:tcW w:w="2409" w:type="dxa"/>
            <w:vAlign w:val="bottom"/>
          </w:tcPr>
          <w:p w14:paraId="250FC498"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229 (88.1%)</w:t>
            </w:r>
          </w:p>
        </w:tc>
      </w:tr>
      <w:tr w:rsidR="009604BF" w14:paraId="45FAB524" w14:textId="77777777" w:rsidTr="55869305">
        <w:trPr>
          <w:trHeight w:val="15"/>
        </w:trPr>
        <w:tc>
          <w:tcPr>
            <w:tcW w:w="4950" w:type="dxa"/>
            <w:vAlign w:val="center"/>
          </w:tcPr>
          <w:p w14:paraId="35A3042C"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Rented accommodation</w:t>
            </w:r>
          </w:p>
        </w:tc>
        <w:tc>
          <w:tcPr>
            <w:tcW w:w="2847" w:type="dxa"/>
            <w:vAlign w:val="bottom"/>
          </w:tcPr>
          <w:p w14:paraId="49E3D4F7"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24 (11.0%)</w:t>
            </w:r>
          </w:p>
        </w:tc>
        <w:tc>
          <w:tcPr>
            <w:tcW w:w="2409" w:type="dxa"/>
            <w:vAlign w:val="bottom"/>
          </w:tcPr>
          <w:p w14:paraId="446DDE6C"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24 (9.2%)</w:t>
            </w:r>
          </w:p>
        </w:tc>
      </w:tr>
      <w:tr w:rsidR="009604BF" w14:paraId="6B320719" w14:textId="77777777" w:rsidTr="55869305">
        <w:trPr>
          <w:trHeight w:val="15"/>
        </w:trPr>
        <w:tc>
          <w:tcPr>
            <w:tcW w:w="4950" w:type="dxa"/>
            <w:vAlign w:val="center"/>
          </w:tcPr>
          <w:p w14:paraId="3E041319"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Residential home</w:t>
            </w:r>
          </w:p>
        </w:tc>
        <w:tc>
          <w:tcPr>
            <w:tcW w:w="2847" w:type="dxa"/>
            <w:vAlign w:val="bottom"/>
          </w:tcPr>
          <w:p w14:paraId="3D5D8AF0"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 (0.9%)</w:t>
            </w:r>
          </w:p>
        </w:tc>
        <w:tc>
          <w:tcPr>
            <w:tcW w:w="2409" w:type="dxa"/>
            <w:vAlign w:val="bottom"/>
          </w:tcPr>
          <w:p w14:paraId="48A7DF65"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0 (0.0%)</w:t>
            </w:r>
          </w:p>
        </w:tc>
      </w:tr>
      <w:tr w:rsidR="009604BF" w14:paraId="42B3E6C2" w14:textId="77777777" w:rsidTr="55869305">
        <w:trPr>
          <w:trHeight w:val="15"/>
        </w:trPr>
        <w:tc>
          <w:tcPr>
            <w:tcW w:w="4950" w:type="dxa"/>
            <w:vAlign w:val="center"/>
          </w:tcPr>
          <w:p w14:paraId="79472903"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Nursing home</w:t>
            </w:r>
          </w:p>
        </w:tc>
        <w:tc>
          <w:tcPr>
            <w:tcW w:w="2847" w:type="dxa"/>
            <w:vAlign w:val="center"/>
          </w:tcPr>
          <w:p w14:paraId="39FD5DB0"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0 (0.0%)</w:t>
            </w:r>
          </w:p>
        </w:tc>
        <w:tc>
          <w:tcPr>
            <w:tcW w:w="2409" w:type="dxa"/>
            <w:vAlign w:val="center"/>
          </w:tcPr>
          <w:p w14:paraId="47FFFDAE"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0 (0.0%)</w:t>
            </w:r>
          </w:p>
        </w:tc>
      </w:tr>
      <w:tr w:rsidR="009604BF" w14:paraId="3680E5AC" w14:textId="77777777" w:rsidTr="55869305">
        <w:trPr>
          <w:trHeight w:val="15"/>
        </w:trPr>
        <w:tc>
          <w:tcPr>
            <w:tcW w:w="4950" w:type="dxa"/>
            <w:vAlign w:val="center"/>
          </w:tcPr>
          <w:p w14:paraId="0AA8858F"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Other</w:t>
            </w:r>
          </w:p>
        </w:tc>
        <w:tc>
          <w:tcPr>
            <w:tcW w:w="2847" w:type="dxa"/>
            <w:vAlign w:val="bottom"/>
          </w:tcPr>
          <w:p w14:paraId="7E1873B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 (0.9%)</w:t>
            </w:r>
          </w:p>
        </w:tc>
        <w:tc>
          <w:tcPr>
            <w:tcW w:w="2409" w:type="dxa"/>
            <w:vAlign w:val="bottom"/>
          </w:tcPr>
          <w:p w14:paraId="0B1B6F13"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7 (2.7%)</w:t>
            </w:r>
          </w:p>
        </w:tc>
      </w:tr>
      <w:tr w:rsidR="009604BF" w14:paraId="5AD15EE2" w14:textId="77777777" w:rsidTr="55869305">
        <w:trPr>
          <w:trHeight w:val="15"/>
        </w:trPr>
        <w:tc>
          <w:tcPr>
            <w:tcW w:w="4950" w:type="dxa"/>
            <w:vAlign w:val="center"/>
          </w:tcPr>
          <w:p w14:paraId="09F7D30D" w14:textId="77777777" w:rsidR="009604BF" w:rsidRDefault="009604BF" w:rsidP="00FF27D2">
            <w:pPr>
              <w:spacing w:line="276" w:lineRule="auto"/>
              <w:contextualSpacing/>
            </w:pPr>
          </w:p>
        </w:tc>
        <w:tc>
          <w:tcPr>
            <w:tcW w:w="2847" w:type="dxa"/>
            <w:vAlign w:val="center"/>
          </w:tcPr>
          <w:p w14:paraId="03684BDB" w14:textId="77777777" w:rsidR="009604BF" w:rsidRDefault="009604BF" w:rsidP="00FF27D2">
            <w:pPr>
              <w:spacing w:line="276" w:lineRule="auto"/>
              <w:contextualSpacing/>
            </w:pPr>
          </w:p>
        </w:tc>
        <w:tc>
          <w:tcPr>
            <w:tcW w:w="2409" w:type="dxa"/>
            <w:vAlign w:val="center"/>
          </w:tcPr>
          <w:p w14:paraId="5332B187" w14:textId="77777777" w:rsidR="009604BF" w:rsidRDefault="009604BF" w:rsidP="00FF27D2">
            <w:pPr>
              <w:spacing w:line="276" w:lineRule="auto"/>
              <w:contextualSpacing/>
            </w:pPr>
          </w:p>
        </w:tc>
      </w:tr>
      <w:tr w:rsidR="009604BF" w14:paraId="57C57F72" w14:textId="77777777" w:rsidTr="55869305">
        <w:trPr>
          <w:trHeight w:val="15"/>
        </w:trPr>
        <w:tc>
          <w:tcPr>
            <w:tcW w:w="4950" w:type="dxa"/>
            <w:vAlign w:val="center"/>
          </w:tcPr>
          <w:p w14:paraId="2D31F1F3"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Current marital status</w:t>
            </w:r>
          </w:p>
        </w:tc>
        <w:tc>
          <w:tcPr>
            <w:tcW w:w="2847" w:type="dxa"/>
            <w:vAlign w:val="center"/>
          </w:tcPr>
          <w:p w14:paraId="701BB5B1" w14:textId="77777777" w:rsidR="009604BF" w:rsidRDefault="009604BF" w:rsidP="00FF27D2">
            <w:pPr>
              <w:spacing w:line="276" w:lineRule="auto"/>
              <w:contextualSpacing/>
            </w:pPr>
          </w:p>
        </w:tc>
        <w:tc>
          <w:tcPr>
            <w:tcW w:w="2409" w:type="dxa"/>
            <w:vAlign w:val="center"/>
          </w:tcPr>
          <w:p w14:paraId="72162CE7" w14:textId="77777777" w:rsidR="009604BF" w:rsidRDefault="009604BF" w:rsidP="00FF27D2">
            <w:pPr>
              <w:spacing w:line="276" w:lineRule="auto"/>
              <w:contextualSpacing/>
            </w:pPr>
          </w:p>
        </w:tc>
      </w:tr>
      <w:tr w:rsidR="009604BF" w14:paraId="50AA6BD9" w14:textId="77777777" w:rsidTr="55869305">
        <w:trPr>
          <w:trHeight w:val="15"/>
        </w:trPr>
        <w:tc>
          <w:tcPr>
            <w:tcW w:w="4950" w:type="dxa"/>
            <w:vAlign w:val="center"/>
          </w:tcPr>
          <w:p w14:paraId="4EB7170C"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Single</w:t>
            </w:r>
          </w:p>
        </w:tc>
        <w:tc>
          <w:tcPr>
            <w:tcW w:w="2847" w:type="dxa"/>
            <w:vAlign w:val="bottom"/>
          </w:tcPr>
          <w:p w14:paraId="60FC110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10 (4.5%)</w:t>
            </w:r>
          </w:p>
        </w:tc>
        <w:tc>
          <w:tcPr>
            <w:tcW w:w="2409" w:type="dxa"/>
            <w:vAlign w:val="bottom"/>
          </w:tcPr>
          <w:p w14:paraId="412557E9"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9 (3.4%)</w:t>
            </w:r>
          </w:p>
        </w:tc>
      </w:tr>
      <w:tr w:rsidR="009604BF" w14:paraId="1B01F6D2" w14:textId="77777777" w:rsidTr="55869305">
        <w:trPr>
          <w:trHeight w:val="15"/>
        </w:trPr>
        <w:tc>
          <w:tcPr>
            <w:tcW w:w="4950" w:type="dxa"/>
            <w:vAlign w:val="center"/>
          </w:tcPr>
          <w:p w14:paraId="34F8346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Married or civil partnership</w:t>
            </w:r>
          </w:p>
        </w:tc>
        <w:tc>
          <w:tcPr>
            <w:tcW w:w="2847" w:type="dxa"/>
            <w:vAlign w:val="bottom"/>
          </w:tcPr>
          <w:p w14:paraId="30FE513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146 (65.8%)</w:t>
            </w:r>
          </w:p>
        </w:tc>
        <w:tc>
          <w:tcPr>
            <w:tcW w:w="2409" w:type="dxa"/>
            <w:vAlign w:val="bottom"/>
          </w:tcPr>
          <w:p w14:paraId="277DAA7B"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100 (37.7%)</w:t>
            </w:r>
          </w:p>
        </w:tc>
      </w:tr>
      <w:tr w:rsidR="009604BF" w14:paraId="53BD8E0D" w14:textId="77777777" w:rsidTr="55869305">
        <w:trPr>
          <w:trHeight w:val="15"/>
        </w:trPr>
        <w:tc>
          <w:tcPr>
            <w:tcW w:w="4950" w:type="dxa"/>
            <w:vAlign w:val="center"/>
          </w:tcPr>
          <w:p w14:paraId="35668A5D"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Divorced or separated</w:t>
            </w:r>
          </w:p>
        </w:tc>
        <w:tc>
          <w:tcPr>
            <w:tcW w:w="2847" w:type="dxa"/>
            <w:vAlign w:val="bottom"/>
          </w:tcPr>
          <w:p w14:paraId="39D6F4D7"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22 (9.9%)</w:t>
            </w:r>
          </w:p>
        </w:tc>
        <w:tc>
          <w:tcPr>
            <w:tcW w:w="2409" w:type="dxa"/>
            <w:vAlign w:val="bottom"/>
          </w:tcPr>
          <w:p w14:paraId="067BBAE5"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22 (8.3%)</w:t>
            </w:r>
          </w:p>
        </w:tc>
      </w:tr>
      <w:tr w:rsidR="009604BF" w14:paraId="7E5A5DDE" w14:textId="77777777" w:rsidTr="55869305">
        <w:trPr>
          <w:trHeight w:val="15"/>
        </w:trPr>
        <w:tc>
          <w:tcPr>
            <w:tcW w:w="4950" w:type="dxa"/>
            <w:vAlign w:val="center"/>
          </w:tcPr>
          <w:p w14:paraId="29FF5EAB"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Widowed</w:t>
            </w:r>
          </w:p>
        </w:tc>
        <w:tc>
          <w:tcPr>
            <w:tcW w:w="2847" w:type="dxa"/>
            <w:vAlign w:val="bottom"/>
          </w:tcPr>
          <w:p w14:paraId="44DF86B6"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35 (15.8%)</w:t>
            </w:r>
          </w:p>
        </w:tc>
        <w:tc>
          <w:tcPr>
            <w:tcW w:w="2409" w:type="dxa"/>
            <w:vAlign w:val="bottom"/>
          </w:tcPr>
          <w:p w14:paraId="4E3FBD9F"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129 (48.7%)</w:t>
            </w:r>
          </w:p>
        </w:tc>
      </w:tr>
      <w:tr w:rsidR="009604BF" w14:paraId="2267DCFB" w14:textId="77777777" w:rsidTr="55869305">
        <w:trPr>
          <w:trHeight w:val="15"/>
        </w:trPr>
        <w:tc>
          <w:tcPr>
            <w:tcW w:w="4950" w:type="dxa"/>
            <w:vAlign w:val="center"/>
          </w:tcPr>
          <w:p w14:paraId="6BCFF71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Cohabiting</w:t>
            </w:r>
          </w:p>
        </w:tc>
        <w:tc>
          <w:tcPr>
            <w:tcW w:w="2847" w:type="dxa"/>
            <w:vAlign w:val="bottom"/>
          </w:tcPr>
          <w:p w14:paraId="24465D4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9 (4.1%)</w:t>
            </w:r>
          </w:p>
        </w:tc>
        <w:tc>
          <w:tcPr>
            <w:tcW w:w="2409" w:type="dxa"/>
            <w:vAlign w:val="bottom"/>
          </w:tcPr>
          <w:p w14:paraId="3A748039"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5 (1.9%)</w:t>
            </w:r>
          </w:p>
        </w:tc>
      </w:tr>
      <w:tr w:rsidR="009604BF" w14:paraId="5E2540BA" w14:textId="77777777" w:rsidTr="55869305">
        <w:trPr>
          <w:trHeight w:val="15"/>
        </w:trPr>
        <w:tc>
          <w:tcPr>
            <w:tcW w:w="4950" w:type="dxa"/>
            <w:vAlign w:val="center"/>
          </w:tcPr>
          <w:p w14:paraId="05954D99" w14:textId="77777777" w:rsidR="009604BF" w:rsidRDefault="009604BF" w:rsidP="00FF27D2">
            <w:pPr>
              <w:spacing w:line="276" w:lineRule="auto"/>
              <w:contextualSpacing/>
            </w:pPr>
          </w:p>
        </w:tc>
        <w:tc>
          <w:tcPr>
            <w:tcW w:w="2847" w:type="dxa"/>
            <w:vAlign w:val="center"/>
          </w:tcPr>
          <w:p w14:paraId="4BCE93D7" w14:textId="77777777" w:rsidR="009604BF" w:rsidRDefault="009604BF" w:rsidP="00FF27D2">
            <w:pPr>
              <w:spacing w:line="276" w:lineRule="auto"/>
              <w:contextualSpacing/>
            </w:pPr>
          </w:p>
        </w:tc>
        <w:tc>
          <w:tcPr>
            <w:tcW w:w="2409" w:type="dxa"/>
            <w:vAlign w:val="center"/>
          </w:tcPr>
          <w:p w14:paraId="4F0A6DDB" w14:textId="77777777" w:rsidR="009604BF" w:rsidRDefault="009604BF" w:rsidP="00FF27D2">
            <w:pPr>
              <w:spacing w:line="276" w:lineRule="auto"/>
              <w:contextualSpacing/>
            </w:pPr>
          </w:p>
        </w:tc>
      </w:tr>
      <w:tr w:rsidR="009604BF" w14:paraId="063CF6E5" w14:textId="77777777" w:rsidTr="55869305">
        <w:trPr>
          <w:trHeight w:val="15"/>
        </w:trPr>
        <w:tc>
          <w:tcPr>
            <w:tcW w:w="4950" w:type="dxa"/>
            <w:vAlign w:val="center"/>
          </w:tcPr>
          <w:p w14:paraId="5630F510"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Self-reported height (cm)</w:t>
            </w:r>
          </w:p>
        </w:tc>
        <w:tc>
          <w:tcPr>
            <w:tcW w:w="2847" w:type="dxa"/>
            <w:vAlign w:val="bottom"/>
          </w:tcPr>
          <w:p w14:paraId="2F364A5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174.5 (7.6)</w:t>
            </w:r>
          </w:p>
        </w:tc>
        <w:tc>
          <w:tcPr>
            <w:tcW w:w="2409" w:type="dxa"/>
            <w:vAlign w:val="bottom"/>
          </w:tcPr>
          <w:p w14:paraId="50CDE7A8"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160.6 (6.0)</w:t>
            </w:r>
          </w:p>
        </w:tc>
      </w:tr>
      <w:tr w:rsidR="009604BF" w14:paraId="0CDEDC7C" w14:textId="77777777" w:rsidTr="55869305">
        <w:trPr>
          <w:trHeight w:val="15"/>
        </w:trPr>
        <w:tc>
          <w:tcPr>
            <w:tcW w:w="4950" w:type="dxa"/>
            <w:vAlign w:val="center"/>
          </w:tcPr>
          <w:p w14:paraId="6BD86104"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Self-reported weight (kg)</w:t>
            </w:r>
          </w:p>
        </w:tc>
        <w:tc>
          <w:tcPr>
            <w:tcW w:w="2847" w:type="dxa"/>
            <w:vAlign w:val="bottom"/>
          </w:tcPr>
          <w:p w14:paraId="670ECEA3"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79.4 (11.5)</w:t>
            </w:r>
          </w:p>
        </w:tc>
        <w:tc>
          <w:tcPr>
            <w:tcW w:w="2409" w:type="dxa"/>
            <w:vAlign w:val="bottom"/>
          </w:tcPr>
          <w:p w14:paraId="3E1A2A8B"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68.0 (13.6)</w:t>
            </w:r>
          </w:p>
        </w:tc>
      </w:tr>
      <w:tr w:rsidR="009604BF" w14:paraId="3E4A2E20" w14:textId="77777777" w:rsidTr="55869305">
        <w:trPr>
          <w:trHeight w:val="15"/>
        </w:trPr>
        <w:tc>
          <w:tcPr>
            <w:tcW w:w="4950" w:type="dxa"/>
            <w:vAlign w:val="center"/>
          </w:tcPr>
          <w:p w14:paraId="5CBD272F"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BMI (kg/m</w:t>
            </w:r>
            <w:r w:rsidRPr="1FEE1B07">
              <w:rPr>
                <w:rFonts w:ascii="Calibri" w:eastAsia="Calibri" w:hAnsi="Calibri" w:cs="Calibri"/>
                <w:color w:val="000000" w:themeColor="text1"/>
                <w:sz w:val="20"/>
                <w:szCs w:val="20"/>
                <w:vertAlign w:val="superscript"/>
              </w:rPr>
              <w:t>2</w:t>
            </w:r>
            <w:r w:rsidRPr="1FEE1B07">
              <w:rPr>
                <w:rFonts w:ascii="Calibri" w:eastAsia="Calibri" w:hAnsi="Calibri" w:cs="Calibri"/>
                <w:color w:val="000000" w:themeColor="text1"/>
                <w:sz w:val="20"/>
                <w:szCs w:val="20"/>
              </w:rPr>
              <w:t>)</w:t>
            </w:r>
          </w:p>
        </w:tc>
        <w:tc>
          <w:tcPr>
            <w:tcW w:w="2847" w:type="dxa"/>
            <w:vAlign w:val="bottom"/>
          </w:tcPr>
          <w:p w14:paraId="5F95215F"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26.0 (3.5)</w:t>
            </w:r>
          </w:p>
        </w:tc>
        <w:tc>
          <w:tcPr>
            <w:tcW w:w="2409" w:type="dxa"/>
            <w:vAlign w:val="bottom"/>
          </w:tcPr>
          <w:p w14:paraId="772E178B"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26.4 (5.2)</w:t>
            </w:r>
          </w:p>
        </w:tc>
      </w:tr>
      <w:tr w:rsidR="009604BF" w14:paraId="675D3A7D" w14:textId="77777777" w:rsidTr="55869305">
        <w:trPr>
          <w:trHeight w:val="15"/>
        </w:trPr>
        <w:tc>
          <w:tcPr>
            <w:tcW w:w="4950" w:type="dxa"/>
            <w:vAlign w:val="center"/>
          </w:tcPr>
          <w:p w14:paraId="3ED85A91"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Ever smoked regularly</w:t>
            </w:r>
          </w:p>
        </w:tc>
        <w:tc>
          <w:tcPr>
            <w:tcW w:w="2847" w:type="dxa"/>
            <w:vAlign w:val="bottom"/>
          </w:tcPr>
          <w:p w14:paraId="0D173775"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135 (60.5%)</w:t>
            </w:r>
          </w:p>
        </w:tc>
        <w:tc>
          <w:tcPr>
            <w:tcW w:w="2409" w:type="dxa"/>
            <w:vAlign w:val="bottom"/>
          </w:tcPr>
          <w:p w14:paraId="4EB7419E"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95 (36.0%)</w:t>
            </w:r>
          </w:p>
        </w:tc>
      </w:tr>
      <w:tr w:rsidR="009604BF" w14:paraId="0BB30BE9" w14:textId="77777777" w:rsidTr="55869305">
        <w:trPr>
          <w:trHeight w:val="15"/>
        </w:trPr>
        <w:tc>
          <w:tcPr>
            <w:tcW w:w="4950" w:type="dxa"/>
            <w:vAlign w:val="center"/>
          </w:tcPr>
          <w:p w14:paraId="7E99C36B"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Currently drink alcohol</w:t>
            </w:r>
          </w:p>
        </w:tc>
        <w:tc>
          <w:tcPr>
            <w:tcW w:w="2847" w:type="dxa"/>
            <w:vAlign w:val="bottom"/>
          </w:tcPr>
          <w:p w14:paraId="6BEAE34B"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191 (84.9%)</w:t>
            </w:r>
          </w:p>
        </w:tc>
        <w:tc>
          <w:tcPr>
            <w:tcW w:w="2409" w:type="dxa"/>
            <w:vAlign w:val="bottom"/>
          </w:tcPr>
          <w:p w14:paraId="2D1EA52A"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188 (70.9%)</w:t>
            </w:r>
          </w:p>
        </w:tc>
      </w:tr>
      <w:tr w:rsidR="009604BF" w14:paraId="5D9DDDCB" w14:textId="77777777" w:rsidTr="55869305">
        <w:trPr>
          <w:trHeight w:val="15"/>
        </w:trPr>
        <w:tc>
          <w:tcPr>
            <w:tcW w:w="4950" w:type="dxa"/>
            <w:vAlign w:val="center"/>
          </w:tcPr>
          <w:p w14:paraId="6EDCA057"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DETERMINE score</w:t>
            </w:r>
          </w:p>
        </w:tc>
        <w:tc>
          <w:tcPr>
            <w:tcW w:w="2847" w:type="dxa"/>
            <w:vAlign w:val="bottom"/>
          </w:tcPr>
          <w:p w14:paraId="21001A60"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3.0 (1.0, 5.0)</w:t>
            </w:r>
          </w:p>
        </w:tc>
        <w:tc>
          <w:tcPr>
            <w:tcW w:w="2409" w:type="dxa"/>
            <w:vAlign w:val="bottom"/>
          </w:tcPr>
          <w:p w14:paraId="1C009697"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3.0 (1.0, 4.0)</w:t>
            </w:r>
          </w:p>
        </w:tc>
      </w:tr>
      <w:tr w:rsidR="009604BF" w14:paraId="710DF08C" w14:textId="77777777" w:rsidTr="55869305">
        <w:trPr>
          <w:trHeight w:val="15"/>
        </w:trPr>
        <w:tc>
          <w:tcPr>
            <w:tcW w:w="4950" w:type="dxa"/>
            <w:vAlign w:val="center"/>
          </w:tcPr>
          <w:p w14:paraId="0C52A4C4"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Number of comorbidities</w:t>
            </w:r>
            <w:r w:rsidRPr="1FEE1B07">
              <w:rPr>
                <w:rFonts w:ascii="Calibri" w:eastAsia="Calibri" w:hAnsi="Calibri" w:cs="Calibri"/>
                <w:color w:val="000000" w:themeColor="text1"/>
                <w:sz w:val="20"/>
                <w:szCs w:val="20"/>
                <w:vertAlign w:val="superscript"/>
              </w:rPr>
              <w:t>+</w:t>
            </w:r>
          </w:p>
        </w:tc>
        <w:tc>
          <w:tcPr>
            <w:tcW w:w="2847" w:type="dxa"/>
            <w:vAlign w:val="bottom"/>
          </w:tcPr>
          <w:p w14:paraId="5987BBE2"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2.0 (1.0, 3.0)</w:t>
            </w:r>
          </w:p>
        </w:tc>
        <w:tc>
          <w:tcPr>
            <w:tcW w:w="2409" w:type="dxa"/>
            <w:vAlign w:val="bottom"/>
          </w:tcPr>
          <w:p w14:paraId="473FAE49"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2.0 (1.0, 3.0)</w:t>
            </w:r>
          </w:p>
        </w:tc>
      </w:tr>
      <w:tr w:rsidR="009604BF" w14:paraId="601C84D7" w14:textId="77777777" w:rsidTr="55869305">
        <w:trPr>
          <w:trHeight w:val="15"/>
        </w:trPr>
        <w:tc>
          <w:tcPr>
            <w:tcW w:w="4950" w:type="dxa"/>
            <w:vAlign w:val="center"/>
          </w:tcPr>
          <w:p w14:paraId="3ED21662" w14:textId="77777777" w:rsidR="009604BF" w:rsidRDefault="009604BF" w:rsidP="00FF27D2">
            <w:pPr>
              <w:spacing w:line="276" w:lineRule="auto"/>
              <w:contextualSpacing/>
            </w:pPr>
            <w:r w:rsidRPr="55869305">
              <w:rPr>
                <w:rFonts w:ascii="Calibri" w:eastAsia="Calibri" w:hAnsi="Calibri" w:cs="Calibri"/>
                <w:color w:val="000000" w:themeColor="text1"/>
                <w:sz w:val="20"/>
                <w:szCs w:val="20"/>
              </w:rPr>
              <w:t>SARC-F score</w:t>
            </w:r>
          </w:p>
        </w:tc>
        <w:tc>
          <w:tcPr>
            <w:tcW w:w="2847" w:type="dxa"/>
            <w:vAlign w:val="bottom"/>
          </w:tcPr>
          <w:p w14:paraId="1CB17A41" w14:textId="77777777" w:rsidR="009604BF" w:rsidRDefault="009604BF" w:rsidP="00FF27D2">
            <w:pPr>
              <w:spacing w:line="276" w:lineRule="auto"/>
              <w:contextualSpacing/>
            </w:pPr>
            <w:r w:rsidRPr="55869305">
              <w:rPr>
                <w:rFonts w:ascii="Calibri" w:eastAsia="Calibri" w:hAnsi="Calibri" w:cs="Calibri"/>
                <w:color w:val="000000" w:themeColor="text1"/>
                <w:sz w:val="20"/>
                <w:szCs w:val="20"/>
              </w:rPr>
              <w:t>0.0 (0.0, 2.0)</w:t>
            </w:r>
          </w:p>
        </w:tc>
        <w:tc>
          <w:tcPr>
            <w:tcW w:w="2409" w:type="dxa"/>
            <w:vAlign w:val="bottom"/>
          </w:tcPr>
          <w:p w14:paraId="5FABE27B" w14:textId="77777777" w:rsidR="009604BF" w:rsidRDefault="009604BF" w:rsidP="00FF27D2">
            <w:pPr>
              <w:spacing w:line="276" w:lineRule="auto"/>
              <w:contextualSpacing/>
            </w:pPr>
            <w:r w:rsidRPr="55869305">
              <w:rPr>
                <w:rFonts w:ascii="Calibri" w:eastAsia="Calibri" w:hAnsi="Calibri" w:cs="Calibri"/>
                <w:color w:val="000000" w:themeColor="text1"/>
                <w:sz w:val="20"/>
                <w:szCs w:val="20"/>
              </w:rPr>
              <w:t>2.0 (1.0, 3.0)</w:t>
            </w:r>
          </w:p>
        </w:tc>
      </w:tr>
      <w:tr w:rsidR="009604BF" w14:paraId="02A5F71A" w14:textId="77777777" w:rsidTr="55869305">
        <w:trPr>
          <w:trHeight w:val="15"/>
        </w:trPr>
        <w:tc>
          <w:tcPr>
            <w:tcW w:w="4950" w:type="dxa"/>
            <w:vAlign w:val="center"/>
          </w:tcPr>
          <w:p w14:paraId="4121051F"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Lost more than 10 pounds unintentionally in past year</w:t>
            </w:r>
          </w:p>
        </w:tc>
        <w:tc>
          <w:tcPr>
            <w:tcW w:w="2847" w:type="dxa"/>
            <w:vAlign w:val="bottom"/>
          </w:tcPr>
          <w:p w14:paraId="2ACE4803"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22 (9.8%)</w:t>
            </w:r>
          </w:p>
        </w:tc>
        <w:tc>
          <w:tcPr>
            <w:tcW w:w="2409" w:type="dxa"/>
            <w:vAlign w:val="bottom"/>
          </w:tcPr>
          <w:p w14:paraId="46AD5516"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19 (7.3%)</w:t>
            </w:r>
          </w:p>
        </w:tc>
      </w:tr>
      <w:tr w:rsidR="009604BF" w14:paraId="67416266" w14:textId="77777777" w:rsidTr="55869305">
        <w:trPr>
          <w:trHeight w:val="15"/>
        </w:trPr>
        <w:tc>
          <w:tcPr>
            <w:tcW w:w="4950" w:type="dxa"/>
            <w:vAlign w:val="center"/>
          </w:tcPr>
          <w:p w14:paraId="34054636" w14:textId="77777777" w:rsidR="009604BF" w:rsidRDefault="009604BF" w:rsidP="00FF27D2">
            <w:pPr>
              <w:spacing w:line="276" w:lineRule="auto"/>
              <w:contextualSpacing/>
            </w:pPr>
          </w:p>
        </w:tc>
        <w:tc>
          <w:tcPr>
            <w:tcW w:w="2847" w:type="dxa"/>
            <w:vAlign w:val="center"/>
          </w:tcPr>
          <w:p w14:paraId="49634E13" w14:textId="77777777" w:rsidR="009604BF" w:rsidRDefault="009604BF" w:rsidP="00FF27D2">
            <w:pPr>
              <w:spacing w:line="276" w:lineRule="auto"/>
              <w:contextualSpacing/>
            </w:pPr>
          </w:p>
        </w:tc>
        <w:tc>
          <w:tcPr>
            <w:tcW w:w="2409" w:type="dxa"/>
            <w:vAlign w:val="center"/>
          </w:tcPr>
          <w:p w14:paraId="01B71230" w14:textId="77777777" w:rsidR="009604BF" w:rsidRDefault="009604BF" w:rsidP="00FF27D2">
            <w:pPr>
              <w:spacing w:line="276" w:lineRule="auto"/>
              <w:contextualSpacing/>
            </w:pPr>
          </w:p>
        </w:tc>
      </w:tr>
      <w:tr w:rsidR="009604BF" w14:paraId="6E247F8C" w14:textId="77777777" w:rsidTr="55869305">
        <w:trPr>
          <w:trHeight w:val="15"/>
        </w:trPr>
        <w:tc>
          <w:tcPr>
            <w:tcW w:w="4950" w:type="dxa"/>
            <w:vAlign w:val="center"/>
          </w:tcPr>
          <w:p w14:paraId="5268CE47"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Self-reported exhaustion in the past week*</w:t>
            </w:r>
          </w:p>
        </w:tc>
        <w:tc>
          <w:tcPr>
            <w:tcW w:w="2847" w:type="dxa"/>
            <w:vAlign w:val="center"/>
          </w:tcPr>
          <w:p w14:paraId="19BE67DE" w14:textId="77777777" w:rsidR="009604BF" w:rsidRDefault="009604BF" w:rsidP="00FF27D2">
            <w:pPr>
              <w:spacing w:line="276" w:lineRule="auto"/>
              <w:contextualSpacing/>
            </w:pPr>
          </w:p>
        </w:tc>
        <w:tc>
          <w:tcPr>
            <w:tcW w:w="2409" w:type="dxa"/>
            <w:vAlign w:val="center"/>
          </w:tcPr>
          <w:p w14:paraId="38A35C9B" w14:textId="77777777" w:rsidR="009604BF" w:rsidRDefault="009604BF" w:rsidP="00FF27D2">
            <w:pPr>
              <w:spacing w:line="276" w:lineRule="auto"/>
              <w:contextualSpacing/>
            </w:pPr>
          </w:p>
        </w:tc>
      </w:tr>
      <w:tr w:rsidR="009604BF" w14:paraId="0AF6508E" w14:textId="77777777" w:rsidTr="55869305">
        <w:trPr>
          <w:trHeight w:val="15"/>
        </w:trPr>
        <w:tc>
          <w:tcPr>
            <w:tcW w:w="4950" w:type="dxa"/>
            <w:vAlign w:val="center"/>
          </w:tcPr>
          <w:p w14:paraId="093E0484"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Rarely or none of the time (&lt; 1 day)</w:t>
            </w:r>
          </w:p>
        </w:tc>
        <w:tc>
          <w:tcPr>
            <w:tcW w:w="2847" w:type="dxa"/>
            <w:vAlign w:val="bottom"/>
          </w:tcPr>
          <w:p w14:paraId="2B3FE9BC"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116 (52.0%)</w:t>
            </w:r>
          </w:p>
        </w:tc>
        <w:tc>
          <w:tcPr>
            <w:tcW w:w="2409" w:type="dxa"/>
            <w:vAlign w:val="bottom"/>
          </w:tcPr>
          <w:p w14:paraId="4DF6AA76"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115 (44.4%)</w:t>
            </w:r>
          </w:p>
        </w:tc>
      </w:tr>
      <w:tr w:rsidR="009604BF" w14:paraId="5997BE3F" w14:textId="77777777" w:rsidTr="55869305">
        <w:trPr>
          <w:trHeight w:val="15"/>
        </w:trPr>
        <w:tc>
          <w:tcPr>
            <w:tcW w:w="4950" w:type="dxa"/>
            <w:vAlign w:val="center"/>
          </w:tcPr>
          <w:p w14:paraId="267D0957"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Some or a little of the time (1-2 days)</w:t>
            </w:r>
          </w:p>
        </w:tc>
        <w:tc>
          <w:tcPr>
            <w:tcW w:w="2847" w:type="dxa"/>
            <w:vAlign w:val="bottom"/>
          </w:tcPr>
          <w:p w14:paraId="25DC1976"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66 (29.6%)</w:t>
            </w:r>
          </w:p>
        </w:tc>
        <w:tc>
          <w:tcPr>
            <w:tcW w:w="2409" w:type="dxa"/>
            <w:vAlign w:val="bottom"/>
          </w:tcPr>
          <w:p w14:paraId="07C988F4"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76 (29.3%)</w:t>
            </w:r>
          </w:p>
        </w:tc>
      </w:tr>
      <w:tr w:rsidR="009604BF" w14:paraId="72337C7C" w14:textId="77777777" w:rsidTr="55869305">
        <w:trPr>
          <w:trHeight w:val="15"/>
        </w:trPr>
        <w:tc>
          <w:tcPr>
            <w:tcW w:w="4950" w:type="dxa"/>
            <w:vAlign w:val="center"/>
          </w:tcPr>
          <w:p w14:paraId="2D6A6D46"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A moderate amount of time (3-4 days)</w:t>
            </w:r>
          </w:p>
        </w:tc>
        <w:tc>
          <w:tcPr>
            <w:tcW w:w="2847" w:type="dxa"/>
            <w:vAlign w:val="bottom"/>
          </w:tcPr>
          <w:p w14:paraId="66EEEFF8"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22 (9.9%)</w:t>
            </w:r>
          </w:p>
        </w:tc>
        <w:tc>
          <w:tcPr>
            <w:tcW w:w="2409" w:type="dxa"/>
            <w:vAlign w:val="bottom"/>
          </w:tcPr>
          <w:p w14:paraId="7778D941"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32 (12.4%)</w:t>
            </w:r>
          </w:p>
        </w:tc>
      </w:tr>
      <w:tr w:rsidR="009604BF" w14:paraId="31794876" w14:textId="77777777" w:rsidTr="55869305">
        <w:trPr>
          <w:trHeight w:val="15"/>
        </w:trPr>
        <w:tc>
          <w:tcPr>
            <w:tcW w:w="4950" w:type="dxa"/>
            <w:tcBorders>
              <w:left w:val="nil"/>
              <w:bottom w:val="single" w:sz="8" w:space="0" w:color="auto"/>
              <w:right w:val="nil"/>
            </w:tcBorders>
            <w:vAlign w:val="center"/>
          </w:tcPr>
          <w:p w14:paraId="3C3B9436"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 xml:space="preserve">     Most of the time (&gt;4 days)</w:t>
            </w:r>
          </w:p>
        </w:tc>
        <w:tc>
          <w:tcPr>
            <w:tcW w:w="2847" w:type="dxa"/>
            <w:tcBorders>
              <w:left w:val="nil"/>
              <w:bottom w:val="single" w:sz="8" w:space="0" w:color="auto"/>
              <w:right w:val="nil"/>
            </w:tcBorders>
            <w:vAlign w:val="bottom"/>
          </w:tcPr>
          <w:p w14:paraId="54B1BC80"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19 (8.5%)</w:t>
            </w:r>
          </w:p>
        </w:tc>
        <w:tc>
          <w:tcPr>
            <w:tcW w:w="2409" w:type="dxa"/>
            <w:tcBorders>
              <w:left w:val="nil"/>
              <w:bottom w:val="single" w:sz="8" w:space="0" w:color="auto"/>
              <w:right w:val="nil"/>
            </w:tcBorders>
            <w:vAlign w:val="bottom"/>
          </w:tcPr>
          <w:p w14:paraId="41994F05"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36 (13.9%)</w:t>
            </w:r>
          </w:p>
        </w:tc>
      </w:tr>
      <w:tr w:rsidR="009604BF" w14:paraId="08045F32" w14:textId="77777777" w:rsidTr="55869305">
        <w:trPr>
          <w:trHeight w:val="15"/>
        </w:trPr>
        <w:tc>
          <w:tcPr>
            <w:tcW w:w="4950" w:type="dxa"/>
            <w:vAlign w:val="center"/>
          </w:tcPr>
          <w:p w14:paraId="14DDA1F3"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HND: Higher National Diploma</w:t>
            </w:r>
          </w:p>
        </w:tc>
        <w:tc>
          <w:tcPr>
            <w:tcW w:w="2847" w:type="dxa"/>
            <w:vAlign w:val="bottom"/>
          </w:tcPr>
          <w:p w14:paraId="159A9AE8" w14:textId="77777777" w:rsidR="009604BF" w:rsidRDefault="009604BF" w:rsidP="00FF27D2">
            <w:pPr>
              <w:spacing w:line="276" w:lineRule="auto"/>
              <w:contextualSpacing/>
            </w:pPr>
          </w:p>
        </w:tc>
        <w:tc>
          <w:tcPr>
            <w:tcW w:w="2409" w:type="dxa"/>
            <w:vAlign w:val="bottom"/>
          </w:tcPr>
          <w:p w14:paraId="67356F86" w14:textId="77777777" w:rsidR="009604BF" w:rsidRDefault="009604BF" w:rsidP="00FF27D2">
            <w:pPr>
              <w:spacing w:line="276" w:lineRule="auto"/>
              <w:contextualSpacing/>
            </w:pPr>
          </w:p>
        </w:tc>
      </w:tr>
      <w:tr w:rsidR="009604BF" w14:paraId="55B1FC00" w14:textId="77777777" w:rsidTr="55869305">
        <w:trPr>
          <w:trHeight w:val="15"/>
        </w:trPr>
        <w:tc>
          <w:tcPr>
            <w:tcW w:w="10206" w:type="dxa"/>
            <w:gridSpan w:val="3"/>
            <w:vAlign w:val="center"/>
          </w:tcPr>
          <w:p w14:paraId="2AC4A9C7"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BMI was calculated from self-reported height and weight</w:t>
            </w:r>
          </w:p>
        </w:tc>
      </w:tr>
      <w:tr w:rsidR="009604BF" w14:paraId="34FFC816" w14:textId="77777777" w:rsidTr="55869305">
        <w:trPr>
          <w:trHeight w:val="15"/>
        </w:trPr>
        <w:tc>
          <w:tcPr>
            <w:tcW w:w="10206" w:type="dxa"/>
            <w:gridSpan w:val="3"/>
            <w:vAlign w:val="center"/>
          </w:tcPr>
          <w:p w14:paraId="281D7B7F"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DETERMINE: DETERMINE Your Nutritional Health Checklist</w:t>
            </w:r>
          </w:p>
          <w:p w14:paraId="0E177568" w14:textId="77777777" w:rsidR="009604BF" w:rsidRDefault="009604BF" w:rsidP="00FF27D2">
            <w:pPr>
              <w:spacing w:line="276" w:lineRule="auto"/>
              <w:contextualSpacing/>
            </w:pPr>
            <w:r w:rsidRPr="1FEE1B07">
              <w:rPr>
                <w:rFonts w:ascii="Calibri" w:eastAsia="Calibri" w:hAnsi="Calibri" w:cs="Calibri"/>
                <w:sz w:val="20"/>
                <w:szCs w:val="20"/>
                <w:vertAlign w:val="superscript"/>
              </w:rPr>
              <w:t>+</w:t>
            </w:r>
            <w:r w:rsidRPr="1FEE1B07">
              <w:rPr>
                <w:rFonts w:ascii="Calibri" w:eastAsia="Calibri" w:hAnsi="Calibri" w:cs="Calibri"/>
                <w:sz w:val="20"/>
                <w:szCs w:val="20"/>
              </w:rPr>
              <w:t xml:space="preserve">Number of the following doctor-diagnosed conditions: heart attack or angina; stroke or transient </w:t>
            </w:r>
            <w:proofErr w:type="spellStart"/>
            <w:r w:rsidRPr="1FEE1B07">
              <w:rPr>
                <w:rFonts w:ascii="Calibri" w:eastAsia="Calibri" w:hAnsi="Calibri" w:cs="Calibri"/>
                <w:sz w:val="20"/>
                <w:szCs w:val="20"/>
              </w:rPr>
              <w:t>ischaemic</w:t>
            </w:r>
            <w:proofErr w:type="spellEnd"/>
            <w:r w:rsidRPr="1FEE1B07">
              <w:rPr>
                <w:rFonts w:ascii="Calibri" w:eastAsia="Calibri" w:hAnsi="Calibri" w:cs="Calibri"/>
                <w:sz w:val="20"/>
                <w:szCs w:val="20"/>
              </w:rPr>
              <w:t xml:space="preserve"> attack; hypertension; type 1 or 2 diabetes; asthma, bronchitis, emphysema, or chronic obstructive pulmonary disease (COPD); depression; osteoporosis; anxiety; memory problems or dementia; Parkinson’s disease; osteoarthritis or degenerative joint disease; rheumatoid/inflammatory arthritis; cancer; or high cholesterol.</w:t>
            </w:r>
          </w:p>
        </w:tc>
      </w:tr>
      <w:tr w:rsidR="009604BF" w14:paraId="7E4115DD" w14:textId="77777777" w:rsidTr="55869305">
        <w:trPr>
          <w:trHeight w:val="15"/>
        </w:trPr>
        <w:tc>
          <w:tcPr>
            <w:tcW w:w="10206" w:type="dxa"/>
            <w:gridSpan w:val="3"/>
            <w:vAlign w:val="center"/>
          </w:tcPr>
          <w:p w14:paraId="53ABBB66"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lastRenderedPageBreak/>
              <w:t xml:space="preserve">SARC-F: Strength, Ambulation, </w:t>
            </w:r>
            <w:proofErr w:type="gramStart"/>
            <w:r w:rsidRPr="1FEE1B07">
              <w:rPr>
                <w:rFonts w:ascii="Calibri" w:eastAsia="Calibri" w:hAnsi="Calibri" w:cs="Calibri"/>
                <w:color w:val="000000" w:themeColor="text1"/>
                <w:sz w:val="20"/>
                <w:szCs w:val="20"/>
              </w:rPr>
              <w:t>Rising</w:t>
            </w:r>
            <w:proofErr w:type="gramEnd"/>
            <w:r w:rsidRPr="1FEE1B07">
              <w:rPr>
                <w:rFonts w:ascii="Calibri" w:eastAsia="Calibri" w:hAnsi="Calibri" w:cs="Calibri"/>
                <w:color w:val="000000" w:themeColor="text1"/>
                <w:sz w:val="20"/>
                <w:szCs w:val="20"/>
              </w:rPr>
              <w:t xml:space="preserve"> from a chair, Stair climbing and history of Falling screening test for sarcopenia</w:t>
            </w:r>
          </w:p>
        </w:tc>
      </w:tr>
      <w:tr w:rsidR="009604BF" w14:paraId="289096F5" w14:textId="77777777" w:rsidTr="55869305">
        <w:trPr>
          <w:trHeight w:val="15"/>
        </w:trPr>
        <w:tc>
          <w:tcPr>
            <w:tcW w:w="10206" w:type="dxa"/>
            <w:gridSpan w:val="3"/>
            <w:vAlign w:val="center"/>
          </w:tcPr>
          <w:p w14:paraId="21F0A903" w14:textId="77777777" w:rsidR="009604BF" w:rsidRDefault="009604BF" w:rsidP="00FF27D2">
            <w:pPr>
              <w:spacing w:line="276" w:lineRule="auto"/>
              <w:contextualSpacing/>
            </w:pPr>
            <w:r w:rsidRPr="1FEE1B07">
              <w:rPr>
                <w:rFonts w:ascii="Calibri" w:eastAsia="Calibri" w:hAnsi="Calibri" w:cs="Calibri"/>
                <w:color w:val="000000" w:themeColor="text1"/>
                <w:sz w:val="20"/>
                <w:szCs w:val="20"/>
              </w:rPr>
              <w:t>*How often in the last week did the following apply? 'I felt that everything I did was an effort' or 'I could not get going'</w:t>
            </w:r>
          </w:p>
        </w:tc>
      </w:tr>
    </w:tbl>
    <w:p w14:paraId="4DFBF7B1" w14:textId="77777777" w:rsidR="009604BF" w:rsidRDefault="009604BF" w:rsidP="009604BF">
      <w:pPr>
        <w:sectPr w:rsidR="009604BF" w:rsidSect="00CB48DA">
          <w:pgSz w:w="12240" w:h="15840"/>
          <w:pgMar w:top="1138" w:right="1181" w:bottom="1138" w:left="1282" w:header="283" w:footer="510" w:gutter="0"/>
          <w:lnNumType w:countBy="1" w:restart="continuous"/>
          <w:cols w:space="720"/>
          <w:titlePg/>
          <w:docGrid w:linePitch="360"/>
        </w:sectPr>
      </w:pPr>
    </w:p>
    <w:p w14:paraId="565A0E1A" w14:textId="2EDA094C" w:rsidR="009604BF" w:rsidRDefault="009604BF" w:rsidP="009604BF">
      <w:pPr>
        <w:pStyle w:val="Caption"/>
      </w:pPr>
      <w:r>
        <w:lastRenderedPageBreak/>
        <w:t xml:space="preserve">Table </w:t>
      </w:r>
      <w:fldSimple w:instr=" SEQ Table \* ARABIC ">
        <w:r w:rsidR="000F4598">
          <w:rPr>
            <w:noProof/>
          </w:rPr>
          <w:t>2</w:t>
        </w:r>
      </w:fldSimple>
      <w:r>
        <w:t xml:space="preserve">: </w:t>
      </w:r>
      <w:r w:rsidRPr="00830081">
        <w:t>Changes in aspects of lifestyle compared to before the first UK lockdown (23/03/2020)</w:t>
      </w:r>
    </w:p>
    <w:p w14:paraId="004327B5" w14:textId="77777777" w:rsidR="00A36F89" w:rsidRPr="00531FCF" w:rsidRDefault="00A36F89" w:rsidP="00A36F89">
      <w:pPr>
        <w:spacing w:after="0"/>
        <w:textAlignment w:val="baseline"/>
        <w:rPr>
          <w:rFonts w:eastAsia="Times New Roman" w:cstheme="minorHAnsi"/>
          <w:b/>
          <w:bCs/>
          <w:lang w:eastAsia="en-GB"/>
        </w:rPr>
      </w:pPr>
      <w:r w:rsidRPr="00531FCF">
        <w:rPr>
          <w:rFonts w:eastAsia="Times New Roman" w:cstheme="minorHAnsi"/>
          <w:b/>
          <w:bCs/>
          <w:lang w:eastAsia="en-GB"/>
        </w:rPr>
        <w:t xml:space="preserve">Table </w:t>
      </w:r>
      <w:r w:rsidRPr="00531FCF">
        <w:rPr>
          <w:rFonts w:eastAsia="Times New Roman" w:cstheme="minorHAnsi"/>
          <w:b/>
          <w:bCs/>
          <w:color w:val="000000"/>
          <w:shd w:val="clear" w:color="auto" w:fill="E1E3E6"/>
          <w:lang w:eastAsia="en-GB"/>
        </w:rPr>
        <w:t>2</w:t>
      </w:r>
      <w:r w:rsidRPr="00531FCF">
        <w:rPr>
          <w:rFonts w:eastAsia="Times New Roman" w:cstheme="minorHAnsi"/>
          <w:b/>
          <w:bCs/>
          <w:lang w:eastAsia="en-GB"/>
        </w:rPr>
        <w:t>: Changes in aspects of lifestyle compared to before the first UK lockdown (23/03/2020)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1276"/>
        <w:gridCol w:w="1418"/>
        <w:gridCol w:w="1417"/>
        <w:gridCol w:w="3260"/>
      </w:tblGrid>
      <w:tr w:rsidR="00A36F89" w:rsidRPr="00FB7048" w14:paraId="6DAD1155" w14:textId="77777777" w:rsidTr="00B743E4">
        <w:trPr>
          <w:trHeight w:val="120"/>
        </w:trPr>
        <w:tc>
          <w:tcPr>
            <w:tcW w:w="2268" w:type="dxa"/>
            <w:vMerge w:val="restart"/>
            <w:tcBorders>
              <w:top w:val="single" w:sz="6" w:space="0" w:color="auto"/>
              <w:left w:val="nil"/>
              <w:bottom w:val="single" w:sz="6" w:space="0" w:color="auto"/>
              <w:right w:val="nil"/>
            </w:tcBorders>
            <w:shd w:val="clear" w:color="auto" w:fill="auto"/>
            <w:vAlign w:val="center"/>
            <w:hideMark/>
          </w:tcPr>
          <w:p w14:paraId="2B570367"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b/>
                <w:bCs/>
                <w:sz w:val="20"/>
                <w:szCs w:val="20"/>
                <w:lang w:eastAsia="en-GB"/>
              </w:rPr>
              <w:t>Participant characteristic</w:t>
            </w:r>
            <w:r w:rsidRPr="00FB7048">
              <w:rPr>
                <w:rFonts w:ascii="Calibri" w:eastAsia="Times New Roman" w:hAnsi="Calibri" w:cs="Calibri"/>
                <w:sz w:val="20"/>
                <w:szCs w:val="20"/>
                <w:lang w:eastAsia="en-GB"/>
              </w:rPr>
              <w:t> </w:t>
            </w:r>
          </w:p>
        </w:tc>
        <w:tc>
          <w:tcPr>
            <w:tcW w:w="2694" w:type="dxa"/>
            <w:gridSpan w:val="2"/>
            <w:tcBorders>
              <w:top w:val="single" w:sz="6" w:space="0" w:color="auto"/>
              <w:left w:val="nil"/>
              <w:bottom w:val="single" w:sz="6" w:space="0" w:color="auto"/>
              <w:right w:val="nil"/>
            </w:tcBorders>
            <w:shd w:val="clear" w:color="auto" w:fill="auto"/>
            <w:vAlign w:val="center"/>
            <w:hideMark/>
          </w:tcPr>
          <w:p w14:paraId="442A462F" w14:textId="77777777" w:rsidR="00A36F89" w:rsidRPr="00FB7048" w:rsidRDefault="00A36F89" w:rsidP="00B743E4">
            <w:pPr>
              <w:spacing w:after="0"/>
              <w:jc w:val="center"/>
              <w:textAlignment w:val="baseline"/>
              <w:rPr>
                <w:rFonts w:eastAsia="Times New Roman" w:cs="Times New Roman"/>
                <w:szCs w:val="24"/>
                <w:lang w:eastAsia="en-GB"/>
              </w:rPr>
            </w:pPr>
            <w:proofErr w:type="gramStart"/>
            <w:r w:rsidRPr="00FB7048">
              <w:rPr>
                <w:rFonts w:ascii="Calibri" w:eastAsia="Times New Roman" w:hAnsi="Calibri" w:cs="Calibri"/>
                <w:b/>
                <w:bCs/>
                <w:sz w:val="20"/>
                <w:szCs w:val="20"/>
                <w:lang w:eastAsia="en-GB"/>
              </w:rPr>
              <w:t>N(</w:t>
            </w:r>
            <w:proofErr w:type="gramEnd"/>
            <w:r w:rsidRPr="00FB7048">
              <w:rPr>
                <w:rFonts w:ascii="Calibri" w:eastAsia="Times New Roman" w:hAnsi="Calibri" w:cs="Calibri"/>
                <w:b/>
                <w:bCs/>
                <w:sz w:val="20"/>
                <w:szCs w:val="20"/>
                <w:lang w:eastAsia="en-GB"/>
              </w:rPr>
              <w:t>%)</w:t>
            </w:r>
            <w:r w:rsidRPr="00FB7048">
              <w:rPr>
                <w:rFonts w:ascii="Calibri" w:eastAsia="Times New Roman" w:hAnsi="Calibri" w:cs="Calibri"/>
                <w:sz w:val="20"/>
                <w:szCs w:val="20"/>
                <w:lang w:eastAsia="en-GB"/>
              </w:rPr>
              <w:t> </w:t>
            </w:r>
          </w:p>
        </w:tc>
        <w:tc>
          <w:tcPr>
            <w:tcW w:w="1417" w:type="dxa"/>
            <w:vMerge w:val="restart"/>
            <w:tcBorders>
              <w:top w:val="single" w:sz="6" w:space="0" w:color="auto"/>
              <w:left w:val="nil"/>
              <w:bottom w:val="single" w:sz="6" w:space="0" w:color="auto"/>
              <w:right w:val="nil"/>
            </w:tcBorders>
            <w:shd w:val="clear" w:color="auto" w:fill="auto"/>
            <w:vAlign w:val="center"/>
          </w:tcPr>
          <w:p w14:paraId="24D3510B" w14:textId="77777777" w:rsidR="00A36F89" w:rsidRPr="00767BC2" w:rsidRDefault="00A36F89" w:rsidP="00B743E4">
            <w:pPr>
              <w:spacing w:after="0"/>
              <w:jc w:val="center"/>
              <w:textAlignment w:val="baseline"/>
              <w:rPr>
                <w:rFonts w:eastAsia="Times New Roman" w:cs="Times New Roman"/>
                <w:szCs w:val="24"/>
                <w:lang w:eastAsia="en-GB"/>
              </w:rPr>
            </w:pPr>
            <w:r w:rsidRPr="00767BC2">
              <w:rPr>
                <w:rFonts w:ascii="Calibri" w:eastAsia="Times New Roman" w:hAnsi="Calibri" w:cs="Calibri"/>
                <w:b/>
                <w:bCs/>
                <w:sz w:val="20"/>
                <w:szCs w:val="20"/>
                <w:lang w:eastAsia="en-GB"/>
              </w:rPr>
              <w:t>P-value for sex-difference*</w:t>
            </w:r>
            <w:r w:rsidRPr="00767BC2">
              <w:rPr>
                <w:rFonts w:ascii="Calibri" w:eastAsia="Times New Roman" w:hAnsi="Calibri" w:cs="Calibri"/>
                <w:sz w:val="20"/>
                <w:szCs w:val="20"/>
                <w:lang w:eastAsia="en-GB"/>
              </w:rPr>
              <w:t> </w:t>
            </w:r>
          </w:p>
        </w:tc>
        <w:tc>
          <w:tcPr>
            <w:tcW w:w="3260" w:type="dxa"/>
            <w:vMerge w:val="restart"/>
            <w:tcBorders>
              <w:top w:val="single" w:sz="6" w:space="0" w:color="auto"/>
              <w:left w:val="nil"/>
              <w:right w:val="nil"/>
            </w:tcBorders>
          </w:tcPr>
          <w:p w14:paraId="59D8CFE9" w14:textId="77777777" w:rsidR="00A36F89" w:rsidRPr="00767BC2" w:rsidRDefault="00A36F89" w:rsidP="00B743E4">
            <w:pPr>
              <w:spacing w:after="0"/>
              <w:jc w:val="center"/>
              <w:textAlignment w:val="baseline"/>
              <w:rPr>
                <w:rFonts w:ascii="Calibri" w:eastAsia="Times New Roman" w:hAnsi="Calibri" w:cs="Calibri"/>
                <w:b/>
                <w:bCs/>
                <w:sz w:val="20"/>
                <w:szCs w:val="20"/>
                <w:lang w:eastAsia="en-GB"/>
              </w:rPr>
            </w:pPr>
            <w:r w:rsidRPr="00767BC2">
              <w:rPr>
                <w:rFonts w:ascii="Calibri" w:eastAsia="Times New Roman" w:hAnsi="Calibri" w:cs="Calibri"/>
                <w:b/>
                <w:bCs/>
                <w:sz w:val="20"/>
                <w:szCs w:val="20"/>
                <w:lang w:eastAsia="en-GB"/>
              </w:rPr>
              <w:t>Effect size (</w:t>
            </w:r>
            <w:proofErr w:type="spellStart"/>
            <w:r w:rsidRPr="00767BC2">
              <w:rPr>
                <w:rFonts w:ascii="Calibri" w:eastAsia="Times New Roman" w:hAnsi="Calibri" w:cs="Calibri"/>
                <w:b/>
                <w:bCs/>
                <w:sz w:val="20"/>
                <w:szCs w:val="20"/>
                <w:lang w:eastAsia="en-GB"/>
              </w:rPr>
              <w:t>Cramér's</w:t>
            </w:r>
            <w:proofErr w:type="spellEnd"/>
            <w:r w:rsidRPr="00767BC2">
              <w:rPr>
                <w:rFonts w:ascii="Calibri" w:eastAsia="Times New Roman" w:hAnsi="Calibri" w:cs="Calibri"/>
                <w:b/>
                <w:bCs/>
                <w:sz w:val="20"/>
                <w:szCs w:val="20"/>
                <w:lang w:eastAsia="en-GB"/>
              </w:rPr>
              <w:t xml:space="preserve"> V)</w:t>
            </w:r>
            <w:r>
              <w:rPr>
                <w:rFonts w:ascii="Calibri" w:eastAsia="Times New Roman" w:hAnsi="Calibri" w:cs="Calibri"/>
                <w:b/>
                <w:bCs/>
                <w:sz w:val="20"/>
                <w:szCs w:val="20"/>
                <w:lang w:eastAsia="en-GB"/>
              </w:rPr>
              <w:t xml:space="preserve"> for sex-difference</w:t>
            </w:r>
          </w:p>
        </w:tc>
      </w:tr>
      <w:tr w:rsidR="00A36F89" w:rsidRPr="00FB7048" w14:paraId="33CFC003" w14:textId="77777777" w:rsidTr="00B743E4">
        <w:trPr>
          <w:trHeight w:val="120"/>
        </w:trPr>
        <w:tc>
          <w:tcPr>
            <w:tcW w:w="2268" w:type="dxa"/>
            <w:vMerge/>
            <w:tcBorders>
              <w:top w:val="single" w:sz="6" w:space="0" w:color="auto"/>
              <w:left w:val="nil"/>
              <w:bottom w:val="single" w:sz="6" w:space="0" w:color="auto"/>
              <w:right w:val="nil"/>
            </w:tcBorders>
            <w:shd w:val="clear" w:color="auto" w:fill="auto"/>
            <w:vAlign w:val="center"/>
            <w:hideMark/>
          </w:tcPr>
          <w:p w14:paraId="237ED51A" w14:textId="77777777" w:rsidR="00A36F89" w:rsidRPr="00FB7048" w:rsidRDefault="00A36F89" w:rsidP="00B743E4">
            <w:pPr>
              <w:spacing w:after="0"/>
              <w:rPr>
                <w:rFonts w:eastAsia="Times New Roman" w:cs="Times New Roman"/>
                <w:szCs w:val="24"/>
                <w:lang w:eastAsia="en-GB"/>
              </w:rPr>
            </w:pPr>
          </w:p>
        </w:tc>
        <w:tc>
          <w:tcPr>
            <w:tcW w:w="1276" w:type="dxa"/>
            <w:tcBorders>
              <w:top w:val="single" w:sz="6" w:space="0" w:color="auto"/>
              <w:left w:val="nil"/>
              <w:bottom w:val="single" w:sz="6" w:space="0" w:color="auto"/>
              <w:right w:val="nil"/>
            </w:tcBorders>
            <w:shd w:val="clear" w:color="auto" w:fill="auto"/>
            <w:vAlign w:val="center"/>
            <w:hideMark/>
          </w:tcPr>
          <w:p w14:paraId="53C21D96"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b/>
                <w:bCs/>
                <w:color w:val="000000"/>
                <w:sz w:val="20"/>
                <w:szCs w:val="20"/>
                <w:lang w:eastAsia="en-GB"/>
              </w:rPr>
              <w:t>Men (n=225)</w:t>
            </w:r>
            <w:r w:rsidRPr="00FB7048">
              <w:rPr>
                <w:rFonts w:ascii="Calibri" w:eastAsia="Times New Roman" w:hAnsi="Calibri" w:cs="Calibri"/>
                <w:color w:val="000000"/>
                <w:sz w:val="20"/>
                <w:szCs w:val="20"/>
                <w:lang w:eastAsia="en-GB"/>
              </w:rPr>
              <w:t> </w:t>
            </w:r>
          </w:p>
        </w:tc>
        <w:tc>
          <w:tcPr>
            <w:tcW w:w="1418" w:type="dxa"/>
            <w:tcBorders>
              <w:top w:val="single" w:sz="6" w:space="0" w:color="auto"/>
              <w:left w:val="nil"/>
              <w:bottom w:val="single" w:sz="6" w:space="0" w:color="auto"/>
              <w:right w:val="nil"/>
            </w:tcBorders>
            <w:shd w:val="clear" w:color="auto" w:fill="auto"/>
            <w:vAlign w:val="center"/>
            <w:hideMark/>
          </w:tcPr>
          <w:p w14:paraId="58F5E6D9"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b/>
                <w:bCs/>
                <w:color w:val="000000"/>
                <w:sz w:val="20"/>
                <w:szCs w:val="20"/>
                <w:lang w:eastAsia="en-GB"/>
              </w:rPr>
              <w:t>Women (n=266)</w:t>
            </w:r>
            <w:r w:rsidRPr="00FB7048">
              <w:rPr>
                <w:rFonts w:ascii="Calibri" w:eastAsia="Times New Roman" w:hAnsi="Calibri" w:cs="Calibri"/>
                <w:color w:val="000000"/>
                <w:sz w:val="20"/>
                <w:szCs w:val="20"/>
                <w:lang w:eastAsia="en-GB"/>
              </w:rPr>
              <w:t> </w:t>
            </w:r>
          </w:p>
        </w:tc>
        <w:tc>
          <w:tcPr>
            <w:tcW w:w="1417" w:type="dxa"/>
            <w:vMerge/>
            <w:tcBorders>
              <w:top w:val="single" w:sz="6" w:space="0" w:color="auto"/>
              <w:left w:val="nil"/>
              <w:bottom w:val="single" w:sz="6" w:space="0" w:color="auto"/>
              <w:right w:val="nil"/>
            </w:tcBorders>
            <w:shd w:val="clear" w:color="auto" w:fill="auto"/>
            <w:vAlign w:val="center"/>
          </w:tcPr>
          <w:p w14:paraId="6CA5E720" w14:textId="77777777" w:rsidR="00A36F89" w:rsidRPr="00FB7048" w:rsidRDefault="00A36F89" w:rsidP="00B743E4">
            <w:pPr>
              <w:spacing w:after="0"/>
              <w:rPr>
                <w:rFonts w:eastAsia="Times New Roman" w:cs="Times New Roman"/>
                <w:szCs w:val="24"/>
                <w:lang w:eastAsia="en-GB"/>
              </w:rPr>
            </w:pPr>
          </w:p>
        </w:tc>
        <w:tc>
          <w:tcPr>
            <w:tcW w:w="3260" w:type="dxa"/>
            <w:vMerge/>
            <w:tcBorders>
              <w:left w:val="nil"/>
              <w:bottom w:val="single" w:sz="6" w:space="0" w:color="auto"/>
              <w:right w:val="nil"/>
            </w:tcBorders>
          </w:tcPr>
          <w:p w14:paraId="33A09DBA" w14:textId="77777777" w:rsidR="00A36F89" w:rsidRPr="00FB7048" w:rsidRDefault="00A36F89" w:rsidP="00B743E4">
            <w:pPr>
              <w:spacing w:after="0"/>
              <w:rPr>
                <w:rFonts w:eastAsia="Times New Roman" w:cs="Times New Roman"/>
                <w:szCs w:val="24"/>
                <w:lang w:eastAsia="en-GB"/>
              </w:rPr>
            </w:pPr>
          </w:p>
        </w:tc>
      </w:tr>
      <w:tr w:rsidR="00A36F89" w:rsidRPr="005C5CA9" w14:paraId="53074F8E" w14:textId="77777777" w:rsidTr="00B743E4">
        <w:trPr>
          <w:trHeight w:val="120"/>
        </w:trPr>
        <w:tc>
          <w:tcPr>
            <w:tcW w:w="2268" w:type="dxa"/>
            <w:tcBorders>
              <w:top w:val="nil"/>
              <w:left w:val="nil"/>
              <w:bottom w:val="nil"/>
              <w:right w:val="nil"/>
            </w:tcBorders>
            <w:shd w:val="clear" w:color="auto" w:fill="auto"/>
            <w:vAlign w:val="center"/>
            <w:hideMark/>
          </w:tcPr>
          <w:p w14:paraId="44060BF4"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Smoking </w:t>
            </w:r>
          </w:p>
        </w:tc>
        <w:tc>
          <w:tcPr>
            <w:tcW w:w="1276" w:type="dxa"/>
            <w:tcBorders>
              <w:top w:val="nil"/>
              <w:left w:val="nil"/>
              <w:bottom w:val="nil"/>
              <w:right w:val="nil"/>
            </w:tcBorders>
            <w:shd w:val="clear" w:color="auto" w:fill="auto"/>
            <w:vAlign w:val="center"/>
            <w:hideMark/>
          </w:tcPr>
          <w:p w14:paraId="370579D1"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681F0929"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09AF599E" w14:textId="77777777" w:rsidR="00A36F89" w:rsidRPr="00767BC2" w:rsidRDefault="00A36F89" w:rsidP="00B743E4">
            <w:pPr>
              <w:spacing w:after="0"/>
              <w:jc w:val="center"/>
              <w:textAlignment w:val="baseline"/>
              <w:rPr>
                <w:rFonts w:eastAsia="Times New Roman" w:cs="Times New Roman"/>
                <w:szCs w:val="24"/>
                <w:lang w:eastAsia="en-GB"/>
              </w:rPr>
            </w:pPr>
            <w:r w:rsidRPr="00767BC2">
              <w:rPr>
                <w:rFonts w:ascii="Calibri" w:eastAsia="Times New Roman" w:hAnsi="Calibri" w:cs="Calibri"/>
                <w:sz w:val="20"/>
                <w:szCs w:val="20"/>
                <w:lang w:eastAsia="en-GB"/>
              </w:rPr>
              <w:t>0.479 </w:t>
            </w:r>
          </w:p>
        </w:tc>
        <w:tc>
          <w:tcPr>
            <w:tcW w:w="3260" w:type="dxa"/>
            <w:tcBorders>
              <w:top w:val="nil"/>
              <w:left w:val="nil"/>
              <w:bottom w:val="nil"/>
              <w:right w:val="nil"/>
            </w:tcBorders>
          </w:tcPr>
          <w:p w14:paraId="270DAF35" w14:textId="77777777" w:rsidR="00A36F89" w:rsidRPr="005C5CA9" w:rsidRDefault="00A36F89" w:rsidP="00B743E4">
            <w:pPr>
              <w:spacing w:after="0"/>
              <w:jc w:val="center"/>
              <w:textAlignment w:val="baseline"/>
              <w:rPr>
                <w:rFonts w:ascii="Calibri" w:eastAsia="Times New Roman" w:hAnsi="Calibri" w:cs="Calibri"/>
                <w:sz w:val="20"/>
                <w:szCs w:val="20"/>
                <w:u w:val="single"/>
                <w:lang w:eastAsia="en-GB"/>
              </w:rPr>
            </w:pPr>
            <w:r w:rsidRPr="00F51AB2">
              <w:rPr>
                <w:rFonts w:ascii="Calibri" w:eastAsia="Times New Roman" w:hAnsi="Calibri" w:cs="Calibri"/>
                <w:sz w:val="20"/>
                <w:szCs w:val="20"/>
                <w:u w:val="single"/>
                <w:lang w:eastAsia="en-GB"/>
              </w:rPr>
              <w:t>0.0</w:t>
            </w:r>
            <w:r>
              <w:rPr>
                <w:rFonts w:ascii="Calibri" w:eastAsia="Times New Roman" w:hAnsi="Calibri" w:cs="Calibri"/>
                <w:sz w:val="20"/>
                <w:szCs w:val="20"/>
                <w:u w:val="single"/>
                <w:lang w:eastAsia="en-GB"/>
              </w:rPr>
              <w:t>60</w:t>
            </w:r>
          </w:p>
        </w:tc>
      </w:tr>
      <w:tr w:rsidR="00A36F89" w:rsidRPr="005C5CA9" w14:paraId="00BD1AA1" w14:textId="77777777" w:rsidTr="00B743E4">
        <w:trPr>
          <w:trHeight w:val="120"/>
        </w:trPr>
        <w:tc>
          <w:tcPr>
            <w:tcW w:w="2268" w:type="dxa"/>
            <w:tcBorders>
              <w:top w:val="nil"/>
              <w:left w:val="nil"/>
              <w:bottom w:val="nil"/>
              <w:right w:val="nil"/>
            </w:tcBorders>
            <w:shd w:val="clear" w:color="auto" w:fill="auto"/>
            <w:vAlign w:val="center"/>
            <w:hideMark/>
          </w:tcPr>
          <w:p w14:paraId="5A83E97A"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More than before </w:t>
            </w:r>
          </w:p>
        </w:tc>
        <w:tc>
          <w:tcPr>
            <w:tcW w:w="1276" w:type="dxa"/>
            <w:tcBorders>
              <w:top w:val="nil"/>
              <w:left w:val="nil"/>
              <w:bottom w:val="nil"/>
              <w:right w:val="nil"/>
            </w:tcBorders>
            <w:shd w:val="clear" w:color="auto" w:fill="auto"/>
            <w:vAlign w:val="bottom"/>
            <w:hideMark/>
          </w:tcPr>
          <w:p w14:paraId="11A0E6EF"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0 (0.0%) </w:t>
            </w:r>
          </w:p>
        </w:tc>
        <w:tc>
          <w:tcPr>
            <w:tcW w:w="1418" w:type="dxa"/>
            <w:tcBorders>
              <w:top w:val="nil"/>
              <w:left w:val="nil"/>
              <w:bottom w:val="nil"/>
              <w:right w:val="nil"/>
            </w:tcBorders>
            <w:shd w:val="clear" w:color="auto" w:fill="auto"/>
            <w:vAlign w:val="bottom"/>
            <w:hideMark/>
          </w:tcPr>
          <w:p w14:paraId="64C80ABB"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0 (0.0%) </w:t>
            </w:r>
          </w:p>
        </w:tc>
        <w:tc>
          <w:tcPr>
            <w:tcW w:w="1417" w:type="dxa"/>
            <w:tcBorders>
              <w:top w:val="nil"/>
              <w:left w:val="nil"/>
              <w:bottom w:val="nil"/>
              <w:right w:val="nil"/>
            </w:tcBorders>
            <w:shd w:val="clear" w:color="auto" w:fill="auto"/>
            <w:vAlign w:val="bottom"/>
          </w:tcPr>
          <w:p w14:paraId="695092B4"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5318FD5F"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3038DFB0" w14:textId="77777777" w:rsidTr="00B743E4">
        <w:trPr>
          <w:trHeight w:val="120"/>
        </w:trPr>
        <w:tc>
          <w:tcPr>
            <w:tcW w:w="2268" w:type="dxa"/>
            <w:tcBorders>
              <w:top w:val="nil"/>
              <w:left w:val="nil"/>
              <w:bottom w:val="nil"/>
              <w:right w:val="nil"/>
            </w:tcBorders>
            <w:shd w:val="clear" w:color="auto" w:fill="auto"/>
            <w:vAlign w:val="center"/>
            <w:hideMark/>
          </w:tcPr>
          <w:p w14:paraId="71B3424A"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About the same </w:t>
            </w:r>
          </w:p>
        </w:tc>
        <w:tc>
          <w:tcPr>
            <w:tcW w:w="1276" w:type="dxa"/>
            <w:tcBorders>
              <w:top w:val="nil"/>
              <w:left w:val="nil"/>
              <w:bottom w:val="nil"/>
              <w:right w:val="nil"/>
            </w:tcBorders>
            <w:shd w:val="clear" w:color="auto" w:fill="auto"/>
            <w:vAlign w:val="bottom"/>
            <w:hideMark/>
          </w:tcPr>
          <w:p w14:paraId="05030CBF"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5 (2.2%) </w:t>
            </w:r>
          </w:p>
        </w:tc>
        <w:tc>
          <w:tcPr>
            <w:tcW w:w="1418" w:type="dxa"/>
            <w:tcBorders>
              <w:top w:val="nil"/>
              <w:left w:val="nil"/>
              <w:bottom w:val="nil"/>
              <w:right w:val="nil"/>
            </w:tcBorders>
            <w:shd w:val="clear" w:color="auto" w:fill="auto"/>
            <w:vAlign w:val="bottom"/>
            <w:hideMark/>
          </w:tcPr>
          <w:p w14:paraId="610C9DC7"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3 (1.1%) </w:t>
            </w:r>
          </w:p>
        </w:tc>
        <w:tc>
          <w:tcPr>
            <w:tcW w:w="1417" w:type="dxa"/>
            <w:tcBorders>
              <w:top w:val="nil"/>
              <w:left w:val="nil"/>
              <w:bottom w:val="nil"/>
              <w:right w:val="nil"/>
            </w:tcBorders>
            <w:shd w:val="clear" w:color="auto" w:fill="auto"/>
            <w:vAlign w:val="bottom"/>
          </w:tcPr>
          <w:p w14:paraId="3C0DC372"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770FB252"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0B124A7E" w14:textId="77777777" w:rsidTr="00B743E4">
        <w:trPr>
          <w:trHeight w:val="120"/>
        </w:trPr>
        <w:tc>
          <w:tcPr>
            <w:tcW w:w="2268" w:type="dxa"/>
            <w:tcBorders>
              <w:top w:val="nil"/>
              <w:left w:val="nil"/>
              <w:bottom w:val="nil"/>
              <w:right w:val="nil"/>
            </w:tcBorders>
            <w:shd w:val="clear" w:color="auto" w:fill="auto"/>
            <w:vAlign w:val="center"/>
            <w:hideMark/>
          </w:tcPr>
          <w:p w14:paraId="10EA2BFF"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Less than before </w:t>
            </w:r>
          </w:p>
        </w:tc>
        <w:tc>
          <w:tcPr>
            <w:tcW w:w="1276" w:type="dxa"/>
            <w:tcBorders>
              <w:top w:val="nil"/>
              <w:left w:val="nil"/>
              <w:bottom w:val="nil"/>
              <w:right w:val="nil"/>
            </w:tcBorders>
            <w:shd w:val="clear" w:color="auto" w:fill="auto"/>
            <w:vAlign w:val="bottom"/>
            <w:hideMark/>
          </w:tcPr>
          <w:p w14:paraId="02A68CF0"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0 (0.0%) </w:t>
            </w:r>
          </w:p>
        </w:tc>
        <w:tc>
          <w:tcPr>
            <w:tcW w:w="1418" w:type="dxa"/>
            <w:tcBorders>
              <w:top w:val="nil"/>
              <w:left w:val="nil"/>
              <w:bottom w:val="nil"/>
              <w:right w:val="nil"/>
            </w:tcBorders>
            <w:shd w:val="clear" w:color="auto" w:fill="auto"/>
            <w:vAlign w:val="bottom"/>
            <w:hideMark/>
          </w:tcPr>
          <w:p w14:paraId="4A79889C"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 (0.4%) </w:t>
            </w:r>
          </w:p>
        </w:tc>
        <w:tc>
          <w:tcPr>
            <w:tcW w:w="1417" w:type="dxa"/>
            <w:tcBorders>
              <w:top w:val="nil"/>
              <w:left w:val="nil"/>
              <w:bottom w:val="nil"/>
              <w:right w:val="nil"/>
            </w:tcBorders>
            <w:shd w:val="clear" w:color="auto" w:fill="auto"/>
            <w:vAlign w:val="bottom"/>
          </w:tcPr>
          <w:p w14:paraId="337AB612"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05A7A284"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7E57296F" w14:textId="77777777" w:rsidTr="00B743E4">
        <w:trPr>
          <w:trHeight w:val="120"/>
        </w:trPr>
        <w:tc>
          <w:tcPr>
            <w:tcW w:w="2268" w:type="dxa"/>
            <w:tcBorders>
              <w:top w:val="nil"/>
              <w:left w:val="nil"/>
              <w:bottom w:val="nil"/>
              <w:right w:val="nil"/>
            </w:tcBorders>
            <w:shd w:val="clear" w:color="auto" w:fill="auto"/>
            <w:vAlign w:val="center"/>
            <w:hideMark/>
          </w:tcPr>
          <w:p w14:paraId="57C08183"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sz w:val="20"/>
                <w:szCs w:val="20"/>
                <w:lang w:eastAsia="en-GB"/>
              </w:rPr>
              <w:t>     Does not smoke </w:t>
            </w:r>
          </w:p>
        </w:tc>
        <w:tc>
          <w:tcPr>
            <w:tcW w:w="1276" w:type="dxa"/>
            <w:tcBorders>
              <w:top w:val="nil"/>
              <w:left w:val="nil"/>
              <w:bottom w:val="nil"/>
              <w:right w:val="nil"/>
            </w:tcBorders>
            <w:shd w:val="clear" w:color="auto" w:fill="auto"/>
            <w:vAlign w:val="bottom"/>
            <w:hideMark/>
          </w:tcPr>
          <w:p w14:paraId="0F357235"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219 (97.8%) </w:t>
            </w:r>
          </w:p>
        </w:tc>
        <w:tc>
          <w:tcPr>
            <w:tcW w:w="1418" w:type="dxa"/>
            <w:tcBorders>
              <w:top w:val="nil"/>
              <w:left w:val="nil"/>
              <w:bottom w:val="nil"/>
              <w:right w:val="nil"/>
            </w:tcBorders>
            <w:shd w:val="clear" w:color="auto" w:fill="auto"/>
            <w:vAlign w:val="bottom"/>
            <w:hideMark/>
          </w:tcPr>
          <w:p w14:paraId="106B1926"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262 (98.5%) </w:t>
            </w:r>
          </w:p>
        </w:tc>
        <w:tc>
          <w:tcPr>
            <w:tcW w:w="1417" w:type="dxa"/>
            <w:tcBorders>
              <w:top w:val="nil"/>
              <w:left w:val="nil"/>
              <w:bottom w:val="nil"/>
              <w:right w:val="nil"/>
            </w:tcBorders>
            <w:shd w:val="clear" w:color="auto" w:fill="auto"/>
            <w:vAlign w:val="bottom"/>
          </w:tcPr>
          <w:p w14:paraId="77B07BA0"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4883AB80"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0B98FCE7" w14:textId="77777777" w:rsidTr="00B743E4">
        <w:trPr>
          <w:trHeight w:val="120"/>
        </w:trPr>
        <w:tc>
          <w:tcPr>
            <w:tcW w:w="2268" w:type="dxa"/>
            <w:tcBorders>
              <w:top w:val="nil"/>
              <w:left w:val="nil"/>
              <w:bottom w:val="nil"/>
              <w:right w:val="nil"/>
            </w:tcBorders>
            <w:shd w:val="clear" w:color="auto" w:fill="auto"/>
            <w:vAlign w:val="center"/>
            <w:hideMark/>
          </w:tcPr>
          <w:p w14:paraId="70DD82A7"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276" w:type="dxa"/>
            <w:tcBorders>
              <w:top w:val="nil"/>
              <w:left w:val="nil"/>
              <w:bottom w:val="nil"/>
              <w:right w:val="nil"/>
            </w:tcBorders>
            <w:shd w:val="clear" w:color="auto" w:fill="auto"/>
            <w:vAlign w:val="center"/>
            <w:hideMark/>
          </w:tcPr>
          <w:p w14:paraId="7CEA4044"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41B07DCB"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2AD6AFC9"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09228019"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64545D65" w14:textId="77777777" w:rsidTr="00B743E4">
        <w:trPr>
          <w:trHeight w:val="120"/>
        </w:trPr>
        <w:tc>
          <w:tcPr>
            <w:tcW w:w="2268" w:type="dxa"/>
            <w:tcBorders>
              <w:top w:val="nil"/>
              <w:left w:val="nil"/>
              <w:bottom w:val="nil"/>
              <w:right w:val="nil"/>
            </w:tcBorders>
            <w:shd w:val="clear" w:color="auto" w:fill="auto"/>
            <w:vAlign w:val="center"/>
            <w:hideMark/>
          </w:tcPr>
          <w:p w14:paraId="072AD7C7"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Alcohol </w:t>
            </w:r>
          </w:p>
        </w:tc>
        <w:tc>
          <w:tcPr>
            <w:tcW w:w="1276" w:type="dxa"/>
            <w:tcBorders>
              <w:top w:val="nil"/>
              <w:left w:val="nil"/>
              <w:bottom w:val="nil"/>
              <w:right w:val="nil"/>
            </w:tcBorders>
            <w:shd w:val="clear" w:color="auto" w:fill="auto"/>
            <w:vAlign w:val="center"/>
            <w:hideMark/>
          </w:tcPr>
          <w:p w14:paraId="11A4A711"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74A9EC5F"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35DDF75E" w14:textId="77777777" w:rsidR="00A36F89" w:rsidRPr="00767BC2" w:rsidRDefault="00A36F89" w:rsidP="00B743E4">
            <w:pPr>
              <w:spacing w:after="0"/>
              <w:jc w:val="center"/>
              <w:textAlignment w:val="baseline"/>
              <w:rPr>
                <w:rFonts w:eastAsia="Times New Roman" w:cs="Times New Roman"/>
                <w:szCs w:val="24"/>
                <w:lang w:eastAsia="en-GB"/>
              </w:rPr>
            </w:pPr>
            <w:r w:rsidRPr="00767BC2">
              <w:rPr>
                <w:rFonts w:ascii="Calibri" w:eastAsia="Times New Roman" w:hAnsi="Calibri" w:cs="Calibri"/>
                <w:sz w:val="20"/>
                <w:szCs w:val="20"/>
                <w:lang w:eastAsia="en-GB"/>
              </w:rPr>
              <w:t>0.001 </w:t>
            </w:r>
          </w:p>
        </w:tc>
        <w:tc>
          <w:tcPr>
            <w:tcW w:w="3260" w:type="dxa"/>
            <w:tcBorders>
              <w:top w:val="nil"/>
              <w:left w:val="nil"/>
              <w:bottom w:val="nil"/>
              <w:right w:val="nil"/>
            </w:tcBorders>
          </w:tcPr>
          <w:p w14:paraId="1F67988F" w14:textId="77777777" w:rsidR="00A36F89" w:rsidRPr="005C5CA9" w:rsidRDefault="00A36F89" w:rsidP="00B743E4">
            <w:pPr>
              <w:spacing w:after="0"/>
              <w:jc w:val="center"/>
              <w:textAlignment w:val="baseline"/>
              <w:rPr>
                <w:rFonts w:ascii="Calibri" w:eastAsia="Times New Roman" w:hAnsi="Calibri" w:cs="Calibri"/>
                <w:sz w:val="20"/>
                <w:szCs w:val="20"/>
                <w:u w:val="single"/>
                <w:lang w:eastAsia="en-GB"/>
              </w:rPr>
            </w:pPr>
            <w:r w:rsidRPr="005C5CA9">
              <w:rPr>
                <w:rFonts w:ascii="Calibri" w:eastAsia="Times New Roman" w:hAnsi="Calibri" w:cs="Calibri"/>
                <w:sz w:val="20"/>
                <w:szCs w:val="20"/>
                <w:u w:val="single"/>
                <w:lang w:eastAsia="en-GB"/>
              </w:rPr>
              <w:t>0.18</w:t>
            </w:r>
            <w:r>
              <w:rPr>
                <w:rFonts w:ascii="Calibri" w:eastAsia="Times New Roman" w:hAnsi="Calibri" w:cs="Calibri"/>
                <w:sz w:val="20"/>
                <w:szCs w:val="20"/>
                <w:u w:val="single"/>
                <w:lang w:eastAsia="en-GB"/>
              </w:rPr>
              <w:t>5</w:t>
            </w:r>
          </w:p>
        </w:tc>
      </w:tr>
      <w:tr w:rsidR="00A36F89" w:rsidRPr="005C5CA9" w14:paraId="4DA51C27" w14:textId="77777777" w:rsidTr="00B743E4">
        <w:trPr>
          <w:trHeight w:val="120"/>
        </w:trPr>
        <w:tc>
          <w:tcPr>
            <w:tcW w:w="2268" w:type="dxa"/>
            <w:tcBorders>
              <w:top w:val="nil"/>
              <w:left w:val="nil"/>
              <w:bottom w:val="nil"/>
              <w:right w:val="nil"/>
            </w:tcBorders>
            <w:shd w:val="clear" w:color="auto" w:fill="auto"/>
            <w:vAlign w:val="center"/>
            <w:hideMark/>
          </w:tcPr>
          <w:p w14:paraId="138FD56B"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More than before </w:t>
            </w:r>
          </w:p>
        </w:tc>
        <w:tc>
          <w:tcPr>
            <w:tcW w:w="1276" w:type="dxa"/>
            <w:tcBorders>
              <w:top w:val="nil"/>
              <w:left w:val="nil"/>
              <w:bottom w:val="nil"/>
              <w:right w:val="nil"/>
            </w:tcBorders>
            <w:shd w:val="clear" w:color="auto" w:fill="auto"/>
            <w:vAlign w:val="bottom"/>
            <w:hideMark/>
          </w:tcPr>
          <w:p w14:paraId="0FFB28AA"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8 (3.7%) </w:t>
            </w:r>
          </w:p>
        </w:tc>
        <w:tc>
          <w:tcPr>
            <w:tcW w:w="1418" w:type="dxa"/>
            <w:tcBorders>
              <w:top w:val="nil"/>
              <w:left w:val="nil"/>
              <w:bottom w:val="nil"/>
              <w:right w:val="nil"/>
            </w:tcBorders>
            <w:shd w:val="clear" w:color="auto" w:fill="auto"/>
            <w:vAlign w:val="bottom"/>
            <w:hideMark/>
          </w:tcPr>
          <w:p w14:paraId="3153BD7A"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8 (3.3%) </w:t>
            </w:r>
          </w:p>
        </w:tc>
        <w:tc>
          <w:tcPr>
            <w:tcW w:w="1417" w:type="dxa"/>
            <w:tcBorders>
              <w:top w:val="nil"/>
              <w:left w:val="nil"/>
              <w:bottom w:val="nil"/>
              <w:right w:val="nil"/>
            </w:tcBorders>
            <w:shd w:val="clear" w:color="auto" w:fill="auto"/>
            <w:vAlign w:val="bottom"/>
          </w:tcPr>
          <w:p w14:paraId="7498C23D"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2360A4F5"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6DB40F6B" w14:textId="77777777" w:rsidTr="00B743E4">
        <w:trPr>
          <w:trHeight w:val="120"/>
        </w:trPr>
        <w:tc>
          <w:tcPr>
            <w:tcW w:w="2268" w:type="dxa"/>
            <w:tcBorders>
              <w:top w:val="nil"/>
              <w:left w:val="nil"/>
              <w:bottom w:val="nil"/>
              <w:right w:val="nil"/>
            </w:tcBorders>
            <w:shd w:val="clear" w:color="auto" w:fill="auto"/>
            <w:vAlign w:val="center"/>
            <w:hideMark/>
          </w:tcPr>
          <w:p w14:paraId="5235D324"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About the same </w:t>
            </w:r>
          </w:p>
        </w:tc>
        <w:tc>
          <w:tcPr>
            <w:tcW w:w="1276" w:type="dxa"/>
            <w:tcBorders>
              <w:top w:val="nil"/>
              <w:left w:val="nil"/>
              <w:bottom w:val="nil"/>
              <w:right w:val="nil"/>
            </w:tcBorders>
            <w:shd w:val="clear" w:color="auto" w:fill="auto"/>
            <w:vAlign w:val="bottom"/>
            <w:hideMark/>
          </w:tcPr>
          <w:p w14:paraId="75F1F726"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149 (69.0%) </w:t>
            </w:r>
          </w:p>
        </w:tc>
        <w:tc>
          <w:tcPr>
            <w:tcW w:w="1418" w:type="dxa"/>
            <w:tcBorders>
              <w:top w:val="nil"/>
              <w:left w:val="nil"/>
              <w:bottom w:val="nil"/>
              <w:right w:val="nil"/>
            </w:tcBorders>
            <w:shd w:val="clear" w:color="auto" w:fill="auto"/>
            <w:vAlign w:val="bottom"/>
            <w:hideMark/>
          </w:tcPr>
          <w:p w14:paraId="5EA35C4C"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135 (55.3%) </w:t>
            </w:r>
          </w:p>
        </w:tc>
        <w:tc>
          <w:tcPr>
            <w:tcW w:w="1417" w:type="dxa"/>
            <w:tcBorders>
              <w:top w:val="nil"/>
              <w:left w:val="nil"/>
              <w:bottom w:val="nil"/>
              <w:right w:val="nil"/>
            </w:tcBorders>
            <w:shd w:val="clear" w:color="auto" w:fill="auto"/>
            <w:vAlign w:val="bottom"/>
          </w:tcPr>
          <w:p w14:paraId="3C18B43D"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1AC75FD4"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2C2A0A4" w14:textId="77777777" w:rsidTr="00B743E4">
        <w:trPr>
          <w:trHeight w:val="120"/>
        </w:trPr>
        <w:tc>
          <w:tcPr>
            <w:tcW w:w="2268" w:type="dxa"/>
            <w:tcBorders>
              <w:top w:val="nil"/>
              <w:left w:val="nil"/>
              <w:bottom w:val="nil"/>
              <w:right w:val="nil"/>
            </w:tcBorders>
            <w:shd w:val="clear" w:color="auto" w:fill="auto"/>
            <w:vAlign w:val="center"/>
            <w:hideMark/>
          </w:tcPr>
          <w:p w14:paraId="2FC0800C"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Less than before </w:t>
            </w:r>
          </w:p>
        </w:tc>
        <w:tc>
          <w:tcPr>
            <w:tcW w:w="1276" w:type="dxa"/>
            <w:tcBorders>
              <w:top w:val="nil"/>
              <w:left w:val="nil"/>
              <w:bottom w:val="nil"/>
              <w:right w:val="nil"/>
            </w:tcBorders>
            <w:shd w:val="clear" w:color="auto" w:fill="auto"/>
            <w:vAlign w:val="bottom"/>
            <w:hideMark/>
          </w:tcPr>
          <w:p w14:paraId="06FD0FB9"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25 (11.6%) </w:t>
            </w:r>
          </w:p>
        </w:tc>
        <w:tc>
          <w:tcPr>
            <w:tcW w:w="1418" w:type="dxa"/>
            <w:tcBorders>
              <w:top w:val="nil"/>
              <w:left w:val="nil"/>
              <w:bottom w:val="nil"/>
              <w:right w:val="nil"/>
            </w:tcBorders>
            <w:shd w:val="clear" w:color="auto" w:fill="auto"/>
            <w:vAlign w:val="bottom"/>
            <w:hideMark/>
          </w:tcPr>
          <w:p w14:paraId="3550EAFF"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24 (9.8%) </w:t>
            </w:r>
          </w:p>
        </w:tc>
        <w:tc>
          <w:tcPr>
            <w:tcW w:w="1417" w:type="dxa"/>
            <w:tcBorders>
              <w:top w:val="nil"/>
              <w:left w:val="nil"/>
              <w:bottom w:val="nil"/>
              <w:right w:val="nil"/>
            </w:tcBorders>
            <w:shd w:val="clear" w:color="auto" w:fill="auto"/>
            <w:vAlign w:val="bottom"/>
          </w:tcPr>
          <w:p w14:paraId="7C541AB7"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4191D5C4"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38D610EA" w14:textId="77777777" w:rsidTr="00B743E4">
        <w:trPr>
          <w:trHeight w:val="120"/>
        </w:trPr>
        <w:tc>
          <w:tcPr>
            <w:tcW w:w="2268" w:type="dxa"/>
            <w:tcBorders>
              <w:top w:val="nil"/>
              <w:left w:val="nil"/>
              <w:bottom w:val="nil"/>
              <w:right w:val="nil"/>
            </w:tcBorders>
            <w:shd w:val="clear" w:color="auto" w:fill="auto"/>
            <w:vAlign w:val="center"/>
            <w:hideMark/>
          </w:tcPr>
          <w:p w14:paraId="4F995E49"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sz w:val="20"/>
                <w:szCs w:val="20"/>
                <w:lang w:eastAsia="en-GB"/>
              </w:rPr>
              <w:t>     Does not drink alcohol </w:t>
            </w:r>
          </w:p>
        </w:tc>
        <w:tc>
          <w:tcPr>
            <w:tcW w:w="1276" w:type="dxa"/>
            <w:tcBorders>
              <w:top w:val="nil"/>
              <w:left w:val="nil"/>
              <w:bottom w:val="nil"/>
              <w:right w:val="nil"/>
            </w:tcBorders>
            <w:shd w:val="clear" w:color="auto" w:fill="auto"/>
            <w:vAlign w:val="bottom"/>
            <w:hideMark/>
          </w:tcPr>
          <w:p w14:paraId="49C304E3"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34 (15.7%) </w:t>
            </w:r>
          </w:p>
        </w:tc>
        <w:tc>
          <w:tcPr>
            <w:tcW w:w="1418" w:type="dxa"/>
            <w:tcBorders>
              <w:top w:val="nil"/>
              <w:left w:val="nil"/>
              <w:bottom w:val="nil"/>
              <w:right w:val="nil"/>
            </w:tcBorders>
            <w:shd w:val="clear" w:color="auto" w:fill="auto"/>
            <w:vAlign w:val="bottom"/>
            <w:hideMark/>
          </w:tcPr>
          <w:p w14:paraId="599F67A8"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77 (31.6%) </w:t>
            </w:r>
          </w:p>
        </w:tc>
        <w:tc>
          <w:tcPr>
            <w:tcW w:w="1417" w:type="dxa"/>
            <w:tcBorders>
              <w:top w:val="nil"/>
              <w:left w:val="nil"/>
              <w:bottom w:val="nil"/>
              <w:right w:val="nil"/>
            </w:tcBorders>
            <w:shd w:val="clear" w:color="auto" w:fill="auto"/>
            <w:vAlign w:val="bottom"/>
          </w:tcPr>
          <w:p w14:paraId="53588726"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0645A4F5"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7547842" w14:textId="77777777" w:rsidTr="00B743E4">
        <w:trPr>
          <w:trHeight w:val="120"/>
        </w:trPr>
        <w:tc>
          <w:tcPr>
            <w:tcW w:w="2268" w:type="dxa"/>
            <w:tcBorders>
              <w:top w:val="nil"/>
              <w:left w:val="nil"/>
              <w:bottom w:val="nil"/>
              <w:right w:val="nil"/>
            </w:tcBorders>
            <w:shd w:val="clear" w:color="auto" w:fill="auto"/>
            <w:vAlign w:val="center"/>
            <w:hideMark/>
          </w:tcPr>
          <w:p w14:paraId="0753A68C"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276" w:type="dxa"/>
            <w:tcBorders>
              <w:top w:val="nil"/>
              <w:left w:val="nil"/>
              <w:bottom w:val="nil"/>
              <w:right w:val="nil"/>
            </w:tcBorders>
            <w:shd w:val="clear" w:color="auto" w:fill="auto"/>
            <w:vAlign w:val="center"/>
            <w:hideMark/>
          </w:tcPr>
          <w:p w14:paraId="2F28EB8D"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4FE15DE2"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13DB82E4"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67392BDC"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F8D031C" w14:textId="77777777" w:rsidTr="00B743E4">
        <w:trPr>
          <w:trHeight w:val="120"/>
        </w:trPr>
        <w:tc>
          <w:tcPr>
            <w:tcW w:w="2268" w:type="dxa"/>
            <w:tcBorders>
              <w:top w:val="nil"/>
              <w:left w:val="nil"/>
              <w:bottom w:val="nil"/>
              <w:right w:val="nil"/>
            </w:tcBorders>
            <w:shd w:val="clear" w:color="auto" w:fill="auto"/>
            <w:vAlign w:val="center"/>
            <w:hideMark/>
          </w:tcPr>
          <w:p w14:paraId="1E962D95"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Diet quality </w:t>
            </w:r>
          </w:p>
        </w:tc>
        <w:tc>
          <w:tcPr>
            <w:tcW w:w="1276" w:type="dxa"/>
            <w:tcBorders>
              <w:top w:val="nil"/>
              <w:left w:val="nil"/>
              <w:bottom w:val="nil"/>
              <w:right w:val="nil"/>
            </w:tcBorders>
            <w:shd w:val="clear" w:color="auto" w:fill="auto"/>
            <w:vAlign w:val="center"/>
            <w:hideMark/>
          </w:tcPr>
          <w:p w14:paraId="025F6A0D"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21741BB0"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7E56F3CC" w14:textId="77777777" w:rsidR="00A36F89" w:rsidRPr="00767BC2" w:rsidRDefault="00A36F89" w:rsidP="00B743E4">
            <w:pPr>
              <w:spacing w:after="0"/>
              <w:jc w:val="center"/>
              <w:textAlignment w:val="baseline"/>
              <w:rPr>
                <w:rFonts w:eastAsia="Times New Roman" w:cs="Times New Roman"/>
                <w:szCs w:val="24"/>
                <w:lang w:eastAsia="en-GB"/>
              </w:rPr>
            </w:pPr>
            <w:r w:rsidRPr="00767BC2">
              <w:rPr>
                <w:rFonts w:ascii="Calibri" w:eastAsia="Times New Roman" w:hAnsi="Calibri" w:cs="Calibri"/>
                <w:sz w:val="20"/>
                <w:szCs w:val="20"/>
                <w:lang w:eastAsia="en-GB"/>
              </w:rPr>
              <w:t>0.141 </w:t>
            </w:r>
          </w:p>
        </w:tc>
        <w:tc>
          <w:tcPr>
            <w:tcW w:w="3260" w:type="dxa"/>
            <w:tcBorders>
              <w:top w:val="nil"/>
              <w:left w:val="nil"/>
              <w:bottom w:val="nil"/>
              <w:right w:val="nil"/>
            </w:tcBorders>
          </w:tcPr>
          <w:p w14:paraId="68D3C72D" w14:textId="77777777" w:rsidR="00A36F89" w:rsidRPr="005C5CA9" w:rsidRDefault="00A36F89" w:rsidP="00B743E4">
            <w:pPr>
              <w:spacing w:after="0"/>
              <w:jc w:val="center"/>
              <w:textAlignment w:val="baseline"/>
              <w:rPr>
                <w:rFonts w:ascii="Calibri" w:eastAsia="Times New Roman" w:hAnsi="Calibri" w:cs="Calibri"/>
                <w:sz w:val="20"/>
                <w:szCs w:val="20"/>
                <w:u w:val="single"/>
                <w:lang w:eastAsia="en-GB"/>
              </w:rPr>
            </w:pPr>
            <w:r w:rsidRPr="005C5CA9">
              <w:rPr>
                <w:rFonts w:ascii="Calibri" w:eastAsia="Times New Roman" w:hAnsi="Calibri" w:cs="Calibri"/>
                <w:sz w:val="20"/>
                <w:szCs w:val="20"/>
                <w:u w:val="single"/>
                <w:lang w:eastAsia="en-GB"/>
              </w:rPr>
              <w:t>0.089</w:t>
            </w:r>
          </w:p>
        </w:tc>
      </w:tr>
      <w:tr w:rsidR="00A36F89" w:rsidRPr="005C5CA9" w14:paraId="54F060F0" w14:textId="77777777" w:rsidTr="00B743E4">
        <w:trPr>
          <w:trHeight w:val="120"/>
        </w:trPr>
        <w:tc>
          <w:tcPr>
            <w:tcW w:w="2268" w:type="dxa"/>
            <w:tcBorders>
              <w:top w:val="nil"/>
              <w:left w:val="nil"/>
              <w:bottom w:val="nil"/>
              <w:right w:val="nil"/>
            </w:tcBorders>
            <w:shd w:val="clear" w:color="auto" w:fill="auto"/>
            <w:vAlign w:val="center"/>
            <w:hideMark/>
          </w:tcPr>
          <w:p w14:paraId="7FBD0303"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Lower than before </w:t>
            </w:r>
          </w:p>
        </w:tc>
        <w:tc>
          <w:tcPr>
            <w:tcW w:w="1276" w:type="dxa"/>
            <w:tcBorders>
              <w:top w:val="nil"/>
              <w:left w:val="nil"/>
              <w:bottom w:val="nil"/>
              <w:right w:val="nil"/>
            </w:tcBorders>
            <w:shd w:val="clear" w:color="auto" w:fill="auto"/>
            <w:vAlign w:val="bottom"/>
            <w:hideMark/>
          </w:tcPr>
          <w:p w14:paraId="112992FD"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11 (4.9%) </w:t>
            </w:r>
          </w:p>
        </w:tc>
        <w:tc>
          <w:tcPr>
            <w:tcW w:w="1418" w:type="dxa"/>
            <w:tcBorders>
              <w:top w:val="nil"/>
              <w:left w:val="nil"/>
              <w:bottom w:val="nil"/>
              <w:right w:val="nil"/>
            </w:tcBorders>
            <w:shd w:val="clear" w:color="auto" w:fill="auto"/>
            <w:vAlign w:val="bottom"/>
            <w:hideMark/>
          </w:tcPr>
          <w:p w14:paraId="02F8A1FF"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25 (9.4%) </w:t>
            </w:r>
          </w:p>
        </w:tc>
        <w:tc>
          <w:tcPr>
            <w:tcW w:w="1417" w:type="dxa"/>
            <w:tcBorders>
              <w:top w:val="nil"/>
              <w:left w:val="nil"/>
              <w:bottom w:val="nil"/>
              <w:right w:val="nil"/>
            </w:tcBorders>
            <w:shd w:val="clear" w:color="auto" w:fill="auto"/>
            <w:vAlign w:val="bottom"/>
          </w:tcPr>
          <w:p w14:paraId="176B5BF3"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0CB3487B"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2EF3D81" w14:textId="77777777" w:rsidTr="00B743E4">
        <w:trPr>
          <w:trHeight w:val="120"/>
        </w:trPr>
        <w:tc>
          <w:tcPr>
            <w:tcW w:w="2268" w:type="dxa"/>
            <w:tcBorders>
              <w:top w:val="nil"/>
              <w:left w:val="nil"/>
              <w:bottom w:val="nil"/>
              <w:right w:val="nil"/>
            </w:tcBorders>
            <w:shd w:val="clear" w:color="auto" w:fill="auto"/>
            <w:vAlign w:val="center"/>
            <w:hideMark/>
          </w:tcPr>
          <w:p w14:paraId="24C3B141"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About the same </w:t>
            </w:r>
          </w:p>
        </w:tc>
        <w:tc>
          <w:tcPr>
            <w:tcW w:w="1276" w:type="dxa"/>
            <w:tcBorders>
              <w:top w:val="nil"/>
              <w:left w:val="nil"/>
              <w:bottom w:val="nil"/>
              <w:right w:val="nil"/>
            </w:tcBorders>
            <w:shd w:val="clear" w:color="auto" w:fill="auto"/>
            <w:vAlign w:val="bottom"/>
            <w:hideMark/>
          </w:tcPr>
          <w:p w14:paraId="0273CAD5"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200 (88.9%) </w:t>
            </w:r>
          </w:p>
        </w:tc>
        <w:tc>
          <w:tcPr>
            <w:tcW w:w="1418" w:type="dxa"/>
            <w:tcBorders>
              <w:top w:val="nil"/>
              <w:left w:val="nil"/>
              <w:bottom w:val="nil"/>
              <w:right w:val="nil"/>
            </w:tcBorders>
            <w:shd w:val="clear" w:color="auto" w:fill="auto"/>
            <w:vAlign w:val="bottom"/>
            <w:hideMark/>
          </w:tcPr>
          <w:p w14:paraId="2F38F40B"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228 (85.7%) </w:t>
            </w:r>
          </w:p>
        </w:tc>
        <w:tc>
          <w:tcPr>
            <w:tcW w:w="1417" w:type="dxa"/>
            <w:tcBorders>
              <w:top w:val="nil"/>
              <w:left w:val="nil"/>
              <w:bottom w:val="nil"/>
              <w:right w:val="nil"/>
            </w:tcBorders>
            <w:shd w:val="clear" w:color="auto" w:fill="auto"/>
            <w:vAlign w:val="bottom"/>
          </w:tcPr>
          <w:p w14:paraId="36F71959"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40944386"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CB2321E" w14:textId="77777777" w:rsidTr="00B743E4">
        <w:trPr>
          <w:trHeight w:val="120"/>
        </w:trPr>
        <w:tc>
          <w:tcPr>
            <w:tcW w:w="2268" w:type="dxa"/>
            <w:tcBorders>
              <w:top w:val="nil"/>
              <w:left w:val="nil"/>
              <w:bottom w:val="nil"/>
              <w:right w:val="nil"/>
            </w:tcBorders>
            <w:shd w:val="clear" w:color="auto" w:fill="auto"/>
            <w:vAlign w:val="center"/>
            <w:hideMark/>
          </w:tcPr>
          <w:p w14:paraId="7F173ED3"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Higher than before </w:t>
            </w:r>
          </w:p>
        </w:tc>
        <w:tc>
          <w:tcPr>
            <w:tcW w:w="1276" w:type="dxa"/>
            <w:tcBorders>
              <w:top w:val="nil"/>
              <w:left w:val="nil"/>
              <w:bottom w:val="nil"/>
              <w:right w:val="nil"/>
            </w:tcBorders>
            <w:shd w:val="clear" w:color="auto" w:fill="auto"/>
            <w:vAlign w:val="bottom"/>
            <w:hideMark/>
          </w:tcPr>
          <w:p w14:paraId="39D21100"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14 (6.2%) </w:t>
            </w:r>
          </w:p>
        </w:tc>
        <w:tc>
          <w:tcPr>
            <w:tcW w:w="1418" w:type="dxa"/>
            <w:tcBorders>
              <w:top w:val="nil"/>
              <w:left w:val="nil"/>
              <w:bottom w:val="nil"/>
              <w:right w:val="nil"/>
            </w:tcBorders>
            <w:shd w:val="clear" w:color="auto" w:fill="auto"/>
            <w:vAlign w:val="bottom"/>
            <w:hideMark/>
          </w:tcPr>
          <w:p w14:paraId="4AE2F9A7"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13 (4.9%) </w:t>
            </w:r>
          </w:p>
        </w:tc>
        <w:tc>
          <w:tcPr>
            <w:tcW w:w="1417" w:type="dxa"/>
            <w:tcBorders>
              <w:top w:val="nil"/>
              <w:left w:val="nil"/>
              <w:bottom w:val="nil"/>
              <w:right w:val="nil"/>
            </w:tcBorders>
            <w:shd w:val="clear" w:color="auto" w:fill="auto"/>
            <w:vAlign w:val="bottom"/>
          </w:tcPr>
          <w:p w14:paraId="00904E8B"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3B21D9ED"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77D30CDF" w14:textId="77777777" w:rsidTr="00B743E4">
        <w:trPr>
          <w:trHeight w:val="120"/>
        </w:trPr>
        <w:tc>
          <w:tcPr>
            <w:tcW w:w="2268" w:type="dxa"/>
            <w:tcBorders>
              <w:top w:val="nil"/>
              <w:left w:val="nil"/>
              <w:bottom w:val="nil"/>
              <w:right w:val="nil"/>
            </w:tcBorders>
            <w:shd w:val="clear" w:color="auto" w:fill="auto"/>
            <w:vAlign w:val="center"/>
            <w:hideMark/>
          </w:tcPr>
          <w:p w14:paraId="7B395FBE"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276" w:type="dxa"/>
            <w:tcBorders>
              <w:top w:val="nil"/>
              <w:left w:val="nil"/>
              <w:bottom w:val="nil"/>
              <w:right w:val="nil"/>
            </w:tcBorders>
            <w:shd w:val="clear" w:color="auto" w:fill="auto"/>
            <w:vAlign w:val="center"/>
            <w:hideMark/>
          </w:tcPr>
          <w:p w14:paraId="631AFABA"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1D119168"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46040278"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22DF9E92"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7655CC8C" w14:textId="77777777" w:rsidTr="00B743E4">
        <w:trPr>
          <w:trHeight w:val="120"/>
        </w:trPr>
        <w:tc>
          <w:tcPr>
            <w:tcW w:w="2268" w:type="dxa"/>
            <w:tcBorders>
              <w:top w:val="nil"/>
              <w:left w:val="nil"/>
              <w:bottom w:val="nil"/>
              <w:right w:val="nil"/>
            </w:tcBorders>
            <w:shd w:val="clear" w:color="auto" w:fill="auto"/>
            <w:vAlign w:val="center"/>
            <w:hideMark/>
          </w:tcPr>
          <w:p w14:paraId="76A1ABF0"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Food consumption </w:t>
            </w:r>
          </w:p>
        </w:tc>
        <w:tc>
          <w:tcPr>
            <w:tcW w:w="1276" w:type="dxa"/>
            <w:tcBorders>
              <w:top w:val="nil"/>
              <w:left w:val="nil"/>
              <w:bottom w:val="nil"/>
              <w:right w:val="nil"/>
            </w:tcBorders>
            <w:shd w:val="clear" w:color="auto" w:fill="auto"/>
            <w:vAlign w:val="center"/>
            <w:hideMark/>
          </w:tcPr>
          <w:p w14:paraId="334E09CE"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53DAE1CD"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0F1557A2" w14:textId="77777777" w:rsidR="00A36F89" w:rsidRPr="00767BC2" w:rsidRDefault="00A36F89" w:rsidP="00B743E4">
            <w:pPr>
              <w:spacing w:after="0"/>
              <w:jc w:val="center"/>
              <w:textAlignment w:val="baseline"/>
              <w:rPr>
                <w:rFonts w:eastAsia="Times New Roman" w:cs="Times New Roman"/>
                <w:szCs w:val="24"/>
                <w:lang w:eastAsia="en-GB"/>
              </w:rPr>
            </w:pPr>
            <w:r w:rsidRPr="00767BC2">
              <w:rPr>
                <w:rFonts w:ascii="Calibri" w:eastAsia="Times New Roman" w:hAnsi="Calibri" w:cs="Calibri"/>
                <w:sz w:val="20"/>
                <w:szCs w:val="20"/>
                <w:lang w:eastAsia="en-GB"/>
              </w:rPr>
              <w:t>0.388 </w:t>
            </w:r>
          </w:p>
        </w:tc>
        <w:tc>
          <w:tcPr>
            <w:tcW w:w="3260" w:type="dxa"/>
            <w:tcBorders>
              <w:top w:val="nil"/>
              <w:left w:val="nil"/>
              <w:bottom w:val="nil"/>
              <w:right w:val="nil"/>
            </w:tcBorders>
          </w:tcPr>
          <w:p w14:paraId="40CF9361" w14:textId="77777777" w:rsidR="00A36F89" w:rsidRPr="005C5CA9" w:rsidRDefault="00A36F89" w:rsidP="00B743E4">
            <w:pPr>
              <w:spacing w:after="0"/>
              <w:jc w:val="center"/>
              <w:textAlignment w:val="baseline"/>
              <w:rPr>
                <w:rFonts w:ascii="Calibri" w:eastAsia="Times New Roman" w:hAnsi="Calibri" w:cs="Calibri"/>
                <w:sz w:val="20"/>
                <w:szCs w:val="20"/>
                <w:u w:val="single"/>
                <w:lang w:eastAsia="en-GB"/>
              </w:rPr>
            </w:pPr>
            <w:r w:rsidRPr="005C5CA9">
              <w:rPr>
                <w:rFonts w:ascii="Calibri" w:eastAsia="Times New Roman" w:hAnsi="Calibri" w:cs="Calibri"/>
                <w:sz w:val="20"/>
                <w:szCs w:val="20"/>
                <w:u w:val="single"/>
                <w:lang w:eastAsia="en-GB"/>
              </w:rPr>
              <w:t>0.062</w:t>
            </w:r>
          </w:p>
        </w:tc>
      </w:tr>
      <w:tr w:rsidR="00A36F89" w:rsidRPr="005C5CA9" w14:paraId="1BA27473" w14:textId="77777777" w:rsidTr="00B743E4">
        <w:trPr>
          <w:trHeight w:val="120"/>
        </w:trPr>
        <w:tc>
          <w:tcPr>
            <w:tcW w:w="2268" w:type="dxa"/>
            <w:tcBorders>
              <w:top w:val="nil"/>
              <w:left w:val="nil"/>
              <w:bottom w:val="nil"/>
              <w:right w:val="nil"/>
            </w:tcBorders>
            <w:shd w:val="clear" w:color="auto" w:fill="auto"/>
            <w:vAlign w:val="center"/>
            <w:hideMark/>
          </w:tcPr>
          <w:p w14:paraId="54950EAB"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Less than before </w:t>
            </w:r>
          </w:p>
        </w:tc>
        <w:tc>
          <w:tcPr>
            <w:tcW w:w="1276" w:type="dxa"/>
            <w:tcBorders>
              <w:top w:val="nil"/>
              <w:left w:val="nil"/>
              <w:bottom w:val="nil"/>
              <w:right w:val="nil"/>
            </w:tcBorders>
            <w:shd w:val="clear" w:color="auto" w:fill="auto"/>
            <w:vAlign w:val="bottom"/>
            <w:hideMark/>
          </w:tcPr>
          <w:p w14:paraId="7560A10A"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27 (12.1%) </w:t>
            </w:r>
          </w:p>
        </w:tc>
        <w:tc>
          <w:tcPr>
            <w:tcW w:w="1418" w:type="dxa"/>
            <w:tcBorders>
              <w:top w:val="nil"/>
              <w:left w:val="nil"/>
              <w:bottom w:val="nil"/>
              <w:right w:val="nil"/>
            </w:tcBorders>
            <w:shd w:val="clear" w:color="auto" w:fill="auto"/>
            <w:vAlign w:val="bottom"/>
            <w:hideMark/>
          </w:tcPr>
          <w:p w14:paraId="170F048E"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27 (10.2%) </w:t>
            </w:r>
          </w:p>
        </w:tc>
        <w:tc>
          <w:tcPr>
            <w:tcW w:w="1417" w:type="dxa"/>
            <w:tcBorders>
              <w:top w:val="nil"/>
              <w:left w:val="nil"/>
              <w:bottom w:val="nil"/>
              <w:right w:val="nil"/>
            </w:tcBorders>
            <w:shd w:val="clear" w:color="auto" w:fill="auto"/>
            <w:vAlign w:val="bottom"/>
          </w:tcPr>
          <w:p w14:paraId="362E823F"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31476961"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869E9BC" w14:textId="77777777" w:rsidTr="00B743E4">
        <w:trPr>
          <w:trHeight w:val="120"/>
        </w:trPr>
        <w:tc>
          <w:tcPr>
            <w:tcW w:w="2268" w:type="dxa"/>
            <w:tcBorders>
              <w:top w:val="nil"/>
              <w:left w:val="nil"/>
              <w:bottom w:val="nil"/>
              <w:right w:val="nil"/>
            </w:tcBorders>
            <w:shd w:val="clear" w:color="auto" w:fill="auto"/>
            <w:vAlign w:val="center"/>
            <w:hideMark/>
          </w:tcPr>
          <w:p w14:paraId="425A1AD2"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About the same </w:t>
            </w:r>
          </w:p>
        </w:tc>
        <w:tc>
          <w:tcPr>
            <w:tcW w:w="1276" w:type="dxa"/>
            <w:tcBorders>
              <w:top w:val="nil"/>
              <w:left w:val="nil"/>
              <w:bottom w:val="nil"/>
              <w:right w:val="nil"/>
            </w:tcBorders>
            <w:shd w:val="clear" w:color="auto" w:fill="auto"/>
            <w:vAlign w:val="bottom"/>
            <w:hideMark/>
          </w:tcPr>
          <w:p w14:paraId="15C3C93A"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187 (83.5%) </w:t>
            </w:r>
          </w:p>
        </w:tc>
        <w:tc>
          <w:tcPr>
            <w:tcW w:w="1418" w:type="dxa"/>
            <w:tcBorders>
              <w:top w:val="nil"/>
              <w:left w:val="nil"/>
              <w:bottom w:val="nil"/>
              <w:right w:val="nil"/>
            </w:tcBorders>
            <w:shd w:val="clear" w:color="auto" w:fill="auto"/>
            <w:vAlign w:val="bottom"/>
            <w:hideMark/>
          </w:tcPr>
          <w:p w14:paraId="130B6EDE"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219 (82.6%) </w:t>
            </w:r>
          </w:p>
        </w:tc>
        <w:tc>
          <w:tcPr>
            <w:tcW w:w="1417" w:type="dxa"/>
            <w:tcBorders>
              <w:top w:val="nil"/>
              <w:left w:val="nil"/>
              <w:bottom w:val="nil"/>
              <w:right w:val="nil"/>
            </w:tcBorders>
            <w:shd w:val="clear" w:color="auto" w:fill="auto"/>
            <w:vAlign w:val="bottom"/>
          </w:tcPr>
          <w:p w14:paraId="38A9085A"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47B22608"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155B3F1" w14:textId="77777777" w:rsidTr="00B743E4">
        <w:trPr>
          <w:trHeight w:val="120"/>
        </w:trPr>
        <w:tc>
          <w:tcPr>
            <w:tcW w:w="2268" w:type="dxa"/>
            <w:tcBorders>
              <w:top w:val="nil"/>
              <w:left w:val="nil"/>
              <w:bottom w:val="nil"/>
              <w:right w:val="nil"/>
            </w:tcBorders>
            <w:shd w:val="clear" w:color="auto" w:fill="auto"/>
            <w:vAlign w:val="center"/>
            <w:hideMark/>
          </w:tcPr>
          <w:p w14:paraId="32388932"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More than before </w:t>
            </w:r>
          </w:p>
        </w:tc>
        <w:tc>
          <w:tcPr>
            <w:tcW w:w="1276" w:type="dxa"/>
            <w:tcBorders>
              <w:top w:val="nil"/>
              <w:left w:val="nil"/>
              <w:bottom w:val="nil"/>
              <w:right w:val="nil"/>
            </w:tcBorders>
            <w:shd w:val="clear" w:color="auto" w:fill="auto"/>
            <w:vAlign w:val="bottom"/>
            <w:hideMark/>
          </w:tcPr>
          <w:p w14:paraId="3DF409F9"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10 (4.5%) </w:t>
            </w:r>
          </w:p>
        </w:tc>
        <w:tc>
          <w:tcPr>
            <w:tcW w:w="1418" w:type="dxa"/>
            <w:tcBorders>
              <w:top w:val="nil"/>
              <w:left w:val="nil"/>
              <w:bottom w:val="nil"/>
              <w:right w:val="nil"/>
            </w:tcBorders>
            <w:shd w:val="clear" w:color="auto" w:fill="auto"/>
            <w:vAlign w:val="bottom"/>
            <w:hideMark/>
          </w:tcPr>
          <w:p w14:paraId="562F61E2"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19 (7.2%) </w:t>
            </w:r>
          </w:p>
        </w:tc>
        <w:tc>
          <w:tcPr>
            <w:tcW w:w="1417" w:type="dxa"/>
            <w:tcBorders>
              <w:top w:val="nil"/>
              <w:left w:val="nil"/>
              <w:bottom w:val="nil"/>
              <w:right w:val="nil"/>
            </w:tcBorders>
            <w:shd w:val="clear" w:color="auto" w:fill="auto"/>
            <w:vAlign w:val="bottom"/>
          </w:tcPr>
          <w:p w14:paraId="72CAFF6E"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70B6011D"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468096FA" w14:textId="77777777" w:rsidTr="00B743E4">
        <w:trPr>
          <w:trHeight w:val="120"/>
        </w:trPr>
        <w:tc>
          <w:tcPr>
            <w:tcW w:w="2268" w:type="dxa"/>
            <w:tcBorders>
              <w:top w:val="nil"/>
              <w:left w:val="nil"/>
              <w:bottom w:val="nil"/>
              <w:right w:val="nil"/>
            </w:tcBorders>
            <w:shd w:val="clear" w:color="auto" w:fill="auto"/>
            <w:vAlign w:val="center"/>
            <w:hideMark/>
          </w:tcPr>
          <w:p w14:paraId="1FE4E883"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276" w:type="dxa"/>
            <w:tcBorders>
              <w:top w:val="nil"/>
              <w:left w:val="nil"/>
              <w:bottom w:val="nil"/>
              <w:right w:val="nil"/>
            </w:tcBorders>
            <w:shd w:val="clear" w:color="auto" w:fill="auto"/>
            <w:vAlign w:val="center"/>
            <w:hideMark/>
          </w:tcPr>
          <w:p w14:paraId="2BB8B9C4"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68BB5550"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75C4D858"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1BAC9298"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274A331" w14:textId="77777777" w:rsidTr="00B743E4">
        <w:trPr>
          <w:trHeight w:val="120"/>
        </w:trPr>
        <w:tc>
          <w:tcPr>
            <w:tcW w:w="2268" w:type="dxa"/>
            <w:tcBorders>
              <w:top w:val="nil"/>
              <w:left w:val="nil"/>
              <w:bottom w:val="nil"/>
              <w:right w:val="nil"/>
            </w:tcBorders>
            <w:shd w:val="clear" w:color="auto" w:fill="auto"/>
            <w:vAlign w:val="center"/>
            <w:hideMark/>
          </w:tcPr>
          <w:p w14:paraId="4E2CD2C8"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Physical activity </w:t>
            </w:r>
          </w:p>
        </w:tc>
        <w:tc>
          <w:tcPr>
            <w:tcW w:w="1276" w:type="dxa"/>
            <w:tcBorders>
              <w:top w:val="nil"/>
              <w:left w:val="nil"/>
              <w:bottom w:val="nil"/>
              <w:right w:val="nil"/>
            </w:tcBorders>
            <w:shd w:val="clear" w:color="auto" w:fill="auto"/>
            <w:vAlign w:val="center"/>
            <w:hideMark/>
          </w:tcPr>
          <w:p w14:paraId="289F13F5"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79CD548C"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5531880D" w14:textId="77777777" w:rsidR="00A36F89" w:rsidRPr="00767BC2" w:rsidRDefault="00A36F89" w:rsidP="00B743E4">
            <w:pPr>
              <w:spacing w:after="0"/>
              <w:jc w:val="center"/>
              <w:textAlignment w:val="baseline"/>
              <w:rPr>
                <w:rFonts w:eastAsia="Times New Roman" w:cs="Times New Roman"/>
                <w:szCs w:val="24"/>
                <w:lang w:eastAsia="en-GB"/>
              </w:rPr>
            </w:pPr>
            <w:r w:rsidRPr="00767BC2">
              <w:rPr>
                <w:rFonts w:ascii="Calibri" w:eastAsia="Times New Roman" w:hAnsi="Calibri" w:cs="Calibri"/>
                <w:sz w:val="20"/>
                <w:szCs w:val="20"/>
                <w:lang w:eastAsia="en-GB"/>
              </w:rPr>
              <w:t>0.252 </w:t>
            </w:r>
          </w:p>
        </w:tc>
        <w:tc>
          <w:tcPr>
            <w:tcW w:w="3260" w:type="dxa"/>
            <w:tcBorders>
              <w:top w:val="nil"/>
              <w:left w:val="nil"/>
              <w:bottom w:val="nil"/>
              <w:right w:val="nil"/>
            </w:tcBorders>
          </w:tcPr>
          <w:p w14:paraId="683D4B0A" w14:textId="77777777" w:rsidR="00A36F89" w:rsidRPr="005C5CA9" w:rsidRDefault="00A36F89" w:rsidP="00B743E4">
            <w:pPr>
              <w:spacing w:after="0"/>
              <w:jc w:val="center"/>
              <w:textAlignment w:val="baseline"/>
              <w:rPr>
                <w:rFonts w:ascii="Calibri" w:eastAsia="Times New Roman" w:hAnsi="Calibri" w:cs="Calibri"/>
                <w:sz w:val="20"/>
                <w:szCs w:val="20"/>
                <w:u w:val="single"/>
                <w:lang w:eastAsia="en-GB"/>
              </w:rPr>
            </w:pPr>
            <w:r w:rsidRPr="005C5CA9">
              <w:rPr>
                <w:rFonts w:ascii="Calibri" w:eastAsia="Times New Roman" w:hAnsi="Calibri" w:cs="Calibri"/>
                <w:sz w:val="20"/>
                <w:szCs w:val="20"/>
                <w:u w:val="single"/>
                <w:lang w:eastAsia="en-GB"/>
              </w:rPr>
              <w:t>0.075</w:t>
            </w:r>
          </w:p>
        </w:tc>
      </w:tr>
      <w:tr w:rsidR="00A36F89" w:rsidRPr="005C5CA9" w14:paraId="189251F8" w14:textId="77777777" w:rsidTr="00B743E4">
        <w:trPr>
          <w:trHeight w:val="120"/>
        </w:trPr>
        <w:tc>
          <w:tcPr>
            <w:tcW w:w="2268" w:type="dxa"/>
            <w:tcBorders>
              <w:top w:val="nil"/>
              <w:left w:val="nil"/>
              <w:bottom w:val="nil"/>
              <w:right w:val="nil"/>
            </w:tcBorders>
            <w:shd w:val="clear" w:color="auto" w:fill="auto"/>
            <w:vAlign w:val="center"/>
            <w:hideMark/>
          </w:tcPr>
          <w:p w14:paraId="1FA53923"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Less than before </w:t>
            </w:r>
          </w:p>
        </w:tc>
        <w:tc>
          <w:tcPr>
            <w:tcW w:w="1276" w:type="dxa"/>
            <w:tcBorders>
              <w:top w:val="nil"/>
              <w:left w:val="nil"/>
              <w:bottom w:val="nil"/>
              <w:right w:val="nil"/>
            </w:tcBorders>
            <w:shd w:val="clear" w:color="auto" w:fill="auto"/>
            <w:vAlign w:val="bottom"/>
            <w:hideMark/>
          </w:tcPr>
          <w:p w14:paraId="208DBF3F"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81 (36.0%) </w:t>
            </w:r>
          </w:p>
        </w:tc>
        <w:tc>
          <w:tcPr>
            <w:tcW w:w="1418" w:type="dxa"/>
            <w:tcBorders>
              <w:top w:val="nil"/>
              <w:left w:val="nil"/>
              <w:bottom w:val="nil"/>
              <w:right w:val="nil"/>
            </w:tcBorders>
            <w:shd w:val="clear" w:color="auto" w:fill="auto"/>
            <w:vAlign w:val="bottom"/>
            <w:hideMark/>
          </w:tcPr>
          <w:p w14:paraId="78EE8AF5"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113 (42.8%) </w:t>
            </w:r>
          </w:p>
        </w:tc>
        <w:tc>
          <w:tcPr>
            <w:tcW w:w="1417" w:type="dxa"/>
            <w:tcBorders>
              <w:top w:val="nil"/>
              <w:left w:val="nil"/>
              <w:bottom w:val="nil"/>
              <w:right w:val="nil"/>
            </w:tcBorders>
            <w:shd w:val="clear" w:color="auto" w:fill="auto"/>
            <w:vAlign w:val="bottom"/>
          </w:tcPr>
          <w:p w14:paraId="7255C63F"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5FA358CB"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311F15E8" w14:textId="77777777" w:rsidTr="00B743E4">
        <w:trPr>
          <w:trHeight w:val="120"/>
        </w:trPr>
        <w:tc>
          <w:tcPr>
            <w:tcW w:w="2268" w:type="dxa"/>
            <w:tcBorders>
              <w:top w:val="nil"/>
              <w:left w:val="nil"/>
              <w:bottom w:val="nil"/>
              <w:right w:val="nil"/>
            </w:tcBorders>
            <w:shd w:val="clear" w:color="auto" w:fill="auto"/>
            <w:vAlign w:val="center"/>
            <w:hideMark/>
          </w:tcPr>
          <w:p w14:paraId="405F51FD"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xml:space="preserve">     About </w:t>
            </w:r>
            <w:r w:rsidRPr="00FB7048">
              <w:rPr>
                <w:rFonts w:eastAsia="Times New Roman" w:cs="Times New Roman"/>
                <w:color w:val="000000"/>
                <w:sz w:val="20"/>
                <w:szCs w:val="20"/>
                <w:lang w:eastAsia="en-GB"/>
              </w:rPr>
              <w:t xml:space="preserve">the </w:t>
            </w:r>
            <w:r w:rsidRPr="00FB7048">
              <w:rPr>
                <w:rFonts w:ascii="Calibri" w:eastAsia="Times New Roman" w:hAnsi="Calibri" w:cs="Calibri"/>
                <w:color w:val="000000"/>
                <w:sz w:val="20"/>
                <w:szCs w:val="20"/>
                <w:lang w:eastAsia="en-GB"/>
              </w:rPr>
              <w:t>same </w:t>
            </w:r>
          </w:p>
        </w:tc>
        <w:tc>
          <w:tcPr>
            <w:tcW w:w="1276" w:type="dxa"/>
            <w:tcBorders>
              <w:top w:val="nil"/>
              <w:left w:val="nil"/>
              <w:bottom w:val="nil"/>
              <w:right w:val="nil"/>
            </w:tcBorders>
            <w:shd w:val="clear" w:color="auto" w:fill="auto"/>
            <w:vAlign w:val="bottom"/>
            <w:hideMark/>
          </w:tcPr>
          <w:p w14:paraId="23D927E9"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131 (58.2%) </w:t>
            </w:r>
          </w:p>
        </w:tc>
        <w:tc>
          <w:tcPr>
            <w:tcW w:w="1418" w:type="dxa"/>
            <w:tcBorders>
              <w:top w:val="nil"/>
              <w:left w:val="nil"/>
              <w:bottom w:val="nil"/>
              <w:right w:val="nil"/>
            </w:tcBorders>
            <w:shd w:val="clear" w:color="auto" w:fill="auto"/>
            <w:vAlign w:val="bottom"/>
            <w:hideMark/>
          </w:tcPr>
          <w:p w14:paraId="5CDCD6AE"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134 (50.8%) </w:t>
            </w:r>
          </w:p>
        </w:tc>
        <w:tc>
          <w:tcPr>
            <w:tcW w:w="1417" w:type="dxa"/>
            <w:tcBorders>
              <w:top w:val="nil"/>
              <w:left w:val="nil"/>
              <w:bottom w:val="nil"/>
              <w:right w:val="nil"/>
            </w:tcBorders>
            <w:shd w:val="clear" w:color="auto" w:fill="auto"/>
            <w:vAlign w:val="bottom"/>
          </w:tcPr>
          <w:p w14:paraId="1F24C487"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6094376C"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5A5382DC" w14:textId="77777777" w:rsidTr="00B743E4">
        <w:trPr>
          <w:trHeight w:val="120"/>
        </w:trPr>
        <w:tc>
          <w:tcPr>
            <w:tcW w:w="2268" w:type="dxa"/>
            <w:tcBorders>
              <w:top w:val="nil"/>
              <w:left w:val="nil"/>
              <w:bottom w:val="nil"/>
              <w:right w:val="nil"/>
            </w:tcBorders>
            <w:shd w:val="clear" w:color="auto" w:fill="auto"/>
            <w:vAlign w:val="center"/>
            <w:hideMark/>
          </w:tcPr>
          <w:p w14:paraId="10983FCC"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More than before </w:t>
            </w:r>
          </w:p>
        </w:tc>
        <w:tc>
          <w:tcPr>
            <w:tcW w:w="1276" w:type="dxa"/>
            <w:tcBorders>
              <w:top w:val="nil"/>
              <w:left w:val="nil"/>
              <w:bottom w:val="nil"/>
              <w:right w:val="nil"/>
            </w:tcBorders>
            <w:shd w:val="clear" w:color="auto" w:fill="auto"/>
            <w:vAlign w:val="bottom"/>
            <w:hideMark/>
          </w:tcPr>
          <w:p w14:paraId="3BD438C5"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13 (5.8%) </w:t>
            </w:r>
          </w:p>
        </w:tc>
        <w:tc>
          <w:tcPr>
            <w:tcW w:w="1418" w:type="dxa"/>
            <w:tcBorders>
              <w:top w:val="nil"/>
              <w:left w:val="nil"/>
              <w:bottom w:val="nil"/>
              <w:right w:val="nil"/>
            </w:tcBorders>
            <w:shd w:val="clear" w:color="auto" w:fill="auto"/>
            <w:vAlign w:val="bottom"/>
            <w:hideMark/>
          </w:tcPr>
          <w:p w14:paraId="5792B83B"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17 (6.4%) </w:t>
            </w:r>
          </w:p>
        </w:tc>
        <w:tc>
          <w:tcPr>
            <w:tcW w:w="1417" w:type="dxa"/>
            <w:tcBorders>
              <w:top w:val="nil"/>
              <w:left w:val="nil"/>
              <w:bottom w:val="nil"/>
              <w:right w:val="nil"/>
            </w:tcBorders>
            <w:shd w:val="clear" w:color="auto" w:fill="auto"/>
            <w:vAlign w:val="bottom"/>
          </w:tcPr>
          <w:p w14:paraId="32B28108"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050CE255"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2F916BB0" w14:textId="77777777" w:rsidTr="00B743E4">
        <w:trPr>
          <w:trHeight w:val="120"/>
        </w:trPr>
        <w:tc>
          <w:tcPr>
            <w:tcW w:w="2268" w:type="dxa"/>
            <w:tcBorders>
              <w:top w:val="nil"/>
              <w:left w:val="nil"/>
              <w:bottom w:val="nil"/>
              <w:right w:val="nil"/>
            </w:tcBorders>
            <w:shd w:val="clear" w:color="auto" w:fill="auto"/>
            <w:vAlign w:val="center"/>
            <w:hideMark/>
          </w:tcPr>
          <w:p w14:paraId="50D023AA"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276" w:type="dxa"/>
            <w:tcBorders>
              <w:top w:val="nil"/>
              <w:left w:val="nil"/>
              <w:bottom w:val="nil"/>
              <w:right w:val="nil"/>
            </w:tcBorders>
            <w:shd w:val="clear" w:color="auto" w:fill="auto"/>
            <w:vAlign w:val="center"/>
            <w:hideMark/>
          </w:tcPr>
          <w:p w14:paraId="5BF50041"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6117B319"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653EBF17"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3335BC9C"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38AA33F2" w14:textId="77777777" w:rsidTr="00B743E4">
        <w:trPr>
          <w:trHeight w:val="120"/>
        </w:trPr>
        <w:tc>
          <w:tcPr>
            <w:tcW w:w="2268" w:type="dxa"/>
            <w:tcBorders>
              <w:top w:val="nil"/>
              <w:left w:val="nil"/>
              <w:bottom w:val="nil"/>
              <w:right w:val="nil"/>
            </w:tcBorders>
            <w:shd w:val="clear" w:color="auto" w:fill="auto"/>
            <w:vAlign w:val="center"/>
            <w:hideMark/>
          </w:tcPr>
          <w:p w14:paraId="78DD0F8F"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Sleep </w:t>
            </w:r>
          </w:p>
        </w:tc>
        <w:tc>
          <w:tcPr>
            <w:tcW w:w="1276" w:type="dxa"/>
            <w:tcBorders>
              <w:top w:val="nil"/>
              <w:left w:val="nil"/>
              <w:bottom w:val="nil"/>
              <w:right w:val="nil"/>
            </w:tcBorders>
            <w:shd w:val="clear" w:color="auto" w:fill="auto"/>
            <w:vAlign w:val="center"/>
            <w:hideMark/>
          </w:tcPr>
          <w:p w14:paraId="53AACBDF"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5A5C0BA4"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1837866C" w14:textId="77777777" w:rsidR="00A36F89" w:rsidRPr="00767BC2" w:rsidRDefault="00A36F89" w:rsidP="00B743E4">
            <w:pPr>
              <w:spacing w:after="0"/>
              <w:jc w:val="center"/>
              <w:textAlignment w:val="baseline"/>
              <w:rPr>
                <w:rFonts w:eastAsia="Times New Roman" w:cs="Times New Roman"/>
                <w:szCs w:val="24"/>
                <w:lang w:eastAsia="en-GB"/>
              </w:rPr>
            </w:pPr>
            <w:r w:rsidRPr="00767BC2">
              <w:rPr>
                <w:rFonts w:ascii="Calibri" w:eastAsia="Times New Roman" w:hAnsi="Calibri" w:cs="Calibri"/>
                <w:sz w:val="20"/>
                <w:szCs w:val="20"/>
                <w:lang w:eastAsia="en-GB"/>
              </w:rPr>
              <w:t>0.558 </w:t>
            </w:r>
          </w:p>
        </w:tc>
        <w:tc>
          <w:tcPr>
            <w:tcW w:w="3260" w:type="dxa"/>
            <w:tcBorders>
              <w:top w:val="nil"/>
              <w:left w:val="nil"/>
              <w:bottom w:val="nil"/>
              <w:right w:val="nil"/>
            </w:tcBorders>
          </w:tcPr>
          <w:p w14:paraId="252C89AB" w14:textId="77777777" w:rsidR="00A36F89" w:rsidRPr="005C5CA9" w:rsidRDefault="00A36F89" w:rsidP="00B743E4">
            <w:pPr>
              <w:spacing w:after="0"/>
              <w:jc w:val="center"/>
              <w:textAlignment w:val="baseline"/>
              <w:rPr>
                <w:rFonts w:ascii="Calibri" w:eastAsia="Times New Roman" w:hAnsi="Calibri" w:cs="Calibri"/>
                <w:sz w:val="20"/>
                <w:szCs w:val="20"/>
                <w:u w:val="single"/>
                <w:lang w:eastAsia="en-GB"/>
              </w:rPr>
            </w:pPr>
            <w:r w:rsidRPr="003F2AB5">
              <w:rPr>
                <w:rFonts w:ascii="Calibri" w:eastAsia="Times New Roman" w:hAnsi="Calibri" w:cs="Calibri"/>
                <w:sz w:val="20"/>
                <w:szCs w:val="20"/>
                <w:u w:val="single"/>
                <w:lang w:eastAsia="en-GB"/>
              </w:rPr>
              <w:t>0.04</w:t>
            </w:r>
            <w:r>
              <w:rPr>
                <w:rFonts w:ascii="Calibri" w:eastAsia="Times New Roman" w:hAnsi="Calibri" w:cs="Calibri"/>
                <w:sz w:val="20"/>
                <w:szCs w:val="20"/>
                <w:u w:val="single"/>
                <w:lang w:eastAsia="en-GB"/>
              </w:rPr>
              <w:t>9</w:t>
            </w:r>
          </w:p>
        </w:tc>
      </w:tr>
      <w:tr w:rsidR="00A36F89" w:rsidRPr="005C5CA9" w14:paraId="0D60A1CF" w14:textId="77777777" w:rsidTr="00B743E4">
        <w:trPr>
          <w:trHeight w:val="120"/>
        </w:trPr>
        <w:tc>
          <w:tcPr>
            <w:tcW w:w="2268" w:type="dxa"/>
            <w:tcBorders>
              <w:top w:val="nil"/>
              <w:left w:val="nil"/>
              <w:bottom w:val="nil"/>
              <w:right w:val="nil"/>
            </w:tcBorders>
            <w:shd w:val="clear" w:color="auto" w:fill="auto"/>
            <w:vAlign w:val="center"/>
            <w:hideMark/>
          </w:tcPr>
          <w:p w14:paraId="7497A80C"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Worse than before </w:t>
            </w:r>
          </w:p>
        </w:tc>
        <w:tc>
          <w:tcPr>
            <w:tcW w:w="1276" w:type="dxa"/>
            <w:tcBorders>
              <w:top w:val="nil"/>
              <w:left w:val="nil"/>
              <w:bottom w:val="nil"/>
              <w:right w:val="nil"/>
            </w:tcBorders>
            <w:shd w:val="clear" w:color="auto" w:fill="auto"/>
            <w:vAlign w:val="bottom"/>
            <w:hideMark/>
          </w:tcPr>
          <w:p w14:paraId="7916CC17"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45 (20.0%) </w:t>
            </w:r>
          </w:p>
        </w:tc>
        <w:tc>
          <w:tcPr>
            <w:tcW w:w="1418" w:type="dxa"/>
            <w:tcBorders>
              <w:top w:val="nil"/>
              <w:left w:val="nil"/>
              <w:bottom w:val="nil"/>
              <w:right w:val="nil"/>
            </w:tcBorders>
            <w:shd w:val="clear" w:color="auto" w:fill="auto"/>
            <w:vAlign w:val="bottom"/>
            <w:hideMark/>
          </w:tcPr>
          <w:p w14:paraId="7AA098BF"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63 (23.9%) </w:t>
            </w:r>
          </w:p>
        </w:tc>
        <w:tc>
          <w:tcPr>
            <w:tcW w:w="1417" w:type="dxa"/>
            <w:tcBorders>
              <w:top w:val="nil"/>
              <w:left w:val="nil"/>
              <w:bottom w:val="nil"/>
              <w:right w:val="nil"/>
            </w:tcBorders>
            <w:shd w:val="clear" w:color="auto" w:fill="auto"/>
            <w:vAlign w:val="bottom"/>
          </w:tcPr>
          <w:p w14:paraId="7E10C41B"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64402F3A"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30D3CC08" w14:textId="77777777" w:rsidTr="00B743E4">
        <w:trPr>
          <w:trHeight w:val="120"/>
        </w:trPr>
        <w:tc>
          <w:tcPr>
            <w:tcW w:w="2268" w:type="dxa"/>
            <w:tcBorders>
              <w:top w:val="nil"/>
              <w:left w:val="nil"/>
              <w:bottom w:val="nil"/>
              <w:right w:val="nil"/>
            </w:tcBorders>
            <w:shd w:val="clear" w:color="auto" w:fill="auto"/>
            <w:vAlign w:val="center"/>
            <w:hideMark/>
          </w:tcPr>
          <w:p w14:paraId="4F2C3E97"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lastRenderedPageBreak/>
              <w:t>     About the same </w:t>
            </w:r>
          </w:p>
        </w:tc>
        <w:tc>
          <w:tcPr>
            <w:tcW w:w="1276" w:type="dxa"/>
            <w:tcBorders>
              <w:top w:val="nil"/>
              <w:left w:val="nil"/>
              <w:bottom w:val="nil"/>
              <w:right w:val="nil"/>
            </w:tcBorders>
            <w:shd w:val="clear" w:color="auto" w:fill="auto"/>
            <w:vAlign w:val="bottom"/>
            <w:hideMark/>
          </w:tcPr>
          <w:p w14:paraId="6F6A1021"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174 (77.3%) </w:t>
            </w:r>
          </w:p>
        </w:tc>
        <w:tc>
          <w:tcPr>
            <w:tcW w:w="1418" w:type="dxa"/>
            <w:tcBorders>
              <w:top w:val="nil"/>
              <w:left w:val="nil"/>
              <w:bottom w:val="nil"/>
              <w:right w:val="nil"/>
            </w:tcBorders>
            <w:shd w:val="clear" w:color="auto" w:fill="auto"/>
            <w:vAlign w:val="bottom"/>
            <w:hideMark/>
          </w:tcPr>
          <w:p w14:paraId="52F9A3B2"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193 (73.1%) </w:t>
            </w:r>
          </w:p>
        </w:tc>
        <w:tc>
          <w:tcPr>
            <w:tcW w:w="1417" w:type="dxa"/>
            <w:tcBorders>
              <w:top w:val="nil"/>
              <w:left w:val="nil"/>
              <w:bottom w:val="nil"/>
              <w:right w:val="nil"/>
            </w:tcBorders>
            <w:shd w:val="clear" w:color="auto" w:fill="auto"/>
            <w:vAlign w:val="bottom"/>
          </w:tcPr>
          <w:p w14:paraId="4E09B81C"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65E8D8D8"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3D57DCC3" w14:textId="77777777" w:rsidTr="00B743E4">
        <w:trPr>
          <w:trHeight w:val="120"/>
        </w:trPr>
        <w:tc>
          <w:tcPr>
            <w:tcW w:w="2268" w:type="dxa"/>
            <w:tcBorders>
              <w:top w:val="nil"/>
              <w:left w:val="nil"/>
              <w:bottom w:val="nil"/>
              <w:right w:val="nil"/>
            </w:tcBorders>
            <w:shd w:val="clear" w:color="auto" w:fill="auto"/>
            <w:vAlign w:val="center"/>
            <w:hideMark/>
          </w:tcPr>
          <w:p w14:paraId="48472885"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Better than before </w:t>
            </w:r>
          </w:p>
        </w:tc>
        <w:tc>
          <w:tcPr>
            <w:tcW w:w="1276" w:type="dxa"/>
            <w:tcBorders>
              <w:top w:val="nil"/>
              <w:left w:val="nil"/>
              <w:bottom w:val="nil"/>
              <w:right w:val="nil"/>
            </w:tcBorders>
            <w:shd w:val="clear" w:color="auto" w:fill="auto"/>
            <w:vAlign w:val="bottom"/>
            <w:hideMark/>
          </w:tcPr>
          <w:p w14:paraId="6CEA5972"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6 (2.7%) </w:t>
            </w:r>
          </w:p>
        </w:tc>
        <w:tc>
          <w:tcPr>
            <w:tcW w:w="1418" w:type="dxa"/>
            <w:tcBorders>
              <w:top w:val="nil"/>
              <w:left w:val="nil"/>
              <w:bottom w:val="nil"/>
              <w:right w:val="nil"/>
            </w:tcBorders>
            <w:shd w:val="clear" w:color="auto" w:fill="auto"/>
            <w:vAlign w:val="bottom"/>
            <w:hideMark/>
          </w:tcPr>
          <w:p w14:paraId="7576502A"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8 (3.0%) </w:t>
            </w:r>
          </w:p>
        </w:tc>
        <w:tc>
          <w:tcPr>
            <w:tcW w:w="1417" w:type="dxa"/>
            <w:tcBorders>
              <w:top w:val="nil"/>
              <w:left w:val="nil"/>
              <w:bottom w:val="nil"/>
              <w:right w:val="nil"/>
            </w:tcBorders>
            <w:shd w:val="clear" w:color="auto" w:fill="auto"/>
            <w:vAlign w:val="bottom"/>
          </w:tcPr>
          <w:p w14:paraId="56EE4EDF"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0F54A558"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1B3CB887" w14:textId="77777777" w:rsidTr="00B743E4">
        <w:trPr>
          <w:trHeight w:val="120"/>
        </w:trPr>
        <w:tc>
          <w:tcPr>
            <w:tcW w:w="2268" w:type="dxa"/>
            <w:tcBorders>
              <w:top w:val="nil"/>
              <w:left w:val="nil"/>
              <w:bottom w:val="nil"/>
              <w:right w:val="nil"/>
            </w:tcBorders>
            <w:shd w:val="clear" w:color="auto" w:fill="auto"/>
            <w:vAlign w:val="center"/>
            <w:hideMark/>
          </w:tcPr>
          <w:p w14:paraId="6EBCFCBA"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276" w:type="dxa"/>
            <w:tcBorders>
              <w:top w:val="nil"/>
              <w:left w:val="nil"/>
              <w:bottom w:val="nil"/>
              <w:right w:val="nil"/>
            </w:tcBorders>
            <w:shd w:val="clear" w:color="auto" w:fill="auto"/>
            <w:vAlign w:val="center"/>
            <w:hideMark/>
          </w:tcPr>
          <w:p w14:paraId="63386E3E"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06EA3856"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627FFFBA" w14:textId="77777777" w:rsidR="00A36F89" w:rsidRPr="00767BC2" w:rsidRDefault="00A36F89" w:rsidP="00B743E4">
            <w:pPr>
              <w:spacing w:after="0"/>
              <w:jc w:val="center"/>
              <w:textAlignment w:val="baseline"/>
              <w:rPr>
                <w:rFonts w:eastAsia="Times New Roman" w:cs="Times New Roman"/>
                <w:szCs w:val="24"/>
                <w:lang w:eastAsia="en-GB"/>
              </w:rPr>
            </w:pPr>
          </w:p>
        </w:tc>
        <w:tc>
          <w:tcPr>
            <w:tcW w:w="3260" w:type="dxa"/>
            <w:tcBorders>
              <w:top w:val="nil"/>
              <w:left w:val="nil"/>
              <w:bottom w:val="nil"/>
              <w:right w:val="nil"/>
            </w:tcBorders>
          </w:tcPr>
          <w:p w14:paraId="63825D28" w14:textId="77777777" w:rsidR="00A36F89" w:rsidRPr="005C5CA9" w:rsidRDefault="00A36F89" w:rsidP="00B743E4">
            <w:pPr>
              <w:spacing w:after="0"/>
              <w:jc w:val="center"/>
              <w:textAlignment w:val="baseline"/>
              <w:rPr>
                <w:rFonts w:ascii="Calibri" w:eastAsia="Times New Roman" w:hAnsi="Calibri" w:cs="Calibri"/>
                <w:sz w:val="20"/>
                <w:szCs w:val="20"/>
                <w:lang w:eastAsia="en-GB"/>
              </w:rPr>
            </w:pPr>
          </w:p>
        </w:tc>
      </w:tr>
      <w:tr w:rsidR="00A36F89" w:rsidRPr="005C5CA9" w14:paraId="3242EA40" w14:textId="77777777" w:rsidTr="00B743E4">
        <w:trPr>
          <w:trHeight w:val="120"/>
        </w:trPr>
        <w:tc>
          <w:tcPr>
            <w:tcW w:w="2268" w:type="dxa"/>
            <w:tcBorders>
              <w:top w:val="nil"/>
              <w:left w:val="nil"/>
              <w:bottom w:val="nil"/>
              <w:right w:val="nil"/>
            </w:tcBorders>
            <w:shd w:val="clear" w:color="auto" w:fill="auto"/>
            <w:vAlign w:val="center"/>
            <w:hideMark/>
          </w:tcPr>
          <w:p w14:paraId="037FC33A"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Social contact </w:t>
            </w:r>
          </w:p>
        </w:tc>
        <w:tc>
          <w:tcPr>
            <w:tcW w:w="1276" w:type="dxa"/>
            <w:tcBorders>
              <w:top w:val="nil"/>
              <w:left w:val="nil"/>
              <w:bottom w:val="nil"/>
              <w:right w:val="nil"/>
            </w:tcBorders>
            <w:shd w:val="clear" w:color="auto" w:fill="auto"/>
            <w:vAlign w:val="center"/>
            <w:hideMark/>
          </w:tcPr>
          <w:p w14:paraId="577133AD"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8" w:type="dxa"/>
            <w:tcBorders>
              <w:top w:val="nil"/>
              <w:left w:val="nil"/>
              <w:bottom w:val="nil"/>
              <w:right w:val="nil"/>
            </w:tcBorders>
            <w:shd w:val="clear" w:color="auto" w:fill="auto"/>
            <w:vAlign w:val="center"/>
            <w:hideMark/>
          </w:tcPr>
          <w:p w14:paraId="2CD8691D" w14:textId="77777777" w:rsidR="00A36F89" w:rsidRPr="00FB7048" w:rsidRDefault="00A36F89" w:rsidP="00B743E4">
            <w:pPr>
              <w:spacing w:after="0"/>
              <w:textAlignment w:val="baseline"/>
              <w:rPr>
                <w:rFonts w:eastAsia="Times New Roman" w:cs="Times New Roman"/>
                <w:szCs w:val="24"/>
                <w:lang w:eastAsia="en-GB"/>
              </w:rPr>
            </w:pPr>
            <w:r w:rsidRPr="00FB7048">
              <w:rPr>
                <w:rFonts w:eastAsia="Times New Roman" w:cs="Times New Roman"/>
                <w:szCs w:val="24"/>
                <w:lang w:eastAsia="en-GB"/>
              </w:rPr>
              <w:t> </w:t>
            </w:r>
          </w:p>
        </w:tc>
        <w:tc>
          <w:tcPr>
            <w:tcW w:w="1417" w:type="dxa"/>
            <w:tcBorders>
              <w:top w:val="nil"/>
              <w:left w:val="nil"/>
              <w:bottom w:val="nil"/>
              <w:right w:val="nil"/>
            </w:tcBorders>
            <w:shd w:val="clear" w:color="auto" w:fill="auto"/>
            <w:vAlign w:val="center"/>
          </w:tcPr>
          <w:p w14:paraId="05453B48" w14:textId="77777777" w:rsidR="00A36F89" w:rsidRPr="00767BC2" w:rsidRDefault="00A36F89" w:rsidP="00B743E4">
            <w:pPr>
              <w:spacing w:after="0"/>
              <w:jc w:val="center"/>
              <w:textAlignment w:val="baseline"/>
              <w:rPr>
                <w:rFonts w:eastAsia="Times New Roman" w:cs="Times New Roman"/>
                <w:szCs w:val="24"/>
                <w:lang w:eastAsia="en-GB"/>
              </w:rPr>
            </w:pPr>
            <w:r w:rsidRPr="00767BC2">
              <w:rPr>
                <w:rFonts w:ascii="Calibri" w:eastAsia="Times New Roman" w:hAnsi="Calibri" w:cs="Calibri"/>
                <w:sz w:val="20"/>
                <w:szCs w:val="20"/>
                <w:lang w:eastAsia="en-GB"/>
              </w:rPr>
              <w:t>0.535 </w:t>
            </w:r>
          </w:p>
        </w:tc>
        <w:tc>
          <w:tcPr>
            <w:tcW w:w="3260" w:type="dxa"/>
            <w:tcBorders>
              <w:top w:val="nil"/>
              <w:left w:val="nil"/>
              <w:bottom w:val="nil"/>
              <w:right w:val="nil"/>
            </w:tcBorders>
          </w:tcPr>
          <w:p w14:paraId="4BFFE00B" w14:textId="77777777" w:rsidR="00A36F89" w:rsidRPr="005C5CA9" w:rsidRDefault="00A36F89" w:rsidP="00B743E4">
            <w:pPr>
              <w:spacing w:after="0"/>
              <w:jc w:val="center"/>
              <w:textAlignment w:val="baseline"/>
              <w:rPr>
                <w:rFonts w:ascii="Calibri" w:eastAsia="Times New Roman" w:hAnsi="Calibri" w:cs="Calibri"/>
                <w:sz w:val="20"/>
                <w:szCs w:val="20"/>
                <w:u w:val="single"/>
                <w:lang w:eastAsia="en-GB"/>
              </w:rPr>
            </w:pPr>
            <w:r w:rsidRPr="00F51AB2">
              <w:rPr>
                <w:rFonts w:ascii="Calibri" w:eastAsia="Times New Roman" w:hAnsi="Calibri" w:cs="Calibri"/>
                <w:sz w:val="20"/>
                <w:szCs w:val="20"/>
                <w:u w:val="single"/>
                <w:lang w:eastAsia="en-GB"/>
              </w:rPr>
              <w:t>0.05</w:t>
            </w:r>
            <w:r>
              <w:rPr>
                <w:rFonts w:ascii="Calibri" w:eastAsia="Times New Roman" w:hAnsi="Calibri" w:cs="Calibri"/>
                <w:sz w:val="20"/>
                <w:szCs w:val="20"/>
                <w:u w:val="single"/>
                <w:lang w:eastAsia="en-GB"/>
              </w:rPr>
              <w:t>6</w:t>
            </w:r>
          </w:p>
        </w:tc>
      </w:tr>
      <w:tr w:rsidR="00A36F89" w:rsidRPr="005C5CA9" w14:paraId="10AB199E" w14:textId="77777777" w:rsidTr="00B743E4">
        <w:trPr>
          <w:trHeight w:val="120"/>
        </w:trPr>
        <w:tc>
          <w:tcPr>
            <w:tcW w:w="2268" w:type="dxa"/>
            <w:tcBorders>
              <w:top w:val="nil"/>
              <w:left w:val="nil"/>
              <w:bottom w:val="nil"/>
              <w:right w:val="nil"/>
            </w:tcBorders>
            <w:shd w:val="clear" w:color="auto" w:fill="auto"/>
            <w:vAlign w:val="center"/>
            <w:hideMark/>
          </w:tcPr>
          <w:p w14:paraId="4C217470"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Less than before </w:t>
            </w:r>
          </w:p>
        </w:tc>
        <w:tc>
          <w:tcPr>
            <w:tcW w:w="1276" w:type="dxa"/>
            <w:tcBorders>
              <w:top w:val="nil"/>
              <w:left w:val="nil"/>
              <w:bottom w:val="nil"/>
              <w:right w:val="nil"/>
            </w:tcBorders>
            <w:shd w:val="clear" w:color="auto" w:fill="auto"/>
            <w:vAlign w:val="bottom"/>
            <w:hideMark/>
          </w:tcPr>
          <w:p w14:paraId="3A7CC8B3"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156 (69.3%) </w:t>
            </w:r>
          </w:p>
        </w:tc>
        <w:tc>
          <w:tcPr>
            <w:tcW w:w="1418" w:type="dxa"/>
            <w:tcBorders>
              <w:top w:val="nil"/>
              <w:left w:val="nil"/>
              <w:bottom w:val="nil"/>
              <w:right w:val="nil"/>
            </w:tcBorders>
            <w:shd w:val="clear" w:color="auto" w:fill="auto"/>
            <w:vAlign w:val="bottom"/>
            <w:hideMark/>
          </w:tcPr>
          <w:p w14:paraId="602C56F6"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176 (67.2%) </w:t>
            </w:r>
          </w:p>
        </w:tc>
        <w:tc>
          <w:tcPr>
            <w:tcW w:w="1417" w:type="dxa"/>
            <w:tcBorders>
              <w:top w:val="nil"/>
              <w:left w:val="nil"/>
              <w:bottom w:val="nil"/>
              <w:right w:val="nil"/>
            </w:tcBorders>
            <w:shd w:val="clear" w:color="auto" w:fill="auto"/>
            <w:vAlign w:val="center"/>
          </w:tcPr>
          <w:p w14:paraId="201116B4" w14:textId="77777777" w:rsidR="00A36F89" w:rsidRPr="00767BC2" w:rsidRDefault="00A36F89" w:rsidP="00B743E4">
            <w:pPr>
              <w:spacing w:after="0"/>
              <w:textAlignment w:val="baseline"/>
              <w:rPr>
                <w:rFonts w:eastAsia="Times New Roman" w:cs="Times New Roman"/>
                <w:szCs w:val="24"/>
                <w:lang w:eastAsia="en-GB"/>
              </w:rPr>
            </w:pPr>
          </w:p>
        </w:tc>
        <w:tc>
          <w:tcPr>
            <w:tcW w:w="3260" w:type="dxa"/>
            <w:tcBorders>
              <w:top w:val="nil"/>
              <w:left w:val="nil"/>
              <w:bottom w:val="nil"/>
              <w:right w:val="nil"/>
            </w:tcBorders>
          </w:tcPr>
          <w:p w14:paraId="4AA0AA1E" w14:textId="77777777" w:rsidR="00A36F89" w:rsidRPr="005C5CA9" w:rsidRDefault="00A36F89" w:rsidP="00B743E4">
            <w:pPr>
              <w:spacing w:after="0"/>
              <w:textAlignment w:val="baseline"/>
              <w:rPr>
                <w:rFonts w:ascii="Calibri" w:eastAsia="Times New Roman" w:hAnsi="Calibri" w:cs="Calibri"/>
                <w:sz w:val="20"/>
                <w:szCs w:val="20"/>
                <w:lang w:eastAsia="en-GB"/>
              </w:rPr>
            </w:pPr>
          </w:p>
        </w:tc>
      </w:tr>
      <w:tr w:rsidR="00A36F89" w:rsidRPr="005C5CA9" w14:paraId="0A825C48" w14:textId="77777777" w:rsidTr="00B743E4">
        <w:trPr>
          <w:trHeight w:val="120"/>
        </w:trPr>
        <w:tc>
          <w:tcPr>
            <w:tcW w:w="2268" w:type="dxa"/>
            <w:tcBorders>
              <w:top w:val="nil"/>
              <w:left w:val="nil"/>
              <w:bottom w:val="nil"/>
              <w:right w:val="nil"/>
            </w:tcBorders>
            <w:shd w:val="clear" w:color="auto" w:fill="auto"/>
            <w:vAlign w:val="center"/>
            <w:hideMark/>
          </w:tcPr>
          <w:p w14:paraId="0F027846"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About the same </w:t>
            </w:r>
          </w:p>
        </w:tc>
        <w:tc>
          <w:tcPr>
            <w:tcW w:w="1276" w:type="dxa"/>
            <w:tcBorders>
              <w:top w:val="nil"/>
              <w:left w:val="nil"/>
              <w:bottom w:val="nil"/>
              <w:right w:val="nil"/>
            </w:tcBorders>
            <w:shd w:val="clear" w:color="auto" w:fill="auto"/>
            <w:vAlign w:val="bottom"/>
            <w:hideMark/>
          </w:tcPr>
          <w:p w14:paraId="6CCCDFE8"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68 (30.2%) </w:t>
            </w:r>
          </w:p>
        </w:tc>
        <w:tc>
          <w:tcPr>
            <w:tcW w:w="1418" w:type="dxa"/>
            <w:tcBorders>
              <w:top w:val="nil"/>
              <w:left w:val="nil"/>
              <w:bottom w:val="nil"/>
              <w:right w:val="nil"/>
            </w:tcBorders>
            <w:shd w:val="clear" w:color="auto" w:fill="auto"/>
            <w:vAlign w:val="bottom"/>
            <w:hideMark/>
          </w:tcPr>
          <w:p w14:paraId="0AB6B641"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82 (31.3%) </w:t>
            </w:r>
          </w:p>
        </w:tc>
        <w:tc>
          <w:tcPr>
            <w:tcW w:w="1417" w:type="dxa"/>
            <w:tcBorders>
              <w:top w:val="nil"/>
              <w:left w:val="nil"/>
              <w:bottom w:val="nil"/>
              <w:right w:val="nil"/>
            </w:tcBorders>
            <w:shd w:val="clear" w:color="auto" w:fill="auto"/>
            <w:vAlign w:val="bottom"/>
          </w:tcPr>
          <w:p w14:paraId="1E7A8F8A" w14:textId="77777777" w:rsidR="00A36F89" w:rsidRPr="00767BC2" w:rsidRDefault="00A36F89" w:rsidP="00B743E4">
            <w:pPr>
              <w:spacing w:after="0"/>
              <w:textAlignment w:val="baseline"/>
              <w:rPr>
                <w:rFonts w:eastAsia="Times New Roman" w:cs="Times New Roman"/>
                <w:szCs w:val="24"/>
                <w:lang w:eastAsia="en-GB"/>
              </w:rPr>
            </w:pPr>
          </w:p>
        </w:tc>
        <w:tc>
          <w:tcPr>
            <w:tcW w:w="3260" w:type="dxa"/>
            <w:tcBorders>
              <w:top w:val="nil"/>
              <w:left w:val="nil"/>
              <w:bottom w:val="nil"/>
              <w:right w:val="nil"/>
            </w:tcBorders>
          </w:tcPr>
          <w:p w14:paraId="5EE17640" w14:textId="77777777" w:rsidR="00A36F89" w:rsidRPr="005C5CA9" w:rsidRDefault="00A36F89" w:rsidP="00B743E4">
            <w:pPr>
              <w:spacing w:after="0"/>
              <w:textAlignment w:val="baseline"/>
              <w:rPr>
                <w:rFonts w:ascii="Calibri" w:eastAsia="Times New Roman" w:hAnsi="Calibri" w:cs="Calibri"/>
                <w:sz w:val="20"/>
                <w:szCs w:val="20"/>
                <w:lang w:eastAsia="en-GB"/>
              </w:rPr>
            </w:pPr>
          </w:p>
        </w:tc>
      </w:tr>
      <w:tr w:rsidR="00A36F89" w:rsidRPr="005C5CA9" w14:paraId="1C068CAE" w14:textId="77777777" w:rsidTr="00B743E4">
        <w:trPr>
          <w:trHeight w:val="120"/>
        </w:trPr>
        <w:tc>
          <w:tcPr>
            <w:tcW w:w="2268" w:type="dxa"/>
            <w:tcBorders>
              <w:top w:val="nil"/>
              <w:left w:val="nil"/>
              <w:bottom w:val="single" w:sz="4" w:space="0" w:color="auto"/>
              <w:right w:val="nil"/>
            </w:tcBorders>
            <w:shd w:val="clear" w:color="auto" w:fill="auto"/>
            <w:vAlign w:val="center"/>
            <w:hideMark/>
          </w:tcPr>
          <w:p w14:paraId="461AE044"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     More than before </w:t>
            </w:r>
          </w:p>
        </w:tc>
        <w:tc>
          <w:tcPr>
            <w:tcW w:w="1276" w:type="dxa"/>
            <w:tcBorders>
              <w:top w:val="nil"/>
              <w:left w:val="nil"/>
              <w:bottom w:val="single" w:sz="4" w:space="0" w:color="auto"/>
              <w:right w:val="nil"/>
            </w:tcBorders>
            <w:shd w:val="clear" w:color="auto" w:fill="auto"/>
            <w:vAlign w:val="bottom"/>
            <w:hideMark/>
          </w:tcPr>
          <w:p w14:paraId="101A6DB1"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1 (0.4%) </w:t>
            </w:r>
          </w:p>
        </w:tc>
        <w:tc>
          <w:tcPr>
            <w:tcW w:w="1418" w:type="dxa"/>
            <w:tcBorders>
              <w:top w:val="nil"/>
              <w:left w:val="nil"/>
              <w:bottom w:val="single" w:sz="4" w:space="0" w:color="auto"/>
              <w:right w:val="nil"/>
            </w:tcBorders>
            <w:shd w:val="clear" w:color="auto" w:fill="auto"/>
            <w:vAlign w:val="bottom"/>
            <w:hideMark/>
          </w:tcPr>
          <w:p w14:paraId="60EEE2BC" w14:textId="77777777" w:rsidR="00A36F89" w:rsidRPr="00FB7048" w:rsidRDefault="00A36F89" w:rsidP="00B743E4">
            <w:pPr>
              <w:spacing w:after="0"/>
              <w:textAlignment w:val="baseline"/>
              <w:rPr>
                <w:rFonts w:eastAsia="Times New Roman" w:cs="Times New Roman"/>
                <w:szCs w:val="24"/>
                <w:lang w:eastAsia="en-GB"/>
              </w:rPr>
            </w:pPr>
            <w:r w:rsidRPr="00FB7048">
              <w:rPr>
                <w:rFonts w:ascii="Calibri" w:eastAsia="Times New Roman" w:hAnsi="Calibri" w:cs="Calibri"/>
                <w:color w:val="000000"/>
                <w:sz w:val="20"/>
                <w:szCs w:val="20"/>
                <w:lang w:eastAsia="en-GB"/>
              </w:rPr>
              <w:t>4 (1.5%) </w:t>
            </w:r>
          </w:p>
        </w:tc>
        <w:tc>
          <w:tcPr>
            <w:tcW w:w="1417" w:type="dxa"/>
            <w:tcBorders>
              <w:top w:val="nil"/>
              <w:left w:val="nil"/>
              <w:bottom w:val="single" w:sz="4" w:space="0" w:color="auto"/>
              <w:right w:val="nil"/>
            </w:tcBorders>
            <w:shd w:val="clear" w:color="auto" w:fill="auto"/>
            <w:vAlign w:val="bottom"/>
          </w:tcPr>
          <w:p w14:paraId="477D326B" w14:textId="77777777" w:rsidR="00A36F89" w:rsidRPr="00FB7048" w:rsidRDefault="00A36F89" w:rsidP="00B743E4">
            <w:pPr>
              <w:spacing w:after="0"/>
              <w:textAlignment w:val="baseline"/>
              <w:rPr>
                <w:rFonts w:eastAsia="Times New Roman" w:cs="Times New Roman"/>
                <w:szCs w:val="24"/>
                <w:lang w:eastAsia="en-GB"/>
              </w:rPr>
            </w:pPr>
          </w:p>
        </w:tc>
        <w:tc>
          <w:tcPr>
            <w:tcW w:w="3260" w:type="dxa"/>
            <w:tcBorders>
              <w:top w:val="nil"/>
              <w:left w:val="nil"/>
              <w:bottom w:val="single" w:sz="4" w:space="0" w:color="auto"/>
              <w:right w:val="nil"/>
            </w:tcBorders>
          </w:tcPr>
          <w:p w14:paraId="290410D5" w14:textId="77777777" w:rsidR="00A36F89" w:rsidRPr="005C5CA9" w:rsidRDefault="00A36F89" w:rsidP="00B743E4">
            <w:pPr>
              <w:spacing w:after="0"/>
              <w:textAlignment w:val="baseline"/>
              <w:rPr>
                <w:rFonts w:ascii="Calibri" w:eastAsia="Times New Roman" w:hAnsi="Calibri" w:cs="Calibri"/>
                <w:sz w:val="20"/>
                <w:szCs w:val="20"/>
                <w:lang w:eastAsia="en-GB"/>
              </w:rPr>
            </w:pPr>
          </w:p>
        </w:tc>
      </w:tr>
      <w:tr w:rsidR="00A36F89" w:rsidRPr="00FB7048" w14:paraId="188F891C" w14:textId="77777777" w:rsidTr="00B743E4">
        <w:trPr>
          <w:trHeight w:val="120"/>
        </w:trPr>
        <w:tc>
          <w:tcPr>
            <w:tcW w:w="2268" w:type="dxa"/>
            <w:tcBorders>
              <w:top w:val="single" w:sz="4" w:space="0" w:color="auto"/>
              <w:left w:val="nil"/>
              <w:bottom w:val="nil"/>
              <w:right w:val="nil"/>
            </w:tcBorders>
            <w:shd w:val="clear" w:color="auto" w:fill="auto"/>
            <w:vAlign w:val="center"/>
          </w:tcPr>
          <w:p w14:paraId="424FA5C2" w14:textId="77777777" w:rsidR="00A36F89" w:rsidRPr="00FB7048" w:rsidRDefault="00A36F89" w:rsidP="00B743E4">
            <w:pPr>
              <w:spacing w:after="0"/>
              <w:textAlignment w:val="baseline"/>
              <w:rPr>
                <w:rFonts w:ascii="Calibri" w:eastAsia="Times New Roman" w:hAnsi="Calibri" w:cs="Calibri"/>
                <w:color w:val="000000"/>
                <w:sz w:val="20"/>
                <w:szCs w:val="20"/>
                <w:lang w:eastAsia="en-GB"/>
              </w:rPr>
            </w:pPr>
          </w:p>
        </w:tc>
        <w:tc>
          <w:tcPr>
            <w:tcW w:w="1276" w:type="dxa"/>
            <w:tcBorders>
              <w:top w:val="single" w:sz="4" w:space="0" w:color="auto"/>
              <w:left w:val="nil"/>
              <w:bottom w:val="nil"/>
              <w:right w:val="nil"/>
            </w:tcBorders>
            <w:shd w:val="clear" w:color="auto" w:fill="auto"/>
            <w:vAlign w:val="bottom"/>
          </w:tcPr>
          <w:p w14:paraId="0496E650" w14:textId="77777777" w:rsidR="00A36F89" w:rsidRPr="00FB7048" w:rsidRDefault="00A36F89" w:rsidP="00B743E4">
            <w:pPr>
              <w:spacing w:after="0"/>
              <w:textAlignment w:val="baseline"/>
              <w:rPr>
                <w:rFonts w:ascii="Calibri" w:eastAsia="Times New Roman" w:hAnsi="Calibri" w:cs="Calibri"/>
                <w:color w:val="000000"/>
                <w:sz w:val="20"/>
                <w:szCs w:val="20"/>
                <w:lang w:eastAsia="en-GB"/>
              </w:rPr>
            </w:pPr>
          </w:p>
        </w:tc>
        <w:tc>
          <w:tcPr>
            <w:tcW w:w="1418" w:type="dxa"/>
            <w:tcBorders>
              <w:top w:val="single" w:sz="4" w:space="0" w:color="auto"/>
              <w:left w:val="nil"/>
              <w:bottom w:val="nil"/>
              <w:right w:val="nil"/>
            </w:tcBorders>
            <w:shd w:val="clear" w:color="auto" w:fill="auto"/>
            <w:vAlign w:val="bottom"/>
          </w:tcPr>
          <w:p w14:paraId="2C0E2E94" w14:textId="77777777" w:rsidR="00A36F89" w:rsidRPr="00FB7048" w:rsidRDefault="00A36F89" w:rsidP="00B743E4">
            <w:pPr>
              <w:spacing w:after="0"/>
              <w:textAlignment w:val="baseline"/>
              <w:rPr>
                <w:rFonts w:ascii="Calibri" w:eastAsia="Times New Roman" w:hAnsi="Calibri" w:cs="Calibri"/>
                <w:color w:val="000000"/>
                <w:sz w:val="20"/>
                <w:szCs w:val="20"/>
                <w:lang w:eastAsia="en-GB"/>
              </w:rPr>
            </w:pPr>
          </w:p>
        </w:tc>
        <w:tc>
          <w:tcPr>
            <w:tcW w:w="1417" w:type="dxa"/>
            <w:tcBorders>
              <w:top w:val="single" w:sz="4" w:space="0" w:color="auto"/>
              <w:left w:val="nil"/>
              <w:bottom w:val="nil"/>
              <w:right w:val="nil"/>
            </w:tcBorders>
            <w:shd w:val="clear" w:color="auto" w:fill="auto"/>
            <w:vAlign w:val="bottom"/>
          </w:tcPr>
          <w:p w14:paraId="371DC15A" w14:textId="77777777" w:rsidR="00A36F89" w:rsidRPr="00FB7048" w:rsidRDefault="00A36F89" w:rsidP="00B743E4">
            <w:pPr>
              <w:spacing w:after="0"/>
              <w:textAlignment w:val="baseline"/>
              <w:rPr>
                <w:rFonts w:eastAsia="Times New Roman" w:cs="Times New Roman"/>
                <w:szCs w:val="24"/>
                <w:lang w:eastAsia="en-GB"/>
              </w:rPr>
            </w:pPr>
          </w:p>
        </w:tc>
        <w:tc>
          <w:tcPr>
            <w:tcW w:w="3260" w:type="dxa"/>
            <w:tcBorders>
              <w:top w:val="single" w:sz="4" w:space="0" w:color="auto"/>
              <w:left w:val="nil"/>
              <w:bottom w:val="nil"/>
              <w:right w:val="nil"/>
            </w:tcBorders>
          </w:tcPr>
          <w:p w14:paraId="0B8F6E85" w14:textId="77777777" w:rsidR="00A36F89" w:rsidRPr="00FB7048" w:rsidRDefault="00A36F89" w:rsidP="00B743E4">
            <w:pPr>
              <w:spacing w:after="0"/>
              <w:textAlignment w:val="baseline"/>
              <w:rPr>
                <w:rFonts w:ascii="Calibri" w:eastAsia="Times New Roman" w:hAnsi="Calibri" w:cs="Calibri"/>
                <w:color w:val="000000"/>
                <w:sz w:val="20"/>
                <w:szCs w:val="20"/>
                <w:lang w:eastAsia="en-GB"/>
              </w:rPr>
            </w:pPr>
          </w:p>
        </w:tc>
      </w:tr>
      <w:tr w:rsidR="00A36F89" w:rsidRPr="00FB7048" w14:paraId="6B2F87B0" w14:textId="77777777" w:rsidTr="00B743E4">
        <w:trPr>
          <w:trHeight w:val="120"/>
        </w:trPr>
        <w:tc>
          <w:tcPr>
            <w:tcW w:w="9639" w:type="dxa"/>
            <w:gridSpan w:val="5"/>
            <w:tcBorders>
              <w:top w:val="nil"/>
              <w:left w:val="nil"/>
              <w:bottom w:val="nil"/>
              <w:right w:val="nil"/>
            </w:tcBorders>
            <w:shd w:val="clear" w:color="auto" w:fill="auto"/>
            <w:vAlign w:val="center"/>
          </w:tcPr>
          <w:p w14:paraId="558BB1C4" w14:textId="77777777" w:rsidR="00A36F89" w:rsidRPr="00767BC2" w:rsidRDefault="00A36F89" w:rsidP="00B743E4">
            <w:pPr>
              <w:spacing w:after="0"/>
              <w:textAlignment w:val="baseline"/>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*P-values for sex-differences were derived from chi-squared tests; Fisher’s exact tests were used for smoking and social contact due to the low expected frequencies in some of the cells.</w:t>
            </w:r>
          </w:p>
        </w:tc>
      </w:tr>
    </w:tbl>
    <w:p w14:paraId="197562D3" w14:textId="77777777" w:rsidR="00A36F89" w:rsidRDefault="00A36F89" w:rsidP="00A36F89"/>
    <w:tbl>
      <w:tblPr>
        <w:tblW w:w="7886" w:type="dxa"/>
        <w:tblLayout w:type="fixed"/>
        <w:tblLook w:val="04A0" w:firstRow="1" w:lastRow="0" w:firstColumn="1" w:lastColumn="0" w:noHBand="0" w:noVBand="1"/>
      </w:tblPr>
      <w:tblGrid>
        <w:gridCol w:w="2676"/>
        <w:gridCol w:w="1674"/>
        <w:gridCol w:w="1871"/>
        <w:gridCol w:w="1665"/>
      </w:tblGrid>
      <w:tr w:rsidR="009604BF" w14:paraId="3BF16006" w14:textId="77777777" w:rsidTr="00B820EE">
        <w:trPr>
          <w:trHeight w:val="120"/>
        </w:trPr>
        <w:tc>
          <w:tcPr>
            <w:tcW w:w="2676" w:type="dxa"/>
            <w:vMerge w:val="restart"/>
            <w:tcBorders>
              <w:top w:val="single" w:sz="8" w:space="0" w:color="auto"/>
              <w:left w:val="nil"/>
              <w:bottom w:val="single" w:sz="4" w:space="0" w:color="auto"/>
              <w:right w:val="nil"/>
            </w:tcBorders>
            <w:vAlign w:val="center"/>
          </w:tcPr>
          <w:p w14:paraId="57DBDC40" w14:textId="36C280F5" w:rsidR="009604BF" w:rsidRDefault="009604BF" w:rsidP="00FF27D2">
            <w:pPr>
              <w:spacing w:line="276" w:lineRule="auto"/>
              <w:contextualSpacing/>
            </w:pPr>
          </w:p>
        </w:tc>
        <w:tc>
          <w:tcPr>
            <w:tcW w:w="3545" w:type="dxa"/>
            <w:gridSpan w:val="2"/>
            <w:tcBorders>
              <w:top w:val="single" w:sz="8" w:space="0" w:color="auto"/>
              <w:left w:val="nil"/>
              <w:bottom w:val="single" w:sz="4" w:space="0" w:color="auto"/>
            </w:tcBorders>
            <w:vAlign w:val="center"/>
          </w:tcPr>
          <w:p w14:paraId="289D772A" w14:textId="5EDA0A3F" w:rsidR="009604BF" w:rsidRDefault="009604BF" w:rsidP="00FF27D2">
            <w:pPr>
              <w:spacing w:line="276" w:lineRule="auto"/>
              <w:contextualSpacing/>
              <w:jc w:val="center"/>
            </w:pPr>
          </w:p>
        </w:tc>
        <w:tc>
          <w:tcPr>
            <w:tcW w:w="1665" w:type="dxa"/>
            <w:vMerge w:val="restart"/>
            <w:tcBorders>
              <w:top w:val="single" w:sz="8" w:space="0" w:color="auto"/>
              <w:left w:val="nil"/>
              <w:bottom w:val="single" w:sz="8" w:space="0" w:color="auto"/>
            </w:tcBorders>
            <w:vAlign w:val="center"/>
          </w:tcPr>
          <w:p w14:paraId="308FFD8E" w14:textId="6DC80B85" w:rsidR="29C9EC62" w:rsidRDefault="29C9EC62" w:rsidP="05D90CDB">
            <w:pPr>
              <w:spacing w:line="276" w:lineRule="auto"/>
              <w:jc w:val="center"/>
              <w:rPr>
                <w:rFonts w:ascii="Calibri" w:eastAsia="Calibri" w:hAnsi="Calibri" w:cs="Calibri"/>
                <w:b/>
                <w:bCs/>
                <w:sz w:val="20"/>
                <w:szCs w:val="20"/>
              </w:rPr>
            </w:pPr>
          </w:p>
        </w:tc>
      </w:tr>
      <w:tr w:rsidR="009604BF" w14:paraId="0F0CFABE" w14:textId="77777777" w:rsidTr="00B820EE">
        <w:trPr>
          <w:trHeight w:val="120"/>
        </w:trPr>
        <w:tc>
          <w:tcPr>
            <w:tcW w:w="2676" w:type="dxa"/>
            <w:vMerge/>
            <w:vAlign w:val="center"/>
          </w:tcPr>
          <w:p w14:paraId="35FD90E2" w14:textId="77777777" w:rsidR="009604BF" w:rsidRDefault="009604BF" w:rsidP="00FF27D2">
            <w:pPr>
              <w:spacing w:line="276" w:lineRule="auto"/>
              <w:contextualSpacing/>
            </w:pPr>
          </w:p>
        </w:tc>
        <w:tc>
          <w:tcPr>
            <w:tcW w:w="1674" w:type="dxa"/>
            <w:tcBorders>
              <w:top w:val="single" w:sz="4" w:space="0" w:color="auto"/>
              <w:left w:val="nil"/>
              <w:bottom w:val="single" w:sz="8" w:space="0" w:color="auto"/>
              <w:right w:val="nil"/>
            </w:tcBorders>
            <w:vAlign w:val="center"/>
          </w:tcPr>
          <w:p w14:paraId="5BAC0B9C" w14:textId="2E6ED817" w:rsidR="009604BF" w:rsidRDefault="009604BF" w:rsidP="00FF27D2">
            <w:pPr>
              <w:spacing w:line="276" w:lineRule="auto"/>
              <w:contextualSpacing/>
            </w:pPr>
          </w:p>
        </w:tc>
        <w:tc>
          <w:tcPr>
            <w:tcW w:w="1871" w:type="dxa"/>
            <w:tcBorders>
              <w:top w:val="single" w:sz="4" w:space="0" w:color="auto"/>
              <w:left w:val="nil"/>
              <w:bottom w:val="single" w:sz="8" w:space="0" w:color="auto"/>
            </w:tcBorders>
            <w:vAlign w:val="center"/>
          </w:tcPr>
          <w:p w14:paraId="724653E2" w14:textId="6D64BE0C" w:rsidR="009604BF" w:rsidRDefault="009604BF" w:rsidP="00FF27D2">
            <w:pPr>
              <w:spacing w:line="276" w:lineRule="auto"/>
              <w:contextualSpacing/>
            </w:pPr>
          </w:p>
        </w:tc>
        <w:tc>
          <w:tcPr>
            <w:tcW w:w="1665" w:type="dxa"/>
            <w:vMerge/>
            <w:tcBorders>
              <w:bottom w:val="single" w:sz="8" w:space="0" w:color="auto"/>
            </w:tcBorders>
            <w:vAlign w:val="center"/>
          </w:tcPr>
          <w:p w14:paraId="24BFEC17" w14:textId="77777777" w:rsidR="00F64F8F" w:rsidRDefault="00F64F8F"/>
        </w:tc>
      </w:tr>
      <w:tr w:rsidR="009604BF" w14:paraId="27DFC680" w14:textId="77777777" w:rsidTr="00B820EE">
        <w:trPr>
          <w:trHeight w:val="120"/>
        </w:trPr>
        <w:tc>
          <w:tcPr>
            <w:tcW w:w="2676" w:type="dxa"/>
            <w:tcBorders>
              <w:left w:val="nil"/>
              <w:bottom w:val="none" w:sz="8" w:space="0" w:color="000000" w:themeColor="text1"/>
            </w:tcBorders>
            <w:vAlign w:val="center"/>
          </w:tcPr>
          <w:p w14:paraId="7FFC0564" w14:textId="4CDBCE71" w:rsidR="009604BF" w:rsidRDefault="009604BF" w:rsidP="00FF27D2">
            <w:pPr>
              <w:spacing w:line="276" w:lineRule="auto"/>
              <w:contextualSpacing/>
            </w:pPr>
          </w:p>
        </w:tc>
        <w:tc>
          <w:tcPr>
            <w:tcW w:w="1674" w:type="dxa"/>
            <w:tcBorders>
              <w:bottom w:val="none" w:sz="4" w:space="0" w:color="000000" w:themeColor="text1"/>
            </w:tcBorders>
            <w:vAlign w:val="center"/>
          </w:tcPr>
          <w:p w14:paraId="0267BA47" w14:textId="77777777" w:rsidR="009604BF" w:rsidRDefault="009604BF" w:rsidP="00FF27D2">
            <w:pPr>
              <w:spacing w:line="276" w:lineRule="auto"/>
              <w:contextualSpacing/>
            </w:pPr>
          </w:p>
        </w:tc>
        <w:tc>
          <w:tcPr>
            <w:tcW w:w="1871" w:type="dxa"/>
            <w:tcBorders>
              <w:bottom w:val="none" w:sz="4" w:space="0" w:color="000000" w:themeColor="text1"/>
            </w:tcBorders>
            <w:vAlign w:val="center"/>
          </w:tcPr>
          <w:p w14:paraId="6061ED77" w14:textId="77777777" w:rsidR="009604BF" w:rsidRDefault="009604BF" w:rsidP="00FF27D2">
            <w:pPr>
              <w:spacing w:line="276" w:lineRule="auto"/>
              <w:contextualSpacing/>
            </w:pPr>
          </w:p>
        </w:tc>
        <w:tc>
          <w:tcPr>
            <w:tcW w:w="1665" w:type="dxa"/>
            <w:tcBorders>
              <w:bottom w:val="none" w:sz="4" w:space="0" w:color="000000" w:themeColor="text1"/>
            </w:tcBorders>
            <w:vAlign w:val="center"/>
          </w:tcPr>
          <w:p w14:paraId="5E09C329" w14:textId="278B9719" w:rsidR="3402DE2B" w:rsidRPr="00B820EE" w:rsidRDefault="3402DE2B" w:rsidP="00B820EE">
            <w:pPr>
              <w:spacing w:line="276" w:lineRule="auto"/>
              <w:jc w:val="center"/>
              <w:rPr>
                <w:rFonts w:asciiTheme="minorHAnsi" w:eastAsiaTheme="minorEastAsia" w:hAnsiTheme="minorHAnsi"/>
                <w:sz w:val="20"/>
                <w:szCs w:val="20"/>
              </w:rPr>
            </w:pPr>
          </w:p>
        </w:tc>
      </w:tr>
      <w:tr w:rsidR="009604BF" w14:paraId="5C18670B" w14:textId="77777777" w:rsidTr="00B820EE">
        <w:trPr>
          <w:trHeight w:val="120"/>
        </w:trPr>
        <w:tc>
          <w:tcPr>
            <w:tcW w:w="2676" w:type="dxa"/>
            <w:tcBorders>
              <w:top w:val="none" w:sz="4" w:space="0" w:color="000000" w:themeColor="text1"/>
              <w:left w:val="none" w:sz="4" w:space="0" w:color="000000" w:themeColor="text1"/>
              <w:bottom w:val="none" w:sz="4" w:space="0" w:color="000000" w:themeColor="text1"/>
              <w:right w:val="none" w:sz="4" w:space="0" w:color="000000" w:themeColor="text1"/>
            </w:tcBorders>
            <w:vAlign w:val="center"/>
          </w:tcPr>
          <w:p w14:paraId="4ECEE5EE" w14:textId="31306FF3" w:rsidR="009604BF" w:rsidRDefault="009604BF" w:rsidP="00FF27D2">
            <w:pPr>
              <w:spacing w:line="276" w:lineRule="auto"/>
              <w:contextualSpacing/>
            </w:pPr>
          </w:p>
        </w:tc>
        <w:tc>
          <w:tcPr>
            <w:tcW w:w="1674" w:type="dxa"/>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7257B599" w14:textId="2A439D43" w:rsidR="009604BF" w:rsidRDefault="009604BF" w:rsidP="00FF27D2">
            <w:pPr>
              <w:spacing w:line="276" w:lineRule="auto"/>
              <w:contextualSpacing/>
            </w:pPr>
          </w:p>
        </w:tc>
        <w:tc>
          <w:tcPr>
            <w:tcW w:w="1871" w:type="dxa"/>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29DE9C21" w14:textId="7EF4E0F6" w:rsidR="009604BF" w:rsidRDefault="009604BF" w:rsidP="00FF27D2">
            <w:pPr>
              <w:spacing w:line="276" w:lineRule="auto"/>
              <w:contextualSpacing/>
            </w:pPr>
          </w:p>
        </w:tc>
        <w:tc>
          <w:tcPr>
            <w:tcW w:w="1665" w:type="dxa"/>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7F2E6F88" w14:textId="53F4DC2B"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2047FC20" w14:textId="77777777" w:rsidTr="00B820EE">
        <w:trPr>
          <w:trHeight w:val="120"/>
        </w:trPr>
        <w:tc>
          <w:tcPr>
            <w:tcW w:w="2676" w:type="dxa"/>
            <w:tcBorders>
              <w:top w:val="none" w:sz="4" w:space="0" w:color="000000" w:themeColor="text1"/>
            </w:tcBorders>
            <w:vAlign w:val="center"/>
          </w:tcPr>
          <w:p w14:paraId="2F35EEA8" w14:textId="13674477" w:rsidR="009604BF" w:rsidRDefault="009604BF" w:rsidP="00FF27D2">
            <w:pPr>
              <w:spacing w:line="276" w:lineRule="auto"/>
              <w:contextualSpacing/>
            </w:pPr>
          </w:p>
        </w:tc>
        <w:tc>
          <w:tcPr>
            <w:tcW w:w="1674" w:type="dxa"/>
            <w:tcBorders>
              <w:top w:val="none" w:sz="4" w:space="0" w:color="000000" w:themeColor="text1"/>
            </w:tcBorders>
            <w:vAlign w:val="bottom"/>
          </w:tcPr>
          <w:p w14:paraId="43117ED2" w14:textId="7BBA4FE2" w:rsidR="009604BF" w:rsidRDefault="009604BF" w:rsidP="00FF27D2">
            <w:pPr>
              <w:spacing w:line="276" w:lineRule="auto"/>
              <w:contextualSpacing/>
            </w:pPr>
          </w:p>
        </w:tc>
        <w:tc>
          <w:tcPr>
            <w:tcW w:w="1871" w:type="dxa"/>
            <w:tcBorders>
              <w:top w:val="none" w:sz="4" w:space="0" w:color="000000" w:themeColor="text1"/>
            </w:tcBorders>
            <w:vAlign w:val="bottom"/>
          </w:tcPr>
          <w:p w14:paraId="113B0553" w14:textId="35979C52" w:rsidR="009604BF" w:rsidRDefault="009604BF" w:rsidP="00FF27D2">
            <w:pPr>
              <w:spacing w:line="276" w:lineRule="auto"/>
              <w:contextualSpacing/>
            </w:pPr>
          </w:p>
        </w:tc>
        <w:tc>
          <w:tcPr>
            <w:tcW w:w="1665" w:type="dxa"/>
            <w:tcBorders>
              <w:top w:val="none" w:sz="4" w:space="0" w:color="000000" w:themeColor="text1"/>
            </w:tcBorders>
            <w:vAlign w:val="bottom"/>
          </w:tcPr>
          <w:p w14:paraId="1E0AFF19" w14:textId="4E711865"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01F3EE0B" w14:textId="77777777" w:rsidTr="00B820EE">
        <w:trPr>
          <w:trHeight w:val="120"/>
        </w:trPr>
        <w:tc>
          <w:tcPr>
            <w:tcW w:w="2676" w:type="dxa"/>
            <w:vAlign w:val="center"/>
          </w:tcPr>
          <w:p w14:paraId="04A0093B" w14:textId="1454BC26" w:rsidR="009604BF" w:rsidRDefault="009604BF" w:rsidP="00FF27D2">
            <w:pPr>
              <w:spacing w:line="276" w:lineRule="auto"/>
              <w:contextualSpacing/>
            </w:pPr>
          </w:p>
        </w:tc>
        <w:tc>
          <w:tcPr>
            <w:tcW w:w="1674" w:type="dxa"/>
            <w:vAlign w:val="bottom"/>
          </w:tcPr>
          <w:p w14:paraId="0A8ED95B" w14:textId="11C2C6CA" w:rsidR="009604BF" w:rsidRDefault="009604BF" w:rsidP="00FF27D2">
            <w:pPr>
              <w:spacing w:line="276" w:lineRule="auto"/>
              <w:contextualSpacing/>
            </w:pPr>
          </w:p>
        </w:tc>
        <w:tc>
          <w:tcPr>
            <w:tcW w:w="1871" w:type="dxa"/>
            <w:vAlign w:val="bottom"/>
          </w:tcPr>
          <w:p w14:paraId="25351F06" w14:textId="7850E3B5" w:rsidR="009604BF" w:rsidRDefault="009604BF" w:rsidP="00FF27D2">
            <w:pPr>
              <w:spacing w:line="276" w:lineRule="auto"/>
              <w:contextualSpacing/>
            </w:pPr>
          </w:p>
        </w:tc>
        <w:tc>
          <w:tcPr>
            <w:tcW w:w="1665" w:type="dxa"/>
            <w:vAlign w:val="bottom"/>
          </w:tcPr>
          <w:p w14:paraId="6DB94E6C" w14:textId="0DD0E6E3"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046855C0" w14:textId="77777777" w:rsidTr="00B820EE">
        <w:trPr>
          <w:trHeight w:val="120"/>
        </w:trPr>
        <w:tc>
          <w:tcPr>
            <w:tcW w:w="2676" w:type="dxa"/>
            <w:vAlign w:val="center"/>
          </w:tcPr>
          <w:p w14:paraId="05FFCCB4" w14:textId="523C9D06" w:rsidR="009604BF" w:rsidRDefault="009604BF" w:rsidP="00FF27D2">
            <w:pPr>
              <w:spacing w:line="276" w:lineRule="auto"/>
              <w:contextualSpacing/>
            </w:pPr>
          </w:p>
        </w:tc>
        <w:tc>
          <w:tcPr>
            <w:tcW w:w="1674" w:type="dxa"/>
            <w:vAlign w:val="bottom"/>
          </w:tcPr>
          <w:p w14:paraId="415CCB6B" w14:textId="7A60DC32" w:rsidR="009604BF" w:rsidRDefault="009604BF" w:rsidP="00FF27D2">
            <w:pPr>
              <w:spacing w:line="276" w:lineRule="auto"/>
              <w:contextualSpacing/>
            </w:pPr>
          </w:p>
        </w:tc>
        <w:tc>
          <w:tcPr>
            <w:tcW w:w="1871" w:type="dxa"/>
            <w:vAlign w:val="bottom"/>
          </w:tcPr>
          <w:p w14:paraId="1FF490EB" w14:textId="70EC7561" w:rsidR="009604BF" w:rsidRDefault="009604BF" w:rsidP="00FF27D2">
            <w:pPr>
              <w:spacing w:line="276" w:lineRule="auto"/>
              <w:contextualSpacing/>
            </w:pPr>
          </w:p>
        </w:tc>
        <w:tc>
          <w:tcPr>
            <w:tcW w:w="1665" w:type="dxa"/>
            <w:vAlign w:val="bottom"/>
          </w:tcPr>
          <w:p w14:paraId="7B34415A" w14:textId="6536935B"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1447AE55" w14:textId="77777777" w:rsidTr="00B820EE">
        <w:trPr>
          <w:trHeight w:val="120"/>
        </w:trPr>
        <w:tc>
          <w:tcPr>
            <w:tcW w:w="2676" w:type="dxa"/>
            <w:vAlign w:val="center"/>
          </w:tcPr>
          <w:p w14:paraId="31AE5A14" w14:textId="77777777" w:rsidR="009604BF" w:rsidRDefault="009604BF" w:rsidP="00FF27D2">
            <w:pPr>
              <w:spacing w:line="276" w:lineRule="auto"/>
              <w:contextualSpacing/>
            </w:pPr>
          </w:p>
        </w:tc>
        <w:tc>
          <w:tcPr>
            <w:tcW w:w="1674" w:type="dxa"/>
            <w:vAlign w:val="center"/>
          </w:tcPr>
          <w:p w14:paraId="08C27501" w14:textId="77777777" w:rsidR="009604BF" w:rsidRDefault="009604BF" w:rsidP="00FF27D2">
            <w:pPr>
              <w:spacing w:line="276" w:lineRule="auto"/>
              <w:contextualSpacing/>
            </w:pPr>
          </w:p>
        </w:tc>
        <w:tc>
          <w:tcPr>
            <w:tcW w:w="1871" w:type="dxa"/>
            <w:vAlign w:val="center"/>
          </w:tcPr>
          <w:p w14:paraId="270F62A2" w14:textId="77777777" w:rsidR="009604BF" w:rsidRDefault="009604BF" w:rsidP="00FF27D2">
            <w:pPr>
              <w:spacing w:line="276" w:lineRule="auto"/>
              <w:contextualSpacing/>
            </w:pPr>
          </w:p>
        </w:tc>
        <w:tc>
          <w:tcPr>
            <w:tcW w:w="1665" w:type="dxa"/>
            <w:vAlign w:val="center"/>
          </w:tcPr>
          <w:p w14:paraId="46ED7BBB" w14:textId="7FA58657" w:rsidR="05D90CDB" w:rsidRPr="00B820EE" w:rsidRDefault="05D90CDB" w:rsidP="00B820EE">
            <w:pPr>
              <w:spacing w:line="276" w:lineRule="auto"/>
              <w:jc w:val="center"/>
              <w:rPr>
                <w:rFonts w:asciiTheme="minorHAnsi" w:eastAsiaTheme="minorEastAsia" w:hAnsiTheme="minorHAnsi"/>
                <w:sz w:val="20"/>
                <w:szCs w:val="20"/>
              </w:rPr>
            </w:pPr>
          </w:p>
        </w:tc>
      </w:tr>
      <w:tr w:rsidR="009604BF" w14:paraId="0BF62052" w14:textId="77777777" w:rsidTr="00B820EE">
        <w:trPr>
          <w:trHeight w:val="120"/>
        </w:trPr>
        <w:tc>
          <w:tcPr>
            <w:tcW w:w="2676" w:type="dxa"/>
            <w:vAlign w:val="center"/>
          </w:tcPr>
          <w:p w14:paraId="1CF79F50" w14:textId="3A5FF6F6" w:rsidR="009604BF" w:rsidRDefault="009604BF" w:rsidP="00FF27D2">
            <w:pPr>
              <w:spacing w:line="276" w:lineRule="auto"/>
              <w:contextualSpacing/>
            </w:pPr>
          </w:p>
        </w:tc>
        <w:tc>
          <w:tcPr>
            <w:tcW w:w="1674" w:type="dxa"/>
            <w:vAlign w:val="center"/>
          </w:tcPr>
          <w:p w14:paraId="62A78EE3" w14:textId="77777777" w:rsidR="009604BF" w:rsidRDefault="009604BF" w:rsidP="00FF27D2">
            <w:pPr>
              <w:spacing w:line="276" w:lineRule="auto"/>
              <w:contextualSpacing/>
            </w:pPr>
          </w:p>
        </w:tc>
        <w:tc>
          <w:tcPr>
            <w:tcW w:w="1871" w:type="dxa"/>
            <w:vAlign w:val="center"/>
          </w:tcPr>
          <w:p w14:paraId="5121779A" w14:textId="77777777" w:rsidR="009604BF" w:rsidRDefault="009604BF" w:rsidP="00FF27D2">
            <w:pPr>
              <w:spacing w:line="276" w:lineRule="auto"/>
              <w:contextualSpacing/>
            </w:pPr>
          </w:p>
        </w:tc>
        <w:tc>
          <w:tcPr>
            <w:tcW w:w="1665" w:type="dxa"/>
            <w:vAlign w:val="center"/>
          </w:tcPr>
          <w:p w14:paraId="3E8F9B8D" w14:textId="0E92046D" w:rsidR="69D5EA59" w:rsidRPr="00B820EE" w:rsidRDefault="69D5EA59" w:rsidP="00B820EE">
            <w:pPr>
              <w:spacing w:line="276" w:lineRule="auto"/>
              <w:jc w:val="center"/>
              <w:rPr>
                <w:rFonts w:asciiTheme="minorHAnsi" w:eastAsiaTheme="minorEastAsia" w:hAnsiTheme="minorHAnsi"/>
                <w:sz w:val="20"/>
                <w:szCs w:val="20"/>
              </w:rPr>
            </w:pPr>
          </w:p>
        </w:tc>
      </w:tr>
      <w:tr w:rsidR="009604BF" w14:paraId="57556919" w14:textId="77777777" w:rsidTr="00B820EE">
        <w:trPr>
          <w:trHeight w:val="120"/>
        </w:trPr>
        <w:tc>
          <w:tcPr>
            <w:tcW w:w="2676" w:type="dxa"/>
            <w:vAlign w:val="center"/>
          </w:tcPr>
          <w:p w14:paraId="7C42A74D" w14:textId="12C080E6" w:rsidR="009604BF" w:rsidRDefault="009604BF" w:rsidP="00FF27D2">
            <w:pPr>
              <w:spacing w:line="276" w:lineRule="auto"/>
              <w:contextualSpacing/>
            </w:pPr>
          </w:p>
        </w:tc>
        <w:tc>
          <w:tcPr>
            <w:tcW w:w="1674" w:type="dxa"/>
            <w:vAlign w:val="bottom"/>
          </w:tcPr>
          <w:p w14:paraId="24193A0C" w14:textId="7E1DACFA" w:rsidR="009604BF" w:rsidRDefault="009604BF" w:rsidP="00FF27D2">
            <w:pPr>
              <w:spacing w:line="276" w:lineRule="auto"/>
              <w:contextualSpacing/>
            </w:pPr>
          </w:p>
        </w:tc>
        <w:tc>
          <w:tcPr>
            <w:tcW w:w="1871" w:type="dxa"/>
            <w:vAlign w:val="bottom"/>
          </w:tcPr>
          <w:p w14:paraId="76D4A89C" w14:textId="5381E037" w:rsidR="009604BF" w:rsidRDefault="009604BF" w:rsidP="00FF27D2">
            <w:pPr>
              <w:spacing w:line="276" w:lineRule="auto"/>
              <w:contextualSpacing/>
            </w:pPr>
          </w:p>
        </w:tc>
        <w:tc>
          <w:tcPr>
            <w:tcW w:w="1665" w:type="dxa"/>
            <w:vAlign w:val="bottom"/>
          </w:tcPr>
          <w:p w14:paraId="70C0E100" w14:textId="49F96173"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70BC4B16" w14:textId="77777777" w:rsidTr="00B820EE">
        <w:trPr>
          <w:trHeight w:val="120"/>
        </w:trPr>
        <w:tc>
          <w:tcPr>
            <w:tcW w:w="2676" w:type="dxa"/>
            <w:vAlign w:val="center"/>
          </w:tcPr>
          <w:p w14:paraId="02ADCAD0" w14:textId="38837F50" w:rsidR="009604BF" w:rsidRDefault="009604BF" w:rsidP="00FF27D2">
            <w:pPr>
              <w:spacing w:line="276" w:lineRule="auto"/>
              <w:contextualSpacing/>
            </w:pPr>
          </w:p>
        </w:tc>
        <w:tc>
          <w:tcPr>
            <w:tcW w:w="1674" w:type="dxa"/>
            <w:vAlign w:val="bottom"/>
          </w:tcPr>
          <w:p w14:paraId="604A4229" w14:textId="27B7F808" w:rsidR="009604BF" w:rsidRDefault="009604BF" w:rsidP="00FF27D2">
            <w:pPr>
              <w:spacing w:line="276" w:lineRule="auto"/>
              <w:contextualSpacing/>
            </w:pPr>
          </w:p>
        </w:tc>
        <w:tc>
          <w:tcPr>
            <w:tcW w:w="1871" w:type="dxa"/>
            <w:vAlign w:val="bottom"/>
          </w:tcPr>
          <w:p w14:paraId="1BD90C5F" w14:textId="57B307D2" w:rsidR="009604BF" w:rsidRDefault="009604BF" w:rsidP="00FF27D2">
            <w:pPr>
              <w:spacing w:line="276" w:lineRule="auto"/>
              <w:contextualSpacing/>
            </w:pPr>
          </w:p>
        </w:tc>
        <w:tc>
          <w:tcPr>
            <w:tcW w:w="1665" w:type="dxa"/>
            <w:vAlign w:val="bottom"/>
          </w:tcPr>
          <w:p w14:paraId="17E1F968" w14:textId="7B4891CA"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2FC3F59B" w14:textId="77777777" w:rsidTr="00B820EE">
        <w:trPr>
          <w:trHeight w:val="120"/>
        </w:trPr>
        <w:tc>
          <w:tcPr>
            <w:tcW w:w="2676" w:type="dxa"/>
            <w:vAlign w:val="center"/>
          </w:tcPr>
          <w:p w14:paraId="02997C23" w14:textId="0A3FF6FB" w:rsidR="009604BF" w:rsidRDefault="009604BF" w:rsidP="00FF27D2">
            <w:pPr>
              <w:spacing w:line="276" w:lineRule="auto"/>
              <w:contextualSpacing/>
            </w:pPr>
          </w:p>
        </w:tc>
        <w:tc>
          <w:tcPr>
            <w:tcW w:w="1674" w:type="dxa"/>
            <w:vAlign w:val="bottom"/>
          </w:tcPr>
          <w:p w14:paraId="553C08FB" w14:textId="52F2C00B" w:rsidR="009604BF" w:rsidRDefault="009604BF" w:rsidP="00FF27D2">
            <w:pPr>
              <w:spacing w:line="276" w:lineRule="auto"/>
              <w:contextualSpacing/>
            </w:pPr>
          </w:p>
        </w:tc>
        <w:tc>
          <w:tcPr>
            <w:tcW w:w="1871" w:type="dxa"/>
            <w:vAlign w:val="bottom"/>
          </w:tcPr>
          <w:p w14:paraId="7B315CD9" w14:textId="45BE3D10" w:rsidR="009604BF" w:rsidRDefault="009604BF" w:rsidP="00FF27D2">
            <w:pPr>
              <w:spacing w:line="276" w:lineRule="auto"/>
              <w:contextualSpacing/>
            </w:pPr>
          </w:p>
        </w:tc>
        <w:tc>
          <w:tcPr>
            <w:tcW w:w="1665" w:type="dxa"/>
            <w:vAlign w:val="bottom"/>
          </w:tcPr>
          <w:p w14:paraId="1921F366" w14:textId="3F37921C"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073A078F" w14:textId="77777777" w:rsidTr="00B820EE">
        <w:trPr>
          <w:trHeight w:val="120"/>
        </w:trPr>
        <w:tc>
          <w:tcPr>
            <w:tcW w:w="2676" w:type="dxa"/>
            <w:vAlign w:val="center"/>
          </w:tcPr>
          <w:p w14:paraId="0BB2100E" w14:textId="2E396B33" w:rsidR="009604BF" w:rsidRDefault="009604BF" w:rsidP="00FF27D2">
            <w:pPr>
              <w:spacing w:line="276" w:lineRule="auto"/>
              <w:contextualSpacing/>
            </w:pPr>
          </w:p>
        </w:tc>
        <w:tc>
          <w:tcPr>
            <w:tcW w:w="1674" w:type="dxa"/>
            <w:vAlign w:val="bottom"/>
          </w:tcPr>
          <w:p w14:paraId="491EAD45" w14:textId="6BD25BF1" w:rsidR="009604BF" w:rsidRDefault="009604BF" w:rsidP="00FF27D2">
            <w:pPr>
              <w:spacing w:line="276" w:lineRule="auto"/>
              <w:contextualSpacing/>
            </w:pPr>
          </w:p>
        </w:tc>
        <w:tc>
          <w:tcPr>
            <w:tcW w:w="1871" w:type="dxa"/>
            <w:vAlign w:val="bottom"/>
          </w:tcPr>
          <w:p w14:paraId="38EA1525" w14:textId="1CD665D5" w:rsidR="009604BF" w:rsidRDefault="009604BF" w:rsidP="00FF27D2">
            <w:pPr>
              <w:spacing w:line="276" w:lineRule="auto"/>
              <w:contextualSpacing/>
            </w:pPr>
          </w:p>
        </w:tc>
        <w:tc>
          <w:tcPr>
            <w:tcW w:w="1665" w:type="dxa"/>
            <w:vAlign w:val="bottom"/>
          </w:tcPr>
          <w:p w14:paraId="53799B8F" w14:textId="437CF24C"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7CE8B4C0" w14:textId="77777777" w:rsidTr="00B820EE">
        <w:trPr>
          <w:trHeight w:val="120"/>
        </w:trPr>
        <w:tc>
          <w:tcPr>
            <w:tcW w:w="2676" w:type="dxa"/>
            <w:vAlign w:val="center"/>
          </w:tcPr>
          <w:p w14:paraId="5840A7A1" w14:textId="77777777" w:rsidR="009604BF" w:rsidRDefault="009604BF" w:rsidP="00FF27D2">
            <w:pPr>
              <w:spacing w:line="276" w:lineRule="auto"/>
              <w:contextualSpacing/>
            </w:pPr>
          </w:p>
        </w:tc>
        <w:tc>
          <w:tcPr>
            <w:tcW w:w="1674" w:type="dxa"/>
            <w:vAlign w:val="center"/>
          </w:tcPr>
          <w:p w14:paraId="436BAB8C" w14:textId="77777777" w:rsidR="009604BF" w:rsidRDefault="009604BF" w:rsidP="00FF27D2">
            <w:pPr>
              <w:spacing w:line="276" w:lineRule="auto"/>
              <w:contextualSpacing/>
            </w:pPr>
          </w:p>
        </w:tc>
        <w:tc>
          <w:tcPr>
            <w:tcW w:w="1871" w:type="dxa"/>
            <w:vAlign w:val="center"/>
          </w:tcPr>
          <w:p w14:paraId="14A0EE75" w14:textId="77777777" w:rsidR="009604BF" w:rsidRDefault="009604BF" w:rsidP="00FF27D2">
            <w:pPr>
              <w:spacing w:line="276" w:lineRule="auto"/>
              <w:contextualSpacing/>
            </w:pPr>
          </w:p>
        </w:tc>
        <w:tc>
          <w:tcPr>
            <w:tcW w:w="1665" w:type="dxa"/>
            <w:vAlign w:val="center"/>
          </w:tcPr>
          <w:p w14:paraId="3937D18A" w14:textId="1657CBEF" w:rsidR="05D90CDB" w:rsidRPr="00B820EE" w:rsidRDefault="05D90CDB" w:rsidP="00B820EE">
            <w:pPr>
              <w:spacing w:line="276" w:lineRule="auto"/>
              <w:jc w:val="center"/>
              <w:rPr>
                <w:rFonts w:asciiTheme="minorHAnsi" w:eastAsiaTheme="minorEastAsia" w:hAnsiTheme="minorHAnsi"/>
                <w:sz w:val="20"/>
                <w:szCs w:val="20"/>
              </w:rPr>
            </w:pPr>
          </w:p>
        </w:tc>
      </w:tr>
      <w:tr w:rsidR="009604BF" w14:paraId="624F2428" w14:textId="77777777" w:rsidTr="00B820EE">
        <w:trPr>
          <w:trHeight w:val="120"/>
        </w:trPr>
        <w:tc>
          <w:tcPr>
            <w:tcW w:w="2676" w:type="dxa"/>
            <w:vAlign w:val="center"/>
          </w:tcPr>
          <w:p w14:paraId="066B1713" w14:textId="680D6A74" w:rsidR="009604BF" w:rsidRDefault="009604BF" w:rsidP="00FF27D2">
            <w:pPr>
              <w:spacing w:line="276" w:lineRule="auto"/>
              <w:contextualSpacing/>
            </w:pPr>
          </w:p>
        </w:tc>
        <w:tc>
          <w:tcPr>
            <w:tcW w:w="1674" w:type="dxa"/>
            <w:vAlign w:val="center"/>
          </w:tcPr>
          <w:p w14:paraId="5560E7FA" w14:textId="77777777" w:rsidR="009604BF" w:rsidRDefault="009604BF" w:rsidP="00FF27D2">
            <w:pPr>
              <w:spacing w:line="276" w:lineRule="auto"/>
              <w:contextualSpacing/>
            </w:pPr>
          </w:p>
        </w:tc>
        <w:tc>
          <w:tcPr>
            <w:tcW w:w="1871" w:type="dxa"/>
            <w:vAlign w:val="center"/>
          </w:tcPr>
          <w:p w14:paraId="01B044E1" w14:textId="77777777" w:rsidR="009604BF" w:rsidRDefault="009604BF" w:rsidP="00FF27D2">
            <w:pPr>
              <w:spacing w:line="276" w:lineRule="auto"/>
              <w:contextualSpacing/>
            </w:pPr>
          </w:p>
        </w:tc>
        <w:tc>
          <w:tcPr>
            <w:tcW w:w="1665" w:type="dxa"/>
            <w:vAlign w:val="center"/>
          </w:tcPr>
          <w:p w14:paraId="28F7C4DB" w14:textId="65B9D6B4" w:rsidR="4CE7E427" w:rsidRPr="00B820EE" w:rsidRDefault="4CE7E427" w:rsidP="00B820EE">
            <w:pPr>
              <w:spacing w:line="276" w:lineRule="auto"/>
              <w:jc w:val="center"/>
              <w:rPr>
                <w:rFonts w:asciiTheme="minorHAnsi" w:eastAsiaTheme="minorEastAsia" w:hAnsiTheme="minorHAnsi"/>
                <w:sz w:val="20"/>
                <w:szCs w:val="20"/>
              </w:rPr>
            </w:pPr>
          </w:p>
        </w:tc>
      </w:tr>
      <w:tr w:rsidR="009604BF" w14:paraId="56C46E63" w14:textId="77777777" w:rsidTr="00B820EE">
        <w:trPr>
          <w:trHeight w:val="120"/>
        </w:trPr>
        <w:tc>
          <w:tcPr>
            <w:tcW w:w="2676" w:type="dxa"/>
            <w:vAlign w:val="center"/>
          </w:tcPr>
          <w:p w14:paraId="112B0A1F" w14:textId="256EAD2E" w:rsidR="009604BF" w:rsidRDefault="009604BF" w:rsidP="00FF27D2">
            <w:pPr>
              <w:spacing w:line="276" w:lineRule="auto"/>
              <w:contextualSpacing/>
            </w:pPr>
          </w:p>
        </w:tc>
        <w:tc>
          <w:tcPr>
            <w:tcW w:w="1674" w:type="dxa"/>
            <w:vAlign w:val="bottom"/>
          </w:tcPr>
          <w:p w14:paraId="3B300DD8" w14:textId="21F685DE" w:rsidR="009604BF" w:rsidRDefault="009604BF" w:rsidP="00FF27D2">
            <w:pPr>
              <w:spacing w:line="276" w:lineRule="auto"/>
              <w:contextualSpacing/>
            </w:pPr>
          </w:p>
        </w:tc>
        <w:tc>
          <w:tcPr>
            <w:tcW w:w="1871" w:type="dxa"/>
            <w:vAlign w:val="bottom"/>
          </w:tcPr>
          <w:p w14:paraId="3D8FF55B" w14:textId="097A6C6B" w:rsidR="009604BF" w:rsidRDefault="009604BF" w:rsidP="00FF27D2">
            <w:pPr>
              <w:spacing w:line="276" w:lineRule="auto"/>
              <w:contextualSpacing/>
            </w:pPr>
          </w:p>
        </w:tc>
        <w:tc>
          <w:tcPr>
            <w:tcW w:w="1665" w:type="dxa"/>
            <w:vAlign w:val="bottom"/>
          </w:tcPr>
          <w:p w14:paraId="57EDF675" w14:textId="3E2CC631"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69187C16" w14:textId="77777777" w:rsidTr="00B820EE">
        <w:trPr>
          <w:trHeight w:val="120"/>
        </w:trPr>
        <w:tc>
          <w:tcPr>
            <w:tcW w:w="2676" w:type="dxa"/>
            <w:vAlign w:val="center"/>
          </w:tcPr>
          <w:p w14:paraId="48CBACFF" w14:textId="389E0563" w:rsidR="009604BF" w:rsidRDefault="009604BF" w:rsidP="00FF27D2">
            <w:pPr>
              <w:spacing w:line="276" w:lineRule="auto"/>
              <w:contextualSpacing/>
            </w:pPr>
          </w:p>
        </w:tc>
        <w:tc>
          <w:tcPr>
            <w:tcW w:w="1674" w:type="dxa"/>
            <w:vAlign w:val="bottom"/>
          </w:tcPr>
          <w:p w14:paraId="48B89518" w14:textId="21416981" w:rsidR="009604BF" w:rsidRDefault="009604BF" w:rsidP="00FF27D2">
            <w:pPr>
              <w:spacing w:line="276" w:lineRule="auto"/>
              <w:contextualSpacing/>
            </w:pPr>
          </w:p>
        </w:tc>
        <w:tc>
          <w:tcPr>
            <w:tcW w:w="1871" w:type="dxa"/>
            <w:vAlign w:val="bottom"/>
          </w:tcPr>
          <w:p w14:paraId="6C3C871E" w14:textId="657938BA" w:rsidR="009604BF" w:rsidRDefault="009604BF" w:rsidP="00FF27D2">
            <w:pPr>
              <w:spacing w:line="276" w:lineRule="auto"/>
              <w:contextualSpacing/>
            </w:pPr>
          </w:p>
        </w:tc>
        <w:tc>
          <w:tcPr>
            <w:tcW w:w="1665" w:type="dxa"/>
            <w:vAlign w:val="bottom"/>
          </w:tcPr>
          <w:p w14:paraId="03D4C61D" w14:textId="7710FF11"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35B5F1BD" w14:textId="77777777" w:rsidTr="00B820EE">
        <w:trPr>
          <w:trHeight w:val="120"/>
        </w:trPr>
        <w:tc>
          <w:tcPr>
            <w:tcW w:w="2676" w:type="dxa"/>
            <w:vAlign w:val="center"/>
          </w:tcPr>
          <w:p w14:paraId="6B5D514C" w14:textId="7682209E" w:rsidR="009604BF" w:rsidRDefault="009604BF" w:rsidP="00FF27D2">
            <w:pPr>
              <w:spacing w:line="276" w:lineRule="auto"/>
              <w:contextualSpacing/>
            </w:pPr>
          </w:p>
        </w:tc>
        <w:tc>
          <w:tcPr>
            <w:tcW w:w="1674" w:type="dxa"/>
            <w:vAlign w:val="bottom"/>
          </w:tcPr>
          <w:p w14:paraId="7604D3BB" w14:textId="792A408F" w:rsidR="009604BF" w:rsidRDefault="009604BF" w:rsidP="00FF27D2">
            <w:pPr>
              <w:spacing w:line="276" w:lineRule="auto"/>
              <w:contextualSpacing/>
            </w:pPr>
          </w:p>
        </w:tc>
        <w:tc>
          <w:tcPr>
            <w:tcW w:w="1871" w:type="dxa"/>
            <w:vAlign w:val="bottom"/>
          </w:tcPr>
          <w:p w14:paraId="323BA857" w14:textId="64FBB531" w:rsidR="009604BF" w:rsidRDefault="009604BF" w:rsidP="00FF27D2">
            <w:pPr>
              <w:spacing w:line="276" w:lineRule="auto"/>
              <w:contextualSpacing/>
            </w:pPr>
          </w:p>
        </w:tc>
        <w:tc>
          <w:tcPr>
            <w:tcW w:w="1665" w:type="dxa"/>
            <w:vAlign w:val="bottom"/>
          </w:tcPr>
          <w:p w14:paraId="0AEE5C65" w14:textId="2E2071BC"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2F9B0FC4" w14:textId="77777777" w:rsidTr="00B820EE">
        <w:trPr>
          <w:trHeight w:val="120"/>
        </w:trPr>
        <w:tc>
          <w:tcPr>
            <w:tcW w:w="2676" w:type="dxa"/>
            <w:vAlign w:val="center"/>
          </w:tcPr>
          <w:p w14:paraId="2007BB3A" w14:textId="77777777" w:rsidR="009604BF" w:rsidRDefault="009604BF" w:rsidP="00FF27D2">
            <w:pPr>
              <w:spacing w:line="276" w:lineRule="auto"/>
              <w:contextualSpacing/>
            </w:pPr>
          </w:p>
        </w:tc>
        <w:tc>
          <w:tcPr>
            <w:tcW w:w="1674" w:type="dxa"/>
            <w:vAlign w:val="center"/>
          </w:tcPr>
          <w:p w14:paraId="63A65232" w14:textId="77777777" w:rsidR="009604BF" w:rsidRDefault="009604BF" w:rsidP="00FF27D2">
            <w:pPr>
              <w:spacing w:line="276" w:lineRule="auto"/>
              <w:contextualSpacing/>
            </w:pPr>
          </w:p>
        </w:tc>
        <w:tc>
          <w:tcPr>
            <w:tcW w:w="1871" w:type="dxa"/>
            <w:vAlign w:val="center"/>
          </w:tcPr>
          <w:p w14:paraId="7EAC35DB" w14:textId="77777777" w:rsidR="009604BF" w:rsidRDefault="009604BF" w:rsidP="00FF27D2">
            <w:pPr>
              <w:spacing w:line="276" w:lineRule="auto"/>
              <w:contextualSpacing/>
            </w:pPr>
          </w:p>
        </w:tc>
        <w:tc>
          <w:tcPr>
            <w:tcW w:w="1665" w:type="dxa"/>
            <w:vAlign w:val="center"/>
          </w:tcPr>
          <w:p w14:paraId="4D902BBF" w14:textId="49630CA7" w:rsidR="05D90CDB" w:rsidRPr="00B820EE" w:rsidRDefault="05D90CDB" w:rsidP="00B820EE">
            <w:pPr>
              <w:spacing w:line="276" w:lineRule="auto"/>
              <w:jc w:val="center"/>
              <w:rPr>
                <w:rFonts w:asciiTheme="minorHAnsi" w:eastAsiaTheme="minorEastAsia" w:hAnsiTheme="minorHAnsi"/>
                <w:sz w:val="20"/>
                <w:szCs w:val="20"/>
              </w:rPr>
            </w:pPr>
          </w:p>
        </w:tc>
      </w:tr>
      <w:tr w:rsidR="009604BF" w14:paraId="5E85BE57" w14:textId="77777777" w:rsidTr="00B820EE">
        <w:trPr>
          <w:trHeight w:val="120"/>
        </w:trPr>
        <w:tc>
          <w:tcPr>
            <w:tcW w:w="2676" w:type="dxa"/>
            <w:vAlign w:val="center"/>
          </w:tcPr>
          <w:p w14:paraId="6AB899C2" w14:textId="276313C3" w:rsidR="009604BF" w:rsidRDefault="009604BF" w:rsidP="00FF27D2">
            <w:pPr>
              <w:spacing w:line="276" w:lineRule="auto"/>
              <w:contextualSpacing/>
            </w:pPr>
          </w:p>
        </w:tc>
        <w:tc>
          <w:tcPr>
            <w:tcW w:w="1674" w:type="dxa"/>
            <w:vAlign w:val="center"/>
          </w:tcPr>
          <w:p w14:paraId="46EF9339" w14:textId="77777777" w:rsidR="009604BF" w:rsidRDefault="009604BF" w:rsidP="00FF27D2">
            <w:pPr>
              <w:spacing w:line="276" w:lineRule="auto"/>
              <w:contextualSpacing/>
            </w:pPr>
          </w:p>
        </w:tc>
        <w:tc>
          <w:tcPr>
            <w:tcW w:w="1871" w:type="dxa"/>
            <w:vAlign w:val="center"/>
          </w:tcPr>
          <w:p w14:paraId="6FEFD330" w14:textId="77777777" w:rsidR="009604BF" w:rsidRDefault="009604BF" w:rsidP="00FF27D2">
            <w:pPr>
              <w:spacing w:line="276" w:lineRule="auto"/>
              <w:contextualSpacing/>
            </w:pPr>
          </w:p>
        </w:tc>
        <w:tc>
          <w:tcPr>
            <w:tcW w:w="1665" w:type="dxa"/>
            <w:vAlign w:val="center"/>
          </w:tcPr>
          <w:p w14:paraId="1F7C9E3F" w14:textId="1EF9D617" w:rsidR="1F9E4B6A" w:rsidRPr="00B820EE" w:rsidRDefault="1F9E4B6A" w:rsidP="00B820EE">
            <w:pPr>
              <w:spacing w:line="276" w:lineRule="auto"/>
              <w:jc w:val="center"/>
              <w:rPr>
                <w:rFonts w:asciiTheme="minorHAnsi" w:eastAsiaTheme="minorEastAsia" w:hAnsiTheme="minorHAnsi"/>
                <w:sz w:val="20"/>
                <w:szCs w:val="20"/>
              </w:rPr>
            </w:pPr>
          </w:p>
        </w:tc>
      </w:tr>
      <w:tr w:rsidR="009604BF" w14:paraId="55BCDE13" w14:textId="77777777" w:rsidTr="00B820EE">
        <w:trPr>
          <w:trHeight w:val="120"/>
        </w:trPr>
        <w:tc>
          <w:tcPr>
            <w:tcW w:w="2676" w:type="dxa"/>
            <w:vAlign w:val="center"/>
          </w:tcPr>
          <w:p w14:paraId="4BE3EAA5" w14:textId="7196F74F" w:rsidR="009604BF" w:rsidRDefault="009604BF" w:rsidP="00FF27D2">
            <w:pPr>
              <w:spacing w:line="276" w:lineRule="auto"/>
              <w:contextualSpacing/>
            </w:pPr>
          </w:p>
        </w:tc>
        <w:tc>
          <w:tcPr>
            <w:tcW w:w="1674" w:type="dxa"/>
            <w:vAlign w:val="bottom"/>
          </w:tcPr>
          <w:p w14:paraId="01AD8A05" w14:textId="479A926D" w:rsidR="009604BF" w:rsidRDefault="009604BF" w:rsidP="00FF27D2">
            <w:pPr>
              <w:spacing w:line="276" w:lineRule="auto"/>
              <w:contextualSpacing/>
            </w:pPr>
          </w:p>
        </w:tc>
        <w:tc>
          <w:tcPr>
            <w:tcW w:w="1871" w:type="dxa"/>
            <w:vAlign w:val="bottom"/>
          </w:tcPr>
          <w:p w14:paraId="79949FA1" w14:textId="0FF03BD6" w:rsidR="009604BF" w:rsidRDefault="009604BF" w:rsidP="00FF27D2">
            <w:pPr>
              <w:spacing w:line="276" w:lineRule="auto"/>
              <w:contextualSpacing/>
            </w:pPr>
          </w:p>
        </w:tc>
        <w:tc>
          <w:tcPr>
            <w:tcW w:w="1665" w:type="dxa"/>
            <w:vAlign w:val="bottom"/>
          </w:tcPr>
          <w:p w14:paraId="58C29E9D" w14:textId="3B8CEEDC"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0C77CEFC" w14:textId="77777777" w:rsidTr="00B820EE">
        <w:trPr>
          <w:trHeight w:val="120"/>
        </w:trPr>
        <w:tc>
          <w:tcPr>
            <w:tcW w:w="2676" w:type="dxa"/>
            <w:vAlign w:val="center"/>
          </w:tcPr>
          <w:p w14:paraId="49A04FC0" w14:textId="0E344B39" w:rsidR="009604BF" w:rsidRDefault="009604BF" w:rsidP="00FF27D2">
            <w:pPr>
              <w:spacing w:line="276" w:lineRule="auto"/>
              <w:contextualSpacing/>
            </w:pPr>
          </w:p>
        </w:tc>
        <w:tc>
          <w:tcPr>
            <w:tcW w:w="1674" w:type="dxa"/>
            <w:vAlign w:val="bottom"/>
          </w:tcPr>
          <w:p w14:paraId="26205237" w14:textId="07369251" w:rsidR="009604BF" w:rsidRDefault="009604BF" w:rsidP="00FF27D2">
            <w:pPr>
              <w:spacing w:line="276" w:lineRule="auto"/>
              <w:contextualSpacing/>
            </w:pPr>
          </w:p>
        </w:tc>
        <w:tc>
          <w:tcPr>
            <w:tcW w:w="1871" w:type="dxa"/>
            <w:vAlign w:val="bottom"/>
          </w:tcPr>
          <w:p w14:paraId="40FEDD2D" w14:textId="5397E146" w:rsidR="009604BF" w:rsidRDefault="009604BF" w:rsidP="00FF27D2">
            <w:pPr>
              <w:spacing w:line="276" w:lineRule="auto"/>
              <w:contextualSpacing/>
            </w:pPr>
          </w:p>
        </w:tc>
        <w:tc>
          <w:tcPr>
            <w:tcW w:w="1665" w:type="dxa"/>
            <w:vAlign w:val="bottom"/>
          </w:tcPr>
          <w:p w14:paraId="0BB6E56C" w14:textId="3BA1792E"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7D26C7F5" w14:textId="77777777" w:rsidTr="00B820EE">
        <w:trPr>
          <w:trHeight w:val="120"/>
        </w:trPr>
        <w:tc>
          <w:tcPr>
            <w:tcW w:w="2676" w:type="dxa"/>
            <w:vAlign w:val="center"/>
          </w:tcPr>
          <w:p w14:paraId="6B4C3F89" w14:textId="04AA2EF2" w:rsidR="009604BF" w:rsidRDefault="009604BF" w:rsidP="00FF27D2">
            <w:pPr>
              <w:spacing w:line="276" w:lineRule="auto"/>
              <w:contextualSpacing/>
            </w:pPr>
          </w:p>
        </w:tc>
        <w:tc>
          <w:tcPr>
            <w:tcW w:w="1674" w:type="dxa"/>
            <w:vAlign w:val="bottom"/>
          </w:tcPr>
          <w:p w14:paraId="672E4821" w14:textId="0FD7BEB4" w:rsidR="009604BF" w:rsidRDefault="009604BF" w:rsidP="00FF27D2">
            <w:pPr>
              <w:spacing w:line="276" w:lineRule="auto"/>
              <w:contextualSpacing/>
            </w:pPr>
          </w:p>
        </w:tc>
        <w:tc>
          <w:tcPr>
            <w:tcW w:w="1871" w:type="dxa"/>
            <w:vAlign w:val="bottom"/>
          </w:tcPr>
          <w:p w14:paraId="7592006A" w14:textId="62BBA920" w:rsidR="009604BF" w:rsidRDefault="009604BF" w:rsidP="00FF27D2">
            <w:pPr>
              <w:spacing w:line="276" w:lineRule="auto"/>
              <w:contextualSpacing/>
            </w:pPr>
          </w:p>
        </w:tc>
        <w:tc>
          <w:tcPr>
            <w:tcW w:w="1665" w:type="dxa"/>
            <w:vAlign w:val="bottom"/>
          </w:tcPr>
          <w:p w14:paraId="3112B2DF" w14:textId="6F29D830"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6A9D52D9" w14:textId="77777777" w:rsidTr="00B820EE">
        <w:trPr>
          <w:trHeight w:val="120"/>
        </w:trPr>
        <w:tc>
          <w:tcPr>
            <w:tcW w:w="2676" w:type="dxa"/>
            <w:vAlign w:val="center"/>
          </w:tcPr>
          <w:p w14:paraId="53D2001B" w14:textId="77777777" w:rsidR="009604BF" w:rsidRDefault="009604BF" w:rsidP="00FF27D2">
            <w:pPr>
              <w:spacing w:line="276" w:lineRule="auto"/>
              <w:contextualSpacing/>
            </w:pPr>
          </w:p>
        </w:tc>
        <w:tc>
          <w:tcPr>
            <w:tcW w:w="1674" w:type="dxa"/>
            <w:vAlign w:val="center"/>
          </w:tcPr>
          <w:p w14:paraId="3A5B009F" w14:textId="77777777" w:rsidR="009604BF" w:rsidRDefault="009604BF" w:rsidP="00FF27D2">
            <w:pPr>
              <w:spacing w:line="276" w:lineRule="auto"/>
              <w:contextualSpacing/>
            </w:pPr>
          </w:p>
        </w:tc>
        <w:tc>
          <w:tcPr>
            <w:tcW w:w="1871" w:type="dxa"/>
            <w:vAlign w:val="center"/>
          </w:tcPr>
          <w:p w14:paraId="5033B46B" w14:textId="77777777" w:rsidR="009604BF" w:rsidRDefault="009604BF" w:rsidP="00FF27D2">
            <w:pPr>
              <w:spacing w:line="276" w:lineRule="auto"/>
              <w:contextualSpacing/>
            </w:pPr>
          </w:p>
        </w:tc>
        <w:tc>
          <w:tcPr>
            <w:tcW w:w="1665" w:type="dxa"/>
            <w:vAlign w:val="center"/>
          </w:tcPr>
          <w:p w14:paraId="50E043C1" w14:textId="658D5BC1" w:rsidR="05D90CDB" w:rsidRPr="00B820EE" w:rsidRDefault="05D90CDB" w:rsidP="00B820EE">
            <w:pPr>
              <w:spacing w:line="276" w:lineRule="auto"/>
              <w:jc w:val="center"/>
              <w:rPr>
                <w:rFonts w:asciiTheme="minorHAnsi" w:eastAsiaTheme="minorEastAsia" w:hAnsiTheme="minorHAnsi"/>
                <w:sz w:val="20"/>
                <w:szCs w:val="20"/>
              </w:rPr>
            </w:pPr>
          </w:p>
        </w:tc>
      </w:tr>
      <w:tr w:rsidR="009604BF" w14:paraId="65B68D0F" w14:textId="77777777" w:rsidTr="00B820EE">
        <w:trPr>
          <w:trHeight w:val="120"/>
        </w:trPr>
        <w:tc>
          <w:tcPr>
            <w:tcW w:w="2676" w:type="dxa"/>
            <w:vAlign w:val="center"/>
          </w:tcPr>
          <w:p w14:paraId="308030D7" w14:textId="54541122" w:rsidR="009604BF" w:rsidRDefault="009604BF" w:rsidP="00FF27D2">
            <w:pPr>
              <w:spacing w:line="276" w:lineRule="auto"/>
              <w:contextualSpacing/>
            </w:pPr>
          </w:p>
        </w:tc>
        <w:tc>
          <w:tcPr>
            <w:tcW w:w="1674" w:type="dxa"/>
            <w:vAlign w:val="center"/>
          </w:tcPr>
          <w:p w14:paraId="40DE720F" w14:textId="77777777" w:rsidR="009604BF" w:rsidRDefault="009604BF" w:rsidP="00FF27D2">
            <w:pPr>
              <w:spacing w:line="276" w:lineRule="auto"/>
              <w:contextualSpacing/>
            </w:pPr>
          </w:p>
        </w:tc>
        <w:tc>
          <w:tcPr>
            <w:tcW w:w="1871" w:type="dxa"/>
            <w:vAlign w:val="center"/>
          </w:tcPr>
          <w:p w14:paraId="30CA8E01" w14:textId="77777777" w:rsidR="009604BF" w:rsidRDefault="009604BF" w:rsidP="00FF27D2">
            <w:pPr>
              <w:spacing w:line="276" w:lineRule="auto"/>
              <w:contextualSpacing/>
            </w:pPr>
          </w:p>
        </w:tc>
        <w:tc>
          <w:tcPr>
            <w:tcW w:w="1665" w:type="dxa"/>
            <w:vAlign w:val="center"/>
          </w:tcPr>
          <w:p w14:paraId="54AC85CE" w14:textId="38221D65" w:rsidR="01EE630E" w:rsidRPr="00B820EE" w:rsidRDefault="01EE630E" w:rsidP="00B820EE">
            <w:pPr>
              <w:spacing w:line="276" w:lineRule="auto"/>
              <w:jc w:val="center"/>
              <w:rPr>
                <w:rFonts w:asciiTheme="minorHAnsi" w:eastAsiaTheme="minorEastAsia" w:hAnsiTheme="minorHAnsi"/>
                <w:sz w:val="20"/>
                <w:szCs w:val="20"/>
              </w:rPr>
            </w:pPr>
          </w:p>
        </w:tc>
      </w:tr>
      <w:tr w:rsidR="009604BF" w14:paraId="38AD3822" w14:textId="77777777" w:rsidTr="00B820EE">
        <w:trPr>
          <w:trHeight w:val="120"/>
        </w:trPr>
        <w:tc>
          <w:tcPr>
            <w:tcW w:w="2676" w:type="dxa"/>
            <w:vAlign w:val="center"/>
          </w:tcPr>
          <w:p w14:paraId="274E6A58" w14:textId="0FCE6F94" w:rsidR="009604BF" w:rsidRDefault="009604BF" w:rsidP="00FF27D2">
            <w:pPr>
              <w:spacing w:line="276" w:lineRule="auto"/>
              <w:contextualSpacing/>
            </w:pPr>
          </w:p>
        </w:tc>
        <w:tc>
          <w:tcPr>
            <w:tcW w:w="1674" w:type="dxa"/>
            <w:vAlign w:val="bottom"/>
          </w:tcPr>
          <w:p w14:paraId="0652690B" w14:textId="7D9B49F8" w:rsidR="009604BF" w:rsidRDefault="009604BF" w:rsidP="00FF27D2">
            <w:pPr>
              <w:spacing w:line="276" w:lineRule="auto"/>
              <w:contextualSpacing/>
            </w:pPr>
          </w:p>
        </w:tc>
        <w:tc>
          <w:tcPr>
            <w:tcW w:w="1871" w:type="dxa"/>
            <w:vAlign w:val="bottom"/>
          </w:tcPr>
          <w:p w14:paraId="229491E1" w14:textId="49719AB1" w:rsidR="009604BF" w:rsidRDefault="009604BF" w:rsidP="00FF27D2">
            <w:pPr>
              <w:spacing w:line="276" w:lineRule="auto"/>
              <w:contextualSpacing/>
            </w:pPr>
          </w:p>
        </w:tc>
        <w:tc>
          <w:tcPr>
            <w:tcW w:w="1665" w:type="dxa"/>
            <w:vAlign w:val="bottom"/>
          </w:tcPr>
          <w:p w14:paraId="6FB0E2D1" w14:textId="774D2E18"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5C6997CA" w14:textId="77777777" w:rsidTr="00B820EE">
        <w:trPr>
          <w:trHeight w:val="120"/>
        </w:trPr>
        <w:tc>
          <w:tcPr>
            <w:tcW w:w="2676" w:type="dxa"/>
            <w:vAlign w:val="center"/>
          </w:tcPr>
          <w:p w14:paraId="684F508F" w14:textId="1702E054" w:rsidR="009604BF" w:rsidRDefault="009604BF" w:rsidP="00FF27D2">
            <w:pPr>
              <w:spacing w:line="276" w:lineRule="auto"/>
              <w:contextualSpacing/>
            </w:pPr>
          </w:p>
        </w:tc>
        <w:tc>
          <w:tcPr>
            <w:tcW w:w="1674" w:type="dxa"/>
            <w:vAlign w:val="bottom"/>
          </w:tcPr>
          <w:p w14:paraId="45D2607B" w14:textId="6464A545" w:rsidR="009604BF" w:rsidRDefault="009604BF" w:rsidP="00FF27D2">
            <w:pPr>
              <w:spacing w:line="276" w:lineRule="auto"/>
              <w:contextualSpacing/>
            </w:pPr>
          </w:p>
        </w:tc>
        <w:tc>
          <w:tcPr>
            <w:tcW w:w="1871" w:type="dxa"/>
            <w:vAlign w:val="bottom"/>
          </w:tcPr>
          <w:p w14:paraId="32CC230E" w14:textId="04252F19" w:rsidR="009604BF" w:rsidRDefault="009604BF" w:rsidP="00FF27D2">
            <w:pPr>
              <w:spacing w:line="276" w:lineRule="auto"/>
              <w:contextualSpacing/>
            </w:pPr>
          </w:p>
        </w:tc>
        <w:tc>
          <w:tcPr>
            <w:tcW w:w="1665" w:type="dxa"/>
            <w:vAlign w:val="bottom"/>
          </w:tcPr>
          <w:p w14:paraId="47F3B879" w14:textId="44709674"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3E0ACCE4" w14:textId="77777777" w:rsidTr="00B820EE">
        <w:trPr>
          <w:trHeight w:val="120"/>
        </w:trPr>
        <w:tc>
          <w:tcPr>
            <w:tcW w:w="2676" w:type="dxa"/>
            <w:vAlign w:val="center"/>
          </w:tcPr>
          <w:p w14:paraId="59F11A11" w14:textId="218C7C32" w:rsidR="009604BF" w:rsidRDefault="009604BF" w:rsidP="00FF27D2">
            <w:pPr>
              <w:spacing w:line="276" w:lineRule="auto"/>
              <w:contextualSpacing/>
            </w:pPr>
          </w:p>
        </w:tc>
        <w:tc>
          <w:tcPr>
            <w:tcW w:w="1674" w:type="dxa"/>
            <w:vAlign w:val="bottom"/>
          </w:tcPr>
          <w:p w14:paraId="1181D76B" w14:textId="258540CA" w:rsidR="009604BF" w:rsidRDefault="009604BF" w:rsidP="00FF27D2">
            <w:pPr>
              <w:spacing w:line="276" w:lineRule="auto"/>
              <w:contextualSpacing/>
            </w:pPr>
          </w:p>
        </w:tc>
        <w:tc>
          <w:tcPr>
            <w:tcW w:w="1871" w:type="dxa"/>
            <w:vAlign w:val="bottom"/>
          </w:tcPr>
          <w:p w14:paraId="3D31E429" w14:textId="041348D2" w:rsidR="009604BF" w:rsidRDefault="009604BF" w:rsidP="00FF27D2">
            <w:pPr>
              <w:spacing w:line="276" w:lineRule="auto"/>
              <w:contextualSpacing/>
            </w:pPr>
          </w:p>
        </w:tc>
        <w:tc>
          <w:tcPr>
            <w:tcW w:w="1665" w:type="dxa"/>
            <w:vAlign w:val="bottom"/>
          </w:tcPr>
          <w:p w14:paraId="36D58DC7" w14:textId="7B291A2B"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72725F66" w14:textId="77777777" w:rsidTr="00B820EE">
        <w:trPr>
          <w:trHeight w:val="120"/>
        </w:trPr>
        <w:tc>
          <w:tcPr>
            <w:tcW w:w="2676" w:type="dxa"/>
            <w:vAlign w:val="center"/>
          </w:tcPr>
          <w:p w14:paraId="3F63120E" w14:textId="77777777" w:rsidR="009604BF" w:rsidRDefault="009604BF" w:rsidP="00FF27D2">
            <w:pPr>
              <w:spacing w:line="276" w:lineRule="auto"/>
              <w:contextualSpacing/>
            </w:pPr>
          </w:p>
        </w:tc>
        <w:tc>
          <w:tcPr>
            <w:tcW w:w="1674" w:type="dxa"/>
            <w:vAlign w:val="center"/>
          </w:tcPr>
          <w:p w14:paraId="56B88B03" w14:textId="77777777" w:rsidR="009604BF" w:rsidRDefault="009604BF" w:rsidP="00FF27D2">
            <w:pPr>
              <w:spacing w:line="276" w:lineRule="auto"/>
              <w:contextualSpacing/>
            </w:pPr>
          </w:p>
        </w:tc>
        <w:tc>
          <w:tcPr>
            <w:tcW w:w="1871" w:type="dxa"/>
            <w:vAlign w:val="center"/>
          </w:tcPr>
          <w:p w14:paraId="00B9C976" w14:textId="77777777" w:rsidR="009604BF" w:rsidRDefault="009604BF" w:rsidP="00FF27D2">
            <w:pPr>
              <w:spacing w:line="276" w:lineRule="auto"/>
              <w:contextualSpacing/>
            </w:pPr>
          </w:p>
        </w:tc>
        <w:tc>
          <w:tcPr>
            <w:tcW w:w="1665" w:type="dxa"/>
            <w:vAlign w:val="center"/>
          </w:tcPr>
          <w:p w14:paraId="5EB3AB10" w14:textId="5857FF4F" w:rsidR="05D90CDB" w:rsidRPr="00B820EE" w:rsidRDefault="05D90CDB" w:rsidP="00B820EE">
            <w:pPr>
              <w:spacing w:line="276" w:lineRule="auto"/>
              <w:jc w:val="center"/>
              <w:rPr>
                <w:rFonts w:asciiTheme="minorHAnsi" w:eastAsiaTheme="minorEastAsia" w:hAnsiTheme="minorHAnsi"/>
                <w:sz w:val="20"/>
                <w:szCs w:val="20"/>
              </w:rPr>
            </w:pPr>
          </w:p>
        </w:tc>
      </w:tr>
      <w:tr w:rsidR="009604BF" w14:paraId="06119B98" w14:textId="77777777" w:rsidTr="00B820EE">
        <w:trPr>
          <w:trHeight w:val="120"/>
        </w:trPr>
        <w:tc>
          <w:tcPr>
            <w:tcW w:w="2676" w:type="dxa"/>
            <w:vAlign w:val="center"/>
          </w:tcPr>
          <w:p w14:paraId="28C2BA5A" w14:textId="72DD660B" w:rsidR="009604BF" w:rsidRDefault="009604BF" w:rsidP="00FF27D2">
            <w:pPr>
              <w:spacing w:line="276" w:lineRule="auto"/>
              <w:contextualSpacing/>
            </w:pPr>
          </w:p>
        </w:tc>
        <w:tc>
          <w:tcPr>
            <w:tcW w:w="1674" w:type="dxa"/>
            <w:vAlign w:val="center"/>
          </w:tcPr>
          <w:p w14:paraId="5173DC18" w14:textId="77777777" w:rsidR="009604BF" w:rsidRDefault="009604BF" w:rsidP="00FF27D2">
            <w:pPr>
              <w:spacing w:line="276" w:lineRule="auto"/>
              <w:contextualSpacing/>
            </w:pPr>
          </w:p>
        </w:tc>
        <w:tc>
          <w:tcPr>
            <w:tcW w:w="1871" w:type="dxa"/>
            <w:vAlign w:val="center"/>
          </w:tcPr>
          <w:p w14:paraId="64CF76E8" w14:textId="77777777" w:rsidR="009604BF" w:rsidRDefault="009604BF" w:rsidP="00FF27D2">
            <w:pPr>
              <w:spacing w:line="276" w:lineRule="auto"/>
              <w:contextualSpacing/>
            </w:pPr>
          </w:p>
        </w:tc>
        <w:tc>
          <w:tcPr>
            <w:tcW w:w="1665" w:type="dxa"/>
            <w:vAlign w:val="center"/>
          </w:tcPr>
          <w:p w14:paraId="6A52C8FC" w14:textId="32A0B852" w:rsidR="77A6E794" w:rsidRPr="00B820EE" w:rsidRDefault="77A6E794" w:rsidP="00B820EE">
            <w:pPr>
              <w:spacing w:line="276" w:lineRule="auto"/>
              <w:jc w:val="center"/>
              <w:rPr>
                <w:rFonts w:asciiTheme="minorHAnsi" w:eastAsiaTheme="minorEastAsia" w:hAnsiTheme="minorHAnsi"/>
                <w:sz w:val="20"/>
                <w:szCs w:val="20"/>
              </w:rPr>
            </w:pPr>
          </w:p>
        </w:tc>
      </w:tr>
      <w:tr w:rsidR="009604BF" w14:paraId="78CF53DA" w14:textId="77777777" w:rsidTr="00B820EE">
        <w:trPr>
          <w:trHeight w:val="120"/>
        </w:trPr>
        <w:tc>
          <w:tcPr>
            <w:tcW w:w="2676" w:type="dxa"/>
            <w:vAlign w:val="center"/>
          </w:tcPr>
          <w:p w14:paraId="6C8ACC9D" w14:textId="5ACBF33C" w:rsidR="009604BF" w:rsidRDefault="009604BF" w:rsidP="00FF27D2">
            <w:pPr>
              <w:spacing w:line="276" w:lineRule="auto"/>
              <w:contextualSpacing/>
            </w:pPr>
          </w:p>
        </w:tc>
        <w:tc>
          <w:tcPr>
            <w:tcW w:w="1674" w:type="dxa"/>
            <w:vAlign w:val="bottom"/>
          </w:tcPr>
          <w:p w14:paraId="23D89E4B" w14:textId="5D3F2FA5" w:rsidR="009604BF" w:rsidRDefault="009604BF" w:rsidP="00FF27D2">
            <w:pPr>
              <w:spacing w:line="276" w:lineRule="auto"/>
              <w:contextualSpacing/>
            </w:pPr>
          </w:p>
        </w:tc>
        <w:tc>
          <w:tcPr>
            <w:tcW w:w="1871" w:type="dxa"/>
            <w:vAlign w:val="bottom"/>
          </w:tcPr>
          <w:p w14:paraId="483D7571" w14:textId="5C13A787" w:rsidR="009604BF" w:rsidRDefault="009604BF" w:rsidP="00FF27D2">
            <w:pPr>
              <w:spacing w:line="276" w:lineRule="auto"/>
              <w:contextualSpacing/>
            </w:pPr>
          </w:p>
        </w:tc>
        <w:tc>
          <w:tcPr>
            <w:tcW w:w="1665" w:type="dxa"/>
            <w:vAlign w:val="bottom"/>
          </w:tcPr>
          <w:p w14:paraId="09B1BD71" w14:textId="570A749A"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16A0ABCF" w14:textId="77777777" w:rsidTr="00B820EE">
        <w:trPr>
          <w:trHeight w:val="120"/>
        </w:trPr>
        <w:tc>
          <w:tcPr>
            <w:tcW w:w="2676" w:type="dxa"/>
            <w:vAlign w:val="center"/>
          </w:tcPr>
          <w:p w14:paraId="44D0D04D" w14:textId="790ED708" w:rsidR="009604BF" w:rsidRDefault="009604BF" w:rsidP="00FF27D2">
            <w:pPr>
              <w:spacing w:line="276" w:lineRule="auto"/>
              <w:contextualSpacing/>
            </w:pPr>
          </w:p>
        </w:tc>
        <w:tc>
          <w:tcPr>
            <w:tcW w:w="1674" w:type="dxa"/>
            <w:vAlign w:val="bottom"/>
          </w:tcPr>
          <w:p w14:paraId="19D3E86D" w14:textId="495C4AD0" w:rsidR="009604BF" w:rsidRDefault="009604BF" w:rsidP="00FF27D2">
            <w:pPr>
              <w:spacing w:line="276" w:lineRule="auto"/>
              <w:contextualSpacing/>
            </w:pPr>
          </w:p>
        </w:tc>
        <w:tc>
          <w:tcPr>
            <w:tcW w:w="1871" w:type="dxa"/>
            <w:vAlign w:val="bottom"/>
          </w:tcPr>
          <w:p w14:paraId="718857E4" w14:textId="74AEDF9B" w:rsidR="009604BF" w:rsidRDefault="009604BF" w:rsidP="00FF27D2">
            <w:pPr>
              <w:spacing w:line="276" w:lineRule="auto"/>
              <w:contextualSpacing/>
            </w:pPr>
          </w:p>
        </w:tc>
        <w:tc>
          <w:tcPr>
            <w:tcW w:w="1665" w:type="dxa"/>
            <w:vAlign w:val="bottom"/>
          </w:tcPr>
          <w:p w14:paraId="3DF5E116" w14:textId="690F46D1"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41A9105C" w14:textId="77777777" w:rsidTr="00B820EE">
        <w:trPr>
          <w:trHeight w:val="120"/>
        </w:trPr>
        <w:tc>
          <w:tcPr>
            <w:tcW w:w="2676" w:type="dxa"/>
            <w:vAlign w:val="center"/>
          </w:tcPr>
          <w:p w14:paraId="2CEBDFEB" w14:textId="73C53989" w:rsidR="009604BF" w:rsidRDefault="009604BF" w:rsidP="00FF27D2">
            <w:pPr>
              <w:spacing w:line="276" w:lineRule="auto"/>
              <w:contextualSpacing/>
            </w:pPr>
          </w:p>
        </w:tc>
        <w:tc>
          <w:tcPr>
            <w:tcW w:w="1674" w:type="dxa"/>
            <w:vAlign w:val="bottom"/>
          </w:tcPr>
          <w:p w14:paraId="6FFA0B4B" w14:textId="703D4343" w:rsidR="009604BF" w:rsidRDefault="009604BF" w:rsidP="00FF27D2">
            <w:pPr>
              <w:spacing w:line="276" w:lineRule="auto"/>
              <w:contextualSpacing/>
            </w:pPr>
          </w:p>
        </w:tc>
        <w:tc>
          <w:tcPr>
            <w:tcW w:w="1871" w:type="dxa"/>
            <w:vAlign w:val="bottom"/>
          </w:tcPr>
          <w:p w14:paraId="66901CAD" w14:textId="794A6356" w:rsidR="009604BF" w:rsidRDefault="009604BF" w:rsidP="00FF27D2">
            <w:pPr>
              <w:spacing w:line="276" w:lineRule="auto"/>
              <w:contextualSpacing/>
            </w:pPr>
          </w:p>
        </w:tc>
        <w:tc>
          <w:tcPr>
            <w:tcW w:w="1665" w:type="dxa"/>
            <w:vAlign w:val="bottom"/>
          </w:tcPr>
          <w:p w14:paraId="6AD110D3" w14:textId="5D30C7BF" w:rsidR="05D90CDB" w:rsidRPr="00B820EE" w:rsidRDefault="05D90CDB" w:rsidP="00B820EE">
            <w:pPr>
              <w:spacing w:line="276" w:lineRule="auto"/>
              <w:jc w:val="center"/>
              <w:rPr>
                <w:rFonts w:asciiTheme="minorHAnsi" w:eastAsiaTheme="minorEastAsia" w:hAnsiTheme="minorHAnsi"/>
                <w:color w:val="000000" w:themeColor="text1"/>
                <w:sz w:val="20"/>
                <w:szCs w:val="20"/>
              </w:rPr>
            </w:pPr>
          </w:p>
        </w:tc>
      </w:tr>
      <w:tr w:rsidR="009604BF" w14:paraId="23B46682" w14:textId="77777777" w:rsidTr="00B820EE">
        <w:trPr>
          <w:trHeight w:val="120"/>
        </w:trPr>
        <w:tc>
          <w:tcPr>
            <w:tcW w:w="2676" w:type="dxa"/>
            <w:vAlign w:val="center"/>
          </w:tcPr>
          <w:p w14:paraId="0DE56866" w14:textId="77777777" w:rsidR="009604BF" w:rsidRDefault="009604BF" w:rsidP="00FF27D2">
            <w:pPr>
              <w:spacing w:line="276" w:lineRule="auto"/>
              <w:contextualSpacing/>
            </w:pPr>
          </w:p>
        </w:tc>
        <w:tc>
          <w:tcPr>
            <w:tcW w:w="1674" w:type="dxa"/>
            <w:vAlign w:val="center"/>
          </w:tcPr>
          <w:p w14:paraId="34E2D5C4" w14:textId="77777777" w:rsidR="009604BF" w:rsidRDefault="009604BF" w:rsidP="00FF27D2">
            <w:pPr>
              <w:spacing w:line="276" w:lineRule="auto"/>
              <w:contextualSpacing/>
            </w:pPr>
          </w:p>
        </w:tc>
        <w:tc>
          <w:tcPr>
            <w:tcW w:w="1871" w:type="dxa"/>
            <w:vAlign w:val="center"/>
          </w:tcPr>
          <w:p w14:paraId="7D2F8954" w14:textId="77777777" w:rsidR="009604BF" w:rsidRDefault="009604BF" w:rsidP="00FF27D2">
            <w:pPr>
              <w:spacing w:line="276" w:lineRule="auto"/>
              <w:contextualSpacing/>
            </w:pPr>
          </w:p>
        </w:tc>
        <w:tc>
          <w:tcPr>
            <w:tcW w:w="1665" w:type="dxa"/>
            <w:vAlign w:val="center"/>
          </w:tcPr>
          <w:p w14:paraId="11D0B617" w14:textId="3EB03744" w:rsidR="05D90CDB" w:rsidRPr="00B820EE" w:rsidRDefault="05D90CDB" w:rsidP="00B820EE">
            <w:pPr>
              <w:spacing w:line="276" w:lineRule="auto"/>
              <w:jc w:val="center"/>
              <w:rPr>
                <w:rFonts w:asciiTheme="minorHAnsi" w:eastAsiaTheme="minorEastAsia" w:hAnsiTheme="minorHAnsi"/>
                <w:sz w:val="20"/>
                <w:szCs w:val="20"/>
              </w:rPr>
            </w:pPr>
          </w:p>
        </w:tc>
      </w:tr>
      <w:tr w:rsidR="009604BF" w14:paraId="283FAD42" w14:textId="77777777" w:rsidTr="00B820EE">
        <w:trPr>
          <w:trHeight w:val="120"/>
        </w:trPr>
        <w:tc>
          <w:tcPr>
            <w:tcW w:w="2676" w:type="dxa"/>
            <w:vAlign w:val="center"/>
          </w:tcPr>
          <w:p w14:paraId="5ACD60F7" w14:textId="35D1E024" w:rsidR="009604BF" w:rsidRDefault="009604BF" w:rsidP="00FF27D2">
            <w:pPr>
              <w:spacing w:line="276" w:lineRule="auto"/>
              <w:contextualSpacing/>
            </w:pPr>
          </w:p>
        </w:tc>
        <w:tc>
          <w:tcPr>
            <w:tcW w:w="1674" w:type="dxa"/>
            <w:vAlign w:val="center"/>
          </w:tcPr>
          <w:p w14:paraId="140DD879" w14:textId="77777777" w:rsidR="009604BF" w:rsidRDefault="009604BF" w:rsidP="00FF27D2">
            <w:pPr>
              <w:spacing w:line="276" w:lineRule="auto"/>
              <w:contextualSpacing/>
            </w:pPr>
          </w:p>
        </w:tc>
        <w:tc>
          <w:tcPr>
            <w:tcW w:w="1871" w:type="dxa"/>
            <w:vAlign w:val="center"/>
          </w:tcPr>
          <w:p w14:paraId="72364D48" w14:textId="77777777" w:rsidR="009604BF" w:rsidRDefault="009604BF" w:rsidP="00FF27D2">
            <w:pPr>
              <w:spacing w:line="276" w:lineRule="auto"/>
              <w:contextualSpacing/>
            </w:pPr>
          </w:p>
        </w:tc>
        <w:tc>
          <w:tcPr>
            <w:tcW w:w="1665" w:type="dxa"/>
            <w:vAlign w:val="center"/>
          </w:tcPr>
          <w:p w14:paraId="7B5F6957" w14:textId="4F908F55" w:rsidR="09B94B65" w:rsidRPr="00B820EE" w:rsidRDefault="09B94B65" w:rsidP="00B820EE">
            <w:pPr>
              <w:spacing w:line="276" w:lineRule="auto"/>
              <w:jc w:val="center"/>
              <w:rPr>
                <w:rFonts w:asciiTheme="minorHAnsi" w:eastAsiaTheme="minorEastAsia" w:hAnsiTheme="minorHAnsi"/>
                <w:sz w:val="20"/>
                <w:szCs w:val="20"/>
              </w:rPr>
            </w:pPr>
          </w:p>
        </w:tc>
      </w:tr>
      <w:tr w:rsidR="009604BF" w14:paraId="3A24A307" w14:textId="77777777" w:rsidTr="00B820EE">
        <w:trPr>
          <w:trHeight w:val="120"/>
        </w:trPr>
        <w:tc>
          <w:tcPr>
            <w:tcW w:w="2676" w:type="dxa"/>
            <w:vAlign w:val="center"/>
          </w:tcPr>
          <w:p w14:paraId="2DE6783F" w14:textId="77D789F1" w:rsidR="009604BF" w:rsidRDefault="009604BF" w:rsidP="00FF27D2">
            <w:pPr>
              <w:spacing w:line="276" w:lineRule="auto"/>
              <w:contextualSpacing/>
            </w:pPr>
          </w:p>
        </w:tc>
        <w:tc>
          <w:tcPr>
            <w:tcW w:w="1674" w:type="dxa"/>
            <w:vAlign w:val="bottom"/>
          </w:tcPr>
          <w:p w14:paraId="7D9FD65C" w14:textId="22D3C921" w:rsidR="009604BF" w:rsidRDefault="009604BF" w:rsidP="00FF27D2">
            <w:pPr>
              <w:spacing w:line="276" w:lineRule="auto"/>
              <w:contextualSpacing/>
            </w:pPr>
          </w:p>
        </w:tc>
        <w:tc>
          <w:tcPr>
            <w:tcW w:w="1871" w:type="dxa"/>
            <w:vAlign w:val="bottom"/>
          </w:tcPr>
          <w:p w14:paraId="77EF8094" w14:textId="31D7C417" w:rsidR="009604BF" w:rsidRDefault="009604BF" w:rsidP="00FF27D2">
            <w:pPr>
              <w:spacing w:line="276" w:lineRule="auto"/>
              <w:contextualSpacing/>
            </w:pPr>
          </w:p>
        </w:tc>
        <w:tc>
          <w:tcPr>
            <w:tcW w:w="1665" w:type="dxa"/>
            <w:vAlign w:val="bottom"/>
          </w:tcPr>
          <w:p w14:paraId="10044CF3" w14:textId="2EC580ED" w:rsidR="05D90CDB" w:rsidRDefault="05D90CDB" w:rsidP="05D90CDB">
            <w:pPr>
              <w:spacing w:line="276" w:lineRule="auto"/>
              <w:rPr>
                <w:rFonts w:ascii="Calibri" w:eastAsia="Calibri" w:hAnsi="Calibri" w:cs="Calibri"/>
                <w:color w:val="000000" w:themeColor="text1"/>
                <w:sz w:val="20"/>
                <w:szCs w:val="20"/>
              </w:rPr>
            </w:pPr>
          </w:p>
        </w:tc>
      </w:tr>
      <w:tr w:rsidR="009604BF" w14:paraId="10D69A80" w14:textId="77777777" w:rsidTr="00B820EE">
        <w:trPr>
          <w:trHeight w:val="120"/>
        </w:trPr>
        <w:tc>
          <w:tcPr>
            <w:tcW w:w="2676" w:type="dxa"/>
            <w:vAlign w:val="center"/>
          </w:tcPr>
          <w:p w14:paraId="2A8F27B9" w14:textId="3D8A7CAC" w:rsidR="009604BF" w:rsidRDefault="009604BF" w:rsidP="00FF27D2">
            <w:pPr>
              <w:spacing w:line="276" w:lineRule="auto"/>
              <w:contextualSpacing/>
            </w:pPr>
          </w:p>
        </w:tc>
        <w:tc>
          <w:tcPr>
            <w:tcW w:w="1674" w:type="dxa"/>
            <w:vAlign w:val="bottom"/>
          </w:tcPr>
          <w:p w14:paraId="50F3B86D" w14:textId="04DDB5EB" w:rsidR="009604BF" w:rsidRDefault="009604BF" w:rsidP="00FF27D2">
            <w:pPr>
              <w:spacing w:line="276" w:lineRule="auto"/>
              <w:contextualSpacing/>
            </w:pPr>
          </w:p>
        </w:tc>
        <w:tc>
          <w:tcPr>
            <w:tcW w:w="1871" w:type="dxa"/>
            <w:vAlign w:val="bottom"/>
          </w:tcPr>
          <w:p w14:paraId="30F70DBB" w14:textId="4898AD45" w:rsidR="009604BF" w:rsidRDefault="009604BF" w:rsidP="00FF27D2">
            <w:pPr>
              <w:spacing w:line="276" w:lineRule="auto"/>
              <w:contextualSpacing/>
            </w:pPr>
          </w:p>
        </w:tc>
        <w:tc>
          <w:tcPr>
            <w:tcW w:w="1665" w:type="dxa"/>
            <w:vAlign w:val="bottom"/>
          </w:tcPr>
          <w:p w14:paraId="6F09E6BE" w14:textId="46A3B70E" w:rsidR="05D90CDB" w:rsidRDefault="05D90CDB" w:rsidP="05D90CDB">
            <w:pPr>
              <w:spacing w:line="276" w:lineRule="auto"/>
              <w:rPr>
                <w:rFonts w:ascii="Calibri" w:eastAsia="Calibri" w:hAnsi="Calibri" w:cs="Calibri"/>
                <w:color w:val="000000" w:themeColor="text1"/>
                <w:sz w:val="20"/>
                <w:szCs w:val="20"/>
              </w:rPr>
            </w:pPr>
          </w:p>
        </w:tc>
      </w:tr>
      <w:tr w:rsidR="009604BF" w14:paraId="5B320BD5" w14:textId="77777777" w:rsidTr="00B820EE">
        <w:trPr>
          <w:trHeight w:val="120"/>
        </w:trPr>
        <w:tc>
          <w:tcPr>
            <w:tcW w:w="2676" w:type="dxa"/>
            <w:tcBorders>
              <w:left w:val="nil"/>
              <w:bottom w:val="single" w:sz="8" w:space="0" w:color="auto"/>
              <w:right w:val="nil"/>
            </w:tcBorders>
            <w:vAlign w:val="center"/>
          </w:tcPr>
          <w:p w14:paraId="13F1D2A1" w14:textId="243C130C" w:rsidR="009604BF" w:rsidRDefault="009604BF" w:rsidP="00FF27D2">
            <w:pPr>
              <w:spacing w:line="276" w:lineRule="auto"/>
              <w:contextualSpacing/>
            </w:pPr>
          </w:p>
        </w:tc>
        <w:tc>
          <w:tcPr>
            <w:tcW w:w="1674" w:type="dxa"/>
            <w:tcBorders>
              <w:left w:val="nil"/>
              <w:bottom w:val="single" w:sz="8" w:space="0" w:color="auto"/>
              <w:right w:val="nil"/>
            </w:tcBorders>
            <w:vAlign w:val="bottom"/>
          </w:tcPr>
          <w:p w14:paraId="3F2A31D2" w14:textId="2FB38B2D" w:rsidR="009604BF" w:rsidRDefault="009604BF" w:rsidP="00FF27D2">
            <w:pPr>
              <w:spacing w:line="276" w:lineRule="auto"/>
              <w:contextualSpacing/>
            </w:pPr>
          </w:p>
        </w:tc>
        <w:tc>
          <w:tcPr>
            <w:tcW w:w="1871" w:type="dxa"/>
            <w:tcBorders>
              <w:left w:val="nil"/>
              <w:bottom w:val="single" w:sz="8" w:space="0" w:color="auto"/>
              <w:right w:val="nil"/>
            </w:tcBorders>
            <w:vAlign w:val="bottom"/>
          </w:tcPr>
          <w:p w14:paraId="50C61C21" w14:textId="15EF12B2" w:rsidR="009604BF" w:rsidRDefault="009604BF" w:rsidP="00FF27D2">
            <w:pPr>
              <w:spacing w:line="276" w:lineRule="auto"/>
              <w:contextualSpacing/>
            </w:pPr>
          </w:p>
        </w:tc>
        <w:tc>
          <w:tcPr>
            <w:tcW w:w="1665" w:type="dxa"/>
            <w:tcBorders>
              <w:left w:val="nil"/>
              <w:bottom w:val="single" w:sz="8" w:space="0" w:color="auto"/>
              <w:right w:val="nil"/>
            </w:tcBorders>
            <w:vAlign w:val="bottom"/>
          </w:tcPr>
          <w:p w14:paraId="729591D3" w14:textId="0598B9BA" w:rsidR="05D90CDB" w:rsidRDefault="05D90CDB" w:rsidP="05D90CDB">
            <w:pPr>
              <w:spacing w:line="276" w:lineRule="auto"/>
              <w:rPr>
                <w:rFonts w:ascii="Calibri" w:eastAsia="Calibri" w:hAnsi="Calibri" w:cs="Calibri"/>
                <w:color w:val="000000" w:themeColor="text1"/>
                <w:sz w:val="20"/>
                <w:szCs w:val="20"/>
              </w:rPr>
            </w:pPr>
          </w:p>
        </w:tc>
      </w:tr>
    </w:tbl>
    <w:p w14:paraId="29FCCF29" w14:textId="77777777" w:rsidR="009604BF" w:rsidRDefault="009604BF" w:rsidP="009604BF">
      <w:pPr>
        <w:pStyle w:val="Caption"/>
        <w:sectPr w:rsidR="009604BF" w:rsidSect="00D537FA">
          <w:pgSz w:w="12240" w:h="15840"/>
          <w:pgMar w:top="1138" w:right="1181" w:bottom="1138" w:left="1282" w:header="283" w:footer="510" w:gutter="0"/>
          <w:lnNumType w:countBy="1" w:restart="continuous"/>
          <w:cols w:space="720"/>
          <w:titlePg/>
          <w:docGrid w:linePitch="360"/>
        </w:sectPr>
      </w:pPr>
    </w:p>
    <w:p w14:paraId="62A41722" w14:textId="40645D61" w:rsidR="009604BF" w:rsidRDefault="009604BF" w:rsidP="009604BF">
      <w:pPr>
        <w:pStyle w:val="Caption"/>
      </w:pPr>
      <w:r>
        <w:lastRenderedPageBreak/>
        <w:t xml:space="preserve">Table </w:t>
      </w:r>
      <w:fldSimple w:instr=" SEQ Table \* ARABIC ">
        <w:r w:rsidR="000F4598">
          <w:rPr>
            <w:noProof/>
          </w:rPr>
          <w:t>3</w:t>
        </w:r>
      </w:fldSimple>
      <w:r>
        <w:t xml:space="preserve">: </w:t>
      </w:r>
      <w:r w:rsidRPr="00826B57">
        <w:t>Sex-adjusted odds ratios for being in a worse category for change in diet quality compared to before the first UK lockdown according to participant characteristics</w:t>
      </w:r>
    </w:p>
    <w:tbl>
      <w:tblPr>
        <w:tblW w:w="9766" w:type="dxa"/>
        <w:tblLayout w:type="fixed"/>
        <w:tblLook w:val="04A0" w:firstRow="1" w:lastRow="0" w:firstColumn="1" w:lastColumn="0" w:noHBand="0" w:noVBand="1"/>
      </w:tblPr>
      <w:tblGrid>
        <w:gridCol w:w="5023"/>
        <w:gridCol w:w="2029"/>
        <w:gridCol w:w="1357"/>
        <w:gridCol w:w="1357"/>
      </w:tblGrid>
      <w:tr w:rsidR="009604BF" w14:paraId="3CD8E530" w14:textId="77777777" w:rsidTr="55869305">
        <w:trPr>
          <w:trHeight w:val="360"/>
        </w:trPr>
        <w:tc>
          <w:tcPr>
            <w:tcW w:w="5023" w:type="dxa"/>
            <w:tcBorders>
              <w:top w:val="single" w:sz="8" w:space="0" w:color="auto"/>
              <w:left w:val="nil"/>
              <w:bottom w:val="nil"/>
              <w:right w:val="nil"/>
            </w:tcBorders>
            <w:vAlign w:val="center"/>
          </w:tcPr>
          <w:p w14:paraId="4C1858E1" w14:textId="77777777" w:rsidR="009604BF" w:rsidRDefault="009604BF" w:rsidP="00FF27D2">
            <w:pPr>
              <w:spacing w:line="360" w:lineRule="auto"/>
              <w:contextualSpacing/>
              <w:rPr>
                <w:rFonts w:eastAsiaTheme="minorEastAsia"/>
                <w:b/>
                <w:bCs/>
                <w:color w:val="000000" w:themeColor="text1"/>
                <w:sz w:val="20"/>
                <w:szCs w:val="20"/>
              </w:rPr>
            </w:pPr>
            <w:r w:rsidRPr="1FEE1B07">
              <w:rPr>
                <w:rFonts w:eastAsiaTheme="minorEastAsia"/>
                <w:b/>
                <w:bCs/>
                <w:color w:val="000000" w:themeColor="text1"/>
                <w:sz w:val="20"/>
                <w:szCs w:val="20"/>
              </w:rPr>
              <w:t>Participant characteristic</w:t>
            </w:r>
          </w:p>
        </w:tc>
        <w:tc>
          <w:tcPr>
            <w:tcW w:w="2029" w:type="dxa"/>
            <w:tcBorders>
              <w:top w:val="single" w:sz="8" w:space="0" w:color="auto"/>
              <w:left w:val="nil"/>
              <w:bottom w:val="nil"/>
              <w:right w:val="nil"/>
            </w:tcBorders>
            <w:vAlign w:val="center"/>
          </w:tcPr>
          <w:p w14:paraId="5D168E4C" w14:textId="77777777" w:rsidR="009604BF" w:rsidRDefault="009604BF" w:rsidP="00FF27D2">
            <w:pPr>
              <w:spacing w:line="360" w:lineRule="auto"/>
              <w:contextualSpacing/>
              <w:jc w:val="center"/>
              <w:rPr>
                <w:rFonts w:eastAsiaTheme="minorEastAsia"/>
                <w:b/>
                <w:bCs/>
                <w:sz w:val="20"/>
                <w:szCs w:val="20"/>
              </w:rPr>
            </w:pPr>
            <w:r w:rsidRPr="1FEE1B07">
              <w:rPr>
                <w:rFonts w:eastAsiaTheme="minorEastAsia"/>
                <w:b/>
                <w:bCs/>
                <w:sz w:val="20"/>
                <w:szCs w:val="20"/>
              </w:rPr>
              <w:t>Odds ratio (95% CI)</w:t>
            </w:r>
          </w:p>
        </w:tc>
        <w:tc>
          <w:tcPr>
            <w:tcW w:w="1357" w:type="dxa"/>
            <w:tcBorders>
              <w:top w:val="single" w:sz="8" w:space="0" w:color="auto"/>
              <w:left w:val="nil"/>
              <w:bottom w:val="nil"/>
              <w:right w:val="nil"/>
            </w:tcBorders>
            <w:vAlign w:val="center"/>
          </w:tcPr>
          <w:p w14:paraId="455DDC4A" w14:textId="77777777" w:rsidR="009604BF" w:rsidRDefault="009604BF" w:rsidP="00FF27D2">
            <w:pPr>
              <w:spacing w:line="360" w:lineRule="auto"/>
              <w:contextualSpacing/>
              <w:jc w:val="center"/>
              <w:rPr>
                <w:rFonts w:eastAsiaTheme="minorEastAsia"/>
                <w:b/>
                <w:bCs/>
                <w:sz w:val="20"/>
                <w:szCs w:val="20"/>
              </w:rPr>
            </w:pPr>
            <w:r w:rsidRPr="1FEE1B07">
              <w:rPr>
                <w:rFonts w:eastAsiaTheme="minorEastAsia"/>
                <w:b/>
                <w:bCs/>
                <w:sz w:val="20"/>
                <w:szCs w:val="20"/>
              </w:rPr>
              <w:t>P-value</w:t>
            </w:r>
          </w:p>
        </w:tc>
        <w:tc>
          <w:tcPr>
            <w:tcW w:w="1357" w:type="dxa"/>
            <w:tcBorders>
              <w:top w:val="single" w:sz="8" w:space="0" w:color="auto"/>
              <w:left w:val="nil"/>
              <w:bottom w:val="nil"/>
              <w:right w:val="nil"/>
            </w:tcBorders>
            <w:vAlign w:val="center"/>
          </w:tcPr>
          <w:p w14:paraId="6F320722" w14:textId="673791F3" w:rsidR="030F4297" w:rsidRDefault="030F4297" w:rsidP="05D90CDB">
            <w:pPr>
              <w:spacing w:line="360" w:lineRule="auto"/>
              <w:jc w:val="center"/>
              <w:rPr>
                <w:rFonts w:eastAsiaTheme="minorEastAsia"/>
                <w:b/>
                <w:bCs/>
                <w:sz w:val="20"/>
                <w:szCs w:val="20"/>
              </w:rPr>
            </w:pPr>
            <w:r w:rsidRPr="05D90CDB">
              <w:rPr>
                <w:rFonts w:eastAsiaTheme="minorEastAsia"/>
                <w:b/>
                <w:bCs/>
                <w:sz w:val="20"/>
                <w:szCs w:val="20"/>
              </w:rPr>
              <w:t>McFadden pseudo R2</w:t>
            </w:r>
          </w:p>
        </w:tc>
      </w:tr>
      <w:tr w:rsidR="009604BF" w14:paraId="46CE016E" w14:textId="77777777" w:rsidTr="55869305">
        <w:trPr>
          <w:trHeight w:val="15"/>
        </w:trPr>
        <w:tc>
          <w:tcPr>
            <w:tcW w:w="5023" w:type="dxa"/>
            <w:tcBorders>
              <w:top w:val="single" w:sz="8" w:space="0" w:color="auto"/>
              <w:left w:val="nil"/>
              <w:bottom w:val="nil"/>
              <w:right w:val="nil"/>
            </w:tcBorders>
            <w:vAlign w:val="bottom"/>
          </w:tcPr>
          <w:p w14:paraId="67DD4843"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Age (years)</w:t>
            </w:r>
          </w:p>
        </w:tc>
        <w:tc>
          <w:tcPr>
            <w:tcW w:w="2029" w:type="dxa"/>
            <w:tcBorders>
              <w:top w:val="single" w:sz="8" w:space="0" w:color="auto"/>
              <w:left w:val="nil"/>
              <w:bottom w:val="nil"/>
              <w:right w:val="nil"/>
            </w:tcBorders>
            <w:vAlign w:val="center"/>
          </w:tcPr>
          <w:p w14:paraId="2F2A2CC6"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0.99 (0.94, 1.05)</w:t>
            </w:r>
          </w:p>
        </w:tc>
        <w:tc>
          <w:tcPr>
            <w:tcW w:w="1357" w:type="dxa"/>
            <w:tcBorders>
              <w:top w:val="single" w:sz="8" w:space="0" w:color="auto"/>
              <w:left w:val="nil"/>
              <w:bottom w:val="nil"/>
              <w:right w:val="nil"/>
            </w:tcBorders>
            <w:vAlign w:val="center"/>
          </w:tcPr>
          <w:p w14:paraId="00047A21"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0.765</w:t>
            </w:r>
          </w:p>
        </w:tc>
        <w:tc>
          <w:tcPr>
            <w:tcW w:w="1357" w:type="dxa"/>
            <w:tcBorders>
              <w:top w:val="single" w:sz="8" w:space="0" w:color="auto"/>
              <w:left w:val="nil"/>
              <w:bottom w:val="nil"/>
              <w:right w:val="nil"/>
            </w:tcBorders>
            <w:vAlign w:val="center"/>
          </w:tcPr>
          <w:p w14:paraId="6D860BD8" w14:textId="301A8B8E" w:rsidR="5618BA89" w:rsidRDefault="5618BA89" w:rsidP="05D90CDB">
            <w:pPr>
              <w:spacing w:line="360" w:lineRule="auto"/>
              <w:jc w:val="center"/>
              <w:rPr>
                <w:rFonts w:eastAsiaTheme="minorEastAsia"/>
                <w:sz w:val="20"/>
                <w:szCs w:val="20"/>
              </w:rPr>
            </w:pPr>
            <w:r w:rsidRPr="05D90CDB">
              <w:rPr>
                <w:rFonts w:eastAsiaTheme="minorEastAsia"/>
                <w:sz w:val="20"/>
                <w:szCs w:val="20"/>
              </w:rPr>
              <w:t>0.0074</w:t>
            </w:r>
          </w:p>
        </w:tc>
      </w:tr>
      <w:tr w:rsidR="009604BF" w14:paraId="41DEA1B3" w14:textId="77777777" w:rsidTr="55869305">
        <w:trPr>
          <w:trHeight w:val="15"/>
        </w:trPr>
        <w:tc>
          <w:tcPr>
            <w:tcW w:w="5023" w:type="dxa"/>
            <w:vAlign w:val="bottom"/>
          </w:tcPr>
          <w:p w14:paraId="6819B0B4"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Education (degree/HND/professional qualifications vs lower)</w:t>
            </w:r>
          </w:p>
        </w:tc>
        <w:tc>
          <w:tcPr>
            <w:tcW w:w="2029" w:type="dxa"/>
            <w:vAlign w:val="center"/>
          </w:tcPr>
          <w:p w14:paraId="3C9CC5A1"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0.40 (0.20, 0.79)</w:t>
            </w:r>
          </w:p>
        </w:tc>
        <w:tc>
          <w:tcPr>
            <w:tcW w:w="1357" w:type="dxa"/>
            <w:vAlign w:val="center"/>
          </w:tcPr>
          <w:p w14:paraId="65567BF7"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0.009</w:t>
            </w:r>
          </w:p>
        </w:tc>
        <w:tc>
          <w:tcPr>
            <w:tcW w:w="1357" w:type="dxa"/>
            <w:vAlign w:val="center"/>
          </w:tcPr>
          <w:p w14:paraId="46FC81CB" w14:textId="14AF401F" w:rsidR="41B427C8" w:rsidRDefault="41B427C8" w:rsidP="05D90CDB">
            <w:pPr>
              <w:spacing w:line="360" w:lineRule="auto"/>
              <w:jc w:val="center"/>
              <w:rPr>
                <w:rFonts w:eastAsiaTheme="minorEastAsia"/>
                <w:sz w:val="20"/>
                <w:szCs w:val="20"/>
              </w:rPr>
            </w:pPr>
            <w:r w:rsidRPr="05D90CDB">
              <w:rPr>
                <w:rFonts w:eastAsiaTheme="minorEastAsia"/>
                <w:sz w:val="20"/>
                <w:szCs w:val="20"/>
              </w:rPr>
              <w:t>0.0222</w:t>
            </w:r>
          </w:p>
        </w:tc>
      </w:tr>
      <w:tr w:rsidR="009604BF" w14:paraId="4A010DF3" w14:textId="77777777" w:rsidTr="55869305">
        <w:trPr>
          <w:trHeight w:val="15"/>
        </w:trPr>
        <w:tc>
          <w:tcPr>
            <w:tcW w:w="5023" w:type="dxa"/>
            <w:vAlign w:val="bottom"/>
          </w:tcPr>
          <w:p w14:paraId="14EE2A3E"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Living arrangement (own property vs not)</w:t>
            </w:r>
          </w:p>
        </w:tc>
        <w:tc>
          <w:tcPr>
            <w:tcW w:w="2029" w:type="dxa"/>
            <w:vAlign w:val="center"/>
          </w:tcPr>
          <w:p w14:paraId="0FD75AAD"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1.19 (0.52, 2.71)</w:t>
            </w:r>
          </w:p>
        </w:tc>
        <w:tc>
          <w:tcPr>
            <w:tcW w:w="1357" w:type="dxa"/>
            <w:vAlign w:val="center"/>
          </w:tcPr>
          <w:p w14:paraId="53BE63A2"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0.679</w:t>
            </w:r>
          </w:p>
        </w:tc>
        <w:tc>
          <w:tcPr>
            <w:tcW w:w="1357" w:type="dxa"/>
            <w:vAlign w:val="center"/>
          </w:tcPr>
          <w:p w14:paraId="696583E7" w14:textId="01F3D938" w:rsidR="1B6E455B" w:rsidRDefault="1B6E455B" w:rsidP="05D90CDB">
            <w:pPr>
              <w:spacing w:line="360" w:lineRule="auto"/>
              <w:jc w:val="center"/>
              <w:rPr>
                <w:rFonts w:eastAsiaTheme="minorEastAsia"/>
                <w:sz w:val="20"/>
                <w:szCs w:val="20"/>
              </w:rPr>
            </w:pPr>
            <w:r w:rsidRPr="05D90CDB">
              <w:rPr>
                <w:rFonts w:eastAsiaTheme="minorEastAsia"/>
                <w:sz w:val="20"/>
                <w:szCs w:val="20"/>
              </w:rPr>
              <w:t>0.0080</w:t>
            </w:r>
          </w:p>
        </w:tc>
      </w:tr>
      <w:tr w:rsidR="009604BF" w14:paraId="04B37F3C" w14:textId="77777777" w:rsidTr="55869305">
        <w:trPr>
          <w:trHeight w:val="15"/>
        </w:trPr>
        <w:tc>
          <w:tcPr>
            <w:tcW w:w="5023" w:type="dxa"/>
            <w:vAlign w:val="bottom"/>
          </w:tcPr>
          <w:p w14:paraId="258103C9"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Marital status (married/civil partnership/cohabiting vs not)</w:t>
            </w:r>
          </w:p>
        </w:tc>
        <w:tc>
          <w:tcPr>
            <w:tcW w:w="2029" w:type="dxa"/>
            <w:vAlign w:val="center"/>
          </w:tcPr>
          <w:p w14:paraId="617B0E0F"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0.89 (0.50, 1.56)</w:t>
            </w:r>
          </w:p>
        </w:tc>
        <w:tc>
          <w:tcPr>
            <w:tcW w:w="1357" w:type="dxa"/>
            <w:vAlign w:val="center"/>
          </w:tcPr>
          <w:p w14:paraId="48D73FB3"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0.678</w:t>
            </w:r>
          </w:p>
        </w:tc>
        <w:tc>
          <w:tcPr>
            <w:tcW w:w="1357" w:type="dxa"/>
            <w:vAlign w:val="center"/>
          </w:tcPr>
          <w:p w14:paraId="1F780E05" w14:textId="6C91B0FB" w:rsidR="412C2457" w:rsidRDefault="412C2457" w:rsidP="05D90CDB">
            <w:pPr>
              <w:spacing w:line="360" w:lineRule="auto"/>
              <w:jc w:val="center"/>
              <w:rPr>
                <w:rFonts w:eastAsiaTheme="minorEastAsia"/>
                <w:sz w:val="20"/>
                <w:szCs w:val="20"/>
              </w:rPr>
            </w:pPr>
            <w:r w:rsidRPr="05D90CDB">
              <w:rPr>
                <w:rFonts w:eastAsiaTheme="minorEastAsia"/>
                <w:sz w:val="20"/>
                <w:szCs w:val="20"/>
              </w:rPr>
              <w:t>0.0081</w:t>
            </w:r>
          </w:p>
        </w:tc>
      </w:tr>
      <w:tr w:rsidR="009604BF" w14:paraId="311730E5" w14:textId="77777777" w:rsidTr="55869305">
        <w:trPr>
          <w:trHeight w:val="15"/>
        </w:trPr>
        <w:tc>
          <w:tcPr>
            <w:tcW w:w="5023" w:type="dxa"/>
            <w:vAlign w:val="bottom"/>
          </w:tcPr>
          <w:p w14:paraId="7524E607"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BMI (kg/m</w:t>
            </w:r>
            <w:r w:rsidRPr="1FEE1B07">
              <w:rPr>
                <w:rFonts w:eastAsiaTheme="minorEastAsia"/>
                <w:color w:val="000000" w:themeColor="text1"/>
                <w:sz w:val="20"/>
                <w:szCs w:val="20"/>
                <w:vertAlign w:val="superscript"/>
              </w:rPr>
              <w:t>2</w:t>
            </w:r>
            <w:r w:rsidRPr="1FEE1B07">
              <w:rPr>
                <w:rFonts w:eastAsiaTheme="minorEastAsia"/>
                <w:color w:val="000000" w:themeColor="text1"/>
                <w:sz w:val="20"/>
                <w:szCs w:val="20"/>
              </w:rPr>
              <w:t>)</w:t>
            </w:r>
          </w:p>
        </w:tc>
        <w:tc>
          <w:tcPr>
            <w:tcW w:w="2029" w:type="dxa"/>
            <w:vAlign w:val="center"/>
          </w:tcPr>
          <w:p w14:paraId="23999474"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1.13 (1.06, 1.19)</w:t>
            </w:r>
          </w:p>
        </w:tc>
        <w:tc>
          <w:tcPr>
            <w:tcW w:w="1357" w:type="dxa"/>
            <w:vAlign w:val="center"/>
          </w:tcPr>
          <w:p w14:paraId="55E0EDFF"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&lt;0.001</w:t>
            </w:r>
          </w:p>
        </w:tc>
        <w:tc>
          <w:tcPr>
            <w:tcW w:w="1357" w:type="dxa"/>
            <w:vAlign w:val="center"/>
          </w:tcPr>
          <w:p w14:paraId="1FDD011A" w14:textId="2B6F6916" w:rsidR="1CCE8678" w:rsidRDefault="1CCE8678" w:rsidP="05D90CDB">
            <w:pPr>
              <w:spacing w:line="360" w:lineRule="auto"/>
              <w:jc w:val="center"/>
              <w:rPr>
                <w:rFonts w:eastAsiaTheme="minorEastAsia"/>
                <w:sz w:val="20"/>
                <w:szCs w:val="20"/>
              </w:rPr>
            </w:pPr>
            <w:r w:rsidRPr="05D90CDB">
              <w:rPr>
                <w:rFonts w:eastAsiaTheme="minorEastAsia"/>
                <w:sz w:val="20"/>
                <w:szCs w:val="20"/>
              </w:rPr>
              <w:t>0.0444</w:t>
            </w:r>
          </w:p>
        </w:tc>
      </w:tr>
      <w:tr w:rsidR="009604BF" w14:paraId="72608AE7" w14:textId="77777777" w:rsidTr="55869305">
        <w:trPr>
          <w:trHeight w:val="15"/>
        </w:trPr>
        <w:tc>
          <w:tcPr>
            <w:tcW w:w="5023" w:type="dxa"/>
            <w:vAlign w:val="bottom"/>
          </w:tcPr>
          <w:p w14:paraId="61BB9230"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Ever smoked regularly</w:t>
            </w:r>
          </w:p>
        </w:tc>
        <w:tc>
          <w:tcPr>
            <w:tcW w:w="2029" w:type="dxa"/>
            <w:vAlign w:val="center"/>
          </w:tcPr>
          <w:p w14:paraId="73E422D6"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0.58 (0.33, 1.03)</w:t>
            </w:r>
          </w:p>
        </w:tc>
        <w:tc>
          <w:tcPr>
            <w:tcW w:w="1357" w:type="dxa"/>
            <w:vAlign w:val="center"/>
          </w:tcPr>
          <w:p w14:paraId="12195F0F"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0.062</w:t>
            </w:r>
          </w:p>
        </w:tc>
        <w:tc>
          <w:tcPr>
            <w:tcW w:w="1357" w:type="dxa"/>
            <w:vAlign w:val="center"/>
          </w:tcPr>
          <w:p w14:paraId="19E84C93" w14:textId="5F3D10C9" w:rsidR="7507C91C" w:rsidRDefault="7507C91C" w:rsidP="05D90CDB">
            <w:pPr>
              <w:spacing w:line="360" w:lineRule="auto"/>
              <w:jc w:val="center"/>
              <w:rPr>
                <w:rFonts w:eastAsiaTheme="minorEastAsia"/>
                <w:sz w:val="20"/>
                <w:szCs w:val="20"/>
              </w:rPr>
            </w:pPr>
            <w:r w:rsidRPr="05D90CDB">
              <w:rPr>
                <w:rFonts w:eastAsiaTheme="minorEastAsia"/>
                <w:sz w:val="20"/>
                <w:szCs w:val="20"/>
              </w:rPr>
              <w:t>0.0143</w:t>
            </w:r>
          </w:p>
        </w:tc>
      </w:tr>
      <w:tr w:rsidR="009604BF" w14:paraId="59223328" w14:textId="77777777" w:rsidTr="55869305">
        <w:trPr>
          <w:trHeight w:val="15"/>
        </w:trPr>
        <w:tc>
          <w:tcPr>
            <w:tcW w:w="5023" w:type="dxa"/>
            <w:vAlign w:val="bottom"/>
          </w:tcPr>
          <w:p w14:paraId="7CBDB28E"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Currently drink alcohol</w:t>
            </w:r>
          </w:p>
        </w:tc>
        <w:tc>
          <w:tcPr>
            <w:tcW w:w="2029" w:type="dxa"/>
            <w:vAlign w:val="center"/>
          </w:tcPr>
          <w:p w14:paraId="1477EE7F"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1.36 (0.71, 2.60)</w:t>
            </w:r>
          </w:p>
        </w:tc>
        <w:tc>
          <w:tcPr>
            <w:tcW w:w="1357" w:type="dxa"/>
            <w:vAlign w:val="center"/>
          </w:tcPr>
          <w:p w14:paraId="580529D2"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0.347</w:t>
            </w:r>
          </w:p>
        </w:tc>
        <w:tc>
          <w:tcPr>
            <w:tcW w:w="1357" w:type="dxa"/>
            <w:vAlign w:val="center"/>
          </w:tcPr>
          <w:p w14:paraId="106A79E5" w14:textId="7C8FF7F3" w:rsidR="7EE55D45" w:rsidRDefault="7EE55D45" w:rsidP="05D90CDB">
            <w:pPr>
              <w:spacing w:line="360" w:lineRule="auto"/>
              <w:jc w:val="center"/>
              <w:rPr>
                <w:rFonts w:eastAsiaTheme="minorEastAsia"/>
                <w:sz w:val="20"/>
                <w:szCs w:val="20"/>
              </w:rPr>
            </w:pPr>
            <w:r w:rsidRPr="05D90CDB">
              <w:rPr>
                <w:rFonts w:eastAsiaTheme="minorEastAsia"/>
                <w:sz w:val="20"/>
                <w:szCs w:val="20"/>
              </w:rPr>
              <w:t>0.0091</w:t>
            </w:r>
          </w:p>
        </w:tc>
      </w:tr>
      <w:tr w:rsidR="009604BF" w14:paraId="56C50115" w14:textId="77777777" w:rsidTr="55869305">
        <w:trPr>
          <w:trHeight w:val="15"/>
        </w:trPr>
        <w:tc>
          <w:tcPr>
            <w:tcW w:w="5023" w:type="dxa"/>
            <w:vAlign w:val="bottom"/>
          </w:tcPr>
          <w:p w14:paraId="10116585"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DETERMINE score</w:t>
            </w:r>
          </w:p>
        </w:tc>
        <w:tc>
          <w:tcPr>
            <w:tcW w:w="2029" w:type="dxa"/>
            <w:vAlign w:val="center"/>
          </w:tcPr>
          <w:p w14:paraId="06704695"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1.16 (1.05, 1.29)</w:t>
            </w:r>
          </w:p>
        </w:tc>
        <w:tc>
          <w:tcPr>
            <w:tcW w:w="1357" w:type="dxa"/>
            <w:vAlign w:val="center"/>
          </w:tcPr>
          <w:p w14:paraId="1C507C80"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0.004</w:t>
            </w:r>
          </w:p>
        </w:tc>
        <w:tc>
          <w:tcPr>
            <w:tcW w:w="1357" w:type="dxa"/>
            <w:vAlign w:val="center"/>
          </w:tcPr>
          <w:p w14:paraId="4255F8A2" w14:textId="01DF158B" w:rsidR="5B8DEEB6" w:rsidRDefault="5B8DEEB6" w:rsidP="05D90CDB">
            <w:pPr>
              <w:spacing w:line="360" w:lineRule="auto"/>
              <w:jc w:val="center"/>
              <w:rPr>
                <w:rFonts w:eastAsiaTheme="minorEastAsia"/>
                <w:sz w:val="20"/>
                <w:szCs w:val="20"/>
              </w:rPr>
            </w:pPr>
            <w:r w:rsidRPr="05D90CDB">
              <w:rPr>
                <w:rFonts w:eastAsiaTheme="minorEastAsia"/>
                <w:sz w:val="20"/>
                <w:szCs w:val="20"/>
              </w:rPr>
              <w:t>0.0243</w:t>
            </w:r>
          </w:p>
        </w:tc>
      </w:tr>
      <w:tr w:rsidR="009604BF" w14:paraId="7950B4E4" w14:textId="77777777" w:rsidTr="55869305">
        <w:trPr>
          <w:trHeight w:val="15"/>
        </w:trPr>
        <w:tc>
          <w:tcPr>
            <w:tcW w:w="5023" w:type="dxa"/>
            <w:vAlign w:val="bottom"/>
          </w:tcPr>
          <w:p w14:paraId="5EC76083"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Number of comorbidities</w:t>
            </w:r>
          </w:p>
        </w:tc>
        <w:tc>
          <w:tcPr>
            <w:tcW w:w="2029" w:type="dxa"/>
            <w:vAlign w:val="center"/>
          </w:tcPr>
          <w:p w14:paraId="21CE7249"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1.07 (0.91, 1.26)</w:t>
            </w:r>
          </w:p>
        </w:tc>
        <w:tc>
          <w:tcPr>
            <w:tcW w:w="1357" w:type="dxa"/>
            <w:vAlign w:val="center"/>
          </w:tcPr>
          <w:p w14:paraId="08031531"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0.435</w:t>
            </w:r>
          </w:p>
        </w:tc>
        <w:tc>
          <w:tcPr>
            <w:tcW w:w="1357" w:type="dxa"/>
            <w:vAlign w:val="center"/>
          </w:tcPr>
          <w:p w14:paraId="60222CB0" w14:textId="629B3526" w:rsidR="0BB331A7" w:rsidRDefault="0BB331A7" w:rsidP="05D90CDB">
            <w:pPr>
              <w:spacing w:line="360" w:lineRule="auto"/>
              <w:jc w:val="center"/>
              <w:rPr>
                <w:rFonts w:eastAsiaTheme="minorEastAsia"/>
                <w:sz w:val="20"/>
                <w:szCs w:val="20"/>
              </w:rPr>
            </w:pPr>
            <w:r w:rsidRPr="05D90CDB">
              <w:rPr>
                <w:rFonts w:eastAsiaTheme="minorEastAsia"/>
                <w:sz w:val="20"/>
                <w:szCs w:val="20"/>
              </w:rPr>
              <w:t>0.0085</w:t>
            </w:r>
          </w:p>
        </w:tc>
      </w:tr>
      <w:tr w:rsidR="009604BF" w14:paraId="5D68AEFD" w14:textId="77777777" w:rsidTr="55869305">
        <w:trPr>
          <w:trHeight w:val="15"/>
        </w:trPr>
        <w:tc>
          <w:tcPr>
            <w:tcW w:w="5023" w:type="dxa"/>
            <w:vAlign w:val="bottom"/>
          </w:tcPr>
          <w:p w14:paraId="28388298" w14:textId="77777777" w:rsidR="009604BF" w:rsidRDefault="009604BF" w:rsidP="55869305">
            <w:pPr>
              <w:spacing w:line="360" w:lineRule="auto"/>
              <w:contextualSpacing/>
              <w:rPr>
                <w:rFonts w:eastAsiaTheme="minorEastAsia"/>
                <w:color w:val="000000" w:themeColor="text1"/>
                <w:sz w:val="20"/>
                <w:szCs w:val="20"/>
              </w:rPr>
            </w:pPr>
            <w:r w:rsidRPr="55869305">
              <w:rPr>
                <w:rFonts w:eastAsiaTheme="minorEastAsia"/>
                <w:color w:val="000000" w:themeColor="text1"/>
                <w:sz w:val="20"/>
                <w:szCs w:val="20"/>
              </w:rPr>
              <w:t>SARC-F score</w:t>
            </w:r>
          </w:p>
        </w:tc>
        <w:tc>
          <w:tcPr>
            <w:tcW w:w="2029" w:type="dxa"/>
            <w:vAlign w:val="center"/>
          </w:tcPr>
          <w:p w14:paraId="1AF6CD20" w14:textId="77777777" w:rsidR="009604BF" w:rsidRDefault="009604BF" w:rsidP="55869305">
            <w:pPr>
              <w:spacing w:line="360" w:lineRule="auto"/>
              <w:contextualSpacing/>
              <w:jc w:val="center"/>
              <w:rPr>
                <w:rFonts w:eastAsiaTheme="minorEastAsia"/>
                <w:sz w:val="20"/>
                <w:szCs w:val="20"/>
              </w:rPr>
            </w:pPr>
            <w:r w:rsidRPr="55869305">
              <w:rPr>
                <w:rFonts w:eastAsiaTheme="minorEastAsia"/>
                <w:sz w:val="20"/>
                <w:szCs w:val="20"/>
              </w:rPr>
              <w:t>1.19 (1.04, 1.36)</w:t>
            </w:r>
          </w:p>
        </w:tc>
        <w:tc>
          <w:tcPr>
            <w:tcW w:w="1357" w:type="dxa"/>
            <w:vAlign w:val="center"/>
          </w:tcPr>
          <w:p w14:paraId="0927F82E" w14:textId="77777777" w:rsidR="009604BF" w:rsidRDefault="009604BF" w:rsidP="55869305">
            <w:pPr>
              <w:spacing w:line="360" w:lineRule="auto"/>
              <w:contextualSpacing/>
              <w:jc w:val="center"/>
              <w:rPr>
                <w:rFonts w:eastAsiaTheme="minorEastAsia"/>
                <w:sz w:val="20"/>
                <w:szCs w:val="20"/>
              </w:rPr>
            </w:pPr>
            <w:r w:rsidRPr="55869305">
              <w:rPr>
                <w:rFonts w:eastAsiaTheme="minorEastAsia"/>
                <w:sz w:val="20"/>
                <w:szCs w:val="20"/>
              </w:rPr>
              <w:t>0.013</w:t>
            </w:r>
          </w:p>
        </w:tc>
        <w:tc>
          <w:tcPr>
            <w:tcW w:w="1357" w:type="dxa"/>
            <w:vAlign w:val="center"/>
          </w:tcPr>
          <w:p w14:paraId="2162E20B" w14:textId="12C82170" w:rsidR="6DA97BEF" w:rsidRDefault="6DA97BEF" w:rsidP="05D90CDB">
            <w:pPr>
              <w:spacing w:line="360" w:lineRule="auto"/>
              <w:jc w:val="center"/>
              <w:rPr>
                <w:rFonts w:eastAsiaTheme="minorEastAsia"/>
                <w:sz w:val="20"/>
                <w:szCs w:val="20"/>
              </w:rPr>
            </w:pPr>
            <w:r w:rsidRPr="55869305">
              <w:rPr>
                <w:rFonts w:eastAsiaTheme="minorEastAsia"/>
                <w:sz w:val="20"/>
                <w:szCs w:val="20"/>
              </w:rPr>
              <w:t>0.0200</w:t>
            </w:r>
          </w:p>
        </w:tc>
      </w:tr>
      <w:tr w:rsidR="009604BF" w14:paraId="35A1FFFB" w14:textId="77777777" w:rsidTr="55869305">
        <w:trPr>
          <w:trHeight w:val="15"/>
        </w:trPr>
        <w:tc>
          <w:tcPr>
            <w:tcW w:w="5023" w:type="dxa"/>
            <w:vAlign w:val="bottom"/>
          </w:tcPr>
          <w:p w14:paraId="140DF52E"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Lost more than 10 pounds unintentionally in past year</w:t>
            </w:r>
          </w:p>
        </w:tc>
        <w:tc>
          <w:tcPr>
            <w:tcW w:w="2029" w:type="dxa"/>
            <w:vAlign w:val="center"/>
          </w:tcPr>
          <w:p w14:paraId="7683B44F"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1.44 (0.55, 3.76)</w:t>
            </w:r>
          </w:p>
        </w:tc>
        <w:tc>
          <w:tcPr>
            <w:tcW w:w="1357" w:type="dxa"/>
            <w:vAlign w:val="center"/>
          </w:tcPr>
          <w:p w14:paraId="35A9294B"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0.458</w:t>
            </w:r>
          </w:p>
        </w:tc>
        <w:tc>
          <w:tcPr>
            <w:tcW w:w="1357" w:type="dxa"/>
            <w:vAlign w:val="center"/>
          </w:tcPr>
          <w:p w14:paraId="4953FCFB" w14:textId="744B42F9" w:rsidR="1FE29297" w:rsidRDefault="1FE29297" w:rsidP="05D90CDB">
            <w:pPr>
              <w:spacing w:line="360" w:lineRule="auto"/>
              <w:jc w:val="center"/>
              <w:rPr>
                <w:rFonts w:eastAsiaTheme="minorEastAsia"/>
                <w:sz w:val="20"/>
                <w:szCs w:val="20"/>
              </w:rPr>
            </w:pPr>
            <w:r w:rsidRPr="05D90CDB">
              <w:rPr>
                <w:rFonts w:eastAsiaTheme="minorEastAsia"/>
                <w:sz w:val="20"/>
                <w:szCs w:val="20"/>
              </w:rPr>
              <w:t>0.0090</w:t>
            </w:r>
          </w:p>
        </w:tc>
      </w:tr>
      <w:tr w:rsidR="009604BF" w14:paraId="0C6BB5DA" w14:textId="77777777" w:rsidTr="55869305">
        <w:trPr>
          <w:trHeight w:val="15"/>
        </w:trPr>
        <w:tc>
          <w:tcPr>
            <w:tcW w:w="5023" w:type="dxa"/>
            <w:tcBorders>
              <w:left w:val="nil"/>
              <w:bottom w:val="single" w:sz="8" w:space="0" w:color="auto"/>
              <w:right w:val="nil"/>
            </w:tcBorders>
            <w:vAlign w:val="bottom"/>
          </w:tcPr>
          <w:p w14:paraId="22E622F1"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Self-reported exhaustion in past week (≥3 days vs &lt;3 days)</w:t>
            </w:r>
          </w:p>
        </w:tc>
        <w:tc>
          <w:tcPr>
            <w:tcW w:w="2029" w:type="dxa"/>
            <w:tcBorders>
              <w:left w:val="nil"/>
              <w:bottom w:val="single" w:sz="8" w:space="0" w:color="auto"/>
              <w:right w:val="nil"/>
            </w:tcBorders>
            <w:vAlign w:val="center"/>
          </w:tcPr>
          <w:p w14:paraId="71D73A76"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2.76 (1.47, 5.18)</w:t>
            </w:r>
          </w:p>
        </w:tc>
        <w:tc>
          <w:tcPr>
            <w:tcW w:w="1357" w:type="dxa"/>
            <w:tcBorders>
              <w:left w:val="nil"/>
              <w:bottom w:val="single" w:sz="8" w:space="0" w:color="auto"/>
              <w:right w:val="nil"/>
            </w:tcBorders>
            <w:vAlign w:val="center"/>
          </w:tcPr>
          <w:p w14:paraId="68EAA292" w14:textId="77777777" w:rsidR="009604BF" w:rsidRDefault="009604BF" w:rsidP="00FF27D2">
            <w:pPr>
              <w:spacing w:line="360" w:lineRule="auto"/>
              <w:contextualSpacing/>
              <w:jc w:val="center"/>
              <w:rPr>
                <w:rFonts w:eastAsiaTheme="minorEastAsia"/>
                <w:sz w:val="20"/>
                <w:szCs w:val="20"/>
              </w:rPr>
            </w:pPr>
            <w:r w:rsidRPr="1FEE1B07">
              <w:rPr>
                <w:rFonts w:eastAsiaTheme="minorEastAsia"/>
                <w:sz w:val="20"/>
                <w:szCs w:val="20"/>
              </w:rPr>
              <w:t>0.002</w:t>
            </w:r>
          </w:p>
        </w:tc>
        <w:tc>
          <w:tcPr>
            <w:tcW w:w="1357" w:type="dxa"/>
            <w:tcBorders>
              <w:left w:val="nil"/>
              <w:bottom w:val="single" w:sz="8" w:space="0" w:color="auto"/>
              <w:right w:val="nil"/>
            </w:tcBorders>
            <w:vAlign w:val="center"/>
          </w:tcPr>
          <w:p w14:paraId="3923B8CA" w14:textId="197B5C21" w:rsidR="032AA651" w:rsidRDefault="032AA651" w:rsidP="05D90CDB">
            <w:pPr>
              <w:spacing w:line="360" w:lineRule="auto"/>
              <w:jc w:val="center"/>
              <w:rPr>
                <w:rFonts w:eastAsiaTheme="minorEastAsia"/>
                <w:sz w:val="20"/>
                <w:szCs w:val="20"/>
              </w:rPr>
            </w:pPr>
            <w:r w:rsidRPr="05D90CDB">
              <w:rPr>
                <w:rFonts w:eastAsiaTheme="minorEastAsia"/>
                <w:sz w:val="20"/>
                <w:szCs w:val="20"/>
              </w:rPr>
              <w:t>0.0290</w:t>
            </w:r>
          </w:p>
        </w:tc>
      </w:tr>
      <w:tr w:rsidR="009604BF" w14:paraId="0D33C537" w14:textId="77777777" w:rsidTr="55869305">
        <w:trPr>
          <w:trHeight w:val="15"/>
        </w:trPr>
        <w:tc>
          <w:tcPr>
            <w:tcW w:w="7052" w:type="dxa"/>
            <w:gridSpan w:val="2"/>
            <w:vAlign w:val="bottom"/>
          </w:tcPr>
          <w:p w14:paraId="1B2C1482" w14:textId="77777777" w:rsidR="009604BF" w:rsidRDefault="009604BF" w:rsidP="00FF27D2">
            <w:pPr>
              <w:spacing w:line="360" w:lineRule="auto"/>
              <w:contextualSpacing/>
              <w:rPr>
                <w:rFonts w:eastAsiaTheme="minorEastAsia"/>
                <w:color w:val="000000" w:themeColor="text1"/>
                <w:sz w:val="20"/>
                <w:szCs w:val="20"/>
              </w:rPr>
            </w:pPr>
            <w:r w:rsidRPr="1FEE1B07">
              <w:rPr>
                <w:rFonts w:eastAsiaTheme="minorEastAsia"/>
                <w:color w:val="000000" w:themeColor="text1"/>
                <w:sz w:val="20"/>
                <w:szCs w:val="20"/>
              </w:rPr>
              <w:t>Odds ratios were estimated using sex-adjusted ordinal logistic regression models</w:t>
            </w:r>
          </w:p>
        </w:tc>
        <w:tc>
          <w:tcPr>
            <w:tcW w:w="1357" w:type="dxa"/>
            <w:vAlign w:val="bottom"/>
          </w:tcPr>
          <w:p w14:paraId="051B8E6E" w14:textId="77777777" w:rsidR="009604BF" w:rsidRDefault="009604BF" w:rsidP="00FF27D2">
            <w:pPr>
              <w:spacing w:line="360" w:lineRule="auto"/>
              <w:contextualSpacing/>
              <w:rPr>
                <w:rFonts w:eastAsiaTheme="minorEastAsia"/>
                <w:color w:val="000000" w:themeColor="text1"/>
                <w:sz w:val="20"/>
                <w:szCs w:val="20"/>
              </w:rPr>
            </w:pPr>
          </w:p>
        </w:tc>
        <w:tc>
          <w:tcPr>
            <w:tcW w:w="1357" w:type="dxa"/>
            <w:vAlign w:val="bottom"/>
          </w:tcPr>
          <w:p w14:paraId="6110AE4D" w14:textId="032FF71F" w:rsidR="05D90CDB" w:rsidRDefault="05D90CDB" w:rsidP="05D90CDB">
            <w:pPr>
              <w:spacing w:line="360" w:lineRule="auto"/>
              <w:rPr>
                <w:rFonts w:eastAsiaTheme="minorEastAsia"/>
                <w:color w:val="000000" w:themeColor="text1"/>
                <w:sz w:val="20"/>
                <w:szCs w:val="20"/>
              </w:rPr>
            </w:pPr>
          </w:p>
        </w:tc>
      </w:tr>
    </w:tbl>
    <w:p w14:paraId="16218BC0" w14:textId="77777777" w:rsidR="009604BF" w:rsidRDefault="009604BF" w:rsidP="009604BF"/>
    <w:p w14:paraId="49C15CB0" w14:textId="77777777" w:rsidR="009604BF" w:rsidRPr="00974698" w:rsidRDefault="009604BF" w:rsidP="00974698"/>
    <w:p w14:paraId="38588732" w14:textId="42B2A735" w:rsidR="60E0DABE" w:rsidRDefault="60E0DABE" w:rsidP="60E0DABE"/>
    <w:p w14:paraId="47A917D8" w14:textId="736FCD95" w:rsidR="60E0DABE" w:rsidRDefault="60E0DABE" w:rsidP="60E0DABE"/>
    <w:p w14:paraId="702F2622" w14:textId="17115AD8" w:rsidR="60E0DABE" w:rsidRDefault="60E0DABE" w:rsidP="60E0DABE"/>
    <w:p w14:paraId="1313B8D7" w14:textId="3E7D3DF0" w:rsidR="60E0DABE" w:rsidRDefault="60E0DABE" w:rsidP="60E0DABE"/>
    <w:tbl>
      <w:tblPr>
        <w:tblStyle w:val="TableGrid"/>
        <w:tblW w:w="0" w:type="auto"/>
        <w:tblLayout w:type="fixed"/>
        <w:tblLook w:val="06A0" w:firstRow="1" w:lastRow="0" w:firstColumn="1" w:lastColumn="0" w:noHBand="1" w:noVBand="1"/>
      </w:tblPr>
      <w:tblGrid>
        <w:gridCol w:w="1628"/>
        <w:gridCol w:w="1628"/>
        <w:gridCol w:w="1628"/>
        <w:gridCol w:w="1628"/>
        <w:gridCol w:w="1628"/>
        <w:gridCol w:w="1628"/>
      </w:tblGrid>
      <w:tr w:rsidR="60E0DABE" w14:paraId="124AAA28" w14:textId="77777777" w:rsidTr="60E0DABE">
        <w:trPr>
          <w:trHeight w:val="570"/>
        </w:trPr>
        <w:tc>
          <w:tcPr>
            <w:tcW w:w="9768" w:type="dxa"/>
            <w:gridSpan w:val="6"/>
            <w:vMerge w:val="restart"/>
            <w:tcBorders>
              <w:top w:val="nil"/>
              <w:left w:val="nil"/>
              <w:bottom w:val="nil"/>
              <w:right w:val="nil"/>
            </w:tcBorders>
            <w:vAlign w:val="center"/>
          </w:tcPr>
          <w:p w14:paraId="53102FA7" w14:textId="7D3F5438" w:rsidR="60E0DABE" w:rsidRDefault="60E0DABE" w:rsidP="60E0DABE">
            <w:r w:rsidRPr="60E0DABE">
              <w:rPr>
                <w:rFonts w:eastAsia="Times New Roman" w:cs="Times New Roman"/>
                <w:b/>
                <w:bCs/>
                <w:color w:val="000000" w:themeColor="text1"/>
                <w:sz w:val="22"/>
              </w:rPr>
              <w:t>Table 4: Cross tabulations of declines in diet quality and physical activity since before the first UK lockdown among men and women</w:t>
            </w:r>
          </w:p>
        </w:tc>
      </w:tr>
      <w:tr w:rsidR="60E0DABE" w14:paraId="3D76E383" w14:textId="77777777" w:rsidTr="60E0DABE">
        <w:trPr>
          <w:trHeight w:val="636"/>
        </w:trPr>
        <w:tc>
          <w:tcPr>
            <w:tcW w:w="9768" w:type="dxa"/>
            <w:gridSpan w:val="6"/>
            <w:vMerge/>
            <w:tcBorders>
              <w:left w:val="nil"/>
            </w:tcBorders>
            <w:vAlign w:val="center"/>
          </w:tcPr>
          <w:p w14:paraId="5CB8E5A3" w14:textId="77777777" w:rsidR="00F64F8F" w:rsidRDefault="00F64F8F"/>
        </w:tc>
      </w:tr>
      <w:tr w:rsidR="60E0DABE" w14:paraId="481D64CE" w14:textId="77777777" w:rsidTr="60E0DABE">
        <w:trPr>
          <w:trHeight w:val="285"/>
        </w:trPr>
        <w:tc>
          <w:tcPr>
            <w:tcW w:w="1628" w:type="dxa"/>
            <w:tcBorders>
              <w:top w:val="nil"/>
              <w:left w:val="nil"/>
              <w:bottom w:val="nil"/>
              <w:right w:val="nil"/>
            </w:tcBorders>
            <w:vAlign w:val="bottom"/>
          </w:tcPr>
          <w:p w14:paraId="0D02F94B" w14:textId="3AFB80D0" w:rsidR="60E0DABE" w:rsidRDefault="60E0DABE"/>
        </w:tc>
        <w:tc>
          <w:tcPr>
            <w:tcW w:w="1628" w:type="dxa"/>
            <w:tcBorders>
              <w:top w:val="nil"/>
              <w:left w:val="nil"/>
              <w:bottom w:val="nil"/>
              <w:right w:val="nil"/>
            </w:tcBorders>
            <w:vAlign w:val="bottom"/>
          </w:tcPr>
          <w:p w14:paraId="6B3F0002" w14:textId="29E5AF25" w:rsidR="60E0DABE" w:rsidRDefault="60E0DABE"/>
        </w:tc>
        <w:tc>
          <w:tcPr>
            <w:tcW w:w="1628" w:type="dxa"/>
            <w:tcBorders>
              <w:top w:val="nil"/>
              <w:left w:val="nil"/>
              <w:bottom w:val="nil"/>
              <w:right w:val="nil"/>
            </w:tcBorders>
            <w:vAlign w:val="bottom"/>
          </w:tcPr>
          <w:p w14:paraId="6AA4A618" w14:textId="4F3B0836" w:rsidR="60E0DABE" w:rsidRDefault="60E0DABE"/>
        </w:tc>
        <w:tc>
          <w:tcPr>
            <w:tcW w:w="1628" w:type="dxa"/>
            <w:tcBorders>
              <w:top w:val="nil"/>
              <w:left w:val="nil"/>
              <w:bottom w:val="nil"/>
              <w:right w:val="nil"/>
            </w:tcBorders>
            <w:vAlign w:val="bottom"/>
          </w:tcPr>
          <w:p w14:paraId="2BBF05B8" w14:textId="4A20C8BE" w:rsidR="60E0DABE" w:rsidRDefault="60E0DABE"/>
        </w:tc>
        <w:tc>
          <w:tcPr>
            <w:tcW w:w="1628" w:type="dxa"/>
            <w:tcBorders>
              <w:top w:val="nil"/>
              <w:left w:val="nil"/>
              <w:bottom w:val="nil"/>
              <w:right w:val="nil"/>
            </w:tcBorders>
            <w:vAlign w:val="bottom"/>
          </w:tcPr>
          <w:p w14:paraId="354C6EE1" w14:textId="767F9999" w:rsidR="60E0DABE" w:rsidRDefault="60E0DABE"/>
        </w:tc>
        <w:tc>
          <w:tcPr>
            <w:tcW w:w="1628" w:type="dxa"/>
            <w:tcBorders>
              <w:top w:val="nil"/>
              <w:left w:val="nil"/>
              <w:bottom w:val="nil"/>
              <w:right w:val="nil"/>
            </w:tcBorders>
            <w:vAlign w:val="bottom"/>
          </w:tcPr>
          <w:p w14:paraId="7F4876F5" w14:textId="2EDE0045" w:rsidR="60E0DABE" w:rsidRDefault="60E0DABE"/>
        </w:tc>
      </w:tr>
      <w:tr w:rsidR="60E0DABE" w14:paraId="52F3234F" w14:textId="77777777" w:rsidTr="60E0DABE">
        <w:trPr>
          <w:trHeight w:val="285"/>
        </w:trPr>
        <w:tc>
          <w:tcPr>
            <w:tcW w:w="1628" w:type="dxa"/>
            <w:tcBorders>
              <w:top w:val="single" w:sz="4" w:space="0" w:color="auto"/>
              <w:left w:val="nil"/>
              <w:bottom w:val="nil"/>
              <w:right w:val="nil"/>
            </w:tcBorders>
            <w:vAlign w:val="bottom"/>
          </w:tcPr>
          <w:p w14:paraId="61EDE739" w14:textId="14DA311F" w:rsidR="60E0DABE" w:rsidRDefault="60E0DABE">
            <w:r w:rsidRPr="60E0DABE">
              <w:rPr>
                <w:rFonts w:eastAsia="Times New Roman" w:cs="Times New Roman"/>
                <w:color w:val="000000" w:themeColor="text1"/>
                <w:sz w:val="22"/>
              </w:rPr>
              <w:t xml:space="preserve"> </w:t>
            </w:r>
          </w:p>
        </w:tc>
        <w:tc>
          <w:tcPr>
            <w:tcW w:w="1628" w:type="dxa"/>
            <w:tcBorders>
              <w:top w:val="single" w:sz="4" w:space="0" w:color="auto"/>
              <w:left w:val="nil"/>
              <w:bottom w:val="nil"/>
              <w:right w:val="nil"/>
            </w:tcBorders>
            <w:vAlign w:val="bottom"/>
          </w:tcPr>
          <w:p w14:paraId="1789DCAF" w14:textId="16FD9678" w:rsidR="60E0DABE" w:rsidRDefault="60E0DABE">
            <w:r w:rsidRPr="60E0DABE">
              <w:rPr>
                <w:rFonts w:eastAsia="Times New Roman" w:cs="Times New Roman"/>
                <w:color w:val="000000" w:themeColor="text1"/>
                <w:sz w:val="22"/>
              </w:rPr>
              <w:t xml:space="preserve"> </w:t>
            </w:r>
          </w:p>
        </w:tc>
        <w:tc>
          <w:tcPr>
            <w:tcW w:w="1628" w:type="dxa"/>
            <w:tcBorders>
              <w:top w:val="single" w:sz="4" w:space="0" w:color="auto"/>
              <w:left w:val="nil"/>
              <w:bottom w:val="nil"/>
              <w:right w:val="nil"/>
            </w:tcBorders>
            <w:vAlign w:val="bottom"/>
          </w:tcPr>
          <w:p w14:paraId="2FE97E14" w14:textId="2C749D7E" w:rsidR="60E0DABE" w:rsidRDefault="60E0DABE">
            <w:r w:rsidRPr="60E0DABE">
              <w:rPr>
                <w:rFonts w:eastAsia="Times New Roman" w:cs="Times New Roman"/>
                <w:color w:val="000000" w:themeColor="text1"/>
                <w:sz w:val="22"/>
              </w:rPr>
              <w:t xml:space="preserve"> </w:t>
            </w:r>
          </w:p>
        </w:tc>
        <w:tc>
          <w:tcPr>
            <w:tcW w:w="3256" w:type="dxa"/>
            <w:gridSpan w:val="2"/>
            <w:tcBorders>
              <w:top w:val="single" w:sz="4" w:space="0" w:color="auto"/>
              <w:left w:val="nil"/>
              <w:bottom w:val="single" w:sz="4" w:space="0" w:color="auto"/>
              <w:right w:val="nil"/>
            </w:tcBorders>
            <w:vAlign w:val="center"/>
          </w:tcPr>
          <w:p w14:paraId="717CBA07" w14:textId="7343600B" w:rsidR="60E0DABE" w:rsidRDefault="60E0DABE" w:rsidP="00B820EE">
            <w:pPr>
              <w:jc w:val="center"/>
              <w:rPr>
                <w:rFonts w:eastAsia="Times New Roman" w:cs="Times New Roman"/>
                <w:b/>
                <w:bCs/>
                <w:color w:val="000000" w:themeColor="text1"/>
                <w:sz w:val="22"/>
              </w:rPr>
            </w:pPr>
            <w:r w:rsidRPr="60E0DABE">
              <w:rPr>
                <w:rFonts w:eastAsia="Times New Roman" w:cs="Times New Roman"/>
                <w:b/>
                <w:bCs/>
                <w:color w:val="000000" w:themeColor="text1"/>
                <w:sz w:val="22"/>
              </w:rPr>
              <w:t>Decline in physical activity</w:t>
            </w:r>
          </w:p>
        </w:tc>
        <w:tc>
          <w:tcPr>
            <w:tcW w:w="1628" w:type="dxa"/>
            <w:tcBorders>
              <w:top w:val="single" w:sz="4" w:space="0" w:color="auto"/>
              <w:left w:val="nil"/>
              <w:bottom w:val="nil"/>
              <w:right w:val="nil"/>
            </w:tcBorders>
            <w:vAlign w:val="bottom"/>
          </w:tcPr>
          <w:p w14:paraId="5A606FCC" w14:textId="5CED0AAD" w:rsidR="60E0DABE" w:rsidRDefault="60E0DABE">
            <w:r w:rsidRPr="60E0DABE">
              <w:rPr>
                <w:rFonts w:eastAsia="Times New Roman" w:cs="Times New Roman"/>
                <w:b/>
                <w:bCs/>
                <w:color w:val="000000" w:themeColor="text1"/>
                <w:sz w:val="22"/>
              </w:rPr>
              <w:t xml:space="preserve"> </w:t>
            </w:r>
          </w:p>
        </w:tc>
      </w:tr>
      <w:tr w:rsidR="60E0DABE" w14:paraId="2D30D270" w14:textId="77777777" w:rsidTr="60E0DABE">
        <w:trPr>
          <w:trHeight w:val="285"/>
        </w:trPr>
        <w:tc>
          <w:tcPr>
            <w:tcW w:w="1628" w:type="dxa"/>
            <w:tcBorders>
              <w:top w:val="nil"/>
              <w:left w:val="nil"/>
              <w:bottom w:val="single" w:sz="4" w:space="0" w:color="auto"/>
              <w:right w:val="nil"/>
            </w:tcBorders>
            <w:vAlign w:val="bottom"/>
          </w:tcPr>
          <w:p w14:paraId="5FD0D829" w14:textId="731E3B96" w:rsidR="60E0DABE" w:rsidRDefault="60E0DABE">
            <w:r w:rsidRPr="60E0DABE">
              <w:rPr>
                <w:rFonts w:eastAsia="Times New Roman" w:cs="Times New Roman"/>
                <w:color w:val="000000" w:themeColor="text1"/>
                <w:sz w:val="22"/>
              </w:rPr>
              <w:t xml:space="preserve"> </w:t>
            </w:r>
          </w:p>
        </w:tc>
        <w:tc>
          <w:tcPr>
            <w:tcW w:w="1628" w:type="dxa"/>
            <w:tcBorders>
              <w:top w:val="nil"/>
              <w:left w:val="nil"/>
              <w:bottom w:val="single" w:sz="4" w:space="0" w:color="auto"/>
              <w:right w:val="nil"/>
            </w:tcBorders>
            <w:vAlign w:val="bottom"/>
          </w:tcPr>
          <w:p w14:paraId="235314E1" w14:textId="7A79B2D8" w:rsidR="60E0DABE" w:rsidRDefault="60E0DABE">
            <w:r w:rsidRPr="60E0DABE">
              <w:rPr>
                <w:rFonts w:eastAsia="Times New Roman" w:cs="Times New Roman"/>
                <w:color w:val="000000" w:themeColor="text1"/>
                <w:sz w:val="22"/>
              </w:rPr>
              <w:t xml:space="preserve"> </w:t>
            </w:r>
          </w:p>
        </w:tc>
        <w:tc>
          <w:tcPr>
            <w:tcW w:w="1628" w:type="dxa"/>
            <w:tcBorders>
              <w:top w:val="nil"/>
              <w:left w:val="nil"/>
              <w:bottom w:val="single" w:sz="4" w:space="0" w:color="auto"/>
              <w:right w:val="nil"/>
            </w:tcBorders>
            <w:vAlign w:val="bottom"/>
          </w:tcPr>
          <w:p w14:paraId="66D2D700" w14:textId="52822191" w:rsidR="60E0DABE" w:rsidRDefault="60E0DABE">
            <w:r w:rsidRPr="60E0DABE">
              <w:rPr>
                <w:rFonts w:eastAsia="Times New Roman" w:cs="Times New Roman"/>
                <w:color w:val="000000" w:themeColor="text1"/>
                <w:sz w:val="22"/>
              </w:rPr>
              <w:t xml:space="preserve"> </w:t>
            </w:r>
          </w:p>
        </w:tc>
        <w:tc>
          <w:tcPr>
            <w:tcW w:w="1628" w:type="dxa"/>
            <w:tcBorders>
              <w:top w:val="single" w:sz="4" w:space="0" w:color="auto"/>
              <w:left w:val="nil"/>
              <w:bottom w:val="single" w:sz="4" w:space="0" w:color="auto"/>
              <w:right w:val="nil"/>
            </w:tcBorders>
            <w:vAlign w:val="bottom"/>
          </w:tcPr>
          <w:p w14:paraId="187EF515" w14:textId="191A21EF" w:rsidR="60E0DABE" w:rsidRDefault="60E0DABE" w:rsidP="60E0DABE">
            <w:r w:rsidRPr="60E0DABE">
              <w:rPr>
                <w:rFonts w:eastAsia="Times New Roman" w:cs="Times New Roman"/>
                <w:b/>
                <w:bCs/>
                <w:color w:val="000000" w:themeColor="text1"/>
                <w:sz w:val="22"/>
              </w:rPr>
              <w:t>No</w:t>
            </w:r>
          </w:p>
        </w:tc>
        <w:tc>
          <w:tcPr>
            <w:tcW w:w="1628" w:type="dxa"/>
            <w:tcBorders>
              <w:top w:val="nil"/>
              <w:left w:val="nil"/>
              <w:bottom w:val="single" w:sz="4" w:space="0" w:color="auto"/>
              <w:right w:val="nil"/>
            </w:tcBorders>
            <w:vAlign w:val="bottom"/>
          </w:tcPr>
          <w:p w14:paraId="59EDD86C" w14:textId="2AA1C8AD" w:rsidR="60E0DABE" w:rsidRDefault="60E0DABE" w:rsidP="60E0DABE">
            <w:r w:rsidRPr="60E0DABE">
              <w:rPr>
                <w:rFonts w:eastAsia="Times New Roman" w:cs="Times New Roman"/>
                <w:b/>
                <w:bCs/>
                <w:color w:val="000000" w:themeColor="text1"/>
                <w:sz w:val="22"/>
              </w:rPr>
              <w:t>Yes</w:t>
            </w:r>
          </w:p>
        </w:tc>
        <w:tc>
          <w:tcPr>
            <w:tcW w:w="1628" w:type="dxa"/>
            <w:tcBorders>
              <w:top w:val="nil"/>
              <w:left w:val="nil"/>
              <w:bottom w:val="single" w:sz="4" w:space="0" w:color="auto"/>
              <w:right w:val="nil"/>
            </w:tcBorders>
            <w:vAlign w:val="bottom"/>
          </w:tcPr>
          <w:p w14:paraId="22E9DE47" w14:textId="25089AC5" w:rsidR="60E0DABE" w:rsidRDefault="60E0DABE" w:rsidP="60E0DABE">
            <w:r w:rsidRPr="60E0DABE">
              <w:rPr>
                <w:rFonts w:eastAsia="Times New Roman" w:cs="Times New Roman"/>
                <w:b/>
                <w:bCs/>
                <w:color w:val="000000" w:themeColor="text1"/>
                <w:sz w:val="22"/>
              </w:rPr>
              <w:t>Total</w:t>
            </w:r>
          </w:p>
        </w:tc>
      </w:tr>
      <w:tr w:rsidR="60E0DABE" w14:paraId="6C7A2027" w14:textId="77777777" w:rsidTr="60E0DABE">
        <w:trPr>
          <w:trHeight w:val="285"/>
        </w:trPr>
        <w:tc>
          <w:tcPr>
            <w:tcW w:w="1628" w:type="dxa"/>
            <w:tcBorders>
              <w:top w:val="single" w:sz="4" w:space="0" w:color="auto"/>
              <w:left w:val="nil"/>
              <w:bottom w:val="nil"/>
              <w:right w:val="nil"/>
            </w:tcBorders>
            <w:vAlign w:val="bottom"/>
          </w:tcPr>
          <w:p w14:paraId="48E800D3" w14:textId="2C460178" w:rsidR="60E0DABE" w:rsidRDefault="60E0DABE"/>
        </w:tc>
        <w:tc>
          <w:tcPr>
            <w:tcW w:w="1628" w:type="dxa"/>
            <w:tcBorders>
              <w:top w:val="single" w:sz="4" w:space="0" w:color="auto"/>
              <w:left w:val="nil"/>
              <w:bottom w:val="nil"/>
              <w:right w:val="nil"/>
            </w:tcBorders>
            <w:vAlign w:val="bottom"/>
          </w:tcPr>
          <w:p w14:paraId="7329D91A" w14:textId="7FC3B7BD" w:rsidR="60E0DABE" w:rsidRDefault="60E0DABE"/>
        </w:tc>
        <w:tc>
          <w:tcPr>
            <w:tcW w:w="1628" w:type="dxa"/>
            <w:tcBorders>
              <w:top w:val="single" w:sz="4" w:space="0" w:color="auto"/>
              <w:left w:val="nil"/>
              <w:bottom w:val="nil"/>
              <w:right w:val="nil"/>
            </w:tcBorders>
            <w:vAlign w:val="bottom"/>
          </w:tcPr>
          <w:p w14:paraId="339185B2" w14:textId="04EBC445" w:rsidR="60E0DABE" w:rsidRDefault="60E0DABE"/>
        </w:tc>
        <w:tc>
          <w:tcPr>
            <w:tcW w:w="1628" w:type="dxa"/>
            <w:tcBorders>
              <w:top w:val="single" w:sz="4" w:space="0" w:color="auto"/>
              <w:left w:val="nil"/>
              <w:bottom w:val="nil"/>
              <w:right w:val="nil"/>
            </w:tcBorders>
            <w:vAlign w:val="bottom"/>
          </w:tcPr>
          <w:p w14:paraId="21F66AAF" w14:textId="164D758C" w:rsidR="60E0DABE" w:rsidRDefault="60E0DABE"/>
        </w:tc>
        <w:tc>
          <w:tcPr>
            <w:tcW w:w="1628" w:type="dxa"/>
            <w:tcBorders>
              <w:top w:val="single" w:sz="4" w:space="0" w:color="auto"/>
              <w:left w:val="nil"/>
              <w:bottom w:val="nil"/>
              <w:right w:val="nil"/>
            </w:tcBorders>
            <w:vAlign w:val="bottom"/>
          </w:tcPr>
          <w:p w14:paraId="20D5814C" w14:textId="1A0AE755" w:rsidR="60E0DABE" w:rsidRDefault="60E0DABE"/>
        </w:tc>
        <w:tc>
          <w:tcPr>
            <w:tcW w:w="1628" w:type="dxa"/>
            <w:tcBorders>
              <w:top w:val="single" w:sz="4" w:space="0" w:color="auto"/>
              <w:left w:val="nil"/>
              <w:bottom w:val="nil"/>
              <w:right w:val="nil"/>
            </w:tcBorders>
            <w:vAlign w:val="bottom"/>
          </w:tcPr>
          <w:p w14:paraId="5924929B" w14:textId="2CAB8BE9" w:rsidR="60E0DABE" w:rsidRDefault="60E0DABE"/>
        </w:tc>
      </w:tr>
      <w:tr w:rsidR="60E0DABE" w14:paraId="5F433D3C" w14:textId="77777777" w:rsidTr="60E0DABE">
        <w:trPr>
          <w:trHeight w:val="285"/>
        </w:trPr>
        <w:tc>
          <w:tcPr>
            <w:tcW w:w="1628" w:type="dxa"/>
            <w:tcBorders>
              <w:top w:val="nil"/>
              <w:left w:val="nil"/>
              <w:bottom w:val="nil"/>
              <w:right w:val="nil"/>
            </w:tcBorders>
            <w:vAlign w:val="bottom"/>
          </w:tcPr>
          <w:p w14:paraId="4B304925" w14:textId="513896DF" w:rsidR="60E0DABE" w:rsidRDefault="60E0DABE"/>
        </w:tc>
        <w:tc>
          <w:tcPr>
            <w:tcW w:w="1628" w:type="dxa"/>
            <w:tcBorders>
              <w:top w:val="nil"/>
              <w:left w:val="nil"/>
              <w:bottom w:val="nil"/>
              <w:right w:val="nil"/>
            </w:tcBorders>
            <w:vAlign w:val="bottom"/>
          </w:tcPr>
          <w:p w14:paraId="1DAB13AA" w14:textId="74F76DE2" w:rsidR="60E0DABE" w:rsidRDefault="60E0DABE"/>
        </w:tc>
        <w:tc>
          <w:tcPr>
            <w:tcW w:w="1628" w:type="dxa"/>
            <w:tcBorders>
              <w:top w:val="nil"/>
              <w:left w:val="nil"/>
              <w:bottom w:val="nil"/>
              <w:right w:val="nil"/>
            </w:tcBorders>
            <w:vAlign w:val="bottom"/>
          </w:tcPr>
          <w:p w14:paraId="2BC7007C" w14:textId="48186806" w:rsidR="60E0DABE" w:rsidRDefault="60E0DABE"/>
        </w:tc>
        <w:tc>
          <w:tcPr>
            <w:tcW w:w="1628" w:type="dxa"/>
            <w:tcBorders>
              <w:top w:val="nil"/>
              <w:left w:val="nil"/>
              <w:bottom w:val="nil"/>
              <w:right w:val="nil"/>
            </w:tcBorders>
            <w:vAlign w:val="bottom"/>
          </w:tcPr>
          <w:p w14:paraId="5D442A19" w14:textId="37D788E7" w:rsidR="60E0DABE" w:rsidRDefault="60E0DABE"/>
        </w:tc>
        <w:tc>
          <w:tcPr>
            <w:tcW w:w="1628" w:type="dxa"/>
            <w:tcBorders>
              <w:top w:val="nil"/>
              <w:left w:val="nil"/>
              <w:bottom w:val="nil"/>
              <w:right w:val="nil"/>
            </w:tcBorders>
            <w:vAlign w:val="bottom"/>
          </w:tcPr>
          <w:p w14:paraId="71E0164A" w14:textId="1705F00C" w:rsidR="60E0DABE" w:rsidRDefault="60E0DABE"/>
        </w:tc>
        <w:tc>
          <w:tcPr>
            <w:tcW w:w="1628" w:type="dxa"/>
            <w:tcBorders>
              <w:top w:val="nil"/>
              <w:left w:val="nil"/>
              <w:bottom w:val="nil"/>
              <w:right w:val="nil"/>
            </w:tcBorders>
            <w:vAlign w:val="bottom"/>
          </w:tcPr>
          <w:p w14:paraId="225970C1" w14:textId="2826B4C0" w:rsidR="60E0DABE" w:rsidRDefault="60E0DABE"/>
        </w:tc>
      </w:tr>
      <w:tr w:rsidR="60E0DABE" w14:paraId="3D4EE61D" w14:textId="77777777" w:rsidTr="60E0DABE">
        <w:trPr>
          <w:trHeight w:val="285"/>
        </w:trPr>
        <w:tc>
          <w:tcPr>
            <w:tcW w:w="1628" w:type="dxa"/>
            <w:tcBorders>
              <w:top w:val="nil"/>
              <w:left w:val="nil"/>
              <w:bottom w:val="nil"/>
              <w:right w:val="nil"/>
            </w:tcBorders>
            <w:vAlign w:val="bottom"/>
          </w:tcPr>
          <w:p w14:paraId="7CD53442" w14:textId="0EE51176" w:rsidR="60E0DABE" w:rsidRDefault="60E0DABE">
            <w:r w:rsidRPr="60E0DABE">
              <w:rPr>
                <w:rFonts w:eastAsia="Times New Roman" w:cs="Times New Roman"/>
                <w:b/>
                <w:bCs/>
                <w:color w:val="000000" w:themeColor="text1"/>
                <w:sz w:val="22"/>
              </w:rPr>
              <w:t>Men</w:t>
            </w:r>
          </w:p>
        </w:tc>
        <w:tc>
          <w:tcPr>
            <w:tcW w:w="1628" w:type="dxa"/>
            <w:vMerge w:val="restart"/>
            <w:tcBorders>
              <w:top w:val="nil"/>
              <w:left w:val="nil"/>
              <w:bottom w:val="nil"/>
              <w:right w:val="nil"/>
            </w:tcBorders>
            <w:vAlign w:val="center"/>
          </w:tcPr>
          <w:p w14:paraId="19AA94A4" w14:textId="69E6B84B" w:rsidR="60E0DABE" w:rsidRDefault="60E0DABE" w:rsidP="60E0DABE">
            <w:r w:rsidRPr="60E0DABE">
              <w:rPr>
                <w:rFonts w:eastAsia="Times New Roman" w:cs="Times New Roman"/>
                <w:b/>
                <w:bCs/>
                <w:color w:val="000000" w:themeColor="text1"/>
                <w:sz w:val="22"/>
              </w:rPr>
              <w:t>Decline in diet quality</w:t>
            </w:r>
          </w:p>
        </w:tc>
        <w:tc>
          <w:tcPr>
            <w:tcW w:w="1628" w:type="dxa"/>
            <w:tcBorders>
              <w:top w:val="nil"/>
              <w:left w:val="nil"/>
              <w:bottom w:val="nil"/>
              <w:right w:val="nil"/>
            </w:tcBorders>
            <w:vAlign w:val="bottom"/>
          </w:tcPr>
          <w:p w14:paraId="69312A7F" w14:textId="490BBDE2" w:rsidR="60E0DABE" w:rsidRDefault="60E0DABE">
            <w:r w:rsidRPr="60E0DABE">
              <w:rPr>
                <w:rFonts w:eastAsia="Times New Roman" w:cs="Times New Roman"/>
                <w:b/>
                <w:bCs/>
                <w:color w:val="000000" w:themeColor="text1"/>
                <w:sz w:val="22"/>
              </w:rPr>
              <w:t>No</w:t>
            </w:r>
          </w:p>
        </w:tc>
        <w:tc>
          <w:tcPr>
            <w:tcW w:w="1628" w:type="dxa"/>
            <w:tcBorders>
              <w:top w:val="nil"/>
              <w:left w:val="nil"/>
              <w:bottom w:val="nil"/>
              <w:right w:val="nil"/>
            </w:tcBorders>
            <w:vAlign w:val="bottom"/>
          </w:tcPr>
          <w:p w14:paraId="30070721" w14:textId="322B884C" w:rsidR="60E0DABE" w:rsidRDefault="60E0DABE" w:rsidP="60E0DABE">
            <w:r w:rsidRPr="60E0DABE">
              <w:rPr>
                <w:rFonts w:eastAsia="Times New Roman" w:cs="Times New Roman"/>
                <w:color w:val="000000" w:themeColor="text1"/>
                <w:sz w:val="22"/>
              </w:rPr>
              <w:t>142 (98.6%)</w:t>
            </w:r>
          </w:p>
        </w:tc>
        <w:tc>
          <w:tcPr>
            <w:tcW w:w="1628" w:type="dxa"/>
            <w:tcBorders>
              <w:top w:val="nil"/>
              <w:left w:val="nil"/>
              <w:bottom w:val="nil"/>
              <w:right w:val="nil"/>
            </w:tcBorders>
            <w:vAlign w:val="bottom"/>
          </w:tcPr>
          <w:p w14:paraId="716EA16C" w14:textId="13C6A95C" w:rsidR="60E0DABE" w:rsidRDefault="60E0DABE" w:rsidP="60E0DABE">
            <w:r w:rsidRPr="60E0DABE">
              <w:rPr>
                <w:rFonts w:eastAsia="Times New Roman" w:cs="Times New Roman"/>
                <w:color w:val="000000" w:themeColor="text1"/>
                <w:sz w:val="22"/>
              </w:rPr>
              <w:t>72 (88.9%)</w:t>
            </w:r>
          </w:p>
        </w:tc>
        <w:tc>
          <w:tcPr>
            <w:tcW w:w="1628" w:type="dxa"/>
            <w:tcBorders>
              <w:top w:val="nil"/>
              <w:left w:val="nil"/>
              <w:bottom w:val="nil"/>
              <w:right w:val="nil"/>
            </w:tcBorders>
            <w:vAlign w:val="bottom"/>
          </w:tcPr>
          <w:p w14:paraId="1CEBF210" w14:textId="2ECE499A" w:rsidR="60E0DABE" w:rsidRDefault="60E0DABE" w:rsidP="60E0DABE">
            <w:r w:rsidRPr="60E0DABE">
              <w:rPr>
                <w:rFonts w:eastAsia="Times New Roman" w:cs="Times New Roman"/>
                <w:color w:val="000000" w:themeColor="text1"/>
                <w:sz w:val="22"/>
              </w:rPr>
              <w:t>214 (95.1%)</w:t>
            </w:r>
          </w:p>
        </w:tc>
      </w:tr>
      <w:tr w:rsidR="60E0DABE" w14:paraId="1F0371FA" w14:textId="77777777" w:rsidTr="60E0DABE">
        <w:trPr>
          <w:trHeight w:val="285"/>
        </w:trPr>
        <w:tc>
          <w:tcPr>
            <w:tcW w:w="1628" w:type="dxa"/>
            <w:tcBorders>
              <w:top w:val="nil"/>
              <w:left w:val="nil"/>
              <w:bottom w:val="nil"/>
              <w:right w:val="nil"/>
            </w:tcBorders>
            <w:vAlign w:val="bottom"/>
          </w:tcPr>
          <w:p w14:paraId="21042125" w14:textId="36C6F571" w:rsidR="60E0DABE" w:rsidRDefault="60E0DABE"/>
        </w:tc>
        <w:tc>
          <w:tcPr>
            <w:tcW w:w="1628" w:type="dxa"/>
            <w:vMerge/>
            <w:tcBorders>
              <w:left w:val="nil"/>
            </w:tcBorders>
            <w:vAlign w:val="center"/>
          </w:tcPr>
          <w:p w14:paraId="4FAF655D" w14:textId="77777777" w:rsidR="00F64F8F" w:rsidRDefault="00F64F8F"/>
        </w:tc>
        <w:tc>
          <w:tcPr>
            <w:tcW w:w="1628" w:type="dxa"/>
            <w:tcBorders>
              <w:top w:val="nil"/>
              <w:left w:val="nil"/>
              <w:bottom w:val="nil"/>
              <w:right w:val="nil"/>
            </w:tcBorders>
            <w:vAlign w:val="bottom"/>
          </w:tcPr>
          <w:p w14:paraId="416AEB90" w14:textId="1E27E706" w:rsidR="60E0DABE" w:rsidRDefault="60E0DABE">
            <w:r w:rsidRPr="60E0DABE">
              <w:rPr>
                <w:rFonts w:eastAsia="Times New Roman" w:cs="Times New Roman"/>
                <w:b/>
                <w:bCs/>
                <w:color w:val="000000" w:themeColor="text1"/>
                <w:sz w:val="22"/>
              </w:rPr>
              <w:t>Yes</w:t>
            </w:r>
          </w:p>
        </w:tc>
        <w:tc>
          <w:tcPr>
            <w:tcW w:w="1628" w:type="dxa"/>
            <w:tcBorders>
              <w:top w:val="nil"/>
              <w:left w:val="nil"/>
              <w:bottom w:val="nil"/>
              <w:right w:val="nil"/>
            </w:tcBorders>
            <w:vAlign w:val="bottom"/>
          </w:tcPr>
          <w:p w14:paraId="18676103" w14:textId="1E9D0A52" w:rsidR="60E0DABE" w:rsidRDefault="60E0DABE" w:rsidP="60E0DABE">
            <w:r w:rsidRPr="60E0DABE">
              <w:rPr>
                <w:rFonts w:eastAsia="Times New Roman" w:cs="Times New Roman"/>
                <w:color w:val="000000" w:themeColor="text1"/>
                <w:sz w:val="22"/>
              </w:rPr>
              <w:t>2 (1.4%)</w:t>
            </w:r>
          </w:p>
        </w:tc>
        <w:tc>
          <w:tcPr>
            <w:tcW w:w="1628" w:type="dxa"/>
            <w:tcBorders>
              <w:top w:val="nil"/>
              <w:left w:val="nil"/>
              <w:bottom w:val="nil"/>
              <w:right w:val="nil"/>
            </w:tcBorders>
            <w:vAlign w:val="bottom"/>
          </w:tcPr>
          <w:p w14:paraId="17DC8B2B" w14:textId="1EEDB5CF" w:rsidR="60E0DABE" w:rsidRDefault="60E0DABE" w:rsidP="60E0DABE">
            <w:r w:rsidRPr="60E0DABE">
              <w:rPr>
                <w:rFonts w:eastAsia="Times New Roman" w:cs="Times New Roman"/>
                <w:color w:val="000000" w:themeColor="text1"/>
                <w:sz w:val="22"/>
              </w:rPr>
              <w:t>9 (11.1%)</w:t>
            </w:r>
          </w:p>
        </w:tc>
        <w:tc>
          <w:tcPr>
            <w:tcW w:w="1628" w:type="dxa"/>
            <w:tcBorders>
              <w:top w:val="nil"/>
              <w:left w:val="nil"/>
              <w:bottom w:val="nil"/>
              <w:right w:val="nil"/>
            </w:tcBorders>
            <w:vAlign w:val="bottom"/>
          </w:tcPr>
          <w:p w14:paraId="07EC6761" w14:textId="44B0D66E" w:rsidR="60E0DABE" w:rsidRDefault="60E0DABE" w:rsidP="60E0DABE">
            <w:r w:rsidRPr="60E0DABE">
              <w:rPr>
                <w:rFonts w:eastAsia="Times New Roman" w:cs="Times New Roman"/>
                <w:color w:val="000000" w:themeColor="text1"/>
                <w:sz w:val="22"/>
              </w:rPr>
              <w:t>11 (4.9%)</w:t>
            </w:r>
          </w:p>
        </w:tc>
      </w:tr>
      <w:tr w:rsidR="60E0DABE" w14:paraId="0FF0205C" w14:textId="77777777" w:rsidTr="60E0DABE">
        <w:trPr>
          <w:trHeight w:val="285"/>
        </w:trPr>
        <w:tc>
          <w:tcPr>
            <w:tcW w:w="1628" w:type="dxa"/>
            <w:tcBorders>
              <w:top w:val="nil"/>
              <w:left w:val="nil"/>
              <w:bottom w:val="nil"/>
              <w:right w:val="nil"/>
            </w:tcBorders>
            <w:vAlign w:val="bottom"/>
          </w:tcPr>
          <w:p w14:paraId="62ABAFE7" w14:textId="6F78C67B" w:rsidR="60E0DABE" w:rsidRDefault="60E0DABE"/>
        </w:tc>
        <w:tc>
          <w:tcPr>
            <w:tcW w:w="1628" w:type="dxa"/>
            <w:tcBorders>
              <w:top w:val="nil"/>
              <w:left w:val="nil"/>
              <w:bottom w:val="nil"/>
              <w:right w:val="nil"/>
            </w:tcBorders>
            <w:vAlign w:val="bottom"/>
          </w:tcPr>
          <w:p w14:paraId="424B9004" w14:textId="36C5DEB7" w:rsidR="60E0DABE" w:rsidRDefault="60E0DABE"/>
        </w:tc>
        <w:tc>
          <w:tcPr>
            <w:tcW w:w="1628" w:type="dxa"/>
            <w:tcBorders>
              <w:top w:val="nil"/>
              <w:left w:val="nil"/>
              <w:bottom w:val="nil"/>
              <w:right w:val="nil"/>
            </w:tcBorders>
            <w:vAlign w:val="bottom"/>
          </w:tcPr>
          <w:p w14:paraId="6A49C800" w14:textId="44289C02" w:rsidR="60E0DABE" w:rsidRDefault="60E0DABE">
            <w:r w:rsidRPr="60E0DABE">
              <w:rPr>
                <w:rFonts w:eastAsia="Times New Roman" w:cs="Times New Roman"/>
                <w:b/>
                <w:bCs/>
                <w:color w:val="000000" w:themeColor="text1"/>
                <w:sz w:val="22"/>
              </w:rPr>
              <w:t>Total</w:t>
            </w:r>
          </w:p>
        </w:tc>
        <w:tc>
          <w:tcPr>
            <w:tcW w:w="1628" w:type="dxa"/>
            <w:tcBorders>
              <w:top w:val="nil"/>
              <w:left w:val="nil"/>
              <w:bottom w:val="nil"/>
              <w:right w:val="nil"/>
            </w:tcBorders>
            <w:vAlign w:val="bottom"/>
          </w:tcPr>
          <w:p w14:paraId="506937A1" w14:textId="0EAB4293" w:rsidR="60E0DABE" w:rsidRDefault="60E0DABE" w:rsidP="60E0DABE">
            <w:r w:rsidRPr="60E0DABE">
              <w:rPr>
                <w:rFonts w:eastAsia="Times New Roman" w:cs="Times New Roman"/>
                <w:color w:val="000000" w:themeColor="text1"/>
                <w:sz w:val="22"/>
              </w:rPr>
              <w:t>144 (100%)</w:t>
            </w:r>
          </w:p>
        </w:tc>
        <w:tc>
          <w:tcPr>
            <w:tcW w:w="1628" w:type="dxa"/>
            <w:tcBorders>
              <w:top w:val="nil"/>
              <w:left w:val="nil"/>
              <w:bottom w:val="nil"/>
              <w:right w:val="nil"/>
            </w:tcBorders>
            <w:vAlign w:val="bottom"/>
          </w:tcPr>
          <w:p w14:paraId="6420DCFC" w14:textId="43BB709D" w:rsidR="60E0DABE" w:rsidRDefault="60E0DABE" w:rsidP="60E0DABE">
            <w:r w:rsidRPr="60E0DABE">
              <w:rPr>
                <w:rFonts w:eastAsia="Times New Roman" w:cs="Times New Roman"/>
                <w:color w:val="000000" w:themeColor="text1"/>
                <w:sz w:val="22"/>
              </w:rPr>
              <w:t>81 (100%)</w:t>
            </w:r>
          </w:p>
        </w:tc>
        <w:tc>
          <w:tcPr>
            <w:tcW w:w="1628" w:type="dxa"/>
            <w:tcBorders>
              <w:top w:val="nil"/>
              <w:left w:val="nil"/>
              <w:bottom w:val="nil"/>
              <w:right w:val="nil"/>
            </w:tcBorders>
            <w:vAlign w:val="bottom"/>
          </w:tcPr>
          <w:p w14:paraId="5A045857" w14:textId="60E648DD" w:rsidR="60E0DABE" w:rsidRDefault="60E0DABE" w:rsidP="60E0DABE">
            <w:r w:rsidRPr="60E0DABE">
              <w:rPr>
                <w:rFonts w:eastAsia="Times New Roman" w:cs="Times New Roman"/>
                <w:color w:val="000000" w:themeColor="text1"/>
                <w:sz w:val="22"/>
              </w:rPr>
              <w:t>225 (100%)</w:t>
            </w:r>
          </w:p>
        </w:tc>
      </w:tr>
      <w:tr w:rsidR="60E0DABE" w14:paraId="39EA9652" w14:textId="77777777" w:rsidTr="60E0DABE">
        <w:trPr>
          <w:trHeight w:val="285"/>
        </w:trPr>
        <w:tc>
          <w:tcPr>
            <w:tcW w:w="1628" w:type="dxa"/>
            <w:tcBorders>
              <w:top w:val="nil"/>
              <w:left w:val="nil"/>
              <w:bottom w:val="nil"/>
              <w:right w:val="nil"/>
            </w:tcBorders>
            <w:vAlign w:val="bottom"/>
          </w:tcPr>
          <w:p w14:paraId="0759A446" w14:textId="2C361BD6" w:rsidR="60E0DABE" w:rsidRDefault="60E0DABE"/>
        </w:tc>
        <w:tc>
          <w:tcPr>
            <w:tcW w:w="1628" w:type="dxa"/>
            <w:tcBorders>
              <w:top w:val="nil"/>
              <w:left w:val="nil"/>
              <w:bottom w:val="nil"/>
              <w:right w:val="nil"/>
            </w:tcBorders>
            <w:vAlign w:val="bottom"/>
          </w:tcPr>
          <w:p w14:paraId="52A3BB63" w14:textId="54779694" w:rsidR="60E0DABE" w:rsidRDefault="60E0DABE"/>
        </w:tc>
        <w:tc>
          <w:tcPr>
            <w:tcW w:w="1628" w:type="dxa"/>
            <w:tcBorders>
              <w:top w:val="nil"/>
              <w:left w:val="nil"/>
              <w:bottom w:val="nil"/>
              <w:right w:val="nil"/>
            </w:tcBorders>
            <w:vAlign w:val="bottom"/>
          </w:tcPr>
          <w:p w14:paraId="3043C372" w14:textId="50B0FF78" w:rsidR="60E0DABE" w:rsidRDefault="60E0DABE"/>
        </w:tc>
        <w:tc>
          <w:tcPr>
            <w:tcW w:w="1628" w:type="dxa"/>
            <w:tcBorders>
              <w:top w:val="nil"/>
              <w:left w:val="nil"/>
              <w:bottom w:val="nil"/>
              <w:right w:val="nil"/>
            </w:tcBorders>
            <w:vAlign w:val="bottom"/>
          </w:tcPr>
          <w:p w14:paraId="7FE67BF7" w14:textId="29301205" w:rsidR="60E0DABE" w:rsidRDefault="60E0DABE"/>
        </w:tc>
        <w:tc>
          <w:tcPr>
            <w:tcW w:w="1628" w:type="dxa"/>
            <w:tcBorders>
              <w:top w:val="nil"/>
              <w:left w:val="nil"/>
              <w:bottom w:val="nil"/>
              <w:right w:val="nil"/>
            </w:tcBorders>
            <w:vAlign w:val="bottom"/>
          </w:tcPr>
          <w:p w14:paraId="71EA9F89" w14:textId="7EEB3827" w:rsidR="60E0DABE" w:rsidRDefault="60E0DABE"/>
        </w:tc>
        <w:tc>
          <w:tcPr>
            <w:tcW w:w="1628" w:type="dxa"/>
            <w:tcBorders>
              <w:top w:val="nil"/>
              <w:left w:val="nil"/>
              <w:bottom w:val="nil"/>
              <w:right w:val="nil"/>
            </w:tcBorders>
            <w:vAlign w:val="bottom"/>
          </w:tcPr>
          <w:p w14:paraId="767DDE59" w14:textId="07454BAB" w:rsidR="60E0DABE" w:rsidRDefault="60E0DABE"/>
        </w:tc>
      </w:tr>
      <w:tr w:rsidR="60E0DABE" w14:paraId="1052344D" w14:textId="77777777" w:rsidTr="60E0DABE">
        <w:trPr>
          <w:trHeight w:val="285"/>
        </w:trPr>
        <w:tc>
          <w:tcPr>
            <w:tcW w:w="1628" w:type="dxa"/>
            <w:tcBorders>
              <w:top w:val="nil"/>
              <w:left w:val="nil"/>
              <w:bottom w:val="nil"/>
              <w:right w:val="nil"/>
            </w:tcBorders>
            <w:vAlign w:val="bottom"/>
          </w:tcPr>
          <w:p w14:paraId="02E47297" w14:textId="3BFFB1EF" w:rsidR="60E0DABE" w:rsidRDefault="60E0DABE"/>
        </w:tc>
        <w:tc>
          <w:tcPr>
            <w:tcW w:w="1628" w:type="dxa"/>
            <w:tcBorders>
              <w:top w:val="nil"/>
              <w:left w:val="nil"/>
              <w:bottom w:val="nil"/>
              <w:right w:val="nil"/>
            </w:tcBorders>
            <w:vAlign w:val="bottom"/>
          </w:tcPr>
          <w:p w14:paraId="53D1217A" w14:textId="6B9549DA" w:rsidR="60E0DABE" w:rsidRDefault="60E0DABE"/>
        </w:tc>
        <w:tc>
          <w:tcPr>
            <w:tcW w:w="1628" w:type="dxa"/>
            <w:tcBorders>
              <w:top w:val="nil"/>
              <w:left w:val="nil"/>
              <w:bottom w:val="nil"/>
              <w:right w:val="nil"/>
            </w:tcBorders>
            <w:vAlign w:val="bottom"/>
          </w:tcPr>
          <w:p w14:paraId="62F425E0" w14:textId="7DBBC2CC" w:rsidR="60E0DABE" w:rsidRDefault="60E0DABE"/>
        </w:tc>
        <w:tc>
          <w:tcPr>
            <w:tcW w:w="1628" w:type="dxa"/>
            <w:tcBorders>
              <w:top w:val="nil"/>
              <w:left w:val="nil"/>
              <w:bottom w:val="nil"/>
              <w:right w:val="nil"/>
            </w:tcBorders>
            <w:vAlign w:val="bottom"/>
          </w:tcPr>
          <w:p w14:paraId="5041FA3A" w14:textId="2C204D9B" w:rsidR="60E0DABE" w:rsidRDefault="60E0DABE"/>
        </w:tc>
        <w:tc>
          <w:tcPr>
            <w:tcW w:w="1628" w:type="dxa"/>
            <w:tcBorders>
              <w:top w:val="nil"/>
              <w:left w:val="nil"/>
              <w:bottom w:val="nil"/>
              <w:right w:val="nil"/>
            </w:tcBorders>
            <w:vAlign w:val="bottom"/>
          </w:tcPr>
          <w:p w14:paraId="5F2EF6B8" w14:textId="79DFDB13" w:rsidR="60E0DABE" w:rsidRDefault="60E0DABE"/>
        </w:tc>
        <w:tc>
          <w:tcPr>
            <w:tcW w:w="1628" w:type="dxa"/>
            <w:tcBorders>
              <w:top w:val="nil"/>
              <w:left w:val="nil"/>
              <w:bottom w:val="nil"/>
              <w:right w:val="nil"/>
            </w:tcBorders>
            <w:vAlign w:val="bottom"/>
          </w:tcPr>
          <w:p w14:paraId="52BEACE4" w14:textId="04A7391A" w:rsidR="60E0DABE" w:rsidRDefault="60E0DABE"/>
        </w:tc>
      </w:tr>
      <w:tr w:rsidR="60E0DABE" w14:paraId="3457173C" w14:textId="77777777" w:rsidTr="60E0DABE">
        <w:trPr>
          <w:trHeight w:val="285"/>
        </w:trPr>
        <w:tc>
          <w:tcPr>
            <w:tcW w:w="1628" w:type="dxa"/>
            <w:tcBorders>
              <w:top w:val="nil"/>
              <w:left w:val="nil"/>
              <w:bottom w:val="nil"/>
              <w:right w:val="nil"/>
            </w:tcBorders>
            <w:vAlign w:val="bottom"/>
          </w:tcPr>
          <w:p w14:paraId="4D7A9408" w14:textId="7FF95803" w:rsidR="60E0DABE" w:rsidRDefault="60E0DABE">
            <w:r w:rsidRPr="60E0DABE">
              <w:rPr>
                <w:rFonts w:eastAsia="Times New Roman" w:cs="Times New Roman"/>
                <w:b/>
                <w:bCs/>
                <w:color w:val="000000" w:themeColor="text1"/>
                <w:sz w:val="22"/>
              </w:rPr>
              <w:t>Women</w:t>
            </w:r>
          </w:p>
        </w:tc>
        <w:tc>
          <w:tcPr>
            <w:tcW w:w="1628" w:type="dxa"/>
            <w:vMerge w:val="restart"/>
            <w:tcBorders>
              <w:top w:val="nil"/>
              <w:left w:val="nil"/>
              <w:bottom w:val="nil"/>
              <w:right w:val="nil"/>
            </w:tcBorders>
            <w:vAlign w:val="center"/>
          </w:tcPr>
          <w:p w14:paraId="57066597" w14:textId="05196DCE" w:rsidR="60E0DABE" w:rsidRDefault="60E0DABE" w:rsidP="60E0DABE">
            <w:r w:rsidRPr="60E0DABE">
              <w:rPr>
                <w:rFonts w:eastAsia="Times New Roman" w:cs="Times New Roman"/>
                <w:b/>
                <w:bCs/>
                <w:color w:val="000000" w:themeColor="text1"/>
                <w:sz w:val="22"/>
              </w:rPr>
              <w:t>Decline in diet quality</w:t>
            </w:r>
          </w:p>
        </w:tc>
        <w:tc>
          <w:tcPr>
            <w:tcW w:w="1628" w:type="dxa"/>
            <w:tcBorders>
              <w:top w:val="nil"/>
              <w:left w:val="nil"/>
              <w:bottom w:val="nil"/>
              <w:right w:val="nil"/>
            </w:tcBorders>
            <w:vAlign w:val="bottom"/>
          </w:tcPr>
          <w:p w14:paraId="2D56C391" w14:textId="49DAE84A" w:rsidR="60E0DABE" w:rsidRDefault="60E0DABE">
            <w:r w:rsidRPr="60E0DABE">
              <w:rPr>
                <w:rFonts w:eastAsia="Times New Roman" w:cs="Times New Roman"/>
                <w:b/>
                <w:bCs/>
                <w:color w:val="000000" w:themeColor="text1"/>
                <w:sz w:val="22"/>
              </w:rPr>
              <w:t>No</w:t>
            </w:r>
          </w:p>
        </w:tc>
        <w:tc>
          <w:tcPr>
            <w:tcW w:w="1628" w:type="dxa"/>
            <w:tcBorders>
              <w:top w:val="nil"/>
              <w:left w:val="nil"/>
              <w:bottom w:val="nil"/>
              <w:right w:val="nil"/>
            </w:tcBorders>
            <w:vAlign w:val="bottom"/>
          </w:tcPr>
          <w:p w14:paraId="1CDA8DF9" w14:textId="729205DB" w:rsidR="60E0DABE" w:rsidRDefault="60E0DABE" w:rsidP="60E0DABE">
            <w:r w:rsidRPr="60E0DABE">
              <w:rPr>
                <w:rFonts w:eastAsia="Times New Roman" w:cs="Times New Roman"/>
                <w:color w:val="000000" w:themeColor="text1"/>
                <w:sz w:val="22"/>
              </w:rPr>
              <w:t>143 (94.7%)</w:t>
            </w:r>
          </w:p>
        </w:tc>
        <w:tc>
          <w:tcPr>
            <w:tcW w:w="1628" w:type="dxa"/>
            <w:tcBorders>
              <w:top w:val="nil"/>
              <w:left w:val="nil"/>
              <w:bottom w:val="nil"/>
              <w:right w:val="nil"/>
            </w:tcBorders>
            <w:vAlign w:val="bottom"/>
          </w:tcPr>
          <w:p w14:paraId="66314E49" w14:textId="0EF6400F" w:rsidR="60E0DABE" w:rsidRDefault="60E0DABE" w:rsidP="60E0DABE">
            <w:r w:rsidRPr="60E0DABE">
              <w:rPr>
                <w:rFonts w:eastAsia="Times New Roman" w:cs="Times New Roman"/>
                <w:color w:val="000000" w:themeColor="text1"/>
                <w:sz w:val="22"/>
              </w:rPr>
              <w:t>96 (85.0%)</w:t>
            </w:r>
          </w:p>
        </w:tc>
        <w:tc>
          <w:tcPr>
            <w:tcW w:w="1628" w:type="dxa"/>
            <w:tcBorders>
              <w:top w:val="nil"/>
              <w:left w:val="nil"/>
              <w:bottom w:val="nil"/>
              <w:right w:val="nil"/>
            </w:tcBorders>
            <w:vAlign w:val="bottom"/>
          </w:tcPr>
          <w:p w14:paraId="71AF0B20" w14:textId="25C746E8" w:rsidR="60E0DABE" w:rsidRDefault="60E0DABE" w:rsidP="60E0DABE">
            <w:r w:rsidRPr="60E0DABE">
              <w:rPr>
                <w:rFonts w:eastAsia="Times New Roman" w:cs="Times New Roman"/>
                <w:color w:val="000000" w:themeColor="text1"/>
                <w:sz w:val="22"/>
              </w:rPr>
              <w:t>239 (90.5%)</w:t>
            </w:r>
          </w:p>
        </w:tc>
      </w:tr>
      <w:tr w:rsidR="60E0DABE" w14:paraId="2E5BB515" w14:textId="77777777" w:rsidTr="60E0DABE">
        <w:trPr>
          <w:trHeight w:val="285"/>
        </w:trPr>
        <w:tc>
          <w:tcPr>
            <w:tcW w:w="1628" w:type="dxa"/>
            <w:tcBorders>
              <w:top w:val="nil"/>
              <w:left w:val="nil"/>
              <w:bottom w:val="nil"/>
              <w:right w:val="nil"/>
            </w:tcBorders>
            <w:vAlign w:val="bottom"/>
          </w:tcPr>
          <w:p w14:paraId="28855A21" w14:textId="3B735CC1" w:rsidR="60E0DABE" w:rsidRDefault="60E0DABE"/>
        </w:tc>
        <w:tc>
          <w:tcPr>
            <w:tcW w:w="1628" w:type="dxa"/>
            <w:vMerge/>
            <w:tcBorders>
              <w:left w:val="nil"/>
            </w:tcBorders>
            <w:vAlign w:val="center"/>
          </w:tcPr>
          <w:p w14:paraId="72AA543D" w14:textId="77777777" w:rsidR="00F64F8F" w:rsidRDefault="00F64F8F"/>
        </w:tc>
        <w:tc>
          <w:tcPr>
            <w:tcW w:w="1628" w:type="dxa"/>
            <w:tcBorders>
              <w:top w:val="nil"/>
              <w:left w:val="nil"/>
              <w:bottom w:val="nil"/>
              <w:right w:val="nil"/>
            </w:tcBorders>
            <w:vAlign w:val="bottom"/>
          </w:tcPr>
          <w:p w14:paraId="3F55CADA" w14:textId="3015353E" w:rsidR="60E0DABE" w:rsidRDefault="60E0DABE">
            <w:r w:rsidRPr="60E0DABE">
              <w:rPr>
                <w:rFonts w:eastAsia="Times New Roman" w:cs="Times New Roman"/>
                <w:b/>
                <w:bCs/>
                <w:color w:val="000000" w:themeColor="text1"/>
                <w:sz w:val="22"/>
              </w:rPr>
              <w:t>Yes</w:t>
            </w:r>
          </w:p>
        </w:tc>
        <w:tc>
          <w:tcPr>
            <w:tcW w:w="1628" w:type="dxa"/>
            <w:tcBorders>
              <w:top w:val="nil"/>
              <w:left w:val="nil"/>
              <w:bottom w:val="nil"/>
              <w:right w:val="nil"/>
            </w:tcBorders>
            <w:vAlign w:val="bottom"/>
          </w:tcPr>
          <w:p w14:paraId="0607EAB9" w14:textId="1AB65431" w:rsidR="60E0DABE" w:rsidRDefault="60E0DABE" w:rsidP="60E0DABE">
            <w:r w:rsidRPr="60E0DABE">
              <w:rPr>
                <w:rFonts w:eastAsia="Times New Roman" w:cs="Times New Roman"/>
                <w:color w:val="000000" w:themeColor="text1"/>
                <w:sz w:val="22"/>
              </w:rPr>
              <w:t>8 (5.3%)</w:t>
            </w:r>
          </w:p>
        </w:tc>
        <w:tc>
          <w:tcPr>
            <w:tcW w:w="1628" w:type="dxa"/>
            <w:tcBorders>
              <w:top w:val="nil"/>
              <w:left w:val="nil"/>
              <w:bottom w:val="nil"/>
              <w:right w:val="nil"/>
            </w:tcBorders>
            <w:vAlign w:val="bottom"/>
          </w:tcPr>
          <w:p w14:paraId="333AEAC4" w14:textId="2B89228B" w:rsidR="60E0DABE" w:rsidRDefault="60E0DABE" w:rsidP="60E0DABE">
            <w:r w:rsidRPr="60E0DABE">
              <w:rPr>
                <w:rFonts w:eastAsia="Times New Roman" w:cs="Times New Roman"/>
                <w:color w:val="000000" w:themeColor="text1"/>
                <w:sz w:val="22"/>
              </w:rPr>
              <w:t>17 (15.0%)</w:t>
            </w:r>
          </w:p>
        </w:tc>
        <w:tc>
          <w:tcPr>
            <w:tcW w:w="1628" w:type="dxa"/>
            <w:tcBorders>
              <w:top w:val="nil"/>
              <w:left w:val="nil"/>
              <w:bottom w:val="nil"/>
              <w:right w:val="nil"/>
            </w:tcBorders>
            <w:vAlign w:val="bottom"/>
          </w:tcPr>
          <w:p w14:paraId="43A85772" w14:textId="246E0519" w:rsidR="60E0DABE" w:rsidRDefault="60E0DABE" w:rsidP="60E0DABE">
            <w:r w:rsidRPr="60E0DABE">
              <w:rPr>
                <w:rFonts w:eastAsia="Times New Roman" w:cs="Times New Roman"/>
                <w:color w:val="000000" w:themeColor="text1"/>
                <w:sz w:val="22"/>
              </w:rPr>
              <w:t>25 (9.5%)</w:t>
            </w:r>
          </w:p>
        </w:tc>
      </w:tr>
      <w:tr w:rsidR="60E0DABE" w14:paraId="46D614BA" w14:textId="77777777" w:rsidTr="60E0DABE">
        <w:trPr>
          <w:trHeight w:val="285"/>
        </w:trPr>
        <w:tc>
          <w:tcPr>
            <w:tcW w:w="1628" w:type="dxa"/>
            <w:tcBorders>
              <w:top w:val="nil"/>
              <w:left w:val="nil"/>
              <w:bottom w:val="single" w:sz="4" w:space="0" w:color="auto"/>
              <w:right w:val="nil"/>
            </w:tcBorders>
            <w:vAlign w:val="bottom"/>
          </w:tcPr>
          <w:p w14:paraId="55092436" w14:textId="29E053E6" w:rsidR="60E0DABE" w:rsidRDefault="60E0DABE">
            <w:r w:rsidRPr="60E0DABE">
              <w:rPr>
                <w:rFonts w:eastAsia="Times New Roman" w:cs="Times New Roman"/>
                <w:color w:val="000000" w:themeColor="text1"/>
                <w:sz w:val="22"/>
              </w:rPr>
              <w:t xml:space="preserve"> </w:t>
            </w:r>
          </w:p>
        </w:tc>
        <w:tc>
          <w:tcPr>
            <w:tcW w:w="1628" w:type="dxa"/>
            <w:tcBorders>
              <w:top w:val="nil"/>
              <w:left w:val="nil"/>
              <w:bottom w:val="single" w:sz="4" w:space="0" w:color="auto"/>
              <w:right w:val="nil"/>
            </w:tcBorders>
            <w:vAlign w:val="bottom"/>
          </w:tcPr>
          <w:p w14:paraId="1BF3EBA5" w14:textId="11291FB5" w:rsidR="60E0DABE" w:rsidRDefault="60E0DABE">
            <w:r w:rsidRPr="60E0DABE">
              <w:rPr>
                <w:rFonts w:eastAsia="Times New Roman" w:cs="Times New Roman"/>
                <w:b/>
                <w:bCs/>
                <w:color w:val="000000" w:themeColor="text1"/>
                <w:sz w:val="22"/>
              </w:rPr>
              <w:t xml:space="preserve"> </w:t>
            </w:r>
          </w:p>
        </w:tc>
        <w:tc>
          <w:tcPr>
            <w:tcW w:w="1628" w:type="dxa"/>
            <w:tcBorders>
              <w:top w:val="nil"/>
              <w:left w:val="nil"/>
              <w:bottom w:val="single" w:sz="4" w:space="0" w:color="auto"/>
              <w:right w:val="nil"/>
            </w:tcBorders>
            <w:vAlign w:val="bottom"/>
          </w:tcPr>
          <w:p w14:paraId="7CF1CBD1" w14:textId="6BEFDB95" w:rsidR="60E0DABE" w:rsidRDefault="60E0DABE">
            <w:r w:rsidRPr="60E0DABE">
              <w:rPr>
                <w:rFonts w:eastAsia="Times New Roman" w:cs="Times New Roman"/>
                <w:b/>
                <w:bCs/>
                <w:color w:val="000000" w:themeColor="text1"/>
                <w:sz w:val="22"/>
              </w:rPr>
              <w:t>Total</w:t>
            </w:r>
          </w:p>
        </w:tc>
        <w:tc>
          <w:tcPr>
            <w:tcW w:w="1628" w:type="dxa"/>
            <w:tcBorders>
              <w:top w:val="nil"/>
              <w:left w:val="nil"/>
              <w:bottom w:val="single" w:sz="4" w:space="0" w:color="auto"/>
              <w:right w:val="nil"/>
            </w:tcBorders>
            <w:vAlign w:val="bottom"/>
          </w:tcPr>
          <w:p w14:paraId="70BB2B9D" w14:textId="72D19517" w:rsidR="60E0DABE" w:rsidRDefault="60E0DABE" w:rsidP="60E0DABE">
            <w:r w:rsidRPr="60E0DABE">
              <w:rPr>
                <w:rFonts w:eastAsia="Times New Roman" w:cs="Times New Roman"/>
                <w:color w:val="000000" w:themeColor="text1"/>
                <w:sz w:val="22"/>
              </w:rPr>
              <w:t>151 (100%)</w:t>
            </w:r>
          </w:p>
        </w:tc>
        <w:tc>
          <w:tcPr>
            <w:tcW w:w="1628" w:type="dxa"/>
            <w:tcBorders>
              <w:top w:val="nil"/>
              <w:left w:val="nil"/>
              <w:bottom w:val="single" w:sz="4" w:space="0" w:color="auto"/>
              <w:right w:val="nil"/>
            </w:tcBorders>
            <w:vAlign w:val="bottom"/>
          </w:tcPr>
          <w:p w14:paraId="6C7FDBAA" w14:textId="06AA28DA" w:rsidR="60E0DABE" w:rsidRDefault="60E0DABE" w:rsidP="60E0DABE">
            <w:r w:rsidRPr="60E0DABE">
              <w:rPr>
                <w:rFonts w:eastAsia="Times New Roman" w:cs="Times New Roman"/>
                <w:color w:val="000000" w:themeColor="text1"/>
                <w:sz w:val="22"/>
              </w:rPr>
              <w:t>113 (100%)</w:t>
            </w:r>
          </w:p>
        </w:tc>
        <w:tc>
          <w:tcPr>
            <w:tcW w:w="1628" w:type="dxa"/>
            <w:tcBorders>
              <w:top w:val="nil"/>
              <w:left w:val="nil"/>
              <w:bottom w:val="single" w:sz="4" w:space="0" w:color="auto"/>
              <w:right w:val="nil"/>
            </w:tcBorders>
            <w:vAlign w:val="bottom"/>
          </w:tcPr>
          <w:p w14:paraId="16CD4BE3" w14:textId="7DF602D4" w:rsidR="60E0DABE" w:rsidRDefault="60E0DABE" w:rsidP="60E0DABE">
            <w:r w:rsidRPr="60E0DABE">
              <w:rPr>
                <w:rFonts w:eastAsia="Times New Roman" w:cs="Times New Roman"/>
                <w:color w:val="000000" w:themeColor="text1"/>
                <w:sz w:val="22"/>
              </w:rPr>
              <w:t>264 (100%)</w:t>
            </w:r>
          </w:p>
        </w:tc>
      </w:tr>
      <w:tr w:rsidR="60E0DABE" w14:paraId="6B799608" w14:textId="77777777" w:rsidTr="60E0DABE">
        <w:trPr>
          <w:trHeight w:val="285"/>
        </w:trPr>
        <w:tc>
          <w:tcPr>
            <w:tcW w:w="1628" w:type="dxa"/>
            <w:tcBorders>
              <w:top w:val="single" w:sz="4" w:space="0" w:color="auto"/>
              <w:left w:val="nil"/>
              <w:bottom w:val="nil"/>
              <w:right w:val="nil"/>
            </w:tcBorders>
            <w:vAlign w:val="bottom"/>
          </w:tcPr>
          <w:p w14:paraId="113059D9" w14:textId="3ED94E63" w:rsidR="60E0DABE" w:rsidRDefault="60E0DABE"/>
        </w:tc>
        <w:tc>
          <w:tcPr>
            <w:tcW w:w="1628" w:type="dxa"/>
            <w:tcBorders>
              <w:top w:val="single" w:sz="4" w:space="0" w:color="auto"/>
              <w:left w:val="nil"/>
              <w:bottom w:val="nil"/>
              <w:right w:val="nil"/>
            </w:tcBorders>
            <w:vAlign w:val="bottom"/>
          </w:tcPr>
          <w:p w14:paraId="17F8EFBF" w14:textId="42BD1846" w:rsidR="60E0DABE" w:rsidRDefault="60E0DABE"/>
        </w:tc>
        <w:tc>
          <w:tcPr>
            <w:tcW w:w="1628" w:type="dxa"/>
            <w:tcBorders>
              <w:top w:val="single" w:sz="4" w:space="0" w:color="auto"/>
              <w:left w:val="nil"/>
              <w:bottom w:val="nil"/>
              <w:right w:val="nil"/>
            </w:tcBorders>
            <w:vAlign w:val="bottom"/>
          </w:tcPr>
          <w:p w14:paraId="0701736D" w14:textId="715B3E0B" w:rsidR="60E0DABE" w:rsidRDefault="60E0DABE"/>
        </w:tc>
        <w:tc>
          <w:tcPr>
            <w:tcW w:w="1628" w:type="dxa"/>
            <w:tcBorders>
              <w:top w:val="single" w:sz="4" w:space="0" w:color="auto"/>
              <w:left w:val="nil"/>
              <w:bottom w:val="nil"/>
              <w:right w:val="nil"/>
            </w:tcBorders>
            <w:vAlign w:val="bottom"/>
          </w:tcPr>
          <w:p w14:paraId="171CDB91" w14:textId="3FE9100C" w:rsidR="60E0DABE" w:rsidRDefault="60E0DABE"/>
        </w:tc>
        <w:tc>
          <w:tcPr>
            <w:tcW w:w="1628" w:type="dxa"/>
            <w:tcBorders>
              <w:top w:val="single" w:sz="4" w:space="0" w:color="auto"/>
              <w:left w:val="nil"/>
              <w:bottom w:val="nil"/>
              <w:right w:val="nil"/>
            </w:tcBorders>
            <w:vAlign w:val="bottom"/>
          </w:tcPr>
          <w:p w14:paraId="5718BE60" w14:textId="1F76301F" w:rsidR="60E0DABE" w:rsidRDefault="60E0DABE"/>
        </w:tc>
        <w:tc>
          <w:tcPr>
            <w:tcW w:w="1628" w:type="dxa"/>
            <w:tcBorders>
              <w:top w:val="single" w:sz="4" w:space="0" w:color="auto"/>
              <w:left w:val="nil"/>
              <w:bottom w:val="nil"/>
              <w:right w:val="nil"/>
            </w:tcBorders>
            <w:vAlign w:val="bottom"/>
          </w:tcPr>
          <w:p w14:paraId="2A79178C" w14:textId="7DCB814E" w:rsidR="60E0DABE" w:rsidRDefault="60E0DABE"/>
        </w:tc>
      </w:tr>
      <w:tr w:rsidR="60E0DABE" w14:paraId="2E14A208" w14:textId="77777777" w:rsidTr="60E0DABE">
        <w:trPr>
          <w:trHeight w:val="285"/>
        </w:trPr>
        <w:tc>
          <w:tcPr>
            <w:tcW w:w="8140" w:type="dxa"/>
            <w:gridSpan w:val="5"/>
            <w:tcBorders>
              <w:top w:val="nil"/>
              <w:left w:val="nil"/>
              <w:bottom w:val="nil"/>
              <w:right w:val="nil"/>
            </w:tcBorders>
            <w:vAlign w:val="bottom"/>
          </w:tcPr>
          <w:p w14:paraId="3C0B89A0" w14:textId="62EFFBBF" w:rsidR="60E0DABE" w:rsidRDefault="60E0DABE">
            <w:r w:rsidRPr="60E0DABE">
              <w:rPr>
                <w:rFonts w:eastAsia="Times New Roman" w:cs="Times New Roman"/>
                <w:color w:val="000000" w:themeColor="text1"/>
                <w:sz w:val="22"/>
              </w:rPr>
              <w:t>Column percentages are shown among men and women separately</w:t>
            </w:r>
          </w:p>
        </w:tc>
        <w:tc>
          <w:tcPr>
            <w:tcW w:w="1628" w:type="dxa"/>
            <w:tcBorders>
              <w:top w:val="nil"/>
              <w:left w:val="nil"/>
              <w:bottom w:val="nil"/>
              <w:right w:val="nil"/>
            </w:tcBorders>
            <w:vAlign w:val="bottom"/>
          </w:tcPr>
          <w:p w14:paraId="7A95E91B" w14:textId="1CC3051F" w:rsidR="60E0DABE" w:rsidRDefault="60E0DABE"/>
        </w:tc>
      </w:tr>
      <w:tr w:rsidR="60E0DABE" w14:paraId="4D01F811" w14:textId="77777777" w:rsidTr="60E0DABE">
        <w:trPr>
          <w:trHeight w:val="570"/>
        </w:trPr>
        <w:tc>
          <w:tcPr>
            <w:tcW w:w="9768" w:type="dxa"/>
            <w:gridSpan w:val="6"/>
            <w:vMerge w:val="restart"/>
            <w:tcBorders>
              <w:top w:val="nil"/>
              <w:left w:val="nil"/>
              <w:bottom w:val="nil"/>
              <w:right w:val="nil"/>
            </w:tcBorders>
            <w:vAlign w:val="bottom"/>
          </w:tcPr>
          <w:p w14:paraId="71AE7B4D" w14:textId="15BA66BC" w:rsidR="60E0DABE" w:rsidRDefault="60E0DABE" w:rsidP="60E0DABE">
            <w:r w:rsidRPr="60E0DABE">
              <w:rPr>
                <w:rFonts w:eastAsia="Times New Roman" w:cs="Times New Roman"/>
                <w:color w:val="000000" w:themeColor="text1"/>
                <w:sz w:val="22"/>
              </w:rPr>
              <w:t>Correlations between declines in diet quality and physical activity were statistically significant among men (p=0.002) and women (p=0.007)</w:t>
            </w:r>
          </w:p>
        </w:tc>
      </w:tr>
      <w:tr w:rsidR="60E0DABE" w14:paraId="02CFAFC4" w14:textId="77777777" w:rsidTr="60E0DABE">
        <w:trPr>
          <w:trHeight w:val="636"/>
        </w:trPr>
        <w:tc>
          <w:tcPr>
            <w:tcW w:w="9768" w:type="dxa"/>
            <w:gridSpan w:val="6"/>
            <w:vMerge/>
            <w:tcBorders>
              <w:left w:val="nil"/>
            </w:tcBorders>
            <w:vAlign w:val="center"/>
          </w:tcPr>
          <w:p w14:paraId="2E6AF3E6" w14:textId="77777777" w:rsidR="00F64F8F" w:rsidRDefault="00F64F8F"/>
        </w:tc>
      </w:tr>
    </w:tbl>
    <w:p w14:paraId="62E52F1C" w14:textId="5C667418" w:rsidR="60E0DABE" w:rsidRDefault="60E0DABE" w:rsidP="60E0DABE"/>
    <w:sectPr w:rsidR="60E0DABE" w:rsidSect="00D537FA">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7EEE" w14:textId="77777777" w:rsidR="00E85E5F" w:rsidRDefault="00E85E5F" w:rsidP="00117666">
      <w:pPr>
        <w:spacing w:after="0"/>
      </w:pPr>
      <w:r>
        <w:separator/>
      </w:r>
    </w:p>
  </w:endnote>
  <w:endnote w:type="continuationSeparator" w:id="0">
    <w:p w14:paraId="73B12CFA" w14:textId="77777777" w:rsidR="00E85E5F" w:rsidRDefault="00E85E5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980A587" w:rsidR="00686C9D" w:rsidRPr="00577C4C" w:rsidRDefault="00C52A7B">
    <w:pPr>
      <w:pStyle w:val="Footer"/>
      <w:rPr>
        <w:color w:val="C00000"/>
        <w:szCs w:val="24"/>
      </w:rPr>
    </w:pPr>
    <w:r>
      <w:rPr>
        <w:noProof/>
        <w:lang w:val="en-GB" w:eastAsia="en-GB"/>
      </w:rPr>
      <mc:AlternateContent>
        <mc:Choice Requires="wps">
          <w:drawing>
            <wp:anchor distT="0" distB="0" distL="114300" distR="114300" simplePos="0" relativeHeight="251661312" behindDoc="0" locked="0" layoutInCell="1" allowOverlap="1" wp14:anchorId="51D4B8BD" wp14:editId="575B1817">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14951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686C9D" w:rsidRPr="00577C4C" w:rsidRDefault="00C52A7B">
    <w:pPr>
      <w:pStyle w:val="Footer"/>
      <w:rPr>
        <w:b/>
        <w:sz w:val="20"/>
        <w:szCs w:val="24"/>
      </w:rPr>
    </w:pPr>
    <w:r>
      <w:rPr>
        <w:noProof/>
        <w:lang w:val="en-GB" w:eastAsia="en-GB"/>
      </w:rPr>
      <mc:AlternateContent>
        <mc:Choice Requires="wps">
          <w:drawing>
            <wp:anchor distT="0" distB="0" distL="114300" distR="114300" simplePos="0" relativeHeight="25165721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74D070C5" w14:textId="77777777" w:rsidR="00686C9D" w:rsidRPr="00577C4C" w:rsidRDefault="00C52A7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8513A"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3A17" w14:textId="77777777" w:rsidR="00E85E5F" w:rsidRDefault="00E85E5F" w:rsidP="00117666">
      <w:pPr>
        <w:spacing w:after="0"/>
      </w:pPr>
      <w:r>
        <w:separator/>
      </w:r>
    </w:p>
  </w:footnote>
  <w:footnote w:type="continuationSeparator" w:id="0">
    <w:p w14:paraId="401CB82A" w14:textId="77777777" w:rsidR="00E85E5F" w:rsidRDefault="00E85E5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77777777" w:rsidR="00686C9D" w:rsidRPr="007E3148" w:rsidRDefault="00C52A7B"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77777777" w:rsidR="00686C9D" w:rsidRPr="00A53000" w:rsidRDefault="00C52A7B"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7777777" w:rsidR="00686C9D" w:rsidRDefault="005A1D84"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16748"/>
    <w:multiLevelType w:val="hybridMultilevel"/>
    <w:tmpl w:val="FCD416DC"/>
    <w:lvl w:ilvl="0" w:tplc="7EECBC78">
      <w:start w:val="1"/>
      <w:numFmt w:val="bullet"/>
      <w:lvlText w:val="·"/>
      <w:lvlJc w:val="left"/>
      <w:pPr>
        <w:ind w:left="720" w:hanging="360"/>
      </w:pPr>
      <w:rPr>
        <w:rFonts w:ascii="Symbol" w:hAnsi="Symbol" w:hint="default"/>
      </w:rPr>
    </w:lvl>
    <w:lvl w:ilvl="1" w:tplc="BF7ECCB6">
      <w:start w:val="1"/>
      <w:numFmt w:val="bullet"/>
      <w:lvlText w:val="o"/>
      <w:lvlJc w:val="left"/>
      <w:pPr>
        <w:ind w:left="1440" w:hanging="360"/>
      </w:pPr>
      <w:rPr>
        <w:rFonts w:ascii="Courier New" w:hAnsi="Courier New" w:hint="default"/>
      </w:rPr>
    </w:lvl>
    <w:lvl w:ilvl="2" w:tplc="F3743646">
      <w:start w:val="1"/>
      <w:numFmt w:val="bullet"/>
      <w:lvlText w:val=""/>
      <w:lvlJc w:val="left"/>
      <w:pPr>
        <w:ind w:left="2160" w:hanging="360"/>
      </w:pPr>
      <w:rPr>
        <w:rFonts w:ascii="Wingdings" w:hAnsi="Wingdings" w:hint="default"/>
      </w:rPr>
    </w:lvl>
    <w:lvl w:ilvl="3" w:tplc="9CD66394">
      <w:start w:val="1"/>
      <w:numFmt w:val="bullet"/>
      <w:lvlText w:val=""/>
      <w:lvlJc w:val="left"/>
      <w:pPr>
        <w:ind w:left="2880" w:hanging="360"/>
      </w:pPr>
      <w:rPr>
        <w:rFonts w:ascii="Symbol" w:hAnsi="Symbol" w:hint="default"/>
      </w:rPr>
    </w:lvl>
    <w:lvl w:ilvl="4" w:tplc="B9429660">
      <w:start w:val="1"/>
      <w:numFmt w:val="bullet"/>
      <w:lvlText w:val="o"/>
      <w:lvlJc w:val="left"/>
      <w:pPr>
        <w:ind w:left="3600" w:hanging="360"/>
      </w:pPr>
      <w:rPr>
        <w:rFonts w:ascii="Courier New" w:hAnsi="Courier New" w:hint="default"/>
      </w:rPr>
    </w:lvl>
    <w:lvl w:ilvl="5" w:tplc="79705A8E">
      <w:start w:val="1"/>
      <w:numFmt w:val="bullet"/>
      <w:lvlText w:val=""/>
      <w:lvlJc w:val="left"/>
      <w:pPr>
        <w:ind w:left="4320" w:hanging="360"/>
      </w:pPr>
      <w:rPr>
        <w:rFonts w:ascii="Wingdings" w:hAnsi="Wingdings" w:hint="default"/>
      </w:rPr>
    </w:lvl>
    <w:lvl w:ilvl="6" w:tplc="82B2734E">
      <w:start w:val="1"/>
      <w:numFmt w:val="bullet"/>
      <w:lvlText w:val=""/>
      <w:lvlJc w:val="left"/>
      <w:pPr>
        <w:ind w:left="5040" w:hanging="360"/>
      </w:pPr>
      <w:rPr>
        <w:rFonts w:ascii="Symbol" w:hAnsi="Symbol" w:hint="default"/>
      </w:rPr>
    </w:lvl>
    <w:lvl w:ilvl="7" w:tplc="0AB6479A">
      <w:start w:val="1"/>
      <w:numFmt w:val="bullet"/>
      <w:lvlText w:val="o"/>
      <w:lvlJc w:val="left"/>
      <w:pPr>
        <w:ind w:left="5760" w:hanging="360"/>
      </w:pPr>
      <w:rPr>
        <w:rFonts w:ascii="Courier New" w:hAnsi="Courier New" w:hint="default"/>
      </w:rPr>
    </w:lvl>
    <w:lvl w:ilvl="8" w:tplc="6396EAA0">
      <w:start w:val="1"/>
      <w:numFmt w:val="bullet"/>
      <w:lvlText w:val=""/>
      <w:lvlJc w:val="left"/>
      <w:pPr>
        <w:ind w:left="6480" w:hanging="360"/>
      </w:pPr>
      <w:rPr>
        <w:rFonts w:ascii="Wingdings" w:hAnsi="Wingding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22143"/>
    <w:multiLevelType w:val="hybridMultilevel"/>
    <w:tmpl w:val="609CD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52220"/>
    <w:multiLevelType w:val="multilevel"/>
    <w:tmpl w:val="C702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FF4672"/>
    <w:multiLevelType w:val="multilevel"/>
    <w:tmpl w:val="895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05653A"/>
    <w:multiLevelType w:val="hybridMultilevel"/>
    <w:tmpl w:val="3C6A1F58"/>
    <w:lvl w:ilvl="0" w:tplc="EB221E24">
      <w:start w:val="1"/>
      <w:numFmt w:val="decimal"/>
      <w:lvlText w:val="%1."/>
      <w:lvlJc w:val="left"/>
      <w:pPr>
        <w:ind w:left="720" w:hanging="360"/>
      </w:pPr>
    </w:lvl>
    <w:lvl w:ilvl="1" w:tplc="AC409710">
      <w:start w:val="1"/>
      <w:numFmt w:val="lowerLetter"/>
      <w:lvlText w:val="%2."/>
      <w:lvlJc w:val="left"/>
      <w:pPr>
        <w:ind w:left="1440" w:hanging="360"/>
      </w:pPr>
    </w:lvl>
    <w:lvl w:ilvl="2" w:tplc="E65607B2">
      <w:start w:val="1"/>
      <w:numFmt w:val="lowerRoman"/>
      <w:lvlText w:val="%3."/>
      <w:lvlJc w:val="right"/>
      <w:pPr>
        <w:ind w:left="2160" w:hanging="180"/>
      </w:pPr>
    </w:lvl>
    <w:lvl w:ilvl="3" w:tplc="719CFFE8">
      <w:start w:val="1"/>
      <w:numFmt w:val="decimal"/>
      <w:lvlText w:val="%4."/>
      <w:lvlJc w:val="left"/>
      <w:pPr>
        <w:ind w:left="2880" w:hanging="360"/>
      </w:pPr>
    </w:lvl>
    <w:lvl w:ilvl="4" w:tplc="2B5848B2">
      <w:start w:val="1"/>
      <w:numFmt w:val="lowerLetter"/>
      <w:lvlText w:val="%5."/>
      <w:lvlJc w:val="left"/>
      <w:pPr>
        <w:ind w:left="3600" w:hanging="360"/>
      </w:pPr>
    </w:lvl>
    <w:lvl w:ilvl="5" w:tplc="6D0849E0">
      <w:start w:val="1"/>
      <w:numFmt w:val="lowerRoman"/>
      <w:lvlText w:val="%6."/>
      <w:lvlJc w:val="right"/>
      <w:pPr>
        <w:ind w:left="4320" w:hanging="180"/>
      </w:pPr>
    </w:lvl>
    <w:lvl w:ilvl="6" w:tplc="8A00BBAA">
      <w:start w:val="1"/>
      <w:numFmt w:val="decimal"/>
      <w:lvlText w:val="%7."/>
      <w:lvlJc w:val="left"/>
      <w:pPr>
        <w:ind w:left="5040" w:hanging="360"/>
      </w:pPr>
    </w:lvl>
    <w:lvl w:ilvl="7" w:tplc="017086D2">
      <w:start w:val="1"/>
      <w:numFmt w:val="lowerLetter"/>
      <w:lvlText w:val="%8."/>
      <w:lvlJc w:val="left"/>
      <w:pPr>
        <w:ind w:left="5760" w:hanging="360"/>
      </w:pPr>
    </w:lvl>
    <w:lvl w:ilvl="8" w:tplc="A244A15E">
      <w:start w:val="1"/>
      <w:numFmt w:val="lowerRoman"/>
      <w:lvlText w:val="%9."/>
      <w:lvlJc w:val="right"/>
      <w:pPr>
        <w:ind w:left="6480" w:hanging="180"/>
      </w:pPr>
    </w:lvl>
  </w:abstractNum>
  <w:abstractNum w:abstractNumId="17"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042E8"/>
    <w:multiLevelType w:val="multilevel"/>
    <w:tmpl w:val="1A72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D23923"/>
    <w:multiLevelType w:val="multilevel"/>
    <w:tmpl w:val="73A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C6F29"/>
    <w:multiLevelType w:val="multilevel"/>
    <w:tmpl w:val="C6A8CCEA"/>
    <w:numStyleLink w:val="Headings"/>
  </w:abstractNum>
  <w:abstractNum w:abstractNumId="24"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8"/>
  </w:num>
  <w:num w:numId="3">
    <w:abstractNumId w:val="2"/>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7"/>
  </w:num>
  <w:num w:numId="9">
    <w:abstractNumId w:val="10"/>
  </w:num>
  <w:num w:numId="10">
    <w:abstractNumId w:val="8"/>
  </w:num>
  <w:num w:numId="11">
    <w:abstractNumId w:val="3"/>
  </w:num>
  <w:num w:numId="12">
    <w:abstractNumId w:val="24"/>
  </w:num>
  <w:num w:numId="13">
    <w:abstractNumId w:val="17"/>
  </w:num>
  <w:num w:numId="14">
    <w:abstractNumId w:val="5"/>
  </w:num>
  <w:num w:numId="15">
    <w:abstractNumId w:val="14"/>
  </w:num>
  <w:num w:numId="16">
    <w:abstractNumId w:val="21"/>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3"/>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6"/>
  </w:num>
  <w:num w:numId="24">
    <w:abstractNumId w:val="1"/>
  </w:num>
  <w:num w:numId="25">
    <w:abstractNumId w:val="15"/>
  </w:num>
  <w:num w:numId="26">
    <w:abstractNumId w:val="13"/>
  </w:num>
  <w:num w:numId="27">
    <w:abstractNumId w:val="20"/>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1"/>
    <w:rsid w:val="00001FC4"/>
    <w:rsid w:val="00021E6C"/>
    <w:rsid w:val="00034304"/>
    <w:rsid w:val="00035434"/>
    <w:rsid w:val="0004555F"/>
    <w:rsid w:val="00045678"/>
    <w:rsid w:val="000458E4"/>
    <w:rsid w:val="00054562"/>
    <w:rsid w:val="00063D84"/>
    <w:rsid w:val="0006636D"/>
    <w:rsid w:val="00077D53"/>
    <w:rsid w:val="00081394"/>
    <w:rsid w:val="000B09E9"/>
    <w:rsid w:val="000B34BD"/>
    <w:rsid w:val="000B6CCA"/>
    <w:rsid w:val="000C3112"/>
    <w:rsid w:val="000C7E2A"/>
    <w:rsid w:val="000E6E3C"/>
    <w:rsid w:val="000F4598"/>
    <w:rsid w:val="000F4CFB"/>
    <w:rsid w:val="00114CB7"/>
    <w:rsid w:val="00117666"/>
    <w:rsid w:val="001223A7"/>
    <w:rsid w:val="0012647C"/>
    <w:rsid w:val="00134256"/>
    <w:rsid w:val="00147395"/>
    <w:rsid w:val="001552C9"/>
    <w:rsid w:val="00155961"/>
    <w:rsid w:val="00177D84"/>
    <w:rsid w:val="00180C8B"/>
    <w:rsid w:val="001964EF"/>
    <w:rsid w:val="001B1A2C"/>
    <w:rsid w:val="001C63C2"/>
    <w:rsid w:val="001D5C23"/>
    <w:rsid w:val="001F4C07"/>
    <w:rsid w:val="00220AEA"/>
    <w:rsid w:val="00226954"/>
    <w:rsid w:val="002629A3"/>
    <w:rsid w:val="00265660"/>
    <w:rsid w:val="0026784F"/>
    <w:rsid w:val="00267D18"/>
    <w:rsid w:val="002868E2"/>
    <w:rsid w:val="002869C3"/>
    <w:rsid w:val="002936E4"/>
    <w:rsid w:val="00296B88"/>
    <w:rsid w:val="002C74CA"/>
    <w:rsid w:val="002F5C98"/>
    <w:rsid w:val="002F744D"/>
    <w:rsid w:val="00303DE6"/>
    <w:rsid w:val="00310124"/>
    <w:rsid w:val="00340F0E"/>
    <w:rsid w:val="003512A8"/>
    <w:rsid w:val="003544FB"/>
    <w:rsid w:val="003569BA"/>
    <w:rsid w:val="003617D8"/>
    <w:rsid w:val="00365D63"/>
    <w:rsid w:val="0036793B"/>
    <w:rsid w:val="00372682"/>
    <w:rsid w:val="00376CC5"/>
    <w:rsid w:val="0039693B"/>
    <w:rsid w:val="003D2F2D"/>
    <w:rsid w:val="00401590"/>
    <w:rsid w:val="00422C94"/>
    <w:rsid w:val="00463E3D"/>
    <w:rsid w:val="004645AE"/>
    <w:rsid w:val="0048426D"/>
    <w:rsid w:val="004B6F3C"/>
    <w:rsid w:val="004C271D"/>
    <w:rsid w:val="004D3E33"/>
    <w:rsid w:val="005250F2"/>
    <w:rsid w:val="00593966"/>
    <w:rsid w:val="005A1D84"/>
    <w:rsid w:val="005A70EA"/>
    <w:rsid w:val="005B1EEA"/>
    <w:rsid w:val="005C3963"/>
    <w:rsid w:val="005D1840"/>
    <w:rsid w:val="005D35E4"/>
    <w:rsid w:val="005D7910"/>
    <w:rsid w:val="005E0D7B"/>
    <w:rsid w:val="005F5D11"/>
    <w:rsid w:val="005F5FF6"/>
    <w:rsid w:val="0062154F"/>
    <w:rsid w:val="00627BBE"/>
    <w:rsid w:val="00631A8C"/>
    <w:rsid w:val="00651CA2"/>
    <w:rsid w:val="00653D60"/>
    <w:rsid w:val="00660D05"/>
    <w:rsid w:val="00671D9A"/>
    <w:rsid w:val="00673952"/>
    <w:rsid w:val="00681821"/>
    <w:rsid w:val="00686C9D"/>
    <w:rsid w:val="006B2D5B"/>
    <w:rsid w:val="006B361D"/>
    <w:rsid w:val="006B7D14"/>
    <w:rsid w:val="006D5434"/>
    <w:rsid w:val="006D5B93"/>
    <w:rsid w:val="00706C03"/>
    <w:rsid w:val="00712016"/>
    <w:rsid w:val="00725A7D"/>
    <w:rsid w:val="0073085C"/>
    <w:rsid w:val="00733784"/>
    <w:rsid w:val="00745ACB"/>
    <w:rsid w:val="00746505"/>
    <w:rsid w:val="00790BB3"/>
    <w:rsid w:val="00792043"/>
    <w:rsid w:val="00797EDD"/>
    <w:rsid w:val="007B0322"/>
    <w:rsid w:val="007C0E3F"/>
    <w:rsid w:val="007C206C"/>
    <w:rsid w:val="007C5729"/>
    <w:rsid w:val="007E7A98"/>
    <w:rsid w:val="008111E4"/>
    <w:rsid w:val="0081301C"/>
    <w:rsid w:val="00817DD6"/>
    <w:rsid w:val="008629A9"/>
    <w:rsid w:val="00862A27"/>
    <w:rsid w:val="00864CAF"/>
    <w:rsid w:val="0088513A"/>
    <w:rsid w:val="00893C19"/>
    <w:rsid w:val="008B4539"/>
    <w:rsid w:val="008C245D"/>
    <w:rsid w:val="008D6C3D"/>
    <w:rsid w:val="008D6C8D"/>
    <w:rsid w:val="008E2B54"/>
    <w:rsid w:val="008E4404"/>
    <w:rsid w:val="008E58C7"/>
    <w:rsid w:val="008F5021"/>
    <w:rsid w:val="0090046A"/>
    <w:rsid w:val="009008E7"/>
    <w:rsid w:val="00940C2D"/>
    <w:rsid w:val="009410E5"/>
    <w:rsid w:val="00943573"/>
    <w:rsid w:val="009604BF"/>
    <w:rsid w:val="00971B61"/>
    <w:rsid w:val="00974698"/>
    <w:rsid w:val="00980C31"/>
    <w:rsid w:val="00990062"/>
    <w:rsid w:val="009955FF"/>
    <w:rsid w:val="00995B2A"/>
    <w:rsid w:val="00997293"/>
    <w:rsid w:val="009D259D"/>
    <w:rsid w:val="00A029D1"/>
    <w:rsid w:val="00A11760"/>
    <w:rsid w:val="00A36F89"/>
    <w:rsid w:val="00A50D9D"/>
    <w:rsid w:val="00A53000"/>
    <w:rsid w:val="00A545C6"/>
    <w:rsid w:val="00A652D0"/>
    <w:rsid w:val="00A75F87"/>
    <w:rsid w:val="00A95D8B"/>
    <w:rsid w:val="00AC0270"/>
    <w:rsid w:val="00AC3EA3"/>
    <w:rsid w:val="00AC792D"/>
    <w:rsid w:val="00AE1413"/>
    <w:rsid w:val="00AF6C61"/>
    <w:rsid w:val="00B177B5"/>
    <w:rsid w:val="00B23C62"/>
    <w:rsid w:val="00B657B8"/>
    <w:rsid w:val="00B820EE"/>
    <w:rsid w:val="00B84920"/>
    <w:rsid w:val="00B8556A"/>
    <w:rsid w:val="00B90B4B"/>
    <w:rsid w:val="00C012A3"/>
    <w:rsid w:val="00C16F19"/>
    <w:rsid w:val="00C21B75"/>
    <w:rsid w:val="00C30D27"/>
    <w:rsid w:val="00C322BD"/>
    <w:rsid w:val="00C52A7B"/>
    <w:rsid w:val="00C61244"/>
    <w:rsid w:val="00C6324C"/>
    <w:rsid w:val="00C679AA"/>
    <w:rsid w:val="00C724CF"/>
    <w:rsid w:val="00C73441"/>
    <w:rsid w:val="00C749E7"/>
    <w:rsid w:val="00C75972"/>
    <w:rsid w:val="00C82792"/>
    <w:rsid w:val="00C87123"/>
    <w:rsid w:val="00C948FD"/>
    <w:rsid w:val="00CB43D5"/>
    <w:rsid w:val="00CB48DA"/>
    <w:rsid w:val="00CB57A5"/>
    <w:rsid w:val="00CC76F9"/>
    <w:rsid w:val="00CD066B"/>
    <w:rsid w:val="00CD46E2"/>
    <w:rsid w:val="00CD5016"/>
    <w:rsid w:val="00D00D0B"/>
    <w:rsid w:val="00D04B69"/>
    <w:rsid w:val="00D05E55"/>
    <w:rsid w:val="00D537FA"/>
    <w:rsid w:val="00D5547D"/>
    <w:rsid w:val="00D70867"/>
    <w:rsid w:val="00D80D99"/>
    <w:rsid w:val="00D9503C"/>
    <w:rsid w:val="00DB2E56"/>
    <w:rsid w:val="00DD3BA3"/>
    <w:rsid w:val="00DD73EF"/>
    <w:rsid w:val="00DE23E8"/>
    <w:rsid w:val="00DE3B54"/>
    <w:rsid w:val="00E0128B"/>
    <w:rsid w:val="00E46A1C"/>
    <w:rsid w:val="00E64E17"/>
    <w:rsid w:val="00E76376"/>
    <w:rsid w:val="00E85E5F"/>
    <w:rsid w:val="00EA3D3C"/>
    <w:rsid w:val="00EB1A96"/>
    <w:rsid w:val="00EC0DFB"/>
    <w:rsid w:val="00EC7CC3"/>
    <w:rsid w:val="00F0762E"/>
    <w:rsid w:val="00F21860"/>
    <w:rsid w:val="00F40990"/>
    <w:rsid w:val="00F46494"/>
    <w:rsid w:val="00F558AB"/>
    <w:rsid w:val="00F61D89"/>
    <w:rsid w:val="00F64F8F"/>
    <w:rsid w:val="00F7035D"/>
    <w:rsid w:val="00F857F5"/>
    <w:rsid w:val="00F86ABB"/>
    <w:rsid w:val="00FD7648"/>
    <w:rsid w:val="01EE630E"/>
    <w:rsid w:val="030F4297"/>
    <w:rsid w:val="032AA651"/>
    <w:rsid w:val="033CBAC2"/>
    <w:rsid w:val="03A21CC8"/>
    <w:rsid w:val="04263EB4"/>
    <w:rsid w:val="04C0D96C"/>
    <w:rsid w:val="052EDD61"/>
    <w:rsid w:val="053DED29"/>
    <w:rsid w:val="0547D57D"/>
    <w:rsid w:val="05D90CDB"/>
    <w:rsid w:val="06061A2E"/>
    <w:rsid w:val="06207AE9"/>
    <w:rsid w:val="0680ED00"/>
    <w:rsid w:val="06C0CB2D"/>
    <w:rsid w:val="07D458FF"/>
    <w:rsid w:val="07F7C6C7"/>
    <w:rsid w:val="085C9B8E"/>
    <w:rsid w:val="08F751D5"/>
    <w:rsid w:val="09B94B65"/>
    <w:rsid w:val="0A21501D"/>
    <w:rsid w:val="0ADE95F7"/>
    <w:rsid w:val="0B943C50"/>
    <w:rsid w:val="0B980464"/>
    <w:rsid w:val="0B9DEEA4"/>
    <w:rsid w:val="0BB331A7"/>
    <w:rsid w:val="0D119056"/>
    <w:rsid w:val="0D20C6E9"/>
    <w:rsid w:val="0D58F0DF"/>
    <w:rsid w:val="0E3AEF63"/>
    <w:rsid w:val="0E572CCD"/>
    <w:rsid w:val="0FE2D7F7"/>
    <w:rsid w:val="10493118"/>
    <w:rsid w:val="10F0048B"/>
    <w:rsid w:val="115CB486"/>
    <w:rsid w:val="14572533"/>
    <w:rsid w:val="1758DF05"/>
    <w:rsid w:val="182E4103"/>
    <w:rsid w:val="19043DF1"/>
    <w:rsid w:val="19E04F40"/>
    <w:rsid w:val="1B46E1C5"/>
    <w:rsid w:val="1B6E455B"/>
    <w:rsid w:val="1CCE8678"/>
    <w:rsid w:val="1F02E0BF"/>
    <w:rsid w:val="1F9E4B6A"/>
    <w:rsid w:val="1FE29297"/>
    <w:rsid w:val="223A8181"/>
    <w:rsid w:val="23E643B3"/>
    <w:rsid w:val="257AA646"/>
    <w:rsid w:val="25E2137F"/>
    <w:rsid w:val="26358F4A"/>
    <w:rsid w:val="280C3C70"/>
    <w:rsid w:val="281563F1"/>
    <w:rsid w:val="29B57B1F"/>
    <w:rsid w:val="29C9EC62"/>
    <w:rsid w:val="2C473CCD"/>
    <w:rsid w:val="2D45C570"/>
    <w:rsid w:val="2E187280"/>
    <w:rsid w:val="31F2D1C2"/>
    <w:rsid w:val="3402DE2B"/>
    <w:rsid w:val="35A3A5A6"/>
    <w:rsid w:val="365DAFB8"/>
    <w:rsid w:val="38FD87B0"/>
    <w:rsid w:val="3A1F6DBE"/>
    <w:rsid w:val="3B4CE878"/>
    <w:rsid w:val="3E80F3C7"/>
    <w:rsid w:val="4012A4A7"/>
    <w:rsid w:val="4097FD8F"/>
    <w:rsid w:val="40BE299E"/>
    <w:rsid w:val="412C2457"/>
    <w:rsid w:val="41B427C8"/>
    <w:rsid w:val="41D13006"/>
    <w:rsid w:val="42A3DD16"/>
    <w:rsid w:val="430F48F1"/>
    <w:rsid w:val="44A42141"/>
    <w:rsid w:val="483F7470"/>
    <w:rsid w:val="487521CC"/>
    <w:rsid w:val="494F50FE"/>
    <w:rsid w:val="495A6BB8"/>
    <w:rsid w:val="49EEA73C"/>
    <w:rsid w:val="4C156515"/>
    <w:rsid w:val="4C97AEDC"/>
    <w:rsid w:val="4CE7E427"/>
    <w:rsid w:val="4D9326E6"/>
    <w:rsid w:val="4DF37801"/>
    <w:rsid w:val="4F05E05E"/>
    <w:rsid w:val="4FB5E762"/>
    <w:rsid w:val="5013B823"/>
    <w:rsid w:val="526EE134"/>
    <w:rsid w:val="55869305"/>
    <w:rsid w:val="5618BA89"/>
    <w:rsid w:val="563AB3D6"/>
    <w:rsid w:val="58518679"/>
    <w:rsid w:val="58B3F9D3"/>
    <w:rsid w:val="59312FEA"/>
    <w:rsid w:val="593F523B"/>
    <w:rsid w:val="59707E1C"/>
    <w:rsid w:val="5B8DEEB6"/>
    <w:rsid w:val="5C02729F"/>
    <w:rsid w:val="5CA20F2C"/>
    <w:rsid w:val="5F8E938C"/>
    <w:rsid w:val="6017E1EA"/>
    <w:rsid w:val="604353DD"/>
    <w:rsid w:val="60E0DABE"/>
    <w:rsid w:val="60F150B6"/>
    <w:rsid w:val="612A63ED"/>
    <w:rsid w:val="63D869E7"/>
    <w:rsid w:val="6416A514"/>
    <w:rsid w:val="69676C7D"/>
    <w:rsid w:val="69D5EA59"/>
    <w:rsid w:val="6A0E3BED"/>
    <w:rsid w:val="6AD36263"/>
    <w:rsid w:val="6DA97BEF"/>
    <w:rsid w:val="707D022F"/>
    <w:rsid w:val="70C8ED5B"/>
    <w:rsid w:val="70F5A398"/>
    <w:rsid w:val="72B15E67"/>
    <w:rsid w:val="72C15038"/>
    <w:rsid w:val="74D64DE7"/>
    <w:rsid w:val="7507C91C"/>
    <w:rsid w:val="769D65DE"/>
    <w:rsid w:val="77A6E794"/>
    <w:rsid w:val="78E48576"/>
    <w:rsid w:val="792923EE"/>
    <w:rsid w:val="799004A6"/>
    <w:rsid w:val="7DF40308"/>
    <w:rsid w:val="7E58210E"/>
    <w:rsid w:val="7E87D7ED"/>
    <w:rsid w:val="7EE55D45"/>
    <w:rsid w:val="7F1C8C38"/>
    <w:rsid w:val="7F6C9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B361D"/>
    <w:rPr>
      <w:color w:val="605E5C"/>
      <w:shd w:val="clear" w:color="auto" w:fill="E1DFDD"/>
    </w:rPr>
  </w:style>
  <w:style w:type="paragraph" w:customStyle="1" w:styleId="MDPI62BackMatter">
    <w:name w:val="MDPI_6.2_BackMatter"/>
    <w:qFormat/>
    <w:rsid w:val="00C749E7"/>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xmsolistparagraph">
    <w:name w:val="x_msolistparagraph"/>
    <w:basedOn w:val="Normal"/>
    <w:rsid w:val="009008E7"/>
    <w:pPr>
      <w:spacing w:before="100" w:beforeAutospacing="1" w:after="100" w:afterAutospacing="1"/>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00997725">
      <w:bodyDiv w:val="1"/>
      <w:marLeft w:val="0"/>
      <w:marRight w:val="0"/>
      <w:marTop w:val="0"/>
      <w:marBottom w:val="0"/>
      <w:divBdr>
        <w:top w:val="none" w:sz="0" w:space="0" w:color="auto"/>
        <w:left w:val="none" w:sz="0" w:space="0" w:color="auto"/>
        <w:bottom w:val="none" w:sz="0" w:space="0" w:color="auto"/>
        <w:right w:val="none" w:sz="0" w:space="0" w:color="auto"/>
      </w:divBdr>
      <w:divsChild>
        <w:div w:id="19089723">
          <w:marLeft w:val="0"/>
          <w:marRight w:val="0"/>
          <w:marTop w:val="0"/>
          <w:marBottom w:val="0"/>
          <w:divBdr>
            <w:top w:val="none" w:sz="0" w:space="0" w:color="auto"/>
            <w:left w:val="none" w:sz="0" w:space="0" w:color="auto"/>
            <w:bottom w:val="none" w:sz="0" w:space="0" w:color="auto"/>
            <w:right w:val="none" w:sz="0" w:space="0" w:color="auto"/>
          </w:divBdr>
          <w:divsChild>
            <w:div w:id="145634317">
              <w:marLeft w:val="210"/>
              <w:marRight w:val="0"/>
              <w:marTop w:val="120"/>
              <w:marBottom w:val="0"/>
              <w:divBdr>
                <w:top w:val="none" w:sz="0" w:space="0" w:color="auto"/>
                <w:left w:val="none" w:sz="0" w:space="0" w:color="auto"/>
                <w:bottom w:val="none" w:sz="0" w:space="0" w:color="auto"/>
                <w:right w:val="none" w:sz="0" w:space="0" w:color="auto"/>
              </w:divBdr>
              <w:divsChild>
                <w:div w:id="1377662014">
                  <w:marLeft w:val="0"/>
                  <w:marRight w:val="0"/>
                  <w:marTop w:val="0"/>
                  <w:marBottom w:val="0"/>
                  <w:divBdr>
                    <w:top w:val="none" w:sz="0" w:space="0" w:color="auto"/>
                    <w:left w:val="none" w:sz="0" w:space="0" w:color="auto"/>
                    <w:bottom w:val="none" w:sz="0" w:space="0" w:color="auto"/>
                    <w:right w:val="none" w:sz="0" w:space="0" w:color="auto"/>
                  </w:divBdr>
                  <w:divsChild>
                    <w:div w:id="527068156">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987587777">
          <w:marLeft w:val="0"/>
          <w:marRight w:val="0"/>
          <w:marTop w:val="0"/>
          <w:marBottom w:val="0"/>
          <w:divBdr>
            <w:top w:val="none" w:sz="0" w:space="0" w:color="auto"/>
            <w:left w:val="none" w:sz="0" w:space="0" w:color="auto"/>
            <w:bottom w:val="none" w:sz="0" w:space="0" w:color="auto"/>
            <w:right w:val="none" w:sz="0" w:space="0" w:color="auto"/>
          </w:divBdr>
          <w:divsChild>
            <w:div w:id="892156652">
              <w:marLeft w:val="0"/>
              <w:marRight w:val="0"/>
              <w:marTop w:val="0"/>
              <w:marBottom w:val="0"/>
              <w:divBdr>
                <w:top w:val="none" w:sz="0" w:space="0" w:color="auto"/>
                <w:left w:val="none" w:sz="0" w:space="0" w:color="auto"/>
                <w:bottom w:val="none" w:sz="0" w:space="0" w:color="auto"/>
                <w:right w:val="none" w:sz="0" w:space="0" w:color="auto"/>
              </w:divBdr>
              <w:divsChild>
                <w:div w:id="559949471">
                  <w:marLeft w:val="0"/>
                  <w:marRight w:val="0"/>
                  <w:marTop w:val="0"/>
                  <w:marBottom w:val="0"/>
                  <w:divBdr>
                    <w:top w:val="none" w:sz="0" w:space="0" w:color="auto"/>
                    <w:left w:val="none" w:sz="0" w:space="0" w:color="auto"/>
                    <w:bottom w:val="none" w:sz="0" w:space="0" w:color="auto"/>
                    <w:right w:val="none" w:sz="0" w:space="0" w:color="auto"/>
                  </w:divBdr>
                  <w:divsChild>
                    <w:div w:id="838689770">
                      <w:marLeft w:val="30"/>
                      <w:marRight w:val="30"/>
                      <w:marTop w:val="0"/>
                      <w:marBottom w:val="0"/>
                      <w:divBdr>
                        <w:top w:val="none" w:sz="0" w:space="0" w:color="auto"/>
                        <w:left w:val="none" w:sz="0" w:space="0" w:color="auto"/>
                        <w:bottom w:val="none" w:sz="0" w:space="0" w:color="auto"/>
                        <w:right w:val="none" w:sz="0" w:space="0" w:color="auto"/>
                      </w:divBdr>
                      <w:divsChild>
                        <w:div w:id="1479614477">
                          <w:marLeft w:val="180"/>
                          <w:marRight w:val="210"/>
                          <w:marTop w:val="0"/>
                          <w:marBottom w:val="30"/>
                          <w:divBdr>
                            <w:top w:val="none" w:sz="0" w:space="0" w:color="auto"/>
                            <w:left w:val="none" w:sz="0" w:space="0" w:color="auto"/>
                            <w:bottom w:val="none" w:sz="0" w:space="0" w:color="auto"/>
                            <w:right w:val="none" w:sz="0" w:space="0" w:color="auto"/>
                          </w:divBdr>
                          <w:divsChild>
                            <w:div w:id="1108887776">
                              <w:marLeft w:val="0"/>
                              <w:marRight w:val="30"/>
                              <w:marTop w:val="0"/>
                              <w:marBottom w:val="0"/>
                              <w:divBdr>
                                <w:top w:val="none" w:sz="0" w:space="0" w:color="auto"/>
                                <w:left w:val="none" w:sz="0" w:space="0" w:color="auto"/>
                                <w:bottom w:val="none" w:sz="0" w:space="0" w:color="auto"/>
                                <w:right w:val="none" w:sz="0" w:space="0" w:color="auto"/>
                              </w:divBdr>
                              <w:divsChild>
                                <w:div w:id="1563366376">
                                  <w:marLeft w:val="0"/>
                                  <w:marRight w:val="0"/>
                                  <w:marTop w:val="0"/>
                                  <w:marBottom w:val="0"/>
                                  <w:divBdr>
                                    <w:top w:val="none" w:sz="0" w:space="0" w:color="auto"/>
                                    <w:left w:val="none" w:sz="0" w:space="0" w:color="auto"/>
                                    <w:bottom w:val="none" w:sz="0" w:space="0" w:color="auto"/>
                                    <w:right w:val="none" w:sz="0" w:space="0" w:color="auto"/>
                                  </w:divBdr>
                                  <w:divsChild>
                                    <w:div w:id="918759209">
                                      <w:marLeft w:val="0"/>
                                      <w:marRight w:val="0"/>
                                      <w:marTop w:val="0"/>
                                      <w:marBottom w:val="0"/>
                                      <w:divBdr>
                                        <w:top w:val="none" w:sz="0" w:space="0" w:color="auto"/>
                                        <w:left w:val="none" w:sz="0" w:space="0" w:color="auto"/>
                                        <w:bottom w:val="none" w:sz="0" w:space="0" w:color="auto"/>
                                        <w:right w:val="none" w:sz="0" w:space="0" w:color="auto"/>
                                      </w:divBdr>
                                      <w:divsChild>
                                        <w:div w:id="20480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25082104">
      <w:bodyDiv w:val="1"/>
      <w:marLeft w:val="0"/>
      <w:marRight w:val="0"/>
      <w:marTop w:val="0"/>
      <w:marBottom w:val="0"/>
      <w:divBdr>
        <w:top w:val="none" w:sz="0" w:space="0" w:color="auto"/>
        <w:left w:val="none" w:sz="0" w:space="0" w:color="auto"/>
        <w:bottom w:val="none" w:sz="0" w:space="0" w:color="auto"/>
        <w:right w:val="none" w:sz="0" w:space="0" w:color="auto"/>
      </w:divBdr>
    </w:div>
    <w:div w:id="1877619628">
      <w:bodyDiv w:val="1"/>
      <w:marLeft w:val="0"/>
      <w:marRight w:val="0"/>
      <w:marTop w:val="0"/>
      <w:marBottom w:val="0"/>
      <w:divBdr>
        <w:top w:val="none" w:sz="0" w:space="0" w:color="auto"/>
        <w:left w:val="none" w:sz="0" w:space="0" w:color="auto"/>
        <w:bottom w:val="none" w:sz="0" w:space="0" w:color="auto"/>
        <w:right w:val="none" w:sz="0" w:space="0" w:color="auto"/>
      </w:divBdr>
    </w:div>
    <w:div w:id="2007438028">
      <w:bodyDiv w:val="1"/>
      <w:marLeft w:val="0"/>
      <w:marRight w:val="0"/>
      <w:marTop w:val="0"/>
      <w:marBottom w:val="0"/>
      <w:divBdr>
        <w:top w:val="none" w:sz="0" w:space="0" w:color="auto"/>
        <w:left w:val="none" w:sz="0" w:space="0" w:color="auto"/>
        <w:bottom w:val="none" w:sz="0" w:space="0" w:color="auto"/>
        <w:right w:val="none" w:sz="0" w:space="0" w:color="auto"/>
      </w:divBdr>
      <w:divsChild>
        <w:div w:id="957953712">
          <w:marLeft w:val="0"/>
          <w:marRight w:val="0"/>
          <w:marTop w:val="0"/>
          <w:marBottom w:val="0"/>
          <w:divBdr>
            <w:top w:val="none" w:sz="0" w:space="0" w:color="auto"/>
            <w:left w:val="none" w:sz="0" w:space="0" w:color="auto"/>
            <w:bottom w:val="none" w:sz="0" w:space="0" w:color="auto"/>
            <w:right w:val="none" w:sz="0" w:space="0" w:color="auto"/>
          </w:divBdr>
          <w:divsChild>
            <w:div w:id="431630584">
              <w:marLeft w:val="210"/>
              <w:marRight w:val="0"/>
              <w:marTop w:val="120"/>
              <w:marBottom w:val="0"/>
              <w:divBdr>
                <w:top w:val="none" w:sz="0" w:space="0" w:color="auto"/>
                <w:left w:val="none" w:sz="0" w:space="0" w:color="auto"/>
                <w:bottom w:val="none" w:sz="0" w:space="0" w:color="auto"/>
                <w:right w:val="none" w:sz="0" w:space="0" w:color="auto"/>
              </w:divBdr>
              <w:divsChild>
                <w:div w:id="360516543">
                  <w:marLeft w:val="0"/>
                  <w:marRight w:val="0"/>
                  <w:marTop w:val="0"/>
                  <w:marBottom w:val="0"/>
                  <w:divBdr>
                    <w:top w:val="none" w:sz="0" w:space="0" w:color="auto"/>
                    <w:left w:val="none" w:sz="0" w:space="0" w:color="auto"/>
                    <w:bottom w:val="none" w:sz="0" w:space="0" w:color="auto"/>
                    <w:right w:val="none" w:sz="0" w:space="0" w:color="auto"/>
                  </w:divBdr>
                  <w:divsChild>
                    <w:div w:id="1555694199">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21313565">
          <w:marLeft w:val="0"/>
          <w:marRight w:val="0"/>
          <w:marTop w:val="0"/>
          <w:marBottom w:val="0"/>
          <w:divBdr>
            <w:top w:val="none" w:sz="0" w:space="0" w:color="auto"/>
            <w:left w:val="none" w:sz="0" w:space="0" w:color="auto"/>
            <w:bottom w:val="none" w:sz="0" w:space="0" w:color="auto"/>
            <w:right w:val="none" w:sz="0" w:space="0" w:color="auto"/>
          </w:divBdr>
          <w:divsChild>
            <w:div w:id="794979572">
              <w:marLeft w:val="0"/>
              <w:marRight w:val="0"/>
              <w:marTop w:val="0"/>
              <w:marBottom w:val="0"/>
              <w:divBdr>
                <w:top w:val="none" w:sz="0" w:space="0" w:color="auto"/>
                <w:left w:val="none" w:sz="0" w:space="0" w:color="auto"/>
                <w:bottom w:val="none" w:sz="0" w:space="0" w:color="auto"/>
                <w:right w:val="none" w:sz="0" w:space="0" w:color="auto"/>
              </w:divBdr>
              <w:divsChild>
                <w:div w:id="504831443">
                  <w:marLeft w:val="0"/>
                  <w:marRight w:val="0"/>
                  <w:marTop w:val="0"/>
                  <w:marBottom w:val="0"/>
                  <w:divBdr>
                    <w:top w:val="none" w:sz="0" w:space="0" w:color="auto"/>
                    <w:left w:val="none" w:sz="0" w:space="0" w:color="auto"/>
                    <w:bottom w:val="none" w:sz="0" w:space="0" w:color="auto"/>
                    <w:right w:val="none" w:sz="0" w:space="0" w:color="auto"/>
                  </w:divBdr>
                  <w:divsChild>
                    <w:div w:id="977957837">
                      <w:marLeft w:val="30"/>
                      <w:marRight w:val="30"/>
                      <w:marTop w:val="0"/>
                      <w:marBottom w:val="0"/>
                      <w:divBdr>
                        <w:top w:val="none" w:sz="0" w:space="0" w:color="auto"/>
                        <w:left w:val="none" w:sz="0" w:space="0" w:color="auto"/>
                        <w:bottom w:val="none" w:sz="0" w:space="0" w:color="auto"/>
                        <w:right w:val="none" w:sz="0" w:space="0" w:color="auto"/>
                      </w:divBdr>
                      <w:divsChild>
                        <w:div w:id="1179388903">
                          <w:marLeft w:val="180"/>
                          <w:marRight w:val="210"/>
                          <w:marTop w:val="0"/>
                          <w:marBottom w:val="30"/>
                          <w:divBdr>
                            <w:top w:val="none" w:sz="0" w:space="0" w:color="auto"/>
                            <w:left w:val="none" w:sz="0" w:space="0" w:color="auto"/>
                            <w:bottom w:val="none" w:sz="0" w:space="0" w:color="auto"/>
                            <w:right w:val="none" w:sz="0" w:space="0" w:color="auto"/>
                          </w:divBdr>
                          <w:divsChild>
                            <w:div w:id="329144675">
                              <w:marLeft w:val="0"/>
                              <w:marRight w:val="30"/>
                              <w:marTop w:val="0"/>
                              <w:marBottom w:val="0"/>
                              <w:divBdr>
                                <w:top w:val="none" w:sz="0" w:space="0" w:color="auto"/>
                                <w:left w:val="none" w:sz="0" w:space="0" w:color="auto"/>
                                <w:bottom w:val="none" w:sz="0" w:space="0" w:color="auto"/>
                                <w:right w:val="none" w:sz="0" w:space="0" w:color="auto"/>
                              </w:divBdr>
                              <w:divsChild>
                                <w:div w:id="877276170">
                                  <w:marLeft w:val="0"/>
                                  <w:marRight w:val="0"/>
                                  <w:marTop w:val="0"/>
                                  <w:marBottom w:val="0"/>
                                  <w:divBdr>
                                    <w:top w:val="none" w:sz="0" w:space="0" w:color="auto"/>
                                    <w:left w:val="none" w:sz="0" w:space="0" w:color="auto"/>
                                    <w:bottom w:val="none" w:sz="0" w:space="0" w:color="auto"/>
                                    <w:right w:val="none" w:sz="0" w:space="0" w:color="auto"/>
                                  </w:divBdr>
                                  <w:divsChild>
                                    <w:div w:id="2107538742">
                                      <w:marLeft w:val="0"/>
                                      <w:marRight w:val="0"/>
                                      <w:marTop w:val="0"/>
                                      <w:marBottom w:val="0"/>
                                      <w:divBdr>
                                        <w:top w:val="none" w:sz="0" w:space="0" w:color="auto"/>
                                        <w:left w:val="none" w:sz="0" w:space="0" w:color="auto"/>
                                        <w:bottom w:val="none" w:sz="0" w:space="0" w:color="auto"/>
                                        <w:right w:val="none" w:sz="0" w:space="0" w:color="auto"/>
                                      </w:divBdr>
                                      <w:divsChild>
                                        <w:div w:id="2687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alspac/researchers/wellcome-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9943E189B6254D8ACAFD91B32BD29E" ma:contentTypeVersion="15" ma:contentTypeDescription="Create a new document." ma:contentTypeScope="" ma:versionID="95b14fe8a987ec44fe61a59ba907bec4">
  <xsd:schema xmlns:xsd="http://www.w3.org/2001/XMLSchema" xmlns:xs="http://www.w3.org/2001/XMLSchema" xmlns:p="http://schemas.microsoft.com/office/2006/metadata/properties" xmlns:ns2="bc09887c-98cc-4faa-9fbf-ef292bbea06d" xmlns:ns3="c1693c98-324b-4a61-8212-6a86d06fc07c" targetNamespace="http://schemas.microsoft.com/office/2006/metadata/properties" ma:root="true" ma:fieldsID="bdd1e3130f460826e8ae80b3cedeed6b" ns2:_="" ns3:_="">
    <xsd:import namespace="bc09887c-98cc-4faa-9fbf-ef292bbea06d"/>
    <xsd:import namespace="c1693c98-324b-4a61-8212-6a86d06fc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9887c-98cc-4faa-9fbf-ef292bbe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693c98-324b-4a61-8212-6a86d06fc0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38a52c-b259-4583-b4be-3f9654465625}" ma:internalName="TaxCatchAll" ma:showField="CatchAllData" ma:web="c1693c98-324b-4a61-8212-6a86d06fc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09887c-98cc-4faa-9fbf-ef292bbea06d">
      <Terms xmlns="http://schemas.microsoft.com/office/infopath/2007/PartnerControls"/>
    </lcf76f155ced4ddcb4097134ff3c332f>
    <TaxCatchAll xmlns="c1693c98-324b-4a61-8212-6a86d06fc07c" xsi:nil="true"/>
  </documentManagement>
</p:properties>
</file>

<file path=customXml/itemProps1.xml><?xml version="1.0" encoding="utf-8"?>
<ds:datastoreItem xmlns:ds="http://schemas.openxmlformats.org/officeDocument/2006/customXml" ds:itemID="{F8524E3B-73B9-4F89-94AC-D107C3BCF3FD}">
  <ds:schemaRefs>
    <ds:schemaRef ds:uri="http://schemas.microsoft.com/sharepoint/v3/contenttype/forms"/>
  </ds:schemaRefs>
</ds:datastoreItem>
</file>

<file path=customXml/itemProps2.xml><?xml version="1.0" encoding="utf-8"?>
<ds:datastoreItem xmlns:ds="http://schemas.openxmlformats.org/officeDocument/2006/customXml" ds:itemID="{D2D11710-6D10-49B3-8C7D-89BE1F114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9887c-98cc-4faa-9fbf-ef292bbea06d"/>
    <ds:schemaRef ds:uri="c1693c98-324b-4a61-8212-6a86d06fc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customXml/itemProps4.xml><?xml version="1.0" encoding="utf-8"?>
<ds:datastoreItem xmlns:ds="http://schemas.openxmlformats.org/officeDocument/2006/customXml" ds:itemID="{191069D2-BB50-4675-81CE-D5FACA313F5D}">
  <ds:schemaRefs>
    <ds:schemaRef ds:uri="http://schemas.microsoft.com/office/2006/metadata/properties"/>
    <ds:schemaRef ds:uri="http://schemas.microsoft.com/office/infopath/2007/PartnerControls"/>
    <ds:schemaRef ds:uri="bc09887c-98cc-4faa-9fbf-ef292bbea06d"/>
    <ds:schemaRef ds:uri="c1693c98-324b-4a61-8212-6a86d06fc07c"/>
  </ds:schemaRefs>
</ds:datastoreItem>
</file>

<file path=docProps/app.xml><?xml version="1.0" encoding="utf-8"?>
<Properties xmlns="http://schemas.openxmlformats.org/officeDocument/2006/extended-properties" xmlns:vt="http://schemas.openxmlformats.org/officeDocument/2006/docPropsVTypes">
  <Template>Frontiers_template</Template>
  <TotalTime>1</TotalTime>
  <Pages>19</Pages>
  <Words>22441</Words>
  <Characters>127916</Characters>
  <Application>Microsoft Office Word</Application>
  <DocSecurity>4</DocSecurity>
  <Lines>1065</Lines>
  <Paragraphs>300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Introduction </vt:lpstr>
      <vt:lpstr>Methods</vt:lpstr>
      <vt:lpstr>    Southampton Longitudinal Study of Ageing (SaLSA)</vt:lpstr>
      <vt:lpstr>    Ascertainment of participant characteristics</vt:lpstr>
      <vt:lpstr>    Statistical methods</vt:lpstr>
      <vt:lpstr>Results</vt:lpstr>
      <vt:lpstr>    Descriptive statistics</vt:lpstr>
      <vt:lpstr>    Predictors of change in diet quality compared to before the first UK lockdown</vt:lpstr>
      <vt:lpstr>    Association between change in diet quality and change in physical activity</vt:lpstr>
      <vt:lpstr>Discussion</vt:lpstr>
    </vt:vector>
  </TitlesOfParts>
  <Company/>
  <LinksUpToDate>false</LinksUpToDate>
  <CharactersWithSpaces>150057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Senn</dc:creator>
  <cp:keywords/>
  <dc:description/>
  <cp:lastModifiedBy>Karen Drake</cp:lastModifiedBy>
  <cp:revision>2</cp:revision>
  <cp:lastPrinted>2022-12-23T15:25:00Z</cp:lastPrinted>
  <dcterms:created xsi:type="dcterms:W3CDTF">2023-01-03T11:26:00Z</dcterms:created>
  <dcterms:modified xsi:type="dcterms:W3CDTF">2023-01-03T11:26:00Z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c8fcf20c-f4b8-3213-b306-9bfcffdaf0cf</vt:lpwstr>
  </property>
  <property fmtid="{D5CDD505-2E9C-101B-9397-08002B2CF9AE}" pid="4" name="Mendeley Citation Style_1">
    <vt:lpwstr>http://csl.mendeley.com/styles/590562071/vancouver-4</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(deprecated)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http://www.zotero.org/styles/journal-of-cachexia-sarcopenia-and-muscle</vt:lpwstr>
  </property>
  <property fmtid="{D5CDD505-2E9C-101B-9397-08002B2CF9AE}" pid="14" name="Mendeley Recent Style Name 4_1">
    <vt:lpwstr>Journal of Cachexia, Sarcopenia and Muscle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http://www.zotero.org/styles/vancouver</vt:lpwstr>
  </property>
  <property fmtid="{D5CDD505-2E9C-101B-9397-08002B2CF9AE}" pid="18" name="Mendeley Recent Style Name 6_1">
    <vt:lpwstr>Vancouver</vt:lpwstr>
  </property>
  <property fmtid="{D5CDD505-2E9C-101B-9397-08002B2CF9AE}" pid="19" name="Mendeley Recent Style Id 7_1">
    <vt:lpwstr>http://csl.mendeley.com/styles/590562071/vancouver-4</vt:lpwstr>
  </property>
  <property fmtid="{D5CDD505-2E9C-101B-9397-08002B2CF9AE}" pid="20" name="Mendeley Recent Style Name 7_1">
    <vt:lpwstr>Vancouver - Faidra Laskou</vt:lpwstr>
  </property>
  <property fmtid="{D5CDD505-2E9C-101B-9397-08002B2CF9AE}" pid="21" name="Mendeley Recent Style Id 8_1">
    <vt:lpwstr>http://csl.mendeley.com/styles/590562071/vancouver</vt:lpwstr>
  </property>
  <property fmtid="{D5CDD505-2E9C-101B-9397-08002B2CF9AE}" pid="22" name="Mendeley Recent Style Name 8_1">
    <vt:lpwstr>Vancouver - Faidra Laskou</vt:lpwstr>
  </property>
  <property fmtid="{D5CDD505-2E9C-101B-9397-08002B2CF9AE}" pid="23" name="Mendeley Recent Style Id 9_1">
    <vt:lpwstr>http://www.zotero.org/styles/zotero-to-endnote-title</vt:lpwstr>
  </property>
  <property fmtid="{D5CDD505-2E9C-101B-9397-08002B2CF9AE}" pid="24" name="Mendeley Recent Style Name 9_1">
    <vt:lpwstr>Zotero to EndNote Title </vt:lpwstr>
  </property>
  <property fmtid="{D5CDD505-2E9C-101B-9397-08002B2CF9AE}" pid="25" name="ContentTypeId">
    <vt:lpwstr>0x010100AF9943E189B6254D8ACAFD91B32BD29E</vt:lpwstr>
  </property>
  <property fmtid="{D5CDD505-2E9C-101B-9397-08002B2CF9AE}" pid="26" name="MediaServiceImageTags">
    <vt:lpwstr/>
  </property>
</Properties>
</file>