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7111F" w14:textId="1DC9BEF9" w:rsidR="00067740" w:rsidRPr="00067740" w:rsidRDefault="000B2DE7" w:rsidP="00207FBE">
      <w:pPr>
        <w:spacing w:line="480" w:lineRule="auto"/>
        <w:rPr>
          <w:rFonts w:eastAsia="Calibri" w:cs="Arial"/>
          <w:b/>
          <w:sz w:val="24"/>
        </w:rPr>
      </w:pPr>
      <w:r>
        <w:rPr>
          <w:rFonts w:eastAsia="Calibri" w:cs="Arial"/>
          <w:b/>
          <w:sz w:val="24"/>
        </w:rPr>
        <w:t>R</w:t>
      </w:r>
      <w:r w:rsidR="00067740" w:rsidRPr="00067740">
        <w:rPr>
          <w:rFonts w:eastAsia="Calibri" w:cs="Arial"/>
          <w:b/>
          <w:sz w:val="24"/>
        </w:rPr>
        <w:t>econsidered surgical aortic valve replacement after declined transcatheter valve implantation</w:t>
      </w:r>
    </w:p>
    <w:p w14:paraId="5BB938D5" w14:textId="6EB71119" w:rsidR="007B36A0" w:rsidRPr="00B94F93" w:rsidRDefault="008A27B8" w:rsidP="00207FBE">
      <w:pPr>
        <w:spacing w:line="480" w:lineRule="auto"/>
        <w:rPr>
          <w:rFonts w:eastAsia="Calibri" w:cs="Arial"/>
          <w:b/>
          <w:bCs/>
          <w:sz w:val="24"/>
          <w:lang w:val="en-GB"/>
        </w:rPr>
      </w:pPr>
      <w:r>
        <w:rPr>
          <w:rFonts w:eastAsia="Calibri" w:cs="Arial"/>
          <w:b/>
          <w:bCs/>
          <w:sz w:val="24"/>
          <w:lang w:val="en-GB"/>
        </w:rPr>
        <w:t>A</w:t>
      </w:r>
      <w:r w:rsidR="00B94F93">
        <w:rPr>
          <w:rFonts w:eastAsia="Calibri" w:cs="Arial"/>
          <w:b/>
          <w:bCs/>
          <w:sz w:val="24"/>
          <w:lang w:val="en-GB"/>
        </w:rPr>
        <w:t>BSTRACT</w:t>
      </w:r>
    </w:p>
    <w:p w14:paraId="6BC6392A" w14:textId="3A6A6E4D" w:rsidR="007B36A0" w:rsidRPr="00543C3F" w:rsidRDefault="00A91AE1" w:rsidP="00207FBE">
      <w:pPr>
        <w:spacing w:line="480" w:lineRule="auto"/>
        <w:rPr>
          <w:rFonts w:eastAsia="Calibri" w:cs="Arial"/>
          <w:b/>
          <w:sz w:val="24"/>
          <w:lang w:val="en-GB"/>
        </w:rPr>
      </w:pPr>
      <w:r>
        <w:rPr>
          <w:rFonts w:eastAsia="Calibri" w:cs="Arial"/>
          <w:b/>
          <w:sz w:val="24"/>
          <w:lang w:val="en-GB"/>
        </w:rPr>
        <w:t>Background</w:t>
      </w:r>
    </w:p>
    <w:p w14:paraId="338469EB" w14:textId="418FAA58" w:rsidR="00CC1A1F" w:rsidRDefault="00AB1023" w:rsidP="00207FBE">
      <w:pPr>
        <w:spacing w:line="480" w:lineRule="auto"/>
        <w:rPr>
          <w:rFonts w:eastAsia="Calibri" w:cs="Arial"/>
          <w:sz w:val="24"/>
          <w:lang w:val="en-GB"/>
        </w:rPr>
      </w:pPr>
      <w:r>
        <w:rPr>
          <w:rFonts w:eastAsia="Calibri" w:cs="Arial"/>
          <w:sz w:val="24"/>
          <w:lang w:val="en-GB"/>
        </w:rPr>
        <w:t>O</w:t>
      </w:r>
      <w:r w:rsidR="00CC1A1F" w:rsidRPr="00CC1A1F">
        <w:rPr>
          <w:rFonts w:eastAsia="Calibri" w:cs="Arial"/>
          <w:sz w:val="24"/>
          <w:lang w:val="en-GB"/>
        </w:rPr>
        <w:t>utcome</w:t>
      </w:r>
      <w:r>
        <w:rPr>
          <w:rFonts w:eastAsia="Calibri" w:cs="Arial"/>
          <w:sz w:val="24"/>
          <w:lang w:val="en-GB"/>
        </w:rPr>
        <w:t>s</w:t>
      </w:r>
      <w:r w:rsidR="00CC1A1F" w:rsidRPr="00CC1A1F">
        <w:rPr>
          <w:rFonts w:eastAsia="Calibri" w:cs="Arial"/>
          <w:sz w:val="24"/>
          <w:lang w:val="en-GB"/>
        </w:rPr>
        <w:t xml:space="preserve"> for high surgical risk patients who are declined </w:t>
      </w:r>
      <w:r w:rsidR="00DD5483">
        <w:rPr>
          <w:rFonts w:eastAsia="Calibri" w:cs="Arial"/>
          <w:sz w:val="24"/>
          <w:lang w:val="en-GB"/>
        </w:rPr>
        <w:t>Transcatheter aortic valve implant</w:t>
      </w:r>
      <w:r w:rsidR="004F6CA4">
        <w:rPr>
          <w:rFonts w:eastAsia="Calibri" w:cs="Arial"/>
          <w:sz w:val="24"/>
          <w:lang w:val="en-GB"/>
        </w:rPr>
        <w:t>at</w:t>
      </w:r>
      <w:r w:rsidR="00DD5483">
        <w:rPr>
          <w:rFonts w:eastAsia="Calibri" w:cs="Arial"/>
          <w:sz w:val="24"/>
          <w:lang w:val="en-GB"/>
        </w:rPr>
        <w:t>ion (</w:t>
      </w:r>
      <w:r w:rsidR="00CC1A1F" w:rsidRPr="00CC1A1F">
        <w:rPr>
          <w:rFonts w:eastAsia="Calibri" w:cs="Arial"/>
          <w:sz w:val="24"/>
          <w:lang w:val="en-GB"/>
        </w:rPr>
        <w:t>TAVI</w:t>
      </w:r>
      <w:r w:rsidR="00DD5483">
        <w:rPr>
          <w:rFonts w:eastAsia="Calibri" w:cs="Arial"/>
          <w:sz w:val="24"/>
          <w:lang w:val="en-GB"/>
        </w:rPr>
        <w:t>)</w:t>
      </w:r>
      <w:r w:rsidR="00CC1A1F" w:rsidRPr="00CC1A1F">
        <w:rPr>
          <w:rFonts w:eastAsia="Calibri" w:cs="Arial"/>
          <w:sz w:val="24"/>
          <w:lang w:val="en-GB"/>
        </w:rPr>
        <w:t xml:space="preserve"> and then reconsidered for conventional aortic valve replacement</w:t>
      </w:r>
      <w:r w:rsidR="00DD5483">
        <w:rPr>
          <w:rFonts w:eastAsia="Calibri" w:cs="Arial"/>
          <w:sz w:val="24"/>
          <w:lang w:val="en-GB"/>
        </w:rPr>
        <w:t xml:space="preserve"> (rSAVR)</w:t>
      </w:r>
      <w:r w:rsidR="004E6A4C">
        <w:rPr>
          <w:rFonts w:eastAsia="Calibri" w:cs="Arial"/>
          <w:sz w:val="24"/>
          <w:lang w:val="en-GB"/>
        </w:rPr>
        <w:t xml:space="preserve"> for severe calcific aortic stenosis</w:t>
      </w:r>
      <w:r>
        <w:rPr>
          <w:rFonts w:eastAsia="Calibri" w:cs="Arial"/>
          <w:sz w:val="24"/>
          <w:lang w:val="en-GB"/>
        </w:rPr>
        <w:t xml:space="preserve"> are not well known</w:t>
      </w:r>
      <w:r w:rsidR="00CC1A1F" w:rsidRPr="00CC1A1F">
        <w:rPr>
          <w:rFonts w:eastAsia="Calibri" w:cs="Arial"/>
          <w:sz w:val="24"/>
          <w:lang w:val="en-GB"/>
        </w:rPr>
        <w:t>.</w:t>
      </w:r>
      <w:r w:rsidR="00CC1A1F" w:rsidRPr="00CC1A1F">
        <w:t xml:space="preserve"> </w:t>
      </w:r>
    </w:p>
    <w:p w14:paraId="49541F22" w14:textId="77777777" w:rsidR="007B36A0" w:rsidRPr="00543C3F" w:rsidRDefault="007B36A0" w:rsidP="00207FBE">
      <w:pPr>
        <w:spacing w:line="480" w:lineRule="auto"/>
        <w:rPr>
          <w:rFonts w:eastAsia="Calibri" w:cs="Arial"/>
          <w:b/>
          <w:sz w:val="24"/>
          <w:lang w:val="en-GB"/>
        </w:rPr>
      </w:pPr>
      <w:r w:rsidRPr="00543C3F">
        <w:rPr>
          <w:rFonts w:eastAsia="Calibri" w:cs="Arial"/>
          <w:b/>
          <w:sz w:val="24"/>
          <w:lang w:val="en-GB"/>
        </w:rPr>
        <w:t>Methods</w:t>
      </w:r>
    </w:p>
    <w:p w14:paraId="26D6B500" w14:textId="078692E6" w:rsidR="00CC1A1F" w:rsidRPr="00CC1A1F" w:rsidRDefault="004E6A4C" w:rsidP="00207FBE">
      <w:pPr>
        <w:spacing w:line="480" w:lineRule="auto"/>
        <w:rPr>
          <w:rFonts w:eastAsia="Calibri" w:cs="Arial"/>
          <w:bCs/>
          <w:sz w:val="24"/>
          <w:lang w:val="en-GB"/>
        </w:rPr>
      </w:pPr>
      <w:r>
        <w:rPr>
          <w:rFonts w:eastAsia="Calibri" w:cs="Arial"/>
          <w:bCs/>
          <w:sz w:val="24"/>
          <w:lang w:val="en-GB"/>
        </w:rPr>
        <w:t>This single centre, case control study (rSAVR vs Conservative group)</w:t>
      </w:r>
      <w:r w:rsidR="00DD1143">
        <w:rPr>
          <w:rFonts w:eastAsia="Calibri" w:cs="Arial"/>
          <w:bCs/>
          <w:sz w:val="24"/>
          <w:lang w:val="en-GB"/>
        </w:rPr>
        <w:t xml:space="preserve"> </w:t>
      </w:r>
      <w:r w:rsidR="00CC1A1F" w:rsidRPr="00CC1A1F">
        <w:rPr>
          <w:rFonts w:eastAsia="Calibri" w:cs="Arial"/>
          <w:bCs/>
          <w:sz w:val="24"/>
          <w:lang w:val="en-GB"/>
        </w:rPr>
        <w:t xml:space="preserve">retrospectively analysed </w:t>
      </w:r>
      <w:r>
        <w:rPr>
          <w:rFonts w:eastAsia="Calibri" w:cs="Arial"/>
          <w:bCs/>
          <w:sz w:val="24"/>
          <w:lang w:val="en-GB"/>
        </w:rPr>
        <w:t>patients for rSAVR (</w:t>
      </w:r>
      <w:r w:rsidR="00CC1A1F" w:rsidRPr="00CC1A1F">
        <w:rPr>
          <w:rFonts w:eastAsia="Calibri" w:cs="Arial"/>
          <w:bCs/>
          <w:sz w:val="24"/>
          <w:lang w:val="en-GB"/>
        </w:rPr>
        <w:t xml:space="preserve">2009 </w:t>
      </w:r>
      <w:r w:rsidR="005742DB">
        <w:rPr>
          <w:rFonts w:eastAsia="Calibri" w:cs="Arial"/>
          <w:bCs/>
          <w:sz w:val="24"/>
          <w:lang w:val="en-GB"/>
        </w:rPr>
        <w:t>-</w:t>
      </w:r>
      <w:r w:rsidR="00CC1A1F" w:rsidRPr="00CC1A1F">
        <w:rPr>
          <w:rFonts w:eastAsia="Calibri" w:cs="Arial"/>
          <w:bCs/>
          <w:sz w:val="24"/>
          <w:lang w:val="en-GB"/>
        </w:rPr>
        <w:t>2019</w:t>
      </w:r>
      <w:r>
        <w:rPr>
          <w:rFonts w:eastAsia="Calibri" w:cs="Arial"/>
          <w:bCs/>
          <w:sz w:val="24"/>
          <w:lang w:val="en-GB"/>
        </w:rPr>
        <w:t>).</w:t>
      </w:r>
      <w:r w:rsidR="00CC1A1F" w:rsidRPr="00CC1A1F">
        <w:rPr>
          <w:rFonts w:eastAsia="Calibri" w:cs="Arial"/>
          <w:bCs/>
          <w:sz w:val="24"/>
          <w:lang w:val="en-GB"/>
        </w:rPr>
        <w:t xml:space="preserve"> Multivariable logistic regression was used to identify independent predictors </w:t>
      </w:r>
      <w:r w:rsidR="007900AF">
        <w:rPr>
          <w:rFonts w:eastAsia="Calibri" w:cs="Arial"/>
          <w:bCs/>
          <w:sz w:val="24"/>
          <w:lang w:val="en-GB"/>
        </w:rPr>
        <w:t xml:space="preserve">of </w:t>
      </w:r>
      <w:r w:rsidR="00CC1A1F" w:rsidRPr="00CC1A1F">
        <w:rPr>
          <w:rFonts w:eastAsia="Calibri" w:cs="Arial"/>
          <w:bCs/>
          <w:sz w:val="24"/>
          <w:lang w:val="en-GB"/>
        </w:rPr>
        <w:t xml:space="preserve">composite of neurological sequelae/ renal failure/ deep sternal wound infection/ re-exploration and death. Survival was </w:t>
      </w:r>
      <w:r>
        <w:rPr>
          <w:rFonts w:eastAsia="Calibri" w:cs="Arial"/>
          <w:bCs/>
          <w:sz w:val="24"/>
          <w:lang w:val="en-GB"/>
        </w:rPr>
        <w:t xml:space="preserve">compared </w:t>
      </w:r>
      <w:r w:rsidR="00CC1A1F" w:rsidRPr="00CC1A1F">
        <w:rPr>
          <w:rFonts w:eastAsia="Calibri" w:cs="Arial"/>
          <w:bCs/>
          <w:sz w:val="24"/>
          <w:lang w:val="en-GB"/>
        </w:rPr>
        <w:t>using Kaplan-Meier curves</w:t>
      </w:r>
      <w:r>
        <w:rPr>
          <w:rFonts w:eastAsia="Calibri" w:cs="Arial"/>
          <w:bCs/>
          <w:sz w:val="24"/>
          <w:lang w:val="en-GB"/>
        </w:rPr>
        <w:t xml:space="preserve"> and log rank test.</w:t>
      </w:r>
      <w:r w:rsidR="00CC1A1F" w:rsidRPr="00CC1A1F">
        <w:rPr>
          <w:rFonts w:eastAsia="Calibri" w:cs="Arial"/>
          <w:bCs/>
          <w:sz w:val="24"/>
          <w:lang w:val="en-GB"/>
        </w:rPr>
        <w:t xml:space="preserve"> A Cox proportional hazards model was used to determine predic</w:t>
      </w:r>
      <w:r w:rsidR="001C0F19">
        <w:rPr>
          <w:rFonts w:eastAsia="Calibri" w:cs="Arial"/>
          <w:bCs/>
          <w:sz w:val="24"/>
          <w:lang w:val="en-GB"/>
        </w:rPr>
        <w:t>tors of survival.</w:t>
      </w:r>
    </w:p>
    <w:p w14:paraId="15EA8676" w14:textId="77777777" w:rsidR="00CC1A1F" w:rsidRPr="00543C3F" w:rsidRDefault="00CC1A1F" w:rsidP="00207FBE">
      <w:pPr>
        <w:spacing w:line="480" w:lineRule="auto"/>
        <w:rPr>
          <w:rFonts w:eastAsia="Calibri" w:cs="Arial"/>
          <w:b/>
          <w:bCs/>
          <w:sz w:val="24"/>
          <w:lang w:val="en-GB"/>
        </w:rPr>
      </w:pPr>
      <w:r w:rsidRPr="00543C3F">
        <w:rPr>
          <w:rFonts w:eastAsia="Calibri" w:cs="Arial"/>
          <w:b/>
          <w:bCs/>
          <w:sz w:val="24"/>
          <w:lang w:val="en-GB"/>
        </w:rPr>
        <w:t>Results</w:t>
      </w:r>
    </w:p>
    <w:p w14:paraId="039A1496" w14:textId="51FF6C6F" w:rsidR="00811CE1" w:rsidRDefault="00811CE1" w:rsidP="00207FBE">
      <w:pPr>
        <w:spacing w:line="480" w:lineRule="auto"/>
        <w:rPr>
          <w:rFonts w:eastAsia="Calibri" w:cs="Arial"/>
          <w:bCs/>
          <w:sz w:val="24"/>
          <w:lang w:val="en-GB"/>
        </w:rPr>
      </w:pPr>
      <w:r>
        <w:rPr>
          <w:rFonts w:eastAsia="Calibri" w:cs="Arial"/>
          <w:bCs/>
          <w:sz w:val="24"/>
          <w:lang w:val="en-GB"/>
        </w:rPr>
        <w:t xml:space="preserve">TAVI was denied in 519/1095 patients, </w:t>
      </w:r>
      <w:r w:rsidRPr="00D0089A">
        <w:rPr>
          <w:rFonts w:eastAsia="Calibri" w:cs="Arial"/>
          <w:bCs/>
          <w:sz w:val="24"/>
          <w:lang w:val="en-GB"/>
        </w:rPr>
        <w:t>114(</w:t>
      </w:r>
      <w:r>
        <w:rPr>
          <w:rFonts w:eastAsia="Calibri" w:cs="Arial"/>
          <w:bCs/>
          <w:sz w:val="24"/>
          <w:lang w:val="en-GB"/>
        </w:rPr>
        <w:t>10.4</w:t>
      </w:r>
      <w:r w:rsidRPr="00D0089A">
        <w:rPr>
          <w:rFonts w:eastAsia="Calibri" w:cs="Arial"/>
          <w:bCs/>
          <w:sz w:val="24"/>
          <w:lang w:val="en-GB"/>
        </w:rPr>
        <w:t xml:space="preserve">%) had rSAVR </w:t>
      </w:r>
      <w:r>
        <w:rPr>
          <w:rFonts w:eastAsia="Calibri" w:cs="Arial"/>
          <w:bCs/>
          <w:sz w:val="24"/>
          <w:lang w:val="en-GB"/>
        </w:rPr>
        <w:t xml:space="preserve">(Cases) </w:t>
      </w:r>
      <w:r w:rsidRPr="00D0089A">
        <w:rPr>
          <w:rFonts w:eastAsia="Calibri" w:cs="Arial"/>
          <w:bCs/>
          <w:sz w:val="24"/>
          <w:lang w:val="en-GB"/>
        </w:rPr>
        <w:t xml:space="preserve">and </w:t>
      </w:r>
      <w:r>
        <w:rPr>
          <w:rFonts w:eastAsia="Calibri" w:cs="Arial"/>
          <w:bCs/>
          <w:sz w:val="24"/>
          <w:lang w:val="en-GB"/>
        </w:rPr>
        <w:t>405(37%)</w:t>
      </w:r>
      <w:r w:rsidRPr="00D0089A">
        <w:rPr>
          <w:rFonts w:eastAsia="Calibri" w:cs="Arial"/>
          <w:bCs/>
          <w:sz w:val="24"/>
          <w:lang w:val="en-GB"/>
        </w:rPr>
        <w:t xml:space="preserve"> were managed conservatively</w:t>
      </w:r>
      <w:r>
        <w:rPr>
          <w:rFonts w:eastAsia="Calibri" w:cs="Arial"/>
          <w:bCs/>
          <w:sz w:val="24"/>
          <w:lang w:val="en-GB"/>
        </w:rPr>
        <w:t xml:space="preserve"> (Controls)</w:t>
      </w:r>
      <w:r w:rsidRPr="00D0089A">
        <w:rPr>
          <w:rFonts w:eastAsia="Calibri" w:cs="Arial"/>
          <w:bCs/>
          <w:sz w:val="24"/>
          <w:lang w:val="en-GB"/>
        </w:rPr>
        <w:t>.</w:t>
      </w:r>
      <w:r>
        <w:rPr>
          <w:rFonts w:eastAsia="Calibri" w:cs="Arial"/>
          <w:bCs/>
          <w:sz w:val="24"/>
          <w:lang w:val="en-GB"/>
        </w:rPr>
        <w:t xml:space="preserve"> M</w:t>
      </w:r>
      <w:r w:rsidRPr="00D0089A">
        <w:rPr>
          <w:rFonts w:eastAsia="Calibri" w:cs="Arial"/>
          <w:bCs/>
          <w:sz w:val="24"/>
          <w:lang w:val="en-GB"/>
        </w:rPr>
        <w:t>ean age for rSAVR was 80 y</w:t>
      </w:r>
      <w:r>
        <w:rPr>
          <w:rFonts w:eastAsia="Calibri" w:cs="Arial"/>
          <w:bCs/>
          <w:sz w:val="24"/>
          <w:lang w:val="en-GB"/>
        </w:rPr>
        <w:t>ea</w:t>
      </w:r>
      <w:r w:rsidRPr="00D0089A">
        <w:rPr>
          <w:rFonts w:eastAsia="Calibri" w:cs="Arial"/>
          <w:bCs/>
          <w:sz w:val="24"/>
          <w:lang w:val="en-GB"/>
        </w:rPr>
        <w:t>rs (</w:t>
      </w:r>
      <w:r>
        <w:rPr>
          <w:rFonts w:eastAsia="Calibri" w:cs="Arial"/>
          <w:bCs/>
          <w:sz w:val="24"/>
          <w:lang w:val="en-GB"/>
        </w:rPr>
        <w:t xml:space="preserve">IQR: </w:t>
      </w:r>
      <w:r w:rsidRPr="00D0089A">
        <w:rPr>
          <w:rFonts w:eastAsia="Times New Roman" w:cs="Arial"/>
          <w:color w:val="000000"/>
          <w:sz w:val="24"/>
        </w:rPr>
        <w:t>73.5-85 y</w:t>
      </w:r>
      <w:r>
        <w:rPr>
          <w:rFonts w:eastAsia="Times New Roman" w:cs="Arial"/>
          <w:color w:val="000000"/>
          <w:sz w:val="24"/>
        </w:rPr>
        <w:t>ea</w:t>
      </w:r>
      <w:r w:rsidRPr="00D0089A">
        <w:rPr>
          <w:rFonts w:eastAsia="Times New Roman" w:cs="Arial"/>
          <w:color w:val="000000"/>
          <w:sz w:val="24"/>
        </w:rPr>
        <w:t xml:space="preserve">rs). </w:t>
      </w:r>
      <w:r w:rsidRPr="00D0089A">
        <w:rPr>
          <w:rFonts w:eastAsia="Calibri" w:cs="Arial"/>
          <w:bCs/>
          <w:sz w:val="24"/>
          <w:lang w:val="en-GB"/>
        </w:rPr>
        <w:t>The commonest reason for declining TAVI</w:t>
      </w:r>
      <w:r>
        <w:rPr>
          <w:rFonts w:eastAsia="Calibri" w:cs="Arial"/>
          <w:bCs/>
          <w:sz w:val="24"/>
          <w:lang w:val="en-GB"/>
        </w:rPr>
        <w:t xml:space="preserve"> </w:t>
      </w:r>
      <w:r w:rsidRPr="00D0089A">
        <w:rPr>
          <w:rFonts w:eastAsia="Calibri" w:cs="Arial"/>
          <w:bCs/>
          <w:sz w:val="24"/>
          <w:lang w:val="en-GB"/>
        </w:rPr>
        <w:t>was prohibitive high risk due to multiple co-morbidities</w:t>
      </w:r>
      <w:r>
        <w:rPr>
          <w:rFonts w:eastAsia="Calibri" w:cs="Arial"/>
          <w:bCs/>
          <w:sz w:val="24"/>
          <w:lang w:val="en-GB"/>
        </w:rPr>
        <w:t>.</w:t>
      </w:r>
      <w:r w:rsidRPr="00D0089A">
        <w:rPr>
          <w:rFonts w:eastAsia="Calibri" w:cs="Arial"/>
          <w:bCs/>
          <w:sz w:val="24"/>
          <w:lang w:val="en-GB"/>
        </w:rPr>
        <w:t xml:space="preserve"> </w:t>
      </w:r>
      <w:r>
        <w:rPr>
          <w:rFonts w:eastAsia="Calibri" w:cs="Arial"/>
          <w:bCs/>
          <w:sz w:val="24"/>
          <w:lang w:val="en-GB"/>
        </w:rPr>
        <w:t xml:space="preserve">Among rSAVR, hospital mortality was 2.2% and stroke </w:t>
      </w:r>
      <w:r w:rsidR="00BA1BC9">
        <w:rPr>
          <w:rFonts w:eastAsia="Calibri" w:cs="Arial"/>
          <w:bCs/>
          <w:sz w:val="24"/>
          <w:lang w:val="en-GB"/>
        </w:rPr>
        <w:t>4.4</w:t>
      </w:r>
      <w:r>
        <w:rPr>
          <w:rFonts w:eastAsia="Calibri" w:cs="Arial"/>
          <w:bCs/>
          <w:sz w:val="24"/>
          <w:lang w:val="en-GB"/>
        </w:rPr>
        <w:t>%.</w:t>
      </w:r>
      <w:r w:rsidRPr="00F95E2A">
        <w:rPr>
          <w:rFonts w:eastAsia="Calibri" w:cs="Arial"/>
          <w:bCs/>
          <w:sz w:val="24"/>
          <w:lang w:val="en-GB"/>
        </w:rPr>
        <w:t xml:space="preserve"> </w:t>
      </w:r>
      <w:r w:rsidR="00102C85">
        <w:rPr>
          <w:rFonts w:eastAsia="Calibri" w:cs="Arial"/>
          <w:bCs/>
          <w:sz w:val="24"/>
          <w:lang w:val="en-GB"/>
        </w:rPr>
        <w:t xml:space="preserve">Median follow </w:t>
      </w:r>
      <w:r w:rsidR="00102C85" w:rsidRPr="00102C85">
        <w:rPr>
          <w:rFonts w:eastAsia="Calibri" w:cs="Arial"/>
          <w:bCs/>
          <w:sz w:val="24"/>
          <w:lang w:val="en-GB"/>
        </w:rPr>
        <w:t xml:space="preserve">up was </w:t>
      </w:r>
      <w:r w:rsidR="00102C85">
        <w:rPr>
          <w:rFonts w:eastAsia="Calibri" w:cs="Arial"/>
          <w:bCs/>
          <w:sz w:val="24"/>
          <w:lang w:val="en-GB"/>
        </w:rPr>
        <w:t>Conservative;14.4 months versus</w:t>
      </w:r>
      <w:r w:rsidR="00102C85" w:rsidRPr="00102C85">
        <w:rPr>
          <w:rFonts w:eastAsia="Calibri" w:cs="Arial"/>
          <w:bCs/>
          <w:sz w:val="24"/>
          <w:lang w:val="en-GB"/>
        </w:rPr>
        <w:t xml:space="preserve"> </w:t>
      </w:r>
      <w:r w:rsidR="00102C85">
        <w:rPr>
          <w:rFonts w:eastAsia="Calibri" w:cs="Arial"/>
          <w:bCs/>
          <w:sz w:val="24"/>
          <w:lang w:val="en-GB"/>
        </w:rPr>
        <w:t xml:space="preserve">rSAVR;34.8 months. </w:t>
      </w:r>
      <w:r>
        <w:rPr>
          <w:rFonts w:eastAsia="Calibri" w:cs="Arial"/>
          <w:bCs/>
          <w:sz w:val="24"/>
          <w:lang w:val="en-GB"/>
        </w:rPr>
        <w:t>Five-year</w:t>
      </w:r>
      <w:r w:rsidRPr="00D0089A">
        <w:rPr>
          <w:rFonts w:eastAsia="Calibri" w:cs="Arial"/>
          <w:bCs/>
          <w:sz w:val="24"/>
          <w:lang w:val="en-GB"/>
        </w:rPr>
        <w:t xml:space="preserve"> survival was </w:t>
      </w:r>
      <w:r>
        <w:rPr>
          <w:rFonts w:eastAsia="Calibri" w:cs="Arial"/>
          <w:bCs/>
          <w:sz w:val="24"/>
          <w:lang w:val="en-GB"/>
        </w:rPr>
        <w:t xml:space="preserve">Conservative;12.6% versus </w:t>
      </w:r>
      <w:r w:rsidRPr="00D0089A">
        <w:rPr>
          <w:rFonts w:eastAsia="Calibri" w:cs="Arial"/>
          <w:bCs/>
          <w:sz w:val="24"/>
          <w:lang w:val="en-GB"/>
        </w:rPr>
        <w:t>rSAVR</w:t>
      </w:r>
      <w:r>
        <w:rPr>
          <w:rFonts w:eastAsia="Calibri" w:cs="Arial"/>
          <w:bCs/>
          <w:sz w:val="24"/>
          <w:lang w:val="en-GB"/>
        </w:rPr>
        <w:t>;59.5% (overall C</w:t>
      </w:r>
      <w:r w:rsidRPr="00D0089A">
        <w:rPr>
          <w:rFonts w:eastAsia="Calibri" w:cs="Arial"/>
          <w:bCs/>
          <w:sz w:val="24"/>
          <w:lang w:val="en-GB"/>
        </w:rPr>
        <w:t>onservative</w:t>
      </w:r>
      <w:r>
        <w:rPr>
          <w:rFonts w:eastAsia="Calibri" w:cs="Arial"/>
          <w:bCs/>
          <w:sz w:val="24"/>
          <w:lang w:val="en-GB"/>
        </w:rPr>
        <w:t>;</w:t>
      </w:r>
      <w:r w:rsidRPr="00D0089A">
        <w:rPr>
          <w:rFonts w:eastAsia="Calibri" w:cs="Arial"/>
          <w:bCs/>
          <w:sz w:val="24"/>
          <w:lang w:val="en-GB"/>
        </w:rPr>
        <w:t xml:space="preserve"> 38.0%</w:t>
      </w:r>
      <w:r>
        <w:rPr>
          <w:rFonts w:eastAsia="Calibri" w:cs="Arial"/>
          <w:bCs/>
          <w:sz w:val="24"/>
          <w:lang w:val="en-GB"/>
        </w:rPr>
        <w:t xml:space="preserve"> versus </w:t>
      </w:r>
      <w:r w:rsidRPr="00D0089A">
        <w:rPr>
          <w:rFonts w:eastAsia="Calibri" w:cs="Arial"/>
          <w:bCs/>
          <w:sz w:val="24"/>
          <w:lang w:val="en-GB"/>
        </w:rPr>
        <w:t>rSAVR</w:t>
      </w:r>
      <w:r>
        <w:rPr>
          <w:rFonts w:eastAsia="Calibri" w:cs="Arial"/>
          <w:bCs/>
          <w:sz w:val="24"/>
          <w:lang w:val="en-GB"/>
        </w:rPr>
        <w:t>;</w:t>
      </w:r>
      <w:r w:rsidRPr="00D0089A">
        <w:rPr>
          <w:rFonts w:eastAsia="Calibri" w:cs="Arial"/>
          <w:bCs/>
          <w:sz w:val="24"/>
          <w:lang w:val="en-GB"/>
        </w:rPr>
        <w:t xml:space="preserve"> 60.5%</w:t>
      </w:r>
      <w:r>
        <w:rPr>
          <w:rFonts w:eastAsia="Calibri" w:cs="Arial"/>
          <w:bCs/>
          <w:sz w:val="24"/>
          <w:lang w:val="en-GB"/>
        </w:rPr>
        <w:t xml:space="preserve">, </w:t>
      </w:r>
      <w:r w:rsidRPr="00D0089A">
        <w:rPr>
          <w:rFonts w:eastAsia="Calibri" w:cs="Arial"/>
          <w:bCs/>
          <w:sz w:val="24"/>
          <w:lang w:val="en-GB"/>
        </w:rPr>
        <w:t>p&lt;0.001</w:t>
      </w:r>
      <w:r>
        <w:rPr>
          <w:rFonts w:eastAsia="Calibri" w:cs="Arial"/>
          <w:bCs/>
          <w:sz w:val="24"/>
          <w:lang w:val="en-GB"/>
        </w:rPr>
        <w:t xml:space="preserve">). </w:t>
      </w:r>
      <w:r w:rsidRPr="00D0089A">
        <w:rPr>
          <w:rFonts w:eastAsia="Times New Roman" w:cs="Arial"/>
          <w:color w:val="000000"/>
          <w:sz w:val="24"/>
        </w:rPr>
        <w:t xml:space="preserve">rSAVR was protective (HR; 0.37, 95% CI; 0.26, 0.51, p&lt;0.001) and high co-morbidities </w:t>
      </w:r>
      <w:r>
        <w:rPr>
          <w:rFonts w:eastAsia="Times New Roman" w:cs="Arial"/>
          <w:color w:val="000000"/>
          <w:sz w:val="24"/>
        </w:rPr>
        <w:t xml:space="preserve">had high </w:t>
      </w:r>
      <w:r w:rsidRPr="00D0089A">
        <w:rPr>
          <w:rFonts w:eastAsia="Times New Roman" w:cs="Arial"/>
          <w:color w:val="000000"/>
          <w:sz w:val="24"/>
        </w:rPr>
        <w:t xml:space="preserve">hazard (HR; 1.57, 95% CI; 1.19, 2.07, </w:t>
      </w:r>
      <w:r w:rsidRPr="00D0089A">
        <w:rPr>
          <w:rFonts w:eastAsia="Times New Roman" w:cs="Arial"/>
          <w:color w:val="000000"/>
          <w:sz w:val="24"/>
        </w:rPr>
        <w:lastRenderedPageBreak/>
        <w:t>p=0.001)</w:t>
      </w:r>
      <w:r>
        <w:rPr>
          <w:rFonts w:eastAsia="Times New Roman" w:cs="Arial"/>
          <w:color w:val="000000"/>
          <w:sz w:val="24"/>
        </w:rPr>
        <w:t>.</w:t>
      </w:r>
      <w:r w:rsidRPr="000D0683">
        <w:rPr>
          <w:rFonts w:eastAsia="Calibri" w:cs="Arial"/>
          <w:bCs/>
          <w:sz w:val="24"/>
          <w:lang w:val="en-GB"/>
        </w:rPr>
        <w:t xml:space="preserve"> </w:t>
      </w:r>
      <w:r>
        <w:rPr>
          <w:rFonts w:eastAsia="Calibri" w:cs="Arial"/>
          <w:bCs/>
          <w:sz w:val="24"/>
          <w:lang w:val="en-GB"/>
        </w:rPr>
        <w:t xml:space="preserve">rSAVR had fewer </w:t>
      </w:r>
      <w:r w:rsidRPr="00D0089A">
        <w:rPr>
          <w:rFonts w:eastAsia="Calibri" w:cs="Arial"/>
          <w:bCs/>
          <w:sz w:val="24"/>
          <w:lang w:val="en-GB"/>
        </w:rPr>
        <w:t>hospital readmission episodes</w:t>
      </w:r>
      <w:r>
        <w:rPr>
          <w:rFonts w:eastAsia="Calibri" w:cs="Arial"/>
          <w:bCs/>
          <w:sz w:val="24"/>
          <w:lang w:val="en-GB"/>
        </w:rPr>
        <w:t xml:space="preserve"> (Conservative; </w:t>
      </w:r>
      <w:r w:rsidRPr="005D5D8B">
        <w:rPr>
          <w:rFonts w:eastAsia="Calibri" w:cs="Arial"/>
          <w:bCs/>
          <w:sz w:val="24"/>
          <w:lang w:val="en-GB"/>
        </w:rPr>
        <w:t>13.6</w:t>
      </w:r>
      <w:r>
        <w:rPr>
          <w:rFonts w:eastAsia="Calibri" w:cs="Arial"/>
          <w:bCs/>
          <w:sz w:val="24"/>
          <w:lang w:val="en-GB"/>
        </w:rPr>
        <w:t xml:space="preserve">/ patient-year versus rSAVR; </w:t>
      </w:r>
      <w:r w:rsidRPr="005D5D8B">
        <w:rPr>
          <w:rFonts w:eastAsia="Calibri" w:cs="Arial"/>
          <w:bCs/>
          <w:sz w:val="24"/>
          <w:lang w:val="en-GB"/>
        </w:rPr>
        <w:t>6.9</w:t>
      </w:r>
      <w:r>
        <w:rPr>
          <w:rFonts w:eastAsia="Calibri" w:cs="Arial"/>
          <w:bCs/>
          <w:sz w:val="24"/>
          <w:lang w:val="en-GB"/>
        </w:rPr>
        <w:t>/ patient-year, p=0.002).</w:t>
      </w:r>
    </w:p>
    <w:p w14:paraId="565E36BD" w14:textId="77777777" w:rsidR="00543C3F" w:rsidRPr="00206FFD" w:rsidRDefault="007B36A0" w:rsidP="00207FBE">
      <w:pPr>
        <w:spacing w:line="480" w:lineRule="auto"/>
        <w:rPr>
          <w:rFonts w:eastAsia="Calibri" w:cs="Arial"/>
          <w:b/>
          <w:bCs/>
          <w:sz w:val="24"/>
          <w:lang w:val="en-GB"/>
        </w:rPr>
      </w:pPr>
      <w:r w:rsidRPr="00206FFD">
        <w:rPr>
          <w:rFonts w:eastAsia="Calibri" w:cs="Arial"/>
          <w:b/>
          <w:sz w:val="24"/>
          <w:lang w:val="en-GB"/>
        </w:rPr>
        <w:t>Conclusions</w:t>
      </w:r>
    </w:p>
    <w:p w14:paraId="163ECA24" w14:textId="48001C7F" w:rsidR="00B0188E" w:rsidRDefault="00543C3F" w:rsidP="00207FBE">
      <w:pPr>
        <w:spacing w:line="480" w:lineRule="auto"/>
        <w:rPr>
          <w:rFonts w:eastAsia="Calibri" w:cs="Arial"/>
          <w:sz w:val="24"/>
          <w:lang w:val="en-GB"/>
        </w:rPr>
      </w:pPr>
      <w:r w:rsidRPr="00543C3F">
        <w:rPr>
          <w:rFonts w:eastAsia="Calibri" w:cs="Arial"/>
          <w:sz w:val="24"/>
          <w:lang w:val="en-GB"/>
        </w:rPr>
        <w:t xml:space="preserve">rSAVR </w:t>
      </w:r>
      <w:r w:rsidR="00BF41A5">
        <w:rPr>
          <w:rFonts w:eastAsia="Calibri" w:cs="Arial"/>
          <w:sz w:val="24"/>
          <w:lang w:val="en-GB"/>
        </w:rPr>
        <w:t xml:space="preserve">may be </w:t>
      </w:r>
      <w:r w:rsidRPr="00543C3F">
        <w:rPr>
          <w:rFonts w:eastAsia="Calibri" w:cs="Arial"/>
          <w:sz w:val="24"/>
          <w:lang w:val="en-GB"/>
        </w:rPr>
        <w:t xml:space="preserve">considered in high surgical risk </w:t>
      </w:r>
      <w:r w:rsidR="00673809">
        <w:rPr>
          <w:rFonts w:eastAsia="Calibri" w:cs="Arial"/>
          <w:sz w:val="24"/>
          <w:lang w:val="en-GB"/>
        </w:rPr>
        <w:t xml:space="preserve">elderly </w:t>
      </w:r>
      <w:r w:rsidRPr="00543C3F">
        <w:rPr>
          <w:rFonts w:eastAsia="Calibri" w:cs="Arial"/>
          <w:sz w:val="24"/>
          <w:lang w:val="en-GB"/>
        </w:rPr>
        <w:t>patients who have been declined TAVI in centr</w:t>
      </w:r>
      <w:r w:rsidR="00DD5483">
        <w:rPr>
          <w:rFonts w:eastAsia="Calibri" w:cs="Arial"/>
          <w:sz w:val="24"/>
          <w:lang w:val="en-GB"/>
        </w:rPr>
        <w:t>e</w:t>
      </w:r>
      <w:r w:rsidRPr="00543C3F">
        <w:rPr>
          <w:rFonts w:eastAsia="Calibri" w:cs="Arial"/>
          <w:sz w:val="24"/>
          <w:lang w:val="en-GB"/>
        </w:rPr>
        <w:t xml:space="preserve">s with low operative mortality. rSAVR </w:t>
      </w:r>
      <w:r w:rsidR="00FA3734">
        <w:rPr>
          <w:rFonts w:eastAsia="Calibri" w:cs="Arial"/>
          <w:sz w:val="24"/>
          <w:lang w:val="en-GB"/>
        </w:rPr>
        <w:t xml:space="preserve">may be </w:t>
      </w:r>
      <w:r w:rsidRPr="00543C3F">
        <w:rPr>
          <w:rFonts w:eastAsia="Calibri" w:cs="Arial"/>
          <w:sz w:val="24"/>
          <w:lang w:val="en-GB"/>
        </w:rPr>
        <w:t xml:space="preserve">superior to conservative management </w:t>
      </w:r>
      <w:r w:rsidR="00673809">
        <w:rPr>
          <w:rFonts w:eastAsia="Calibri" w:cs="Arial"/>
          <w:sz w:val="24"/>
          <w:lang w:val="en-GB"/>
        </w:rPr>
        <w:t xml:space="preserve">in carefully </w:t>
      </w:r>
      <w:r w:rsidR="00DD1143">
        <w:rPr>
          <w:rFonts w:eastAsia="Calibri" w:cs="Arial"/>
          <w:sz w:val="24"/>
          <w:lang w:val="en-GB"/>
        </w:rPr>
        <w:t>selected patients</w:t>
      </w:r>
      <w:r w:rsidR="00673809">
        <w:rPr>
          <w:rFonts w:eastAsia="Calibri" w:cs="Arial"/>
          <w:sz w:val="24"/>
          <w:lang w:val="en-GB"/>
        </w:rPr>
        <w:t>.</w:t>
      </w:r>
    </w:p>
    <w:p w14:paraId="2DF8DF29" w14:textId="3076726F" w:rsidR="0009260E" w:rsidRDefault="00DD1143" w:rsidP="00207FBE">
      <w:pPr>
        <w:spacing w:line="480" w:lineRule="auto"/>
        <w:rPr>
          <w:rFonts w:eastAsia="Calibri" w:cs="Arial"/>
          <w:b/>
          <w:bCs/>
          <w:sz w:val="24"/>
          <w:lang w:val="en-GB"/>
        </w:rPr>
      </w:pPr>
      <w:r>
        <w:rPr>
          <w:rFonts w:eastAsia="Calibri" w:cs="Arial"/>
          <w:b/>
          <w:bCs/>
          <w:sz w:val="24"/>
          <w:lang w:val="en-GB"/>
        </w:rPr>
        <w:t>W</w:t>
      </w:r>
      <w:r w:rsidR="0009260E">
        <w:rPr>
          <w:rFonts w:eastAsia="Calibri" w:cs="Arial"/>
          <w:b/>
          <w:bCs/>
          <w:sz w:val="24"/>
          <w:lang w:val="en-GB"/>
        </w:rPr>
        <w:t>ord count –</w:t>
      </w:r>
      <w:r w:rsidR="00AB1023">
        <w:rPr>
          <w:rFonts w:eastAsia="Calibri" w:cs="Arial"/>
          <w:b/>
          <w:bCs/>
          <w:sz w:val="24"/>
          <w:lang w:val="en-GB"/>
        </w:rPr>
        <w:t xml:space="preserve"> 237</w:t>
      </w:r>
    </w:p>
    <w:p w14:paraId="04866B92" w14:textId="3F9605C8" w:rsidR="00B53CB6" w:rsidRDefault="003709BB" w:rsidP="00207FBE">
      <w:pPr>
        <w:spacing w:line="480" w:lineRule="auto"/>
        <w:rPr>
          <w:rFonts w:eastAsia="Calibri" w:cs="Arial"/>
          <w:b/>
          <w:bCs/>
          <w:sz w:val="24"/>
          <w:lang w:val="en-GB"/>
        </w:rPr>
      </w:pPr>
      <w:r>
        <w:rPr>
          <w:rFonts w:eastAsia="Calibri" w:cs="Arial"/>
          <w:b/>
          <w:bCs/>
          <w:sz w:val="24"/>
          <w:lang w:val="en-GB"/>
        </w:rPr>
        <w:t>Classifications</w:t>
      </w:r>
    </w:p>
    <w:p w14:paraId="0F419BFD" w14:textId="696E47F0" w:rsidR="00B53CB6" w:rsidRPr="00B53CB6" w:rsidRDefault="00B53CB6" w:rsidP="00207FBE">
      <w:pPr>
        <w:spacing w:line="480" w:lineRule="auto"/>
        <w:rPr>
          <w:rFonts w:eastAsia="Calibri" w:cs="Arial"/>
          <w:sz w:val="24"/>
          <w:lang w:val="en-GB"/>
        </w:rPr>
      </w:pPr>
      <w:r>
        <w:rPr>
          <w:rFonts w:eastAsia="Calibri" w:cs="Arial"/>
          <w:sz w:val="24"/>
          <w:lang w:val="en-GB"/>
        </w:rPr>
        <w:t>Aortic valve disease; aortic valve replacement; transfemoral aortic valve implantation; cardiac surgery; percutaneous intervention; SAVR</w:t>
      </w:r>
      <w:r w:rsidR="003709BB">
        <w:rPr>
          <w:rFonts w:eastAsia="Calibri" w:cs="Arial"/>
          <w:sz w:val="24"/>
          <w:lang w:val="en-GB"/>
        </w:rPr>
        <w:t>; TAVI.</w:t>
      </w:r>
    </w:p>
    <w:p w14:paraId="06628677" w14:textId="77777777" w:rsidR="00437C8A" w:rsidRPr="00437C8A" w:rsidRDefault="00437C8A" w:rsidP="00207FBE">
      <w:pPr>
        <w:spacing w:line="480" w:lineRule="auto"/>
        <w:rPr>
          <w:rFonts w:eastAsia="Calibri" w:cs="Arial"/>
          <w:b/>
          <w:bCs/>
          <w:sz w:val="24"/>
          <w:lang w:val="en-GB"/>
        </w:rPr>
      </w:pPr>
    </w:p>
    <w:p w14:paraId="48AE056F" w14:textId="77777777" w:rsidR="00A95C64" w:rsidRDefault="00A95C64" w:rsidP="00207FBE">
      <w:pPr>
        <w:spacing w:line="480" w:lineRule="auto"/>
        <w:rPr>
          <w:rFonts w:eastAsia="Calibri" w:cs="Arial"/>
          <w:sz w:val="24"/>
          <w:lang w:val="en-GB"/>
        </w:rPr>
      </w:pPr>
    </w:p>
    <w:p w14:paraId="57134346" w14:textId="77777777" w:rsidR="00A95C64" w:rsidRDefault="00A95C64" w:rsidP="00207FBE">
      <w:pPr>
        <w:spacing w:line="480" w:lineRule="auto"/>
        <w:rPr>
          <w:rFonts w:eastAsia="Calibri" w:cs="Arial"/>
          <w:sz w:val="24"/>
          <w:lang w:val="en-GB"/>
        </w:rPr>
      </w:pPr>
    </w:p>
    <w:p w14:paraId="1908A701" w14:textId="77777777" w:rsidR="00A95C64" w:rsidRDefault="00A95C64" w:rsidP="00207FBE">
      <w:pPr>
        <w:spacing w:line="480" w:lineRule="auto"/>
        <w:rPr>
          <w:rFonts w:eastAsia="Calibri" w:cs="Arial"/>
          <w:sz w:val="24"/>
          <w:lang w:val="en-GB"/>
        </w:rPr>
      </w:pPr>
    </w:p>
    <w:p w14:paraId="031EC4A4" w14:textId="77777777" w:rsidR="00B94F93" w:rsidRDefault="00B94F93" w:rsidP="00207FBE">
      <w:pPr>
        <w:spacing w:line="480" w:lineRule="auto"/>
        <w:rPr>
          <w:rFonts w:eastAsia="Calibri" w:cs="Arial"/>
          <w:b/>
          <w:sz w:val="24"/>
          <w:lang w:val="en-GB"/>
        </w:rPr>
      </w:pPr>
      <w:r>
        <w:rPr>
          <w:rFonts w:eastAsia="Calibri" w:cs="Arial"/>
          <w:b/>
          <w:sz w:val="24"/>
          <w:lang w:val="en-GB"/>
        </w:rPr>
        <w:br w:type="page"/>
      </w:r>
    </w:p>
    <w:p w14:paraId="388226D2" w14:textId="07D788C0" w:rsidR="007B36A0" w:rsidRPr="00D0089A" w:rsidRDefault="00B94F93" w:rsidP="00207FBE">
      <w:pPr>
        <w:spacing w:line="480" w:lineRule="auto"/>
        <w:rPr>
          <w:rFonts w:eastAsia="Calibri" w:cs="Arial"/>
          <w:b/>
          <w:bCs/>
          <w:sz w:val="24"/>
          <w:lang w:val="en-GB"/>
        </w:rPr>
      </w:pPr>
      <w:r>
        <w:rPr>
          <w:rFonts w:eastAsia="Calibri" w:cs="Arial"/>
          <w:b/>
          <w:sz w:val="24"/>
          <w:lang w:val="en-GB"/>
        </w:rPr>
        <w:t>INTRODUCTION</w:t>
      </w:r>
    </w:p>
    <w:p w14:paraId="1EC0B0A7" w14:textId="75A09973" w:rsidR="00943590" w:rsidRPr="00D0089A" w:rsidRDefault="007B36A0" w:rsidP="00207FBE">
      <w:pPr>
        <w:spacing w:line="480" w:lineRule="auto"/>
        <w:rPr>
          <w:rFonts w:eastAsia="Calibri" w:cs="Arial"/>
          <w:sz w:val="24"/>
          <w:lang w:val="en-GB"/>
        </w:rPr>
      </w:pPr>
      <w:r w:rsidRPr="00D0089A">
        <w:rPr>
          <w:rFonts w:eastAsia="Calibri" w:cs="Arial"/>
          <w:sz w:val="24"/>
          <w:lang w:val="en-GB"/>
        </w:rPr>
        <w:t xml:space="preserve">There have been rapid advances in transcatheter valve therapy over this decade. The short term and intermediate results of patients who undergo </w:t>
      </w:r>
      <w:r w:rsidR="00794780">
        <w:rPr>
          <w:rFonts w:eastAsia="Calibri" w:cs="Arial"/>
          <w:sz w:val="24"/>
          <w:lang w:val="en-GB"/>
        </w:rPr>
        <w:t xml:space="preserve">surgical aortic valve replacement (SAVR) and </w:t>
      </w:r>
      <w:r w:rsidRPr="00D0089A">
        <w:rPr>
          <w:rFonts w:eastAsia="Calibri" w:cs="Arial"/>
          <w:sz w:val="24"/>
          <w:lang w:val="en-GB"/>
        </w:rPr>
        <w:t>tran</w:t>
      </w:r>
      <w:r w:rsidR="00F64F2E" w:rsidRPr="00D0089A">
        <w:rPr>
          <w:rFonts w:eastAsia="Calibri" w:cs="Arial"/>
          <w:sz w:val="24"/>
          <w:lang w:val="en-GB"/>
        </w:rPr>
        <w:t xml:space="preserve">scatheter valve </w:t>
      </w:r>
      <w:r w:rsidR="00794780">
        <w:rPr>
          <w:rFonts w:eastAsia="Calibri" w:cs="Arial"/>
          <w:sz w:val="24"/>
          <w:lang w:val="en-GB"/>
        </w:rPr>
        <w:t xml:space="preserve">implantation </w:t>
      </w:r>
      <w:r w:rsidR="00F64F2E" w:rsidRPr="00D0089A">
        <w:rPr>
          <w:rFonts w:eastAsia="Calibri" w:cs="Arial"/>
          <w:sz w:val="24"/>
          <w:lang w:val="en-GB"/>
        </w:rPr>
        <w:t>(T</w:t>
      </w:r>
      <w:r w:rsidR="00794780">
        <w:rPr>
          <w:rFonts w:eastAsia="Calibri" w:cs="Arial"/>
          <w:sz w:val="24"/>
          <w:lang w:val="en-GB"/>
        </w:rPr>
        <w:t>AVI</w:t>
      </w:r>
      <w:r w:rsidR="00F64F2E" w:rsidRPr="00D0089A">
        <w:rPr>
          <w:rFonts w:eastAsia="Calibri" w:cs="Arial"/>
          <w:sz w:val="24"/>
          <w:lang w:val="en-GB"/>
        </w:rPr>
        <w:t>) are</w:t>
      </w:r>
      <w:r w:rsidRPr="00D0089A">
        <w:rPr>
          <w:rFonts w:eastAsia="Calibri" w:cs="Arial"/>
          <w:sz w:val="24"/>
          <w:lang w:val="en-GB"/>
        </w:rPr>
        <w:t xml:space="preserve"> now well known from trial data and registries</w:t>
      </w:r>
      <w:r w:rsidR="00A11435" w:rsidRPr="00D0089A">
        <w:rPr>
          <w:rFonts w:eastAsia="Calibri" w:cs="Arial"/>
          <w:sz w:val="24"/>
          <w:lang w:val="en-GB"/>
        </w:rPr>
        <w:t xml:space="preserve"> (1-6)</w:t>
      </w:r>
      <w:r w:rsidRPr="00D0089A">
        <w:rPr>
          <w:rFonts w:eastAsia="Calibri" w:cs="Arial"/>
          <w:sz w:val="24"/>
          <w:lang w:val="en-GB"/>
        </w:rPr>
        <w:t>. The outlook for those who are discussed but declined T</w:t>
      </w:r>
      <w:r w:rsidR="00EE0410" w:rsidRPr="00D0089A">
        <w:rPr>
          <w:rFonts w:eastAsia="Calibri" w:cs="Arial"/>
          <w:sz w:val="24"/>
          <w:lang w:val="en-GB"/>
        </w:rPr>
        <w:t>AVI</w:t>
      </w:r>
      <w:r w:rsidRPr="00D0089A">
        <w:rPr>
          <w:rFonts w:eastAsia="Calibri" w:cs="Arial"/>
          <w:sz w:val="24"/>
          <w:lang w:val="en-GB"/>
        </w:rPr>
        <w:t xml:space="preserve"> has not been explored in the real world scenario. </w:t>
      </w:r>
      <w:r w:rsidR="00B813EB" w:rsidRPr="00D0089A">
        <w:rPr>
          <w:rFonts w:eastAsia="Calibri" w:cs="Arial"/>
          <w:sz w:val="24"/>
          <w:lang w:val="en-GB"/>
        </w:rPr>
        <w:t xml:space="preserve">The conservative management of severe calcific aortic stenosis is associated with poor outcomes. </w:t>
      </w:r>
      <w:r w:rsidRPr="00D0089A">
        <w:rPr>
          <w:rFonts w:eastAsia="Calibri" w:cs="Arial"/>
          <w:sz w:val="24"/>
          <w:lang w:val="en-GB"/>
        </w:rPr>
        <w:t xml:space="preserve">There is a paucity of </w:t>
      </w:r>
      <w:r w:rsidR="00BF6591" w:rsidRPr="00D0089A">
        <w:rPr>
          <w:rFonts w:eastAsia="Calibri" w:cs="Arial"/>
          <w:sz w:val="24"/>
          <w:lang w:val="en-GB"/>
        </w:rPr>
        <w:t xml:space="preserve">outcome </w:t>
      </w:r>
      <w:r w:rsidRPr="00D0089A">
        <w:rPr>
          <w:rFonts w:eastAsia="Calibri" w:cs="Arial"/>
          <w:sz w:val="24"/>
          <w:lang w:val="en-GB"/>
        </w:rPr>
        <w:t xml:space="preserve">data </w:t>
      </w:r>
      <w:r w:rsidR="00BF6591" w:rsidRPr="00D0089A">
        <w:rPr>
          <w:rFonts w:eastAsia="Calibri" w:cs="Arial"/>
          <w:sz w:val="24"/>
          <w:lang w:val="en-GB"/>
        </w:rPr>
        <w:t xml:space="preserve">for high surgical risk </w:t>
      </w:r>
      <w:r w:rsidRPr="00D0089A">
        <w:rPr>
          <w:rFonts w:eastAsia="Calibri" w:cs="Arial"/>
          <w:sz w:val="24"/>
          <w:lang w:val="en-GB"/>
        </w:rPr>
        <w:t>patients who are declined T</w:t>
      </w:r>
      <w:r w:rsidR="00BF6591" w:rsidRPr="00D0089A">
        <w:rPr>
          <w:rFonts w:eastAsia="Calibri" w:cs="Arial"/>
          <w:sz w:val="24"/>
          <w:lang w:val="en-GB"/>
        </w:rPr>
        <w:t xml:space="preserve">AVI and are </w:t>
      </w:r>
      <w:r w:rsidR="00CA7714" w:rsidRPr="00D0089A">
        <w:rPr>
          <w:rFonts w:eastAsia="Calibri" w:cs="Arial"/>
          <w:sz w:val="24"/>
          <w:lang w:val="en-GB"/>
        </w:rPr>
        <w:t xml:space="preserve">then </w:t>
      </w:r>
      <w:r w:rsidR="00BF6591" w:rsidRPr="00D0089A">
        <w:rPr>
          <w:rFonts w:eastAsia="Calibri" w:cs="Arial"/>
          <w:sz w:val="24"/>
          <w:lang w:val="en-GB"/>
        </w:rPr>
        <w:t xml:space="preserve">reconsidered for </w:t>
      </w:r>
      <w:r w:rsidR="000E7CFD">
        <w:rPr>
          <w:rFonts w:eastAsia="Calibri" w:cs="Arial"/>
          <w:sz w:val="24"/>
          <w:lang w:val="en-GB"/>
        </w:rPr>
        <w:t>SAVR</w:t>
      </w:r>
      <w:r w:rsidRPr="00D0089A">
        <w:rPr>
          <w:rFonts w:eastAsia="Calibri" w:cs="Arial"/>
          <w:sz w:val="24"/>
          <w:lang w:val="en-GB"/>
        </w:rPr>
        <w:t xml:space="preserve">. </w:t>
      </w:r>
    </w:p>
    <w:p w14:paraId="741806A6" w14:textId="03FAD74A" w:rsidR="007B36A0" w:rsidRDefault="007B36A0" w:rsidP="00207FBE">
      <w:pPr>
        <w:spacing w:line="480" w:lineRule="auto"/>
        <w:rPr>
          <w:rFonts w:eastAsia="Calibri" w:cs="Arial"/>
          <w:sz w:val="24"/>
          <w:lang w:val="en-GB"/>
        </w:rPr>
      </w:pPr>
      <w:r w:rsidRPr="00D0089A">
        <w:rPr>
          <w:rFonts w:eastAsia="Calibri" w:cs="Arial"/>
          <w:sz w:val="24"/>
          <w:lang w:val="en-GB"/>
        </w:rPr>
        <w:t xml:space="preserve">The aim of this </w:t>
      </w:r>
      <w:r w:rsidR="000857F3">
        <w:rPr>
          <w:rFonts w:eastAsia="Calibri" w:cs="Arial"/>
          <w:sz w:val="24"/>
          <w:lang w:val="en-GB"/>
        </w:rPr>
        <w:t>case</w:t>
      </w:r>
      <w:r w:rsidR="009E722B">
        <w:rPr>
          <w:rFonts w:eastAsia="Calibri" w:cs="Arial"/>
          <w:sz w:val="24"/>
          <w:lang w:val="en-GB"/>
        </w:rPr>
        <w:t xml:space="preserve"> control</w:t>
      </w:r>
      <w:r w:rsidR="000857F3">
        <w:rPr>
          <w:rFonts w:eastAsia="Calibri" w:cs="Arial"/>
          <w:sz w:val="24"/>
          <w:lang w:val="en-GB"/>
        </w:rPr>
        <w:t xml:space="preserve"> </w:t>
      </w:r>
      <w:r w:rsidR="00794780">
        <w:rPr>
          <w:rFonts w:eastAsia="Calibri" w:cs="Arial"/>
          <w:sz w:val="24"/>
          <w:lang w:val="en-GB"/>
        </w:rPr>
        <w:t xml:space="preserve">study </w:t>
      </w:r>
      <w:r w:rsidR="000857F3">
        <w:rPr>
          <w:rFonts w:eastAsia="Calibri" w:cs="Arial"/>
          <w:sz w:val="24"/>
          <w:lang w:val="en-GB"/>
        </w:rPr>
        <w:t xml:space="preserve">was </w:t>
      </w:r>
      <w:r w:rsidR="009E722B">
        <w:rPr>
          <w:rFonts w:eastAsia="Calibri" w:cs="Arial"/>
          <w:sz w:val="24"/>
          <w:lang w:val="en-GB"/>
        </w:rPr>
        <w:t xml:space="preserve">to define </w:t>
      </w:r>
      <w:r w:rsidR="00794780">
        <w:rPr>
          <w:rFonts w:eastAsia="Calibri" w:cs="Arial"/>
          <w:sz w:val="24"/>
          <w:lang w:val="en-GB"/>
        </w:rPr>
        <w:t xml:space="preserve">the outcomes </w:t>
      </w:r>
      <w:r w:rsidRPr="00D0089A">
        <w:rPr>
          <w:rFonts w:eastAsia="Calibri" w:cs="Arial"/>
          <w:sz w:val="24"/>
          <w:lang w:val="en-GB"/>
        </w:rPr>
        <w:t>of patients declined T</w:t>
      </w:r>
      <w:r w:rsidR="00CA7714" w:rsidRPr="00D0089A">
        <w:rPr>
          <w:rFonts w:eastAsia="Calibri" w:cs="Arial"/>
          <w:sz w:val="24"/>
          <w:lang w:val="en-GB"/>
        </w:rPr>
        <w:t>AVI</w:t>
      </w:r>
      <w:r w:rsidRPr="00D0089A">
        <w:rPr>
          <w:rFonts w:eastAsia="Calibri" w:cs="Arial"/>
          <w:sz w:val="24"/>
          <w:lang w:val="en-GB"/>
        </w:rPr>
        <w:t xml:space="preserve">, who then subsequently received medical therapy or </w:t>
      </w:r>
      <w:r w:rsidR="00B813EB" w:rsidRPr="00D0089A">
        <w:rPr>
          <w:rFonts w:eastAsia="Calibri" w:cs="Arial"/>
          <w:sz w:val="24"/>
          <w:lang w:val="en-GB"/>
        </w:rPr>
        <w:t xml:space="preserve">reconsidered </w:t>
      </w:r>
      <w:r w:rsidR="001919F1" w:rsidRPr="00D0089A">
        <w:rPr>
          <w:rFonts w:eastAsia="Calibri" w:cs="Arial"/>
          <w:sz w:val="24"/>
          <w:lang w:val="en-GB"/>
        </w:rPr>
        <w:t>S</w:t>
      </w:r>
      <w:r w:rsidRPr="00D0089A">
        <w:rPr>
          <w:rFonts w:eastAsia="Calibri" w:cs="Arial"/>
          <w:sz w:val="24"/>
          <w:lang w:val="en-GB"/>
        </w:rPr>
        <w:t>AVR</w:t>
      </w:r>
      <w:r w:rsidR="00CA7714" w:rsidRPr="00D0089A">
        <w:rPr>
          <w:rFonts w:eastAsia="Calibri" w:cs="Arial"/>
          <w:sz w:val="24"/>
          <w:lang w:val="en-GB"/>
        </w:rPr>
        <w:t xml:space="preserve"> (rSAVR). </w:t>
      </w:r>
    </w:p>
    <w:p w14:paraId="4AC5FA64" w14:textId="4921EB5A" w:rsidR="006407A8" w:rsidRPr="00010E3C" w:rsidRDefault="006407A8" w:rsidP="00207FBE">
      <w:pPr>
        <w:spacing w:line="480" w:lineRule="auto"/>
        <w:ind w:left="66"/>
        <w:rPr>
          <w:rFonts w:eastAsia="Calibri" w:cs="Arial"/>
          <w:sz w:val="24"/>
          <w:lang w:val="en-GB"/>
        </w:rPr>
      </w:pPr>
      <w:r w:rsidRPr="00010E3C">
        <w:rPr>
          <w:rFonts w:eastAsia="Calibri" w:cs="Arial"/>
          <w:sz w:val="24"/>
          <w:lang w:val="en-GB"/>
        </w:rPr>
        <w:t>Our pre</w:t>
      </w:r>
      <w:r w:rsidR="008A54D9" w:rsidRPr="00010E3C">
        <w:rPr>
          <w:rFonts w:eastAsia="Calibri" w:cs="Arial"/>
          <w:sz w:val="24"/>
          <w:lang w:val="en-GB"/>
        </w:rPr>
        <w:t>-specified</w:t>
      </w:r>
      <w:r w:rsidRPr="00010E3C">
        <w:rPr>
          <w:rFonts w:eastAsia="Calibri" w:cs="Arial"/>
          <w:sz w:val="24"/>
          <w:lang w:val="en-GB"/>
        </w:rPr>
        <w:t xml:space="preserve"> hypothesis was that selected rSAVR cases </w:t>
      </w:r>
      <w:r w:rsidR="00522524" w:rsidRPr="00010E3C">
        <w:rPr>
          <w:rFonts w:eastAsia="Calibri" w:cs="Arial"/>
          <w:sz w:val="24"/>
          <w:lang w:val="en-GB"/>
        </w:rPr>
        <w:t>have a better survival and lower readmissions after surgery compared to those who were declined any intervention.</w:t>
      </w:r>
      <w:r w:rsidRPr="00010E3C">
        <w:rPr>
          <w:rFonts w:eastAsia="Calibri" w:cs="Arial"/>
          <w:sz w:val="24"/>
          <w:lang w:val="en-GB"/>
        </w:rPr>
        <w:t xml:space="preserve"> </w:t>
      </w:r>
    </w:p>
    <w:p w14:paraId="2B2A07A0" w14:textId="77777777" w:rsidR="00010E3C" w:rsidRDefault="00B94F93" w:rsidP="00207FBE">
      <w:pPr>
        <w:spacing w:line="480" w:lineRule="auto"/>
        <w:rPr>
          <w:rFonts w:eastAsia="Calibri" w:cs="Arial"/>
          <w:b/>
          <w:sz w:val="24"/>
          <w:lang w:val="en-GB"/>
        </w:rPr>
      </w:pPr>
      <w:r>
        <w:rPr>
          <w:rFonts w:eastAsia="Calibri" w:cs="Arial"/>
          <w:b/>
          <w:sz w:val="24"/>
          <w:lang w:val="en-GB"/>
        </w:rPr>
        <w:t>METHODS</w:t>
      </w:r>
    </w:p>
    <w:p w14:paraId="136CA57C" w14:textId="77777777" w:rsidR="00184381" w:rsidRPr="005532EF" w:rsidRDefault="00184381" w:rsidP="00207FBE">
      <w:pPr>
        <w:spacing w:line="480" w:lineRule="auto"/>
        <w:rPr>
          <w:rFonts w:eastAsia="Calibri" w:cs="Arial"/>
          <w:i/>
          <w:sz w:val="24"/>
          <w:lang w:val="en-GB"/>
        </w:rPr>
      </w:pPr>
      <w:r w:rsidRPr="005532EF">
        <w:rPr>
          <w:rFonts w:eastAsia="Calibri" w:cs="Arial"/>
          <w:i/>
          <w:sz w:val="24"/>
          <w:lang w:val="en-GB"/>
        </w:rPr>
        <w:t xml:space="preserve">Study design </w:t>
      </w:r>
    </w:p>
    <w:p w14:paraId="2655DEE1" w14:textId="77777777" w:rsidR="00687DB3" w:rsidRDefault="00FA4CE4" w:rsidP="00207FBE">
      <w:pPr>
        <w:spacing w:line="480" w:lineRule="auto"/>
        <w:rPr>
          <w:rFonts w:eastAsia="Calibri" w:cs="Arial"/>
          <w:sz w:val="24"/>
          <w:lang w:val="en-GB"/>
        </w:rPr>
      </w:pPr>
      <w:r>
        <w:rPr>
          <w:rFonts w:eastAsia="Calibri" w:cs="Arial"/>
          <w:sz w:val="24"/>
          <w:lang w:val="en-GB"/>
        </w:rPr>
        <w:t xml:space="preserve">This is a case control study. </w:t>
      </w:r>
      <w:r w:rsidR="00825C8C" w:rsidRPr="00D0089A">
        <w:rPr>
          <w:rFonts w:eastAsia="Calibri" w:cs="Arial"/>
          <w:sz w:val="24"/>
          <w:lang w:val="en-GB"/>
        </w:rPr>
        <w:t>Hospital records of</w:t>
      </w:r>
      <w:r w:rsidR="007B36A0" w:rsidRPr="00D0089A">
        <w:rPr>
          <w:rFonts w:eastAsia="Calibri" w:cs="Arial"/>
          <w:sz w:val="24"/>
          <w:lang w:val="en-GB"/>
        </w:rPr>
        <w:t xml:space="preserve"> the regional T</w:t>
      </w:r>
      <w:r w:rsidR="00A95C64">
        <w:rPr>
          <w:rFonts w:eastAsia="Calibri" w:cs="Arial"/>
          <w:sz w:val="24"/>
          <w:lang w:val="en-GB"/>
        </w:rPr>
        <w:t>AVI</w:t>
      </w:r>
      <w:r w:rsidR="007B36A0" w:rsidRPr="00D0089A">
        <w:rPr>
          <w:rFonts w:eastAsia="Calibri" w:cs="Arial"/>
          <w:sz w:val="24"/>
          <w:lang w:val="en-GB"/>
        </w:rPr>
        <w:t xml:space="preserve"> </w:t>
      </w:r>
      <w:r w:rsidR="00825C8C" w:rsidRPr="00D0089A">
        <w:rPr>
          <w:rFonts w:eastAsia="Calibri" w:cs="Arial"/>
          <w:sz w:val="24"/>
          <w:lang w:val="en-GB"/>
        </w:rPr>
        <w:t>multidisciplinary team (T</w:t>
      </w:r>
      <w:r w:rsidR="00A95C64">
        <w:rPr>
          <w:rFonts w:eastAsia="Calibri" w:cs="Arial"/>
          <w:sz w:val="24"/>
          <w:lang w:val="en-GB"/>
        </w:rPr>
        <w:t>AVI-mdt</w:t>
      </w:r>
      <w:r w:rsidR="00825C8C" w:rsidRPr="00D0089A">
        <w:rPr>
          <w:rFonts w:eastAsia="Calibri" w:cs="Arial"/>
          <w:sz w:val="24"/>
          <w:lang w:val="en-GB"/>
        </w:rPr>
        <w:t>) meetings a</w:t>
      </w:r>
      <w:r w:rsidR="007B36A0" w:rsidRPr="00D0089A">
        <w:rPr>
          <w:rFonts w:eastAsia="Calibri" w:cs="Arial"/>
          <w:sz w:val="24"/>
          <w:lang w:val="en-GB"/>
        </w:rPr>
        <w:t>t Southampton General Hospital</w:t>
      </w:r>
      <w:r w:rsidR="00825C8C" w:rsidRPr="00D0089A">
        <w:rPr>
          <w:rFonts w:eastAsia="Calibri" w:cs="Arial"/>
          <w:sz w:val="24"/>
          <w:lang w:val="en-GB"/>
        </w:rPr>
        <w:t xml:space="preserve"> </w:t>
      </w:r>
      <w:r w:rsidR="002A7594" w:rsidRPr="00D0089A">
        <w:rPr>
          <w:rFonts w:eastAsia="Calibri" w:cs="Arial"/>
          <w:sz w:val="24"/>
          <w:lang w:val="en-GB"/>
        </w:rPr>
        <w:t xml:space="preserve">(SGH) </w:t>
      </w:r>
      <w:r w:rsidR="00825C8C" w:rsidRPr="00D0089A">
        <w:rPr>
          <w:rFonts w:eastAsia="Calibri" w:cs="Arial"/>
          <w:sz w:val="24"/>
          <w:lang w:val="en-GB"/>
        </w:rPr>
        <w:t>were retrospectively analysed fr</w:t>
      </w:r>
      <w:r w:rsidR="00C63E64" w:rsidRPr="00D0089A">
        <w:rPr>
          <w:rFonts w:eastAsia="Calibri" w:cs="Arial"/>
          <w:sz w:val="24"/>
          <w:lang w:val="en-GB"/>
        </w:rPr>
        <w:t>o</w:t>
      </w:r>
      <w:r w:rsidR="00825C8C" w:rsidRPr="00D0089A">
        <w:rPr>
          <w:rFonts w:eastAsia="Calibri" w:cs="Arial"/>
          <w:sz w:val="24"/>
          <w:lang w:val="en-GB"/>
        </w:rPr>
        <w:t>m May 2009 to August 2019</w:t>
      </w:r>
      <w:r w:rsidR="000857F3">
        <w:rPr>
          <w:rFonts w:eastAsia="Calibri" w:cs="Arial"/>
          <w:sz w:val="24"/>
          <w:lang w:val="en-GB"/>
        </w:rPr>
        <w:t xml:space="preserve"> to identify cases that were declined for TAVI and then reconsidered for SAVR</w:t>
      </w:r>
      <w:r>
        <w:rPr>
          <w:rFonts w:eastAsia="Calibri" w:cs="Arial"/>
          <w:sz w:val="24"/>
          <w:lang w:val="en-GB"/>
        </w:rPr>
        <w:t xml:space="preserve"> (cases)</w:t>
      </w:r>
      <w:r w:rsidR="007B36A0" w:rsidRPr="00D0089A">
        <w:rPr>
          <w:rFonts w:eastAsia="Calibri" w:cs="Arial"/>
          <w:sz w:val="24"/>
          <w:lang w:val="en-GB"/>
        </w:rPr>
        <w:t xml:space="preserve">. </w:t>
      </w:r>
      <w:r>
        <w:rPr>
          <w:rFonts w:eastAsia="Calibri" w:cs="Arial"/>
          <w:sz w:val="24"/>
          <w:lang w:val="en-GB"/>
        </w:rPr>
        <w:t>Those declined TAVI but managed conservatively served as controls</w:t>
      </w:r>
      <w:r w:rsidR="00AB1023">
        <w:rPr>
          <w:rFonts w:eastAsia="Calibri" w:cs="Arial"/>
          <w:sz w:val="24"/>
          <w:lang w:val="en-GB"/>
        </w:rPr>
        <w:t>.</w:t>
      </w:r>
      <w:r>
        <w:rPr>
          <w:rFonts w:eastAsia="Calibri" w:cs="Arial"/>
          <w:sz w:val="24"/>
          <w:lang w:val="en-GB"/>
        </w:rPr>
        <w:t xml:space="preserve"> </w:t>
      </w:r>
    </w:p>
    <w:p w14:paraId="5C555A97" w14:textId="77777777" w:rsidR="00687DB3" w:rsidRDefault="00687DB3" w:rsidP="00207FBE">
      <w:pPr>
        <w:spacing w:line="480" w:lineRule="auto"/>
        <w:rPr>
          <w:rFonts w:eastAsia="Calibri" w:cs="Arial"/>
          <w:bCs/>
          <w:i/>
          <w:sz w:val="24"/>
          <w:lang w:val="en-GB"/>
        </w:rPr>
      </w:pPr>
      <w:r w:rsidRPr="00E8507D">
        <w:rPr>
          <w:rFonts w:eastAsia="Calibri" w:cs="Arial"/>
          <w:bCs/>
          <w:i/>
          <w:sz w:val="24"/>
          <w:lang w:val="en-GB"/>
        </w:rPr>
        <w:t>Ethics</w:t>
      </w:r>
    </w:p>
    <w:p w14:paraId="2271FC3E" w14:textId="777B0582" w:rsidR="00847C83" w:rsidRDefault="00847C83" w:rsidP="00207FBE">
      <w:pPr>
        <w:spacing w:line="480" w:lineRule="auto"/>
        <w:rPr>
          <w:rFonts w:eastAsia="Calibri" w:cs="Arial"/>
          <w:b/>
          <w:bCs/>
          <w:sz w:val="24"/>
          <w:lang w:val="en-GB"/>
        </w:rPr>
      </w:pPr>
      <w:r w:rsidRPr="003C4A01">
        <w:rPr>
          <w:rFonts w:eastAsia="Calibri" w:cs="Arial"/>
          <w:bCs/>
          <w:sz w:val="24"/>
          <w:lang w:val="en-GB"/>
        </w:rPr>
        <w:t>The project was registered locally, and approvals were obtained for use of data, data protection and compliance with local policies</w:t>
      </w:r>
      <w:r w:rsidR="00687DB3">
        <w:rPr>
          <w:rFonts w:eastAsia="Calibri" w:cs="Arial"/>
          <w:bCs/>
          <w:sz w:val="24"/>
          <w:lang w:val="en-GB"/>
        </w:rPr>
        <w:t xml:space="preserve"> (</w:t>
      </w:r>
      <w:r w:rsidR="00687DB3" w:rsidRPr="00031117">
        <w:rPr>
          <w:rFonts w:eastAsia="Calibri" w:cs="Arial"/>
          <w:bCs/>
          <w:sz w:val="24"/>
          <w:lang w:val="en-GB"/>
        </w:rPr>
        <w:t>SEV/0029, 24.10.2018</w:t>
      </w:r>
      <w:r w:rsidR="00687DB3">
        <w:rPr>
          <w:rFonts w:eastAsia="Calibri" w:cs="Arial"/>
          <w:bCs/>
          <w:sz w:val="24"/>
          <w:lang w:val="en-GB"/>
        </w:rPr>
        <w:t>)</w:t>
      </w:r>
      <w:r w:rsidRPr="003C4A01">
        <w:rPr>
          <w:rFonts w:eastAsia="Calibri" w:cs="Arial"/>
          <w:bCs/>
          <w:sz w:val="24"/>
          <w:lang w:val="en-GB"/>
        </w:rPr>
        <w:t>. Need for individual consent was wa</w:t>
      </w:r>
      <w:r>
        <w:rPr>
          <w:rFonts w:eastAsia="Calibri" w:cs="Arial"/>
          <w:bCs/>
          <w:sz w:val="24"/>
          <w:lang w:val="en-GB"/>
        </w:rPr>
        <w:t>ived due to the nature of study</w:t>
      </w:r>
      <w:r w:rsidRPr="003C4A01">
        <w:rPr>
          <w:rFonts w:eastAsia="Calibri" w:cs="Arial"/>
          <w:bCs/>
          <w:sz w:val="24"/>
          <w:lang w:val="en-GB"/>
        </w:rPr>
        <w:t>.</w:t>
      </w:r>
    </w:p>
    <w:p w14:paraId="5AD3FC43" w14:textId="77777777" w:rsidR="00687DB3" w:rsidRPr="00E8507D" w:rsidRDefault="00687DB3" w:rsidP="00207FBE">
      <w:pPr>
        <w:spacing w:line="480" w:lineRule="auto"/>
        <w:rPr>
          <w:rFonts w:eastAsia="Calibri" w:cs="Arial"/>
          <w:i/>
          <w:sz w:val="24"/>
          <w:lang w:val="en-GB"/>
        </w:rPr>
      </w:pPr>
      <w:r w:rsidRPr="00E8507D">
        <w:rPr>
          <w:rFonts w:eastAsia="Calibri" w:cs="Arial"/>
          <w:i/>
          <w:sz w:val="24"/>
          <w:lang w:val="en-GB"/>
        </w:rPr>
        <w:t>Objectives</w:t>
      </w:r>
    </w:p>
    <w:p w14:paraId="1907698C" w14:textId="1181780D" w:rsidR="001A3F4D" w:rsidRDefault="001A3F4D" w:rsidP="00207FBE">
      <w:pPr>
        <w:spacing w:line="480" w:lineRule="auto"/>
        <w:rPr>
          <w:rFonts w:eastAsia="Calibri" w:cs="Arial"/>
          <w:sz w:val="24"/>
          <w:lang w:val="en-GB"/>
        </w:rPr>
      </w:pPr>
      <w:r w:rsidRPr="00D0089A">
        <w:rPr>
          <w:rFonts w:eastAsia="Calibri" w:cs="Arial"/>
          <w:sz w:val="24"/>
          <w:lang w:val="en-GB"/>
        </w:rPr>
        <w:t>The objective</w:t>
      </w:r>
      <w:r>
        <w:rPr>
          <w:rFonts w:eastAsia="Calibri" w:cs="Arial"/>
          <w:sz w:val="24"/>
          <w:lang w:val="en-GB"/>
        </w:rPr>
        <w:t>s</w:t>
      </w:r>
      <w:r w:rsidRPr="00D0089A">
        <w:rPr>
          <w:rFonts w:eastAsia="Calibri" w:cs="Arial"/>
          <w:sz w:val="24"/>
          <w:lang w:val="en-GB"/>
        </w:rPr>
        <w:t xml:space="preserve"> </w:t>
      </w:r>
      <w:r>
        <w:rPr>
          <w:rFonts w:eastAsia="Calibri" w:cs="Arial"/>
          <w:sz w:val="24"/>
          <w:lang w:val="en-GB"/>
        </w:rPr>
        <w:t xml:space="preserve">of the </w:t>
      </w:r>
      <w:r w:rsidRPr="00D0089A">
        <w:rPr>
          <w:rFonts w:eastAsia="Calibri" w:cs="Arial"/>
          <w:sz w:val="24"/>
          <w:lang w:val="en-GB"/>
        </w:rPr>
        <w:t xml:space="preserve">study </w:t>
      </w:r>
      <w:r>
        <w:rPr>
          <w:rFonts w:eastAsia="Calibri" w:cs="Arial"/>
          <w:sz w:val="24"/>
          <w:lang w:val="en-GB"/>
        </w:rPr>
        <w:t>were -</w:t>
      </w:r>
    </w:p>
    <w:p w14:paraId="4C68DDD3" w14:textId="77777777" w:rsidR="001A3F4D" w:rsidRDefault="001A3F4D" w:rsidP="00207FBE">
      <w:pPr>
        <w:pStyle w:val="ListParagraph"/>
        <w:numPr>
          <w:ilvl w:val="0"/>
          <w:numId w:val="10"/>
        </w:numPr>
        <w:spacing w:line="480" w:lineRule="auto"/>
        <w:ind w:left="426"/>
        <w:rPr>
          <w:rFonts w:eastAsia="Calibri" w:cs="Arial"/>
          <w:sz w:val="24"/>
          <w:lang w:val="en-GB"/>
        </w:rPr>
      </w:pPr>
      <w:r>
        <w:rPr>
          <w:rFonts w:eastAsia="Calibri" w:cs="Arial"/>
          <w:sz w:val="24"/>
          <w:lang w:val="en-GB"/>
        </w:rPr>
        <w:t xml:space="preserve">study </w:t>
      </w:r>
      <w:r w:rsidRPr="00010E3C">
        <w:rPr>
          <w:rFonts w:eastAsia="Calibri" w:cs="Arial"/>
          <w:sz w:val="24"/>
          <w:lang w:val="en-GB"/>
        </w:rPr>
        <w:t xml:space="preserve">perioperative outcomes of rSAVR (cases). </w:t>
      </w:r>
    </w:p>
    <w:p w14:paraId="6E12C9CE" w14:textId="638469BD" w:rsidR="001A3F4D" w:rsidRDefault="001A3F4D" w:rsidP="00207FBE">
      <w:pPr>
        <w:pStyle w:val="ListParagraph"/>
        <w:numPr>
          <w:ilvl w:val="0"/>
          <w:numId w:val="10"/>
        </w:numPr>
        <w:spacing w:line="480" w:lineRule="auto"/>
        <w:ind w:left="426"/>
        <w:rPr>
          <w:rFonts w:eastAsia="Calibri" w:cs="Arial"/>
          <w:sz w:val="24"/>
          <w:lang w:val="en-GB"/>
        </w:rPr>
      </w:pPr>
      <w:r w:rsidRPr="00010E3C">
        <w:rPr>
          <w:rFonts w:eastAsia="Calibri" w:cs="Arial"/>
          <w:sz w:val="24"/>
          <w:lang w:val="en-GB"/>
        </w:rPr>
        <w:t xml:space="preserve">compare survival and readmissions between the </w:t>
      </w:r>
      <w:r>
        <w:rPr>
          <w:rFonts w:eastAsia="Calibri" w:cs="Arial"/>
          <w:sz w:val="24"/>
          <w:lang w:val="en-GB"/>
        </w:rPr>
        <w:t>C</w:t>
      </w:r>
      <w:r w:rsidRPr="00010E3C">
        <w:rPr>
          <w:rFonts w:eastAsia="Calibri" w:cs="Arial"/>
          <w:sz w:val="24"/>
          <w:lang w:val="en-GB"/>
        </w:rPr>
        <w:t>onservative group (controls) and rSAVR</w:t>
      </w:r>
      <w:r>
        <w:rPr>
          <w:rFonts w:eastAsia="Calibri" w:cs="Arial"/>
          <w:sz w:val="24"/>
          <w:lang w:val="en-GB"/>
        </w:rPr>
        <w:t xml:space="preserve"> (cases)</w:t>
      </w:r>
      <w:r w:rsidRPr="00010E3C">
        <w:rPr>
          <w:rFonts w:eastAsia="Calibri" w:cs="Arial"/>
          <w:sz w:val="24"/>
          <w:lang w:val="en-GB"/>
        </w:rPr>
        <w:t xml:space="preserve">. </w:t>
      </w:r>
    </w:p>
    <w:p w14:paraId="3E85572E" w14:textId="56A9C3B1" w:rsidR="00D67860" w:rsidRDefault="00C4114B" w:rsidP="00207FBE">
      <w:pPr>
        <w:spacing w:line="480" w:lineRule="auto"/>
        <w:rPr>
          <w:rFonts w:eastAsia="Calibri" w:cs="Arial"/>
          <w:sz w:val="24"/>
          <w:lang w:val="en-GB"/>
        </w:rPr>
      </w:pPr>
      <w:r>
        <w:rPr>
          <w:rFonts w:eastAsia="Calibri" w:cs="Arial"/>
          <w:sz w:val="24"/>
          <w:lang w:val="en-GB"/>
        </w:rPr>
        <w:t xml:space="preserve">A STROBE </w:t>
      </w:r>
      <w:r w:rsidR="00A658F2">
        <w:rPr>
          <w:rFonts w:eastAsia="Calibri" w:cs="Arial"/>
          <w:sz w:val="24"/>
          <w:lang w:val="en-GB"/>
        </w:rPr>
        <w:t>(</w:t>
      </w:r>
      <w:r w:rsidR="00A658F2" w:rsidRPr="00A658F2">
        <w:rPr>
          <w:rFonts w:eastAsia="Calibri" w:cs="Arial"/>
          <w:sz w:val="24"/>
          <w:lang w:val="en-GB"/>
        </w:rPr>
        <w:t>Strengthening the Reporting of Observational Studies in Epidemiology</w:t>
      </w:r>
      <w:r w:rsidR="00A658F2">
        <w:rPr>
          <w:rFonts w:eastAsia="Calibri" w:cs="Arial"/>
          <w:sz w:val="24"/>
          <w:lang w:val="en-GB"/>
        </w:rPr>
        <w:t xml:space="preserve">) </w:t>
      </w:r>
      <w:r>
        <w:rPr>
          <w:rFonts w:eastAsia="Calibri" w:cs="Arial"/>
          <w:sz w:val="24"/>
          <w:lang w:val="en-GB"/>
        </w:rPr>
        <w:t xml:space="preserve">checklist </w:t>
      </w:r>
      <w:r w:rsidR="00A658F2">
        <w:rPr>
          <w:rFonts w:eastAsia="Calibri" w:cs="Arial"/>
          <w:sz w:val="24"/>
          <w:lang w:val="en-GB"/>
        </w:rPr>
        <w:t xml:space="preserve">of 22 items </w:t>
      </w:r>
      <w:r>
        <w:rPr>
          <w:rFonts w:eastAsia="Calibri" w:cs="Arial"/>
          <w:sz w:val="24"/>
          <w:lang w:val="en-GB"/>
        </w:rPr>
        <w:t>was compiled (supplement 1) for a</w:t>
      </w:r>
      <w:r w:rsidR="00A658F2">
        <w:rPr>
          <w:rFonts w:eastAsia="Calibri" w:cs="Arial"/>
          <w:sz w:val="24"/>
          <w:lang w:val="en-GB"/>
        </w:rPr>
        <w:t xml:space="preserve"> case</w:t>
      </w:r>
      <w:r w:rsidR="009E722B">
        <w:rPr>
          <w:rFonts w:eastAsia="Calibri" w:cs="Arial"/>
          <w:sz w:val="24"/>
          <w:lang w:val="en-GB"/>
        </w:rPr>
        <w:t xml:space="preserve"> control</w:t>
      </w:r>
      <w:r w:rsidR="00A658F2">
        <w:rPr>
          <w:rFonts w:eastAsia="Calibri" w:cs="Arial"/>
          <w:sz w:val="24"/>
          <w:lang w:val="en-GB"/>
        </w:rPr>
        <w:t xml:space="preserve"> </w:t>
      </w:r>
      <w:r w:rsidR="002F0575">
        <w:rPr>
          <w:rFonts w:eastAsia="Calibri" w:cs="Arial"/>
          <w:sz w:val="24"/>
          <w:lang w:val="en-GB"/>
        </w:rPr>
        <w:t>study.</w:t>
      </w:r>
    </w:p>
    <w:p w14:paraId="0A3FD227" w14:textId="13507FC7" w:rsidR="009D6ED3" w:rsidRDefault="009D6ED3" w:rsidP="00207FBE">
      <w:pPr>
        <w:spacing w:line="480" w:lineRule="auto"/>
        <w:rPr>
          <w:rFonts w:eastAsia="Calibri" w:cs="Arial"/>
          <w:i/>
          <w:iCs/>
          <w:sz w:val="24"/>
          <w:lang w:val="en-GB"/>
        </w:rPr>
      </w:pPr>
      <w:r>
        <w:rPr>
          <w:rFonts w:eastAsia="Calibri" w:cs="Arial"/>
          <w:i/>
          <w:iCs/>
          <w:sz w:val="24"/>
          <w:lang w:val="en-GB"/>
        </w:rPr>
        <w:t>Patient and public involvement</w:t>
      </w:r>
    </w:p>
    <w:p w14:paraId="5E3A85FD" w14:textId="47BB0946" w:rsidR="009D6ED3" w:rsidRPr="009D6ED3" w:rsidRDefault="009D6ED3" w:rsidP="00207FBE">
      <w:pPr>
        <w:spacing w:line="480" w:lineRule="auto"/>
        <w:rPr>
          <w:rFonts w:eastAsia="Calibri" w:cs="Arial"/>
          <w:sz w:val="24"/>
          <w:lang w:val="en-GB"/>
        </w:rPr>
      </w:pPr>
      <w:r>
        <w:rPr>
          <w:rFonts w:eastAsia="Calibri" w:cs="Arial"/>
          <w:sz w:val="24"/>
          <w:lang w:val="en-GB"/>
        </w:rPr>
        <w:t>Due to the retrospective nature of the data, patients were not involved in the design, conduct, nor recruitment of the study.</w:t>
      </w:r>
    </w:p>
    <w:p w14:paraId="51E1AC7C" w14:textId="7552CC9A" w:rsidR="00D67860" w:rsidRPr="00D0089A" w:rsidRDefault="00D67860" w:rsidP="00207FBE">
      <w:pPr>
        <w:spacing w:line="480" w:lineRule="auto"/>
        <w:rPr>
          <w:rFonts w:eastAsia="Calibri" w:cs="Arial"/>
          <w:i/>
          <w:sz w:val="24"/>
          <w:lang w:val="en-GB"/>
        </w:rPr>
      </w:pPr>
      <w:r w:rsidRPr="00D0089A">
        <w:rPr>
          <w:rFonts w:eastAsia="Calibri" w:cs="Arial"/>
          <w:i/>
          <w:sz w:val="24"/>
          <w:lang w:val="en-GB"/>
        </w:rPr>
        <w:t>Referral and assessment for TAVI</w:t>
      </w:r>
    </w:p>
    <w:p w14:paraId="31491943" w14:textId="03E5731D" w:rsidR="00D67860" w:rsidRPr="00D0089A" w:rsidRDefault="004D6684" w:rsidP="00207FBE">
      <w:pPr>
        <w:pStyle w:val="product-title"/>
        <w:spacing w:before="0" w:beforeAutospacing="0" w:after="0" w:afterAutospacing="0" w:line="480" w:lineRule="auto"/>
        <w:rPr>
          <w:rFonts w:ascii="Arial" w:eastAsia="Calibri" w:hAnsi="Arial" w:cs="Arial"/>
        </w:rPr>
      </w:pPr>
      <w:r w:rsidRPr="00D0089A">
        <w:rPr>
          <w:rFonts w:ascii="Arial" w:eastAsia="Calibri" w:hAnsi="Arial" w:cs="Arial"/>
        </w:rPr>
        <w:t>The TAVI referral follows a structured</w:t>
      </w:r>
      <w:r w:rsidR="00D67860" w:rsidRPr="00D0089A">
        <w:rPr>
          <w:rFonts w:ascii="Arial" w:eastAsia="Calibri" w:hAnsi="Arial" w:cs="Arial"/>
        </w:rPr>
        <w:t>,</w:t>
      </w:r>
      <w:r w:rsidRPr="00D0089A">
        <w:rPr>
          <w:rFonts w:ascii="Arial" w:eastAsia="Calibri" w:hAnsi="Arial" w:cs="Arial"/>
        </w:rPr>
        <w:t xml:space="preserve"> documented protocol at our institution</w:t>
      </w:r>
      <w:r w:rsidR="0068226C" w:rsidRPr="00D0089A">
        <w:rPr>
          <w:rFonts w:ascii="Arial" w:eastAsia="Calibri" w:hAnsi="Arial" w:cs="Arial"/>
        </w:rPr>
        <w:t xml:space="preserve"> as per </w:t>
      </w:r>
      <w:r w:rsidR="00A4368C">
        <w:rPr>
          <w:rFonts w:ascii="Arial" w:eastAsia="Calibri" w:hAnsi="Arial" w:cs="Arial"/>
        </w:rPr>
        <w:t>British Cardiovascular Society, British Cardiovascular Intervention Society, and Society for Cardiothoracic Surgery</w:t>
      </w:r>
      <w:r w:rsidR="00F108A6" w:rsidRPr="00D0089A">
        <w:rPr>
          <w:rFonts w:ascii="Arial" w:eastAsia="Calibri" w:hAnsi="Arial" w:cs="Arial"/>
        </w:rPr>
        <w:t xml:space="preserve"> </w:t>
      </w:r>
      <w:r w:rsidR="0068226C" w:rsidRPr="00D0089A">
        <w:rPr>
          <w:rFonts w:ascii="Arial" w:eastAsia="Calibri" w:hAnsi="Arial" w:cs="Arial"/>
        </w:rPr>
        <w:t xml:space="preserve">service specifications, TAVI care pathway </w:t>
      </w:r>
      <w:r w:rsidR="00EB7D6A" w:rsidRPr="00D0089A">
        <w:rPr>
          <w:rFonts w:ascii="Arial" w:eastAsia="Calibri" w:hAnsi="Arial" w:cs="Arial"/>
        </w:rPr>
        <w:t xml:space="preserve">guidelines and </w:t>
      </w:r>
      <w:r w:rsidR="0068226C" w:rsidRPr="00D0089A">
        <w:rPr>
          <w:rFonts w:ascii="Arial" w:eastAsia="Calibri" w:hAnsi="Arial" w:cs="Arial"/>
        </w:rPr>
        <w:t>recommendations</w:t>
      </w:r>
      <w:r w:rsidR="00F07AB6" w:rsidRPr="00D0089A">
        <w:rPr>
          <w:rFonts w:ascii="Arial" w:eastAsia="Calibri" w:hAnsi="Arial" w:cs="Arial"/>
        </w:rPr>
        <w:t xml:space="preserve"> (7-9)</w:t>
      </w:r>
      <w:r w:rsidRPr="00D0089A">
        <w:rPr>
          <w:rFonts w:ascii="Arial" w:eastAsia="Calibri" w:hAnsi="Arial" w:cs="Arial"/>
        </w:rPr>
        <w:t xml:space="preserve">. </w:t>
      </w:r>
      <w:r w:rsidR="00B813EB" w:rsidRPr="00D0089A">
        <w:rPr>
          <w:rFonts w:ascii="Arial" w:eastAsia="Calibri" w:hAnsi="Arial" w:cs="Arial"/>
        </w:rPr>
        <w:t xml:space="preserve">Surgical referrals from 14 regional and local referral </w:t>
      </w:r>
      <w:r w:rsidR="00A13487" w:rsidRPr="00D0089A">
        <w:rPr>
          <w:rFonts w:ascii="Arial" w:eastAsia="Calibri" w:hAnsi="Arial" w:cs="Arial"/>
        </w:rPr>
        <w:t>centres</w:t>
      </w:r>
      <w:r w:rsidR="00B813EB" w:rsidRPr="00D0089A">
        <w:rPr>
          <w:rFonts w:ascii="Arial" w:eastAsia="Calibri" w:hAnsi="Arial" w:cs="Arial"/>
        </w:rPr>
        <w:t xml:space="preserve"> for </w:t>
      </w:r>
      <w:r w:rsidR="00886382">
        <w:rPr>
          <w:rFonts w:ascii="Arial" w:eastAsia="Calibri" w:hAnsi="Arial" w:cs="Arial"/>
        </w:rPr>
        <w:t xml:space="preserve">surgical </w:t>
      </w:r>
      <w:r w:rsidR="00B813EB" w:rsidRPr="00D0089A">
        <w:rPr>
          <w:rFonts w:ascii="Arial" w:eastAsia="Calibri" w:hAnsi="Arial" w:cs="Arial"/>
        </w:rPr>
        <w:t xml:space="preserve">aortic valve replacements </w:t>
      </w:r>
      <w:r w:rsidR="00886382">
        <w:rPr>
          <w:rFonts w:ascii="Arial" w:eastAsia="Calibri" w:hAnsi="Arial" w:cs="Arial"/>
        </w:rPr>
        <w:t xml:space="preserve">(SAVR) </w:t>
      </w:r>
      <w:r w:rsidR="00B813EB" w:rsidRPr="00D0089A">
        <w:rPr>
          <w:rFonts w:ascii="Arial" w:eastAsia="Calibri" w:hAnsi="Arial" w:cs="Arial"/>
        </w:rPr>
        <w:t xml:space="preserve">for severe calcific aortic stenosis were initially screened by a cardiac surgeon. </w:t>
      </w:r>
      <w:r w:rsidR="005968D7" w:rsidRPr="00D0089A">
        <w:rPr>
          <w:rFonts w:ascii="Arial" w:eastAsia="Calibri" w:hAnsi="Arial" w:cs="Arial"/>
        </w:rPr>
        <w:t xml:space="preserve">All patients had an echocardiogram for assessment of cardiac valves and function and either a conventional angiogram or CT angiogram for coronary assessment. </w:t>
      </w:r>
      <w:r w:rsidRPr="00D0089A">
        <w:rPr>
          <w:rFonts w:ascii="Arial" w:eastAsia="Calibri" w:hAnsi="Arial" w:cs="Arial"/>
        </w:rPr>
        <w:t xml:space="preserve">The patients are then reviewed either as in-patient or in the clinic by the cardiac surgeon. </w:t>
      </w:r>
      <w:r w:rsidR="00B813EB" w:rsidRPr="00D0089A">
        <w:rPr>
          <w:rFonts w:ascii="Arial" w:eastAsia="Calibri" w:hAnsi="Arial" w:cs="Arial"/>
        </w:rPr>
        <w:t xml:space="preserve">These were </w:t>
      </w:r>
      <w:r w:rsidRPr="00D0089A">
        <w:rPr>
          <w:rFonts w:ascii="Arial" w:eastAsia="Calibri" w:hAnsi="Arial" w:cs="Arial"/>
        </w:rPr>
        <w:t xml:space="preserve">formally </w:t>
      </w:r>
      <w:r w:rsidR="00793D80">
        <w:rPr>
          <w:rFonts w:ascii="Arial" w:eastAsia="Calibri" w:hAnsi="Arial" w:cs="Arial"/>
        </w:rPr>
        <w:t>discussed at</w:t>
      </w:r>
      <w:r w:rsidR="00B813EB" w:rsidRPr="00D0089A">
        <w:rPr>
          <w:rFonts w:ascii="Arial" w:eastAsia="Calibri" w:hAnsi="Arial" w:cs="Arial"/>
        </w:rPr>
        <w:t xml:space="preserve"> the TAVI-mdt if deemed unsuitable or too high risk for </w:t>
      </w:r>
      <w:r w:rsidR="00886382">
        <w:rPr>
          <w:rFonts w:ascii="Arial" w:eastAsia="Calibri" w:hAnsi="Arial" w:cs="Arial"/>
        </w:rPr>
        <w:t>SAVR</w:t>
      </w:r>
      <w:r w:rsidR="00B813EB" w:rsidRPr="00D0089A">
        <w:rPr>
          <w:rFonts w:ascii="Arial" w:eastAsia="Calibri" w:hAnsi="Arial" w:cs="Arial"/>
        </w:rPr>
        <w:t xml:space="preserve">. </w:t>
      </w:r>
      <w:r w:rsidR="00886382" w:rsidRPr="00D0089A">
        <w:rPr>
          <w:rFonts w:ascii="Arial" w:eastAsia="Calibri" w:hAnsi="Arial" w:cs="Arial"/>
        </w:rPr>
        <w:t xml:space="preserve">As per UK National Institute of Health and Care Excellence (NICE, </w:t>
      </w:r>
      <w:r w:rsidR="00886382" w:rsidRPr="00D0089A">
        <w:rPr>
          <w:rStyle w:val="prod-title"/>
          <w:rFonts w:ascii="Arial" w:hAnsi="Arial" w:cs="Arial"/>
        </w:rPr>
        <w:t xml:space="preserve">Interventional Procedures Guidance, IPG586 </w:t>
      </w:r>
      <w:r w:rsidR="00886382" w:rsidRPr="00D0089A">
        <w:rPr>
          <w:rFonts w:ascii="Arial" w:hAnsi="Arial" w:cs="Arial"/>
        </w:rPr>
        <w:t>(revised);</w:t>
      </w:r>
      <w:r w:rsidR="00886382" w:rsidRPr="00D0089A">
        <w:rPr>
          <w:rStyle w:val="published-date"/>
          <w:rFonts w:ascii="Arial" w:hAnsi="Arial" w:cs="Arial"/>
        </w:rPr>
        <w:t xml:space="preserve"> July 2017, original IPG421; March 2012) </w:t>
      </w:r>
      <w:r w:rsidR="00886382" w:rsidRPr="00D0089A">
        <w:rPr>
          <w:rFonts w:ascii="Arial" w:eastAsia="Calibri" w:hAnsi="Arial" w:cs="Arial"/>
        </w:rPr>
        <w:t>only high to intermediate risk patients were considered for referral for TAVI.</w:t>
      </w:r>
      <w:r w:rsidR="00886382">
        <w:rPr>
          <w:rFonts w:ascii="Arial" w:eastAsia="Calibri" w:hAnsi="Arial" w:cs="Arial"/>
        </w:rPr>
        <w:t xml:space="preserve"> </w:t>
      </w:r>
      <w:r w:rsidR="00B813EB" w:rsidRPr="00D0089A">
        <w:rPr>
          <w:rFonts w:ascii="Arial" w:eastAsia="Calibri" w:hAnsi="Arial" w:cs="Arial"/>
        </w:rPr>
        <w:t xml:space="preserve">All </w:t>
      </w:r>
      <w:r w:rsidR="005968D7" w:rsidRPr="00D0089A">
        <w:rPr>
          <w:rFonts w:ascii="Arial" w:eastAsia="Calibri" w:hAnsi="Arial" w:cs="Arial"/>
        </w:rPr>
        <w:t>ref</w:t>
      </w:r>
      <w:r w:rsidRPr="00D0089A">
        <w:rPr>
          <w:rFonts w:ascii="Arial" w:eastAsia="Calibri" w:hAnsi="Arial" w:cs="Arial"/>
        </w:rPr>
        <w:t>e</w:t>
      </w:r>
      <w:r w:rsidR="005968D7" w:rsidRPr="00D0089A">
        <w:rPr>
          <w:rFonts w:ascii="Arial" w:eastAsia="Calibri" w:hAnsi="Arial" w:cs="Arial"/>
        </w:rPr>
        <w:t xml:space="preserve">rred </w:t>
      </w:r>
      <w:r w:rsidR="00B813EB" w:rsidRPr="00D0089A">
        <w:rPr>
          <w:rFonts w:ascii="Arial" w:eastAsia="Calibri" w:hAnsi="Arial" w:cs="Arial"/>
        </w:rPr>
        <w:t xml:space="preserve">patients had a TAVI protocol CT scan to assess for suitability of vascular approach (transfemoral or transapical), assess the geometry </w:t>
      </w:r>
      <w:r w:rsidR="005968D7" w:rsidRPr="00D0089A">
        <w:rPr>
          <w:rFonts w:ascii="Arial" w:eastAsia="Calibri" w:hAnsi="Arial" w:cs="Arial"/>
        </w:rPr>
        <w:t>and calcification of the aortic root and ascending aorta. The valve area was measured for sizing of the transcatheter aortic v</w:t>
      </w:r>
      <w:r w:rsidR="00B813EB" w:rsidRPr="00D0089A">
        <w:rPr>
          <w:rFonts w:ascii="Arial" w:eastAsia="Calibri" w:hAnsi="Arial" w:cs="Arial"/>
        </w:rPr>
        <w:t>alve</w:t>
      </w:r>
      <w:r w:rsidR="005968D7" w:rsidRPr="00D0089A">
        <w:rPr>
          <w:rFonts w:ascii="Arial" w:eastAsia="Calibri" w:hAnsi="Arial" w:cs="Arial"/>
        </w:rPr>
        <w:t xml:space="preserve">. </w:t>
      </w:r>
      <w:r w:rsidRPr="00D0089A">
        <w:rPr>
          <w:rFonts w:ascii="Arial" w:eastAsia="Calibri" w:hAnsi="Arial" w:cs="Arial"/>
        </w:rPr>
        <w:t xml:space="preserve">All further tests for risk profiling and other co-morbidities including neurological assessment and dementia screening </w:t>
      </w:r>
      <w:r w:rsidR="003612B4" w:rsidRPr="00D0089A">
        <w:rPr>
          <w:rFonts w:ascii="Arial" w:eastAsia="Calibri" w:hAnsi="Arial" w:cs="Arial"/>
        </w:rPr>
        <w:t xml:space="preserve">were </w:t>
      </w:r>
      <w:r w:rsidRPr="00D0089A">
        <w:rPr>
          <w:rFonts w:ascii="Arial" w:eastAsia="Calibri" w:hAnsi="Arial" w:cs="Arial"/>
        </w:rPr>
        <w:t xml:space="preserve">completed. </w:t>
      </w:r>
      <w:r w:rsidR="005968D7" w:rsidRPr="00D0089A">
        <w:rPr>
          <w:rFonts w:ascii="Arial" w:eastAsia="Calibri" w:hAnsi="Arial" w:cs="Arial"/>
        </w:rPr>
        <w:t xml:space="preserve">All patients were discussed and investigations reviewed at the TAVI-mdt that comprised of </w:t>
      </w:r>
      <w:r w:rsidR="0068226C" w:rsidRPr="00D0089A">
        <w:rPr>
          <w:rFonts w:ascii="Arial" w:eastAsia="Calibri" w:hAnsi="Arial" w:cs="Arial"/>
        </w:rPr>
        <w:t>at</w:t>
      </w:r>
      <w:r w:rsidR="00D67860" w:rsidRPr="00D0089A">
        <w:rPr>
          <w:rFonts w:ascii="Arial" w:eastAsia="Calibri" w:hAnsi="Arial" w:cs="Arial"/>
        </w:rPr>
        <w:t xml:space="preserve"> least one each of the following - </w:t>
      </w:r>
      <w:r w:rsidR="005968D7" w:rsidRPr="00D0089A">
        <w:rPr>
          <w:rFonts w:ascii="Arial" w:eastAsia="Calibri" w:hAnsi="Arial" w:cs="Arial"/>
        </w:rPr>
        <w:t xml:space="preserve">cardiac surgeon, TAVI </w:t>
      </w:r>
      <w:r w:rsidR="003612B4" w:rsidRPr="00D0089A">
        <w:rPr>
          <w:rFonts w:ascii="Arial" w:eastAsia="Calibri" w:hAnsi="Arial" w:cs="Arial"/>
        </w:rPr>
        <w:t xml:space="preserve">interventional </w:t>
      </w:r>
      <w:r w:rsidR="005968D7" w:rsidRPr="00D0089A">
        <w:rPr>
          <w:rFonts w:ascii="Arial" w:eastAsia="Calibri" w:hAnsi="Arial" w:cs="Arial"/>
        </w:rPr>
        <w:t>cardiologist, cardiac CT radiologist, non-interventional cardiologist (echocardiography)</w:t>
      </w:r>
      <w:r w:rsidR="0068226C" w:rsidRPr="00D0089A">
        <w:rPr>
          <w:rFonts w:ascii="Arial" w:eastAsia="Calibri" w:hAnsi="Arial" w:cs="Arial"/>
        </w:rPr>
        <w:t xml:space="preserve">, </w:t>
      </w:r>
      <w:r w:rsidR="00D67860" w:rsidRPr="00D0089A">
        <w:rPr>
          <w:rFonts w:ascii="Arial" w:eastAsia="Calibri" w:hAnsi="Arial" w:cs="Arial"/>
        </w:rPr>
        <w:t>TAVI co-ordinator</w:t>
      </w:r>
      <w:r w:rsidR="0068226C" w:rsidRPr="00D0089A">
        <w:rPr>
          <w:rFonts w:ascii="Arial" w:eastAsia="Calibri" w:hAnsi="Arial" w:cs="Arial"/>
        </w:rPr>
        <w:t xml:space="preserve"> and/or an interventional radiologist and a vascular surgeon</w:t>
      </w:r>
      <w:r w:rsidRPr="00D0089A">
        <w:rPr>
          <w:rFonts w:ascii="Arial" w:eastAsia="Calibri" w:hAnsi="Arial" w:cs="Arial"/>
        </w:rPr>
        <w:t xml:space="preserve">. </w:t>
      </w:r>
      <w:r w:rsidR="00D67860" w:rsidRPr="00D0089A">
        <w:rPr>
          <w:rFonts w:ascii="Arial" w:eastAsia="Calibri" w:hAnsi="Arial" w:cs="Arial"/>
        </w:rPr>
        <w:t>TAVI-mdt</w:t>
      </w:r>
      <w:r w:rsidRPr="00D0089A">
        <w:rPr>
          <w:rFonts w:ascii="Arial" w:eastAsia="Calibri" w:hAnsi="Arial" w:cs="Arial"/>
        </w:rPr>
        <w:t xml:space="preserve"> decisions were formally documented and patient</w:t>
      </w:r>
      <w:r w:rsidR="00A95C64">
        <w:rPr>
          <w:rFonts w:ascii="Arial" w:eastAsia="Calibri" w:hAnsi="Arial" w:cs="Arial"/>
        </w:rPr>
        <w:t>s</w:t>
      </w:r>
      <w:r w:rsidRPr="00D0089A">
        <w:rPr>
          <w:rFonts w:ascii="Arial" w:eastAsia="Calibri" w:hAnsi="Arial" w:cs="Arial"/>
        </w:rPr>
        <w:t xml:space="preserve"> w</w:t>
      </w:r>
      <w:r w:rsidR="00A95C64">
        <w:rPr>
          <w:rFonts w:ascii="Arial" w:eastAsia="Calibri" w:hAnsi="Arial" w:cs="Arial"/>
        </w:rPr>
        <w:t>ere</w:t>
      </w:r>
      <w:r w:rsidRPr="00D0089A">
        <w:rPr>
          <w:rFonts w:ascii="Arial" w:eastAsia="Calibri" w:hAnsi="Arial" w:cs="Arial"/>
        </w:rPr>
        <w:t xml:space="preserve"> then reviewed by a cardiologist and/or cardiac surgeon to discuss the outcomes of the TAVI-mdt</w:t>
      </w:r>
      <w:r w:rsidR="00D67860" w:rsidRPr="00D0089A">
        <w:rPr>
          <w:rFonts w:ascii="Arial" w:eastAsia="Calibri" w:hAnsi="Arial" w:cs="Arial"/>
        </w:rPr>
        <w:t xml:space="preserve">. </w:t>
      </w:r>
      <w:r w:rsidR="00A13487">
        <w:rPr>
          <w:rFonts w:ascii="Arial" w:eastAsia="Calibri" w:hAnsi="Arial" w:cs="Arial"/>
        </w:rPr>
        <w:t>Among p</w:t>
      </w:r>
      <w:r w:rsidR="006E7E98" w:rsidRPr="00D0089A">
        <w:rPr>
          <w:rFonts w:ascii="Arial" w:eastAsia="Calibri" w:hAnsi="Arial" w:cs="Arial"/>
        </w:rPr>
        <w:t>atients who were denied TAVI</w:t>
      </w:r>
      <w:r w:rsidR="00B14400" w:rsidRPr="00D0089A">
        <w:rPr>
          <w:rFonts w:ascii="Arial" w:eastAsia="Calibri" w:hAnsi="Arial" w:cs="Arial"/>
        </w:rPr>
        <w:t>,</w:t>
      </w:r>
      <w:r w:rsidR="006E7E98" w:rsidRPr="00D0089A">
        <w:rPr>
          <w:rFonts w:ascii="Arial" w:eastAsia="Calibri" w:hAnsi="Arial" w:cs="Arial"/>
        </w:rPr>
        <w:t xml:space="preserve"> a consensual decision </w:t>
      </w:r>
      <w:r w:rsidR="006051A4" w:rsidRPr="00D0089A">
        <w:rPr>
          <w:rFonts w:ascii="Arial" w:eastAsia="Calibri" w:hAnsi="Arial" w:cs="Arial"/>
        </w:rPr>
        <w:t>(patient</w:t>
      </w:r>
      <w:r w:rsidR="00F108A6" w:rsidRPr="00D0089A">
        <w:rPr>
          <w:rFonts w:ascii="Arial" w:eastAsia="Calibri" w:hAnsi="Arial" w:cs="Arial"/>
        </w:rPr>
        <w:t xml:space="preserve"> and family</w:t>
      </w:r>
      <w:r w:rsidR="006051A4" w:rsidRPr="00D0089A">
        <w:rPr>
          <w:rFonts w:ascii="Arial" w:eastAsia="Calibri" w:hAnsi="Arial" w:cs="Arial"/>
        </w:rPr>
        <w:t xml:space="preserve">, cardiac surgeon, cardiologist) </w:t>
      </w:r>
      <w:r w:rsidR="006E7E98" w:rsidRPr="00D0089A">
        <w:rPr>
          <w:rFonts w:ascii="Arial" w:eastAsia="Calibri" w:hAnsi="Arial" w:cs="Arial"/>
        </w:rPr>
        <w:t>was made for further intervention and r</w:t>
      </w:r>
      <w:r w:rsidR="00A95C64">
        <w:rPr>
          <w:rFonts w:ascii="Arial" w:eastAsia="Calibri" w:hAnsi="Arial" w:cs="Arial"/>
        </w:rPr>
        <w:t>S</w:t>
      </w:r>
      <w:r w:rsidR="006E7E98" w:rsidRPr="00D0089A">
        <w:rPr>
          <w:rFonts w:ascii="Arial" w:eastAsia="Calibri" w:hAnsi="Arial" w:cs="Arial"/>
        </w:rPr>
        <w:t>AVR</w:t>
      </w:r>
      <w:r w:rsidR="006051A4" w:rsidRPr="00D0089A">
        <w:rPr>
          <w:rFonts w:ascii="Arial" w:eastAsia="Calibri" w:hAnsi="Arial" w:cs="Arial"/>
        </w:rPr>
        <w:t xml:space="preserve"> </w:t>
      </w:r>
      <w:r w:rsidR="006E7E98" w:rsidRPr="00D0089A">
        <w:rPr>
          <w:rFonts w:ascii="Arial" w:eastAsia="Calibri" w:hAnsi="Arial" w:cs="Arial"/>
        </w:rPr>
        <w:t>or conservative management</w:t>
      </w:r>
      <w:r w:rsidR="006051A4" w:rsidRPr="00D0089A">
        <w:rPr>
          <w:rFonts w:ascii="Arial" w:eastAsia="Calibri" w:hAnsi="Arial" w:cs="Arial"/>
        </w:rPr>
        <w:t>.</w:t>
      </w:r>
      <w:r w:rsidR="006E7E98" w:rsidRPr="00D0089A">
        <w:rPr>
          <w:rFonts w:ascii="Arial" w:eastAsia="Calibri" w:hAnsi="Arial" w:cs="Arial"/>
        </w:rPr>
        <w:t xml:space="preserve"> </w:t>
      </w:r>
      <w:r w:rsidR="00247837" w:rsidRPr="00D0089A">
        <w:rPr>
          <w:rFonts w:ascii="Arial" w:eastAsia="Calibri" w:hAnsi="Arial" w:cs="Arial"/>
        </w:rPr>
        <w:t xml:space="preserve">As part of the consultations, a second re-affirmation opinion </w:t>
      </w:r>
      <w:bookmarkStart w:id="0" w:name="_GoBack"/>
      <w:bookmarkEnd w:id="0"/>
      <w:r w:rsidR="00247837" w:rsidRPr="00D0089A">
        <w:rPr>
          <w:rFonts w:ascii="Arial" w:eastAsia="Calibri" w:hAnsi="Arial" w:cs="Arial"/>
        </w:rPr>
        <w:t xml:space="preserve">from </w:t>
      </w:r>
      <w:r w:rsidR="006A6753">
        <w:rPr>
          <w:rFonts w:ascii="Arial" w:eastAsia="Calibri" w:hAnsi="Arial" w:cs="Arial"/>
        </w:rPr>
        <w:t>an</w:t>
      </w:r>
      <w:r w:rsidR="00247837" w:rsidRPr="00D0089A">
        <w:rPr>
          <w:rFonts w:ascii="Arial" w:eastAsia="Calibri" w:hAnsi="Arial" w:cs="Arial"/>
        </w:rPr>
        <w:t>other consultant cardiac surgeon outside the purview of the TAVI-mdt was sought, if needed, for very high surgical risk and technically difficult cases.</w:t>
      </w:r>
    </w:p>
    <w:p w14:paraId="6CE2EB8F" w14:textId="6AF9FEE7" w:rsidR="00740C27" w:rsidRPr="00D0089A" w:rsidRDefault="00886382" w:rsidP="00207FBE">
      <w:pPr>
        <w:pStyle w:val="product-title"/>
        <w:spacing w:before="0" w:beforeAutospacing="0" w:after="0" w:afterAutospacing="0" w:line="480" w:lineRule="auto"/>
        <w:rPr>
          <w:rFonts w:ascii="Arial" w:eastAsia="Calibri" w:hAnsi="Arial" w:cs="Arial"/>
        </w:rPr>
      </w:pPr>
      <w:r>
        <w:rPr>
          <w:rFonts w:ascii="Arial" w:eastAsia="Calibri" w:hAnsi="Arial" w:cs="Arial"/>
        </w:rPr>
        <w:t>rSAVR was done</w:t>
      </w:r>
      <w:r w:rsidR="00740C27" w:rsidRPr="00D0089A">
        <w:rPr>
          <w:rFonts w:ascii="Arial" w:eastAsia="Calibri" w:hAnsi="Arial" w:cs="Arial"/>
        </w:rPr>
        <w:t xml:space="preserve"> as conventional </w:t>
      </w:r>
      <w:r>
        <w:rPr>
          <w:rFonts w:ascii="Arial" w:eastAsia="Calibri" w:hAnsi="Arial" w:cs="Arial"/>
        </w:rPr>
        <w:t xml:space="preserve">aortic </w:t>
      </w:r>
      <w:r w:rsidR="00740C27" w:rsidRPr="00D0089A">
        <w:rPr>
          <w:rFonts w:ascii="Arial" w:eastAsia="Calibri" w:hAnsi="Arial" w:cs="Arial"/>
        </w:rPr>
        <w:t xml:space="preserve">valve replacements with full sternotomy, cardiopulmonary bypass and cold cardioplegic arrest with mild hypothermia using conventional sutured aortic prostheses. Specifically, </w:t>
      </w:r>
      <w:r w:rsidR="00A95C64">
        <w:rPr>
          <w:rFonts w:ascii="Arial" w:eastAsia="Calibri" w:hAnsi="Arial" w:cs="Arial"/>
        </w:rPr>
        <w:t>p</w:t>
      </w:r>
      <w:r w:rsidR="00740C27" w:rsidRPr="00D0089A">
        <w:rPr>
          <w:rFonts w:ascii="Arial" w:eastAsia="Calibri" w:hAnsi="Arial" w:cs="Arial"/>
        </w:rPr>
        <w:t>artial/</w:t>
      </w:r>
      <w:r w:rsidR="00A95C64">
        <w:rPr>
          <w:rFonts w:ascii="Arial" w:eastAsia="Calibri" w:hAnsi="Arial" w:cs="Arial"/>
        </w:rPr>
        <w:t xml:space="preserve"> </w:t>
      </w:r>
      <w:r w:rsidR="00740C27" w:rsidRPr="00D0089A">
        <w:rPr>
          <w:rFonts w:ascii="Arial" w:eastAsia="Calibri" w:hAnsi="Arial" w:cs="Arial"/>
        </w:rPr>
        <w:t>hemi</w:t>
      </w:r>
      <w:r w:rsidR="00A72C7E">
        <w:rPr>
          <w:rFonts w:ascii="Arial" w:eastAsia="Calibri" w:hAnsi="Arial" w:cs="Arial"/>
        </w:rPr>
        <w:t>-</w:t>
      </w:r>
      <w:r w:rsidR="00740C27" w:rsidRPr="00D0089A">
        <w:rPr>
          <w:rFonts w:ascii="Arial" w:eastAsia="Calibri" w:hAnsi="Arial" w:cs="Arial"/>
        </w:rPr>
        <w:t>sternotomies/</w:t>
      </w:r>
      <w:r w:rsidR="00A95C64">
        <w:rPr>
          <w:rFonts w:ascii="Arial" w:eastAsia="Calibri" w:hAnsi="Arial" w:cs="Arial"/>
        </w:rPr>
        <w:t xml:space="preserve"> </w:t>
      </w:r>
      <w:r w:rsidR="00740C27" w:rsidRPr="00D0089A">
        <w:rPr>
          <w:rFonts w:ascii="Arial" w:eastAsia="Calibri" w:hAnsi="Arial" w:cs="Arial"/>
        </w:rPr>
        <w:t xml:space="preserve">other minimally invasive approaches and suture-less valves were not used in this study.  </w:t>
      </w:r>
    </w:p>
    <w:p w14:paraId="7498811B" w14:textId="1F335755" w:rsidR="008A3576" w:rsidRPr="00D0089A" w:rsidRDefault="00825C8C" w:rsidP="00207FBE">
      <w:pPr>
        <w:spacing w:line="480" w:lineRule="auto"/>
        <w:rPr>
          <w:rFonts w:eastAsia="Calibri" w:cs="Arial"/>
          <w:sz w:val="24"/>
          <w:lang w:val="en-GB"/>
        </w:rPr>
      </w:pPr>
      <w:r w:rsidRPr="00D0089A">
        <w:rPr>
          <w:rFonts w:eastAsia="Calibri" w:cs="Arial"/>
          <w:sz w:val="24"/>
          <w:lang w:val="en-GB"/>
        </w:rPr>
        <w:t xml:space="preserve">Reasons for denial </w:t>
      </w:r>
      <w:r w:rsidR="003D701D" w:rsidRPr="00D0089A">
        <w:rPr>
          <w:rFonts w:eastAsia="Calibri" w:cs="Arial"/>
          <w:sz w:val="24"/>
          <w:lang w:val="en-GB"/>
        </w:rPr>
        <w:t>for T</w:t>
      </w:r>
      <w:r w:rsidR="00F108A6" w:rsidRPr="00D0089A">
        <w:rPr>
          <w:rFonts w:eastAsia="Calibri" w:cs="Arial"/>
          <w:sz w:val="24"/>
          <w:lang w:val="en-GB"/>
        </w:rPr>
        <w:t>AVI</w:t>
      </w:r>
      <w:r w:rsidR="003D701D" w:rsidRPr="00D0089A">
        <w:rPr>
          <w:rFonts w:eastAsia="Calibri" w:cs="Arial"/>
          <w:sz w:val="24"/>
          <w:lang w:val="en-GB"/>
        </w:rPr>
        <w:t xml:space="preserve"> </w:t>
      </w:r>
      <w:r w:rsidRPr="00D0089A">
        <w:rPr>
          <w:rFonts w:eastAsia="Calibri" w:cs="Arial"/>
          <w:sz w:val="24"/>
          <w:lang w:val="en-GB"/>
        </w:rPr>
        <w:t xml:space="preserve">were analysed </w:t>
      </w:r>
      <w:r w:rsidR="003D701D" w:rsidRPr="00D0089A">
        <w:rPr>
          <w:rFonts w:eastAsia="Calibri" w:cs="Arial"/>
          <w:sz w:val="24"/>
          <w:lang w:val="en-GB"/>
        </w:rPr>
        <w:t xml:space="preserve">and grouped </w:t>
      </w:r>
      <w:r w:rsidR="003A69CA" w:rsidRPr="00D0089A">
        <w:rPr>
          <w:rFonts w:eastAsia="Calibri" w:cs="Arial"/>
          <w:sz w:val="24"/>
          <w:lang w:val="en-GB"/>
        </w:rPr>
        <w:t>as technical</w:t>
      </w:r>
      <w:r w:rsidR="00A13487">
        <w:rPr>
          <w:rFonts w:eastAsia="Calibri" w:cs="Arial"/>
          <w:sz w:val="24"/>
          <w:lang w:val="en-GB"/>
        </w:rPr>
        <w:t>/procedural</w:t>
      </w:r>
      <w:r w:rsidR="003A69CA" w:rsidRPr="00D0089A">
        <w:rPr>
          <w:rFonts w:eastAsia="Calibri" w:cs="Arial"/>
          <w:sz w:val="24"/>
          <w:lang w:val="en-GB"/>
        </w:rPr>
        <w:t xml:space="preserve"> </w:t>
      </w:r>
      <w:r w:rsidR="0000471E">
        <w:rPr>
          <w:rFonts w:eastAsia="Calibri" w:cs="Arial"/>
          <w:sz w:val="24"/>
          <w:lang w:val="en-GB"/>
        </w:rPr>
        <w:t>(vascular access, dilated roots, large annulus, low coronary</w:t>
      </w:r>
      <w:r w:rsidR="00DD1143">
        <w:rPr>
          <w:rFonts w:eastAsia="Calibri" w:cs="Arial"/>
          <w:sz w:val="24"/>
          <w:lang w:val="en-GB"/>
        </w:rPr>
        <w:t xml:space="preserve"> ostia, calcified mitral shelf and severe</w:t>
      </w:r>
      <w:r w:rsidR="0000471E">
        <w:rPr>
          <w:rFonts w:eastAsia="Calibri" w:cs="Arial"/>
          <w:sz w:val="24"/>
          <w:lang w:val="en-GB"/>
        </w:rPr>
        <w:t xml:space="preserve"> hypertrophy) </w:t>
      </w:r>
      <w:r w:rsidR="003A69CA" w:rsidRPr="00D0089A">
        <w:rPr>
          <w:rFonts w:eastAsia="Calibri" w:cs="Arial"/>
          <w:sz w:val="24"/>
          <w:lang w:val="en-GB"/>
        </w:rPr>
        <w:t xml:space="preserve">and </w:t>
      </w:r>
      <w:r w:rsidR="00A95C64">
        <w:rPr>
          <w:rFonts w:eastAsia="Calibri" w:cs="Arial"/>
          <w:sz w:val="24"/>
          <w:lang w:val="en-GB"/>
        </w:rPr>
        <w:t>clinical</w:t>
      </w:r>
      <w:r w:rsidR="00A13487">
        <w:rPr>
          <w:rFonts w:eastAsia="Calibri" w:cs="Arial"/>
          <w:sz w:val="24"/>
          <w:lang w:val="en-GB"/>
        </w:rPr>
        <w:t>/patient related</w:t>
      </w:r>
      <w:r w:rsidR="0000471E">
        <w:rPr>
          <w:rFonts w:eastAsia="Calibri" w:cs="Arial"/>
          <w:sz w:val="24"/>
          <w:lang w:val="en-GB"/>
        </w:rPr>
        <w:t xml:space="preserve"> (considered very high risk, significant co-morbidities, refusal</w:t>
      </w:r>
      <w:r w:rsidR="0009260E">
        <w:rPr>
          <w:rFonts w:eastAsia="Calibri" w:cs="Arial"/>
          <w:sz w:val="24"/>
          <w:lang w:val="en-GB"/>
        </w:rPr>
        <w:t xml:space="preserve"> or </w:t>
      </w:r>
      <w:r w:rsidR="0000471E">
        <w:rPr>
          <w:rFonts w:eastAsia="Calibri" w:cs="Arial"/>
          <w:sz w:val="24"/>
          <w:lang w:val="en-GB"/>
        </w:rPr>
        <w:t>minimal symptoms)</w:t>
      </w:r>
      <w:r w:rsidR="003612B4" w:rsidRPr="00D0089A">
        <w:rPr>
          <w:rFonts w:eastAsia="Calibri" w:cs="Arial"/>
          <w:sz w:val="24"/>
          <w:lang w:val="en-GB"/>
        </w:rPr>
        <w:t xml:space="preserve">. </w:t>
      </w:r>
      <w:r w:rsidR="003A69CA" w:rsidRPr="00D0089A">
        <w:rPr>
          <w:rFonts w:eastAsia="Calibri" w:cs="Arial"/>
          <w:sz w:val="24"/>
          <w:lang w:val="en-GB"/>
        </w:rPr>
        <w:t xml:space="preserve">Data for patients </w:t>
      </w:r>
      <w:r w:rsidR="00F108A6" w:rsidRPr="00D0089A">
        <w:rPr>
          <w:rFonts w:eastAsia="Calibri" w:cs="Arial"/>
          <w:sz w:val="24"/>
          <w:lang w:val="en-GB"/>
        </w:rPr>
        <w:t xml:space="preserve">accepted for </w:t>
      </w:r>
      <w:r w:rsidR="003A69CA" w:rsidRPr="00D0089A">
        <w:rPr>
          <w:rFonts w:eastAsia="Calibri" w:cs="Arial"/>
          <w:sz w:val="24"/>
          <w:lang w:val="en-GB"/>
        </w:rPr>
        <w:t>r</w:t>
      </w:r>
      <w:r w:rsidR="003612B4" w:rsidRPr="00D0089A">
        <w:rPr>
          <w:rFonts w:eastAsia="Calibri" w:cs="Arial"/>
          <w:sz w:val="24"/>
          <w:lang w:val="en-GB"/>
        </w:rPr>
        <w:t>S</w:t>
      </w:r>
      <w:r w:rsidR="00F108A6" w:rsidRPr="00D0089A">
        <w:rPr>
          <w:rFonts w:eastAsia="Calibri" w:cs="Arial"/>
          <w:sz w:val="24"/>
          <w:lang w:val="en-GB"/>
        </w:rPr>
        <w:t>AVR</w:t>
      </w:r>
      <w:r w:rsidR="003D701D" w:rsidRPr="00D0089A">
        <w:rPr>
          <w:rFonts w:eastAsia="Calibri" w:cs="Arial"/>
          <w:sz w:val="24"/>
          <w:lang w:val="en-GB"/>
        </w:rPr>
        <w:t xml:space="preserve"> </w:t>
      </w:r>
      <w:r w:rsidR="003A69CA" w:rsidRPr="00D0089A">
        <w:rPr>
          <w:rFonts w:eastAsia="Calibri" w:cs="Arial"/>
          <w:sz w:val="24"/>
          <w:lang w:val="en-GB"/>
        </w:rPr>
        <w:t>were</w:t>
      </w:r>
      <w:r w:rsidR="003D701D" w:rsidRPr="00D0089A">
        <w:rPr>
          <w:rFonts w:eastAsia="Calibri" w:cs="Arial"/>
          <w:sz w:val="24"/>
          <w:lang w:val="en-GB"/>
        </w:rPr>
        <w:t xml:space="preserve"> collated and analysed for demographics and surgical risk profile, operative </w:t>
      </w:r>
      <w:r w:rsidR="00F16C18" w:rsidRPr="00D0089A">
        <w:rPr>
          <w:rFonts w:eastAsia="Calibri" w:cs="Arial"/>
          <w:sz w:val="24"/>
          <w:lang w:val="en-GB"/>
        </w:rPr>
        <w:t>characteristics,</w:t>
      </w:r>
      <w:r w:rsidR="003D701D" w:rsidRPr="00D0089A">
        <w:rPr>
          <w:rFonts w:eastAsia="Calibri" w:cs="Arial"/>
          <w:sz w:val="24"/>
          <w:lang w:val="en-GB"/>
        </w:rPr>
        <w:t xml:space="preserve"> and post-operative outcomes from the hospital database </w:t>
      </w:r>
      <w:r w:rsidR="003D701D" w:rsidRPr="00D0089A">
        <w:rPr>
          <w:rFonts w:cs="Arial"/>
          <w:sz w:val="24"/>
        </w:rPr>
        <w:t>(Patient Administration System, e-CAMIS, Yeadon, Leeds, UK)</w:t>
      </w:r>
      <w:r w:rsidR="003D701D" w:rsidRPr="00D0089A">
        <w:rPr>
          <w:rFonts w:eastAsia="Calibri" w:cs="Arial"/>
          <w:sz w:val="24"/>
          <w:lang w:val="en-GB"/>
        </w:rPr>
        <w:t xml:space="preserve">. </w:t>
      </w:r>
      <w:r w:rsidR="00AB1023">
        <w:rPr>
          <w:rFonts w:eastAsia="Calibri" w:cs="Arial"/>
          <w:sz w:val="24"/>
          <w:lang w:val="en-GB"/>
        </w:rPr>
        <w:t>S</w:t>
      </w:r>
      <w:r w:rsidR="003D701D" w:rsidRPr="00D0089A">
        <w:rPr>
          <w:rFonts w:eastAsia="Calibri" w:cs="Arial"/>
          <w:sz w:val="24"/>
          <w:lang w:val="en-GB"/>
        </w:rPr>
        <w:t>urvival was collected from Patient Administration System (e-CAMIS) and the National Healthcare Service Spine Portal Summary Care Records (SCR) which is an electronic database of GP medical records</w:t>
      </w:r>
      <w:r w:rsidR="00F554CE" w:rsidRPr="00D0089A">
        <w:rPr>
          <w:rFonts w:eastAsia="Calibri" w:cs="Arial"/>
          <w:sz w:val="24"/>
          <w:lang w:val="en-GB"/>
        </w:rPr>
        <w:t xml:space="preserve"> linked to the hospital database</w:t>
      </w:r>
      <w:r w:rsidR="003D701D" w:rsidRPr="00D0089A">
        <w:rPr>
          <w:rFonts w:eastAsia="Calibri" w:cs="Arial"/>
          <w:sz w:val="24"/>
          <w:lang w:val="en-GB"/>
        </w:rPr>
        <w:t xml:space="preserve">. </w:t>
      </w:r>
    </w:p>
    <w:p w14:paraId="199DDF0C" w14:textId="77777777" w:rsidR="008A3576" w:rsidRPr="00D0089A" w:rsidRDefault="008A3576" w:rsidP="00207FBE">
      <w:pPr>
        <w:spacing w:line="480" w:lineRule="auto"/>
        <w:rPr>
          <w:rFonts w:eastAsia="Calibri" w:cs="Arial"/>
          <w:i/>
          <w:sz w:val="24"/>
          <w:lang w:val="en-GB"/>
        </w:rPr>
      </w:pPr>
      <w:r w:rsidRPr="00D0089A">
        <w:rPr>
          <w:rFonts w:eastAsia="Calibri" w:cs="Arial"/>
          <w:i/>
          <w:sz w:val="24"/>
          <w:lang w:val="en-GB"/>
        </w:rPr>
        <w:t>Statistical analysis</w:t>
      </w:r>
    </w:p>
    <w:p w14:paraId="020C7D37" w14:textId="21CE1CC4" w:rsidR="00A72C7E" w:rsidRPr="00D0089A" w:rsidRDefault="00291C9D" w:rsidP="00207FBE">
      <w:pPr>
        <w:spacing w:line="480" w:lineRule="auto"/>
        <w:rPr>
          <w:rFonts w:eastAsia="Calibri" w:cs="Arial"/>
          <w:b/>
          <w:bCs/>
          <w:sz w:val="24"/>
          <w:lang w:val="en-GB"/>
        </w:rPr>
      </w:pPr>
      <w:r>
        <w:rPr>
          <w:rFonts w:eastAsia="Calibri" w:cs="Arial"/>
          <w:sz w:val="24"/>
          <w:lang w:val="en-GB"/>
        </w:rPr>
        <w:t xml:space="preserve">Baseline demographics used for calculation of </w:t>
      </w:r>
      <w:r w:rsidR="004E3DC6">
        <w:rPr>
          <w:rFonts w:eastAsia="Calibri" w:cs="Arial"/>
          <w:sz w:val="24"/>
          <w:lang w:val="en-GB"/>
        </w:rPr>
        <w:t xml:space="preserve">logistic </w:t>
      </w:r>
      <w:r>
        <w:rPr>
          <w:rFonts w:eastAsia="Calibri" w:cs="Arial"/>
          <w:sz w:val="24"/>
          <w:lang w:val="en-GB"/>
        </w:rPr>
        <w:t xml:space="preserve">EuroSCORE for risk assessment are presented in Table 1. </w:t>
      </w:r>
      <w:r w:rsidR="00A72C7E">
        <w:rPr>
          <w:rFonts w:eastAsia="Calibri" w:cs="Arial"/>
          <w:sz w:val="24"/>
          <w:lang w:val="en-GB"/>
        </w:rPr>
        <w:t xml:space="preserve">Continuous </w:t>
      </w:r>
      <w:r w:rsidR="00A72C7E" w:rsidRPr="00FB2D89">
        <w:rPr>
          <w:rFonts w:eastAsia="Calibri" w:cs="Arial"/>
          <w:sz w:val="24"/>
          <w:lang w:val="en-GB"/>
        </w:rPr>
        <w:t>and categorical variables were compared using a Mann-Whitney</w:t>
      </w:r>
      <w:r w:rsidR="00A4368C">
        <w:rPr>
          <w:rFonts w:eastAsia="Calibri" w:cs="Arial"/>
          <w:sz w:val="24"/>
          <w:lang w:val="en-GB"/>
        </w:rPr>
        <w:t xml:space="preserve"> (or student’s t-test for normal distributions)</w:t>
      </w:r>
      <w:r w:rsidR="00A72C7E" w:rsidRPr="00FB2D89">
        <w:rPr>
          <w:rFonts w:eastAsia="Calibri" w:cs="Arial"/>
          <w:sz w:val="24"/>
          <w:lang w:val="en-GB"/>
        </w:rPr>
        <w:t xml:space="preserve"> and </w:t>
      </w:r>
      <w:r w:rsidR="00A72C7E" w:rsidRPr="00FB2D89">
        <w:rPr>
          <w:rFonts w:eastAsia="Calibri" w:cs="Arial"/>
          <w:sz w:val="24"/>
          <w:lang w:val="en-GB"/>
        </w:rPr>
        <w:sym w:font="Symbol" w:char="F063"/>
      </w:r>
      <w:r w:rsidR="00A72C7E" w:rsidRPr="00FB2D89">
        <w:rPr>
          <w:rFonts w:eastAsia="Calibri" w:cs="Arial"/>
          <w:sz w:val="24"/>
          <w:vertAlign w:val="superscript"/>
          <w:lang w:val="en-GB"/>
        </w:rPr>
        <w:t>2</w:t>
      </w:r>
      <w:r w:rsidR="00A72C7E" w:rsidRPr="00FB2D89">
        <w:rPr>
          <w:rFonts w:eastAsia="Calibri" w:cs="Arial"/>
          <w:sz w:val="24"/>
          <w:lang w:val="en-GB"/>
        </w:rPr>
        <w:t xml:space="preserve"> test, respectively</w:t>
      </w:r>
      <w:r w:rsidR="00A72C7E">
        <w:rPr>
          <w:rFonts w:ascii="Segoe UI Symbol" w:eastAsia="Calibri" w:hAnsi="Segoe UI Symbol" w:cs="Segoe UI Symbol"/>
          <w:sz w:val="24"/>
          <w:lang w:val="en-GB"/>
        </w:rPr>
        <w:t>.</w:t>
      </w:r>
      <w:r w:rsidR="00A72C7E">
        <w:rPr>
          <w:rFonts w:eastAsia="Calibri" w:cs="Arial"/>
          <w:sz w:val="24"/>
          <w:lang w:val="en-GB"/>
        </w:rPr>
        <w:t xml:space="preserve"> </w:t>
      </w:r>
      <w:r w:rsidR="00A72C7E" w:rsidRPr="00D0089A">
        <w:rPr>
          <w:rFonts w:eastAsia="Calibri" w:cs="Arial"/>
          <w:sz w:val="24"/>
          <w:lang w:val="en-GB"/>
        </w:rPr>
        <w:t>Multivaria</w:t>
      </w:r>
      <w:r w:rsidR="00A72C7E">
        <w:rPr>
          <w:rFonts w:eastAsia="Calibri" w:cs="Arial"/>
          <w:sz w:val="24"/>
          <w:lang w:val="en-GB"/>
        </w:rPr>
        <w:t xml:space="preserve">ble </w:t>
      </w:r>
      <w:r w:rsidR="00A72C7E" w:rsidRPr="00D0089A">
        <w:rPr>
          <w:rFonts w:eastAsia="Calibri" w:cs="Arial"/>
          <w:sz w:val="24"/>
          <w:lang w:val="en-GB"/>
        </w:rPr>
        <w:t>logistic regression was used to identify independent predictors</w:t>
      </w:r>
      <w:r w:rsidR="00A72C7E">
        <w:rPr>
          <w:rFonts w:eastAsia="Calibri" w:cs="Arial"/>
          <w:sz w:val="24"/>
          <w:lang w:val="en-GB"/>
        </w:rPr>
        <w:t xml:space="preserve"> </w:t>
      </w:r>
      <w:r w:rsidR="00156DC0">
        <w:rPr>
          <w:rFonts w:eastAsia="Calibri" w:cs="Arial"/>
          <w:sz w:val="24"/>
          <w:lang w:val="en-GB"/>
        </w:rPr>
        <w:t>of</w:t>
      </w:r>
      <w:r w:rsidR="00A72C7E" w:rsidRPr="00D0089A">
        <w:rPr>
          <w:rFonts w:eastAsia="Calibri" w:cs="Arial"/>
          <w:sz w:val="24"/>
          <w:lang w:val="en-GB"/>
        </w:rPr>
        <w:t xml:space="preserve"> </w:t>
      </w:r>
      <w:r w:rsidR="00A72C7E">
        <w:rPr>
          <w:rFonts w:eastAsia="Calibri" w:cs="Arial"/>
          <w:sz w:val="24"/>
          <w:lang w:val="en-GB"/>
        </w:rPr>
        <w:t xml:space="preserve">a </w:t>
      </w:r>
      <w:r w:rsidR="00A72C7E" w:rsidRPr="00D0089A">
        <w:rPr>
          <w:rFonts w:eastAsia="Calibri" w:cs="Arial"/>
          <w:sz w:val="24"/>
          <w:lang w:val="en-GB"/>
        </w:rPr>
        <w:t xml:space="preserve">composite of </w:t>
      </w:r>
      <w:r w:rsidR="00A72C7E" w:rsidRPr="00D0089A">
        <w:rPr>
          <w:sz w:val="24"/>
        </w:rPr>
        <w:t>neurological sequelae/ renal failure/ deep sternal wound infection/ re-exploration and death</w:t>
      </w:r>
      <w:r w:rsidR="00AE2B00">
        <w:rPr>
          <w:sz w:val="24"/>
        </w:rPr>
        <w:t xml:space="preserve"> for rSAVR</w:t>
      </w:r>
      <w:r w:rsidR="00A72C7E" w:rsidRPr="00D0089A">
        <w:rPr>
          <w:rFonts w:eastAsia="Calibri" w:cs="Arial"/>
          <w:sz w:val="24"/>
          <w:lang w:val="en-GB"/>
        </w:rPr>
        <w:t>.</w:t>
      </w:r>
      <w:r w:rsidR="00A72C7E">
        <w:rPr>
          <w:rFonts w:eastAsia="Calibri" w:cs="Arial"/>
          <w:sz w:val="24"/>
          <w:lang w:val="en-GB"/>
        </w:rPr>
        <w:t xml:space="preserve"> </w:t>
      </w:r>
      <w:r w:rsidR="00A4368C">
        <w:rPr>
          <w:rFonts w:eastAsia="Calibri" w:cs="Arial"/>
          <w:sz w:val="24"/>
          <w:lang w:val="en-GB"/>
        </w:rPr>
        <w:t>The primary outcome of interest was mortality. The secondary outcome</w:t>
      </w:r>
      <w:r w:rsidR="00234D27">
        <w:rPr>
          <w:rFonts w:eastAsia="Calibri" w:cs="Arial"/>
          <w:sz w:val="24"/>
          <w:lang w:val="en-GB"/>
        </w:rPr>
        <w:t>s</w:t>
      </w:r>
      <w:r w:rsidR="00A4368C">
        <w:rPr>
          <w:rFonts w:eastAsia="Calibri" w:cs="Arial"/>
          <w:sz w:val="24"/>
          <w:lang w:val="en-GB"/>
        </w:rPr>
        <w:t xml:space="preserve"> was the composite of neurological sequelae (transient ischemic attack or stroke), renal failure, deep sternal wound infection, re-exploration or death</w:t>
      </w:r>
      <w:r w:rsidR="00234D27">
        <w:rPr>
          <w:rFonts w:eastAsia="Calibri" w:cs="Arial"/>
          <w:sz w:val="24"/>
          <w:lang w:val="en-GB"/>
        </w:rPr>
        <w:t xml:space="preserve"> and survival</w:t>
      </w:r>
      <w:r w:rsidR="00A4368C">
        <w:rPr>
          <w:rFonts w:eastAsia="Calibri" w:cs="Arial"/>
          <w:sz w:val="24"/>
          <w:lang w:val="en-GB"/>
        </w:rPr>
        <w:t xml:space="preserve">. </w:t>
      </w:r>
      <w:r w:rsidR="00A72C7E">
        <w:rPr>
          <w:rFonts w:eastAsia="Calibri" w:cs="Arial"/>
          <w:sz w:val="24"/>
          <w:lang w:val="en-GB"/>
        </w:rPr>
        <w:t>Survival was estimated using</w:t>
      </w:r>
      <w:r w:rsidR="00A72C7E" w:rsidRPr="00D0089A">
        <w:rPr>
          <w:rFonts w:eastAsia="Calibri" w:cs="Arial"/>
          <w:sz w:val="24"/>
          <w:lang w:val="en-GB"/>
        </w:rPr>
        <w:t xml:space="preserve"> Kaplan-Mei</w:t>
      </w:r>
      <w:r w:rsidR="00A72C7E">
        <w:rPr>
          <w:rFonts w:eastAsia="Calibri" w:cs="Arial"/>
          <w:sz w:val="24"/>
          <w:lang w:val="en-GB"/>
        </w:rPr>
        <w:t>e</w:t>
      </w:r>
      <w:r w:rsidR="00A72C7E" w:rsidRPr="00D0089A">
        <w:rPr>
          <w:rFonts w:eastAsia="Calibri" w:cs="Arial"/>
          <w:sz w:val="24"/>
          <w:lang w:val="en-GB"/>
        </w:rPr>
        <w:t xml:space="preserve">r curves </w:t>
      </w:r>
      <w:r w:rsidR="00233E32">
        <w:rPr>
          <w:rFonts w:eastAsia="Calibri" w:cs="Arial"/>
          <w:sz w:val="24"/>
          <w:lang w:val="en-GB"/>
        </w:rPr>
        <w:t xml:space="preserve">for the groups and subgroups </w:t>
      </w:r>
      <w:r w:rsidR="00A72C7E">
        <w:rPr>
          <w:rFonts w:eastAsia="Calibri" w:cs="Arial"/>
          <w:sz w:val="24"/>
          <w:lang w:val="en-GB"/>
        </w:rPr>
        <w:t>and</w:t>
      </w:r>
      <w:r w:rsidR="00A72C7E" w:rsidRPr="00D0089A">
        <w:rPr>
          <w:rFonts w:eastAsia="Calibri" w:cs="Arial"/>
          <w:sz w:val="24"/>
          <w:lang w:val="en-GB"/>
        </w:rPr>
        <w:t xml:space="preserve"> compared using </w:t>
      </w:r>
      <w:r w:rsidR="00A72C7E">
        <w:rPr>
          <w:rFonts w:eastAsia="Calibri" w:cs="Arial"/>
          <w:sz w:val="24"/>
          <w:lang w:val="en-GB"/>
        </w:rPr>
        <w:t xml:space="preserve">a </w:t>
      </w:r>
      <w:r w:rsidR="00A72C7E" w:rsidRPr="00D0089A">
        <w:rPr>
          <w:rFonts w:eastAsia="Calibri" w:cs="Arial"/>
          <w:sz w:val="24"/>
          <w:lang w:val="en-GB"/>
        </w:rPr>
        <w:t>log</w:t>
      </w:r>
      <w:r w:rsidR="00A72C7E">
        <w:rPr>
          <w:rFonts w:eastAsia="Calibri" w:cs="Arial"/>
          <w:sz w:val="24"/>
          <w:lang w:val="en-GB"/>
        </w:rPr>
        <w:t>-</w:t>
      </w:r>
      <w:r w:rsidR="00A72C7E" w:rsidRPr="00D0089A">
        <w:rPr>
          <w:rFonts w:eastAsia="Calibri" w:cs="Arial"/>
          <w:sz w:val="24"/>
          <w:lang w:val="en-GB"/>
        </w:rPr>
        <w:t xml:space="preserve">rank </w:t>
      </w:r>
      <w:r w:rsidR="00233E32">
        <w:rPr>
          <w:rFonts w:eastAsia="Calibri" w:cs="Arial"/>
          <w:sz w:val="24"/>
          <w:lang w:val="en-GB"/>
        </w:rPr>
        <w:t xml:space="preserve">(Mantle Cox) </w:t>
      </w:r>
      <w:r w:rsidR="00A72C7E" w:rsidRPr="00D0089A">
        <w:rPr>
          <w:rFonts w:eastAsia="Calibri" w:cs="Arial"/>
          <w:sz w:val="24"/>
          <w:lang w:val="en-GB"/>
        </w:rPr>
        <w:t>test. A Cox proportional hazards model was used to determine predictors of survival. All statistical analys</w:t>
      </w:r>
      <w:r w:rsidR="00A72C7E">
        <w:rPr>
          <w:rFonts w:eastAsia="Calibri" w:cs="Arial"/>
          <w:sz w:val="24"/>
          <w:lang w:val="en-GB"/>
        </w:rPr>
        <w:t>e</w:t>
      </w:r>
      <w:r w:rsidR="00A72C7E" w:rsidRPr="00D0089A">
        <w:rPr>
          <w:rFonts w:eastAsia="Calibri" w:cs="Arial"/>
          <w:sz w:val="24"/>
          <w:lang w:val="en-GB"/>
        </w:rPr>
        <w:t xml:space="preserve">s </w:t>
      </w:r>
      <w:r w:rsidR="00A72C7E">
        <w:rPr>
          <w:rFonts w:eastAsia="Calibri" w:cs="Arial"/>
          <w:sz w:val="24"/>
          <w:lang w:val="en-GB"/>
        </w:rPr>
        <w:t>were</w:t>
      </w:r>
      <w:r w:rsidR="00A72C7E" w:rsidRPr="00D0089A">
        <w:rPr>
          <w:rFonts w:eastAsia="Calibri" w:cs="Arial"/>
          <w:sz w:val="24"/>
          <w:lang w:val="en-GB"/>
        </w:rPr>
        <w:t xml:space="preserve"> done using Stata</w:t>
      </w:r>
      <w:r w:rsidR="00A72C7E">
        <w:rPr>
          <w:rFonts w:eastAsia="Calibri" w:cs="Arial"/>
          <w:sz w:val="24"/>
          <w:lang w:val="en-GB"/>
        </w:rPr>
        <w:t xml:space="preserve"> 14.0</w:t>
      </w:r>
      <w:r w:rsidR="00A72C7E" w:rsidRPr="00D0089A">
        <w:rPr>
          <w:rFonts w:eastAsia="Calibri" w:cs="Arial"/>
          <w:sz w:val="24"/>
          <w:lang w:val="en-GB"/>
        </w:rPr>
        <w:t xml:space="preserve"> (</w:t>
      </w:r>
      <w:r w:rsidR="00A72C7E">
        <w:rPr>
          <w:rFonts w:eastAsia="Calibri" w:cs="Arial"/>
          <w:sz w:val="24"/>
          <w:lang w:val="en-GB"/>
        </w:rPr>
        <w:t>College Station, TX</w:t>
      </w:r>
      <w:r w:rsidR="00A72C7E" w:rsidRPr="00D0089A">
        <w:rPr>
          <w:rFonts w:eastAsia="Calibri" w:cs="Arial"/>
          <w:sz w:val="24"/>
          <w:lang w:val="en-GB"/>
        </w:rPr>
        <w:t>).</w:t>
      </w:r>
      <w:r w:rsidR="00A72C7E" w:rsidRPr="00FB2D89">
        <w:rPr>
          <w:rFonts w:eastAsia="Calibri" w:cs="Arial"/>
          <w:sz w:val="24"/>
          <w:lang w:val="en-GB"/>
        </w:rPr>
        <w:t xml:space="preserve"> </w:t>
      </w:r>
      <w:r w:rsidR="00A72C7E">
        <w:rPr>
          <w:rFonts w:eastAsia="Calibri" w:cs="Arial"/>
          <w:sz w:val="24"/>
          <w:lang w:val="en-GB"/>
        </w:rPr>
        <w:t xml:space="preserve">A </w:t>
      </w:r>
      <w:r w:rsidR="00A72C7E" w:rsidRPr="00D0089A">
        <w:rPr>
          <w:rFonts w:eastAsia="Calibri" w:cs="Arial"/>
          <w:sz w:val="24"/>
          <w:lang w:val="en-GB"/>
        </w:rPr>
        <w:t>P&lt;0.05 was considered statistically significant.</w:t>
      </w:r>
    </w:p>
    <w:p w14:paraId="25857384" w14:textId="14978A96" w:rsidR="007B36A0" w:rsidRPr="00D0089A" w:rsidRDefault="00B94F93" w:rsidP="00207FBE">
      <w:pPr>
        <w:spacing w:line="480" w:lineRule="auto"/>
        <w:rPr>
          <w:rFonts w:eastAsia="Calibri" w:cs="Arial"/>
          <w:b/>
          <w:sz w:val="24"/>
          <w:lang w:val="en-GB"/>
        </w:rPr>
      </w:pPr>
      <w:r>
        <w:rPr>
          <w:rFonts w:eastAsia="Calibri" w:cs="Arial"/>
          <w:b/>
          <w:sz w:val="24"/>
          <w:lang w:val="en-GB"/>
        </w:rPr>
        <w:t>RESULTS</w:t>
      </w:r>
    </w:p>
    <w:p w14:paraId="11E87B7B" w14:textId="0EB28628" w:rsidR="00FE629C" w:rsidRPr="008334F0" w:rsidRDefault="005451A0" w:rsidP="00207FBE">
      <w:pPr>
        <w:spacing w:line="480" w:lineRule="auto"/>
        <w:rPr>
          <w:rFonts w:eastAsia="Calibri" w:cs="Arial"/>
          <w:bCs/>
          <w:sz w:val="24"/>
          <w:lang w:val="en-GB"/>
        </w:rPr>
      </w:pPr>
      <w:r>
        <w:rPr>
          <w:rFonts w:eastAsia="Calibri" w:cs="Arial"/>
          <w:bCs/>
          <w:sz w:val="24"/>
          <w:lang w:val="en-GB"/>
        </w:rPr>
        <w:t>T</w:t>
      </w:r>
      <w:r w:rsidR="00F108A6" w:rsidRPr="00D0089A">
        <w:rPr>
          <w:rFonts w:eastAsia="Calibri" w:cs="Arial"/>
          <w:bCs/>
          <w:sz w:val="24"/>
          <w:lang w:val="en-GB"/>
        </w:rPr>
        <w:t xml:space="preserve">otal 1095 </w:t>
      </w:r>
      <w:r w:rsidR="009C09ED" w:rsidRPr="00D0089A">
        <w:rPr>
          <w:rFonts w:eastAsia="Calibri" w:cs="Arial"/>
          <w:bCs/>
          <w:sz w:val="24"/>
          <w:lang w:val="en-GB"/>
        </w:rPr>
        <w:t xml:space="preserve">patients </w:t>
      </w:r>
      <w:r w:rsidR="00F108A6" w:rsidRPr="00D0089A">
        <w:rPr>
          <w:rFonts w:eastAsia="Calibri" w:cs="Arial"/>
          <w:bCs/>
          <w:sz w:val="24"/>
          <w:lang w:val="en-GB"/>
        </w:rPr>
        <w:t xml:space="preserve">were </w:t>
      </w:r>
      <w:r w:rsidR="009C09ED" w:rsidRPr="00D0089A">
        <w:rPr>
          <w:rFonts w:eastAsia="Calibri" w:cs="Arial"/>
          <w:bCs/>
          <w:sz w:val="24"/>
          <w:lang w:val="en-GB"/>
        </w:rPr>
        <w:t xml:space="preserve">referred </w:t>
      </w:r>
      <w:r w:rsidR="00DB630C" w:rsidRPr="00D0089A">
        <w:rPr>
          <w:rFonts w:eastAsia="Calibri" w:cs="Arial"/>
          <w:bCs/>
          <w:sz w:val="24"/>
          <w:lang w:val="en-GB"/>
        </w:rPr>
        <w:t>t</w:t>
      </w:r>
      <w:r w:rsidR="009C09ED" w:rsidRPr="00D0089A">
        <w:rPr>
          <w:rFonts w:eastAsia="Calibri" w:cs="Arial"/>
          <w:bCs/>
          <w:sz w:val="24"/>
          <w:lang w:val="en-GB"/>
        </w:rPr>
        <w:t>o the T</w:t>
      </w:r>
      <w:r w:rsidR="00F108A6" w:rsidRPr="00D0089A">
        <w:rPr>
          <w:rFonts w:eastAsia="Calibri" w:cs="Arial"/>
          <w:bCs/>
          <w:sz w:val="24"/>
          <w:lang w:val="en-GB"/>
        </w:rPr>
        <w:t>AVI</w:t>
      </w:r>
      <w:r w:rsidR="009C09ED" w:rsidRPr="00D0089A">
        <w:rPr>
          <w:rFonts w:eastAsia="Calibri" w:cs="Arial"/>
          <w:bCs/>
          <w:sz w:val="24"/>
          <w:lang w:val="en-GB"/>
        </w:rPr>
        <w:t>-</w:t>
      </w:r>
      <w:r w:rsidR="00F108A6" w:rsidRPr="00D0089A">
        <w:rPr>
          <w:rFonts w:eastAsia="Calibri" w:cs="Arial"/>
          <w:bCs/>
          <w:sz w:val="24"/>
          <w:lang w:val="en-GB"/>
        </w:rPr>
        <w:t>mdt</w:t>
      </w:r>
      <w:r w:rsidR="00DB630C" w:rsidRPr="00D0089A">
        <w:rPr>
          <w:rFonts w:eastAsia="Calibri" w:cs="Arial"/>
          <w:bCs/>
          <w:sz w:val="24"/>
          <w:lang w:val="en-GB"/>
        </w:rPr>
        <w:t xml:space="preserve"> for the period</w:t>
      </w:r>
      <w:r w:rsidR="00AE2B00">
        <w:rPr>
          <w:rFonts w:eastAsia="Calibri" w:cs="Arial"/>
          <w:bCs/>
          <w:sz w:val="24"/>
          <w:lang w:val="en-GB"/>
        </w:rPr>
        <w:t xml:space="preserve"> (F</w:t>
      </w:r>
      <w:r w:rsidR="002A7594" w:rsidRPr="00D0089A">
        <w:rPr>
          <w:rFonts w:eastAsia="Calibri" w:cs="Arial"/>
          <w:bCs/>
          <w:sz w:val="24"/>
          <w:lang w:val="en-GB"/>
        </w:rPr>
        <w:t>ig</w:t>
      </w:r>
      <w:r w:rsidR="00AE2B00">
        <w:rPr>
          <w:rFonts w:eastAsia="Calibri" w:cs="Arial"/>
          <w:bCs/>
          <w:sz w:val="24"/>
          <w:lang w:val="en-GB"/>
        </w:rPr>
        <w:t>ure</w:t>
      </w:r>
      <w:r w:rsidR="002A7594" w:rsidRPr="00D0089A">
        <w:rPr>
          <w:rFonts w:eastAsia="Calibri" w:cs="Arial"/>
          <w:bCs/>
          <w:sz w:val="24"/>
          <w:lang w:val="en-GB"/>
        </w:rPr>
        <w:t xml:space="preserve"> 1). </w:t>
      </w:r>
      <w:r w:rsidR="009C09ED" w:rsidRPr="00D0089A">
        <w:rPr>
          <w:rFonts w:eastAsia="Calibri" w:cs="Arial"/>
          <w:bCs/>
          <w:sz w:val="24"/>
          <w:lang w:val="en-GB"/>
        </w:rPr>
        <w:t xml:space="preserve"> </w:t>
      </w:r>
      <w:r w:rsidR="00DB630C" w:rsidRPr="00D0089A">
        <w:rPr>
          <w:rFonts w:eastAsia="Calibri" w:cs="Arial"/>
          <w:bCs/>
          <w:sz w:val="24"/>
          <w:lang w:val="en-GB"/>
        </w:rPr>
        <w:t>519 (</w:t>
      </w:r>
      <w:r w:rsidR="009C09ED" w:rsidRPr="00D0089A">
        <w:rPr>
          <w:rFonts w:eastAsia="Calibri" w:cs="Arial"/>
          <w:bCs/>
          <w:sz w:val="24"/>
          <w:lang w:val="en-GB"/>
        </w:rPr>
        <w:t>47.4%</w:t>
      </w:r>
      <w:r w:rsidR="00DB630C" w:rsidRPr="00D0089A">
        <w:rPr>
          <w:rFonts w:eastAsia="Calibri" w:cs="Arial"/>
          <w:bCs/>
          <w:sz w:val="24"/>
          <w:lang w:val="en-GB"/>
        </w:rPr>
        <w:t>)</w:t>
      </w:r>
      <w:r w:rsidR="009C09ED" w:rsidRPr="00D0089A">
        <w:rPr>
          <w:rFonts w:eastAsia="Calibri" w:cs="Arial"/>
          <w:bCs/>
          <w:sz w:val="24"/>
          <w:lang w:val="en-GB"/>
        </w:rPr>
        <w:t xml:space="preserve"> were </w:t>
      </w:r>
      <w:r w:rsidR="002A7594" w:rsidRPr="00D0089A">
        <w:rPr>
          <w:rFonts w:eastAsia="Calibri" w:cs="Arial"/>
          <w:bCs/>
          <w:sz w:val="24"/>
          <w:lang w:val="en-GB"/>
        </w:rPr>
        <w:t>denied TAVI</w:t>
      </w:r>
      <w:r w:rsidR="00DB630C" w:rsidRPr="00D0089A">
        <w:rPr>
          <w:rFonts w:eastAsia="Calibri" w:cs="Arial"/>
          <w:bCs/>
          <w:sz w:val="24"/>
          <w:lang w:val="en-GB"/>
        </w:rPr>
        <w:t xml:space="preserve">. </w:t>
      </w:r>
      <w:r>
        <w:rPr>
          <w:rFonts w:eastAsia="Calibri" w:cs="Arial"/>
          <w:bCs/>
          <w:sz w:val="24"/>
          <w:lang w:val="en-GB"/>
        </w:rPr>
        <w:t xml:space="preserve">Twenty two (2.2%) patients were excluded from analysis as they had rSAVR elsewhere and their perioperative data was not available. </w:t>
      </w:r>
      <w:r w:rsidR="00DB630C" w:rsidRPr="00D0089A">
        <w:rPr>
          <w:rFonts w:eastAsia="Calibri" w:cs="Arial"/>
          <w:bCs/>
          <w:sz w:val="24"/>
          <w:lang w:val="en-GB"/>
        </w:rPr>
        <w:t>Of the</w:t>
      </w:r>
      <w:r>
        <w:rPr>
          <w:rFonts w:eastAsia="Calibri" w:cs="Arial"/>
          <w:bCs/>
          <w:sz w:val="24"/>
          <w:lang w:val="en-GB"/>
        </w:rPr>
        <w:t xml:space="preserve"> remaining</w:t>
      </w:r>
      <w:r w:rsidR="00DB630C" w:rsidRPr="00D0089A">
        <w:rPr>
          <w:rFonts w:eastAsia="Calibri" w:cs="Arial"/>
          <w:bCs/>
          <w:sz w:val="24"/>
          <w:lang w:val="en-GB"/>
        </w:rPr>
        <w:t>, 114(</w:t>
      </w:r>
      <w:r w:rsidR="007D58CA">
        <w:rPr>
          <w:rFonts w:eastAsia="Calibri" w:cs="Arial"/>
          <w:bCs/>
          <w:sz w:val="24"/>
          <w:lang w:val="en-GB"/>
        </w:rPr>
        <w:t>10.4</w:t>
      </w:r>
      <w:r w:rsidR="00DB630C" w:rsidRPr="00D0089A">
        <w:rPr>
          <w:rFonts w:eastAsia="Calibri" w:cs="Arial"/>
          <w:bCs/>
          <w:sz w:val="24"/>
          <w:lang w:val="en-GB"/>
        </w:rPr>
        <w:t xml:space="preserve">%) had </w:t>
      </w:r>
      <w:r w:rsidR="002A7594" w:rsidRPr="00D0089A">
        <w:rPr>
          <w:rFonts w:eastAsia="Calibri" w:cs="Arial"/>
          <w:bCs/>
          <w:sz w:val="24"/>
          <w:lang w:val="en-GB"/>
        </w:rPr>
        <w:t>r</w:t>
      </w:r>
      <w:r w:rsidR="00DB630C" w:rsidRPr="00D0089A">
        <w:rPr>
          <w:rFonts w:eastAsia="Calibri" w:cs="Arial"/>
          <w:bCs/>
          <w:sz w:val="24"/>
          <w:lang w:val="en-GB"/>
        </w:rPr>
        <w:t xml:space="preserve">SAVR </w:t>
      </w:r>
      <w:r>
        <w:rPr>
          <w:rFonts w:eastAsia="Calibri" w:cs="Arial"/>
          <w:bCs/>
          <w:sz w:val="24"/>
          <w:lang w:val="en-GB"/>
        </w:rPr>
        <w:t xml:space="preserve">(Cases) </w:t>
      </w:r>
      <w:r w:rsidR="00DB630C" w:rsidRPr="00D0089A">
        <w:rPr>
          <w:rFonts w:eastAsia="Calibri" w:cs="Arial"/>
          <w:bCs/>
          <w:sz w:val="24"/>
          <w:lang w:val="en-GB"/>
        </w:rPr>
        <w:t>and other</w:t>
      </w:r>
      <w:r w:rsidR="007D58CA">
        <w:rPr>
          <w:rFonts w:eastAsia="Calibri" w:cs="Arial"/>
          <w:bCs/>
          <w:sz w:val="24"/>
          <w:lang w:val="en-GB"/>
        </w:rPr>
        <w:t xml:space="preserve"> 405 patients (37%)</w:t>
      </w:r>
      <w:r w:rsidR="00DB630C" w:rsidRPr="00D0089A">
        <w:rPr>
          <w:rFonts w:eastAsia="Calibri" w:cs="Arial"/>
          <w:bCs/>
          <w:sz w:val="24"/>
          <w:lang w:val="en-GB"/>
        </w:rPr>
        <w:t xml:space="preserve"> were managed conservatively</w:t>
      </w:r>
      <w:r w:rsidR="00AE2B00">
        <w:rPr>
          <w:rFonts w:eastAsia="Calibri" w:cs="Arial"/>
          <w:bCs/>
          <w:sz w:val="24"/>
          <w:lang w:val="en-GB"/>
        </w:rPr>
        <w:t xml:space="preserve"> </w:t>
      </w:r>
      <w:r w:rsidR="007D58CA">
        <w:rPr>
          <w:rFonts w:eastAsia="Calibri" w:cs="Arial"/>
          <w:bCs/>
          <w:sz w:val="24"/>
          <w:lang w:val="en-GB"/>
        </w:rPr>
        <w:t xml:space="preserve">(Controls) </w:t>
      </w:r>
      <w:r w:rsidR="00AE2B00">
        <w:rPr>
          <w:rFonts w:eastAsia="Calibri" w:cs="Arial"/>
          <w:bCs/>
          <w:sz w:val="24"/>
          <w:lang w:val="en-GB"/>
        </w:rPr>
        <w:t>(</w:t>
      </w:r>
      <w:r w:rsidR="007D58CA">
        <w:rPr>
          <w:rFonts w:eastAsia="Calibri" w:cs="Arial"/>
          <w:bCs/>
          <w:sz w:val="24"/>
          <w:lang w:val="en-GB"/>
        </w:rPr>
        <w:t xml:space="preserve">Figure 1, </w:t>
      </w:r>
      <w:r w:rsidR="00AE2B00">
        <w:rPr>
          <w:rFonts w:eastAsia="Calibri" w:cs="Arial"/>
          <w:bCs/>
          <w:sz w:val="24"/>
          <w:lang w:val="en-GB"/>
        </w:rPr>
        <w:t>Table 1)</w:t>
      </w:r>
      <w:r w:rsidR="00DB630C" w:rsidRPr="00D0089A">
        <w:rPr>
          <w:rFonts w:eastAsia="Calibri" w:cs="Arial"/>
          <w:bCs/>
          <w:sz w:val="24"/>
          <w:lang w:val="en-GB"/>
        </w:rPr>
        <w:t>.</w:t>
      </w:r>
      <w:r w:rsidR="00A4368C">
        <w:rPr>
          <w:rFonts w:eastAsia="Calibri" w:cs="Arial"/>
          <w:bCs/>
          <w:sz w:val="24"/>
          <w:lang w:val="en-GB"/>
        </w:rPr>
        <w:t xml:space="preserve"> The median follow up was </w:t>
      </w:r>
      <w:r w:rsidR="00A63E98">
        <w:rPr>
          <w:rFonts w:eastAsia="Calibri" w:cs="Arial"/>
          <w:bCs/>
          <w:sz w:val="24"/>
          <w:lang w:val="en-GB"/>
        </w:rPr>
        <w:t xml:space="preserve">1.2 (IQR: 0.5-2.1) and 2.9 (IQR: 1.6-4.3) years for the </w:t>
      </w:r>
      <w:r w:rsidR="00577104">
        <w:rPr>
          <w:rFonts w:eastAsia="Calibri" w:cs="Arial"/>
          <w:bCs/>
          <w:sz w:val="24"/>
          <w:lang w:val="en-GB"/>
        </w:rPr>
        <w:t>C</w:t>
      </w:r>
      <w:r w:rsidR="00A63E98">
        <w:rPr>
          <w:rFonts w:eastAsia="Calibri" w:cs="Arial"/>
          <w:bCs/>
          <w:sz w:val="24"/>
          <w:lang w:val="en-GB"/>
        </w:rPr>
        <w:t>onservative and rSAVR arms, respectively.</w:t>
      </w:r>
      <w:r w:rsidR="00DB630C" w:rsidRPr="00D0089A">
        <w:rPr>
          <w:rFonts w:eastAsia="Calibri" w:cs="Arial"/>
          <w:bCs/>
          <w:sz w:val="24"/>
          <w:lang w:val="en-GB"/>
        </w:rPr>
        <w:t xml:space="preserve"> </w:t>
      </w:r>
      <w:r w:rsidR="008334F0" w:rsidRPr="00D0089A">
        <w:rPr>
          <w:rFonts w:eastAsia="Calibri" w:cs="Arial"/>
          <w:bCs/>
          <w:sz w:val="24"/>
          <w:lang w:val="en-GB"/>
        </w:rPr>
        <w:t>The mean age for rSAVR was 80 y</w:t>
      </w:r>
      <w:r w:rsidR="008334F0">
        <w:rPr>
          <w:rFonts w:eastAsia="Calibri" w:cs="Arial"/>
          <w:bCs/>
          <w:sz w:val="24"/>
          <w:lang w:val="en-GB"/>
        </w:rPr>
        <w:t>ea</w:t>
      </w:r>
      <w:r w:rsidR="008334F0" w:rsidRPr="00D0089A">
        <w:rPr>
          <w:rFonts w:eastAsia="Calibri" w:cs="Arial"/>
          <w:bCs/>
          <w:sz w:val="24"/>
          <w:lang w:val="en-GB"/>
        </w:rPr>
        <w:t>rs (</w:t>
      </w:r>
      <w:r w:rsidR="008334F0">
        <w:rPr>
          <w:rFonts w:eastAsia="Calibri" w:cs="Arial"/>
          <w:bCs/>
          <w:sz w:val="24"/>
          <w:lang w:val="en-GB"/>
        </w:rPr>
        <w:t xml:space="preserve">IQR: </w:t>
      </w:r>
      <w:r w:rsidR="008334F0" w:rsidRPr="00D0089A">
        <w:rPr>
          <w:rFonts w:eastAsia="Times New Roman" w:cs="Arial"/>
          <w:color w:val="000000"/>
          <w:sz w:val="24"/>
        </w:rPr>
        <w:t>73.5-85 y</w:t>
      </w:r>
      <w:r w:rsidR="008334F0">
        <w:rPr>
          <w:rFonts w:eastAsia="Times New Roman" w:cs="Arial"/>
          <w:color w:val="000000"/>
          <w:sz w:val="24"/>
        </w:rPr>
        <w:t>ea</w:t>
      </w:r>
      <w:r w:rsidR="008334F0" w:rsidRPr="00D0089A">
        <w:rPr>
          <w:rFonts w:eastAsia="Times New Roman" w:cs="Arial"/>
          <w:color w:val="000000"/>
          <w:sz w:val="24"/>
        </w:rPr>
        <w:t xml:space="preserve">rs). </w:t>
      </w:r>
      <w:r w:rsidR="00DB630C" w:rsidRPr="00D0089A">
        <w:rPr>
          <w:rFonts w:eastAsia="Calibri" w:cs="Arial"/>
          <w:bCs/>
          <w:sz w:val="24"/>
          <w:lang w:val="en-GB"/>
        </w:rPr>
        <w:t>The commonest reason for declining T</w:t>
      </w:r>
      <w:r w:rsidR="002A7594" w:rsidRPr="00D0089A">
        <w:rPr>
          <w:rFonts w:eastAsia="Calibri" w:cs="Arial"/>
          <w:bCs/>
          <w:sz w:val="24"/>
          <w:lang w:val="en-GB"/>
        </w:rPr>
        <w:t>AVI</w:t>
      </w:r>
      <w:r w:rsidR="00F77F04">
        <w:rPr>
          <w:rFonts w:eastAsia="Calibri" w:cs="Arial"/>
          <w:bCs/>
          <w:sz w:val="24"/>
          <w:lang w:val="en-GB"/>
        </w:rPr>
        <w:t xml:space="preserve"> </w:t>
      </w:r>
      <w:r w:rsidR="00DB630C" w:rsidRPr="00D0089A">
        <w:rPr>
          <w:rFonts w:eastAsia="Calibri" w:cs="Arial"/>
          <w:bCs/>
          <w:sz w:val="24"/>
          <w:lang w:val="en-GB"/>
        </w:rPr>
        <w:t xml:space="preserve">was </w:t>
      </w:r>
      <w:r w:rsidR="00552322" w:rsidRPr="00D0089A">
        <w:rPr>
          <w:rFonts w:eastAsia="Calibri" w:cs="Arial"/>
          <w:bCs/>
          <w:sz w:val="24"/>
          <w:lang w:val="en-GB"/>
        </w:rPr>
        <w:t>prohibitive high</w:t>
      </w:r>
      <w:r w:rsidR="00DB630C" w:rsidRPr="00D0089A">
        <w:rPr>
          <w:rFonts w:eastAsia="Calibri" w:cs="Arial"/>
          <w:bCs/>
          <w:sz w:val="24"/>
          <w:lang w:val="en-GB"/>
        </w:rPr>
        <w:t xml:space="preserve"> risk due to multiple co-morbidities </w:t>
      </w:r>
      <w:r w:rsidR="00552322" w:rsidRPr="00D0089A">
        <w:rPr>
          <w:rFonts w:eastAsia="Calibri" w:cs="Arial"/>
          <w:bCs/>
          <w:sz w:val="24"/>
          <w:lang w:val="en-GB"/>
        </w:rPr>
        <w:t>(48.1%</w:t>
      </w:r>
      <w:r w:rsidR="00577104">
        <w:rPr>
          <w:rFonts w:eastAsia="Calibri" w:cs="Arial"/>
          <w:bCs/>
          <w:sz w:val="24"/>
          <w:lang w:val="en-GB"/>
        </w:rPr>
        <w:t>;C</w:t>
      </w:r>
      <w:r w:rsidR="00552322" w:rsidRPr="00D0089A">
        <w:rPr>
          <w:rFonts w:eastAsia="Calibri" w:cs="Arial"/>
          <w:bCs/>
          <w:sz w:val="24"/>
          <w:lang w:val="en-GB"/>
        </w:rPr>
        <w:t>onservative versus 20.2%</w:t>
      </w:r>
      <w:r w:rsidR="00577104">
        <w:rPr>
          <w:rFonts w:eastAsia="Calibri" w:cs="Arial"/>
          <w:bCs/>
          <w:sz w:val="24"/>
          <w:lang w:val="en-GB"/>
        </w:rPr>
        <w:t>;</w:t>
      </w:r>
      <w:r w:rsidR="00552322" w:rsidRPr="00D0089A">
        <w:rPr>
          <w:rFonts w:eastAsia="Calibri" w:cs="Arial"/>
          <w:bCs/>
          <w:sz w:val="24"/>
          <w:lang w:val="en-GB"/>
        </w:rPr>
        <w:t xml:space="preserve"> </w:t>
      </w:r>
      <w:r w:rsidR="003612B4" w:rsidRPr="00D0089A">
        <w:rPr>
          <w:rFonts w:eastAsia="Calibri" w:cs="Arial"/>
          <w:bCs/>
          <w:sz w:val="24"/>
          <w:lang w:val="en-GB"/>
        </w:rPr>
        <w:t>r</w:t>
      </w:r>
      <w:r w:rsidR="00552322" w:rsidRPr="00D0089A">
        <w:rPr>
          <w:rFonts w:eastAsia="Calibri" w:cs="Arial"/>
          <w:bCs/>
          <w:sz w:val="24"/>
          <w:lang w:val="en-GB"/>
        </w:rPr>
        <w:t xml:space="preserve">SAVR, </w:t>
      </w:r>
      <w:r w:rsidR="005E7DD8">
        <w:rPr>
          <w:rFonts w:eastAsia="Calibri" w:cs="Arial"/>
          <w:bCs/>
          <w:sz w:val="24"/>
          <w:lang w:val="en-GB"/>
        </w:rPr>
        <w:t>T</w:t>
      </w:r>
      <w:r w:rsidR="00DB630C" w:rsidRPr="00D0089A">
        <w:rPr>
          <w:rFonts w:eastAsia="Calibri" w:cs="Arial"/>
          <w:bCs/>
          <w:sz w:val="24"/>
          <w:lang w:val="en-GB"/>
        </w:rPr>
        <w:t xml:space="preserve">able </w:t>
      </w:r>
      <w:r w:rsidR="00C7719D">
        <w:rPr>
          <w:rFonts w:eastAsia="Calibri" w:cs="Arial"/>
          <w:bCs/>
          <w:sz w:val="24"/>
          <w:lang w:val="en-GB"/>
        </w:rPr>
        <w:t>2</w:t>
      </w:r>
      <w:r w:rsidR="00DB630C" w:rsidRPr="00D0089A">
        <w:rPr>
          <w:rFonts w:eastAsia="Calibri" w:cs="Arial"/>
          <w:bCs/>
          <w:sz w:val="24"/>
          <w:lang w:val="en-GB"/>
        </w:rPr>
        <w:t xml:space="preserve">). </w:t>
      </w:r>
      <w:r w:rsidR="0000471E" w:rsidRPr="00D0089A">
        <w:rPr>
          <w:rFonts w:eastAsia="Calibri" w:cs="Arial"/>
          <w:bCs/>
          <w:sz w:val="24"/>
          <w:lang w:val="en-GB"/>
        </w:rPr>
        <w:t>Overall,</w:t>
      </w:r>
      <w:r w:rsidR="00552322" w:rsidRPr="00D0089A">
        <w:rPr>
          <w:rFonts w:eastAsia="Calibri" w:cs="Arial"/>
          <w:bCs/>
          <w:sz w:val="24"/>
          <w:lang w:val="en-GB"/>
        </w:rPr>
        <w:t xml:space="preserve"> 72.2% </w:t>
      </w:r>
      <w:r w:rsidR="00CB4585" w:rsidRPr="00D0089A">
        <w:rPr>
          <w:rFonts w:eastAsia="Calibri" w:cs="Arial"/>
          <w:bCs/>
          <w:sz w:val="24"/>
          <w:lang w:val="en-GB"/>
        </w:rPr>
        <w:t xml:space="preserve">in </w:t>
      </w:r>
      <w:r w:rsidR="00577104">
        <w:rPr>
          <w:rFonts w:eastAsia="Calibri" w:cs="Arial"/>
          <w:bCs/>
          <w:sz w:val="24"/>
          <w:lang w:val="en-GB"/>
        </w:rPr>
        <w:t>C</w:t>
      </w:r>
      <w:r w:rsidR="00CB4585" w:rsidRPr="00D0089A">
        <w:rPr>
          <w:rFonts w:eastAsia="Calibri" w:cs="Arial"/>
          <w:bCs/>
          <w:sz w:val="24"/>
          <w:lang w:val="en-GB"/>
        </w:rPr>
        <w:t xml:space="preserve">onservative versus 57.0% in rSAVR </w:t>
      </w:r>
      <w:r w:rsidR="00552322" w:rsidRPr="00D0089A">
        <w:rPr>
          <w:rFonts w:eastAsia="Calibri" w:cs="Arial"/>
          <w:bCs/>
          <w:sz w:val="24"/>
          <w:lang w:val="en-GB"/>
        </w:rPr>
        <w:t xml:space="preserve">were </w:t>
      </w:r>
      <w:r w:rsidR="00FE629C" w:rsidRPr="00D0089A">
        <w:rPr>
          <w:rFonts w:eastAsia="Calibri" w:cs="Arial"/>
          <w:bCs/>
          <w:sz w:val="24"/>
          <w:lang w:val="en-GB"/>
        </w:rPr>
        <w:t>refused TAVI based on clinical</w:t>
      </w:r>
      <w:r w:rsidR="00AE2B00">
        <w:rPr>
          <w:rFonts w:eastAsia="Calibri" w:cs="Arial"/>
          <w:bCs/>
          <w:sz w:val="24"/>
          <w:lang w:val="en-GB"/>
        </w:rPr>
        <w:t>/patient</w:t>
      </w:r>
      <w:r w:rsidR="00FE629C" w:rsidRPr="00D0089A">
        <w:rPr>
          <w:rFonts w:eastAsia="Calibri" w:cs="Arial"/>
          <w:bCs/>
          <w:sz w:val="24"/>
          <w:lang w:val="en-GB"/>
        </w:rPr>
        <w:t xml:space="preserve"> reasons as opposed to technical</w:t>
      </w:r>
      <w:r w:rsidR="00AE2B00">
        <w:rPr>
          <w:rFonts w:eastAsia="Calibri" w:cs="Arial"/>
          <w:bCs/>
          <w:sz w:val="24"/>
          <w:lang w:val="en-GB"/>
        </w:rPr>
        <w:t>/procedural</w:t>
      </w:r>
      <w:r w:rsidR="00FE629C" w:rsidRPr="00D0089A">
        <w:rPr>
          <w:rFonts w:eastAsia="Calibri" w:cs="Arial"/>
          <w:bCs/>
          <w:sz w:val="24"/>
          <w:lang w:val="en-GB"/>
        </w:rPr>
        <w:t xml:space="preserve"> considerations</w:t>
      </w:r>
      <w:r w:rsidR="00A63E98">
        <w:rPr>
          <w:rFonts w:eastAsia="Calibri" w:cs="Arial"/>
          <w:bCs/>
          <w:sz w:val="24"/>
          <w:lang w:val="en-GB"/>
        </w:rPr>
        <w:t xml:space="preserve"> (</w:t>
      </w:r>
      <w:r w:rsidR="00577104">
        <w:rPr>
          <w:rFonts w:eastAsia="Calibri" w:cs="Arial"/>
          <w:bCs/>
          <w:sz w:val="24"/>
          <w:lang w:val="en-GB"/>
        </w:rPr>
        <w:t>C</w:t>
      </w:r>
      <w:r w:rsidR="00A63E98">
        <w:rPr>
          <w:rFonts w:eastAsia="Calibri" w:cs="Arial"/>
          <w:bCs/>
          <w:sz w:val="24"/>
          <w:lang w:val="en-GB"/>
        </w:rPr>
        <w:t xml:space="preserve">onservative: 22% vs </w:t>
      </w:r>
      <w:r w:rsidR="00E24145">
        <w:rPr>
          <w:rFonts w:eastAsia="Calibri" w:cs="Arial"/>
          <w:bCs/>
          <w:sz w:val="24"/>
          <w:lang w:val="en-GB"/>
        </w:rPr>
        <w:t>rSAVR: 38.6%)</w:t>
      </w:r>
      <w:r w:rsidR="00FE629C" w:rsidRPr="00D0089A">
        <w:rPr>
          <w:rFonts w:eastAsia="Calibri" w:cs="Arial"/>
          <w:bCs/>
          <w:sz w:val="24"/>
          <w:lang w:val="en-GB"/>
        </w:rPr>
        <w:t xml:space="preserve">. </w:t>
      </w:r>
    </w:p>
    <w:p w14:paraId="2F6952CB" w14:textId="3037A041" w:rsidR="00311659" w:rsidRPr="00311659" w:rsidRDefault="00311659" w:rsidP="00207FBE">
      <w:pPr>
        <w:spacing w:line="480" w:lineRule="auto"/>
        <w:rPr>
          <w:rFonts w:eastAsia="Calibri" w:cs="Arial"/>
          <w:bCs/>
          <w:i/>
          <w:sz w:val="24"/>
          <w:lang w:val="en-GB"/>
        </w:rPr>
      </w:pPr>
      <w:r>
        <w:rPr>
          <w:rFonts w:eastAsia="Calibri" w:cs="Arial"/>
          <w:bCs/>
          <w:i/>
          <w:sz w:val="24"/>
          <w:lang w:val="en-GB"/>
        </w:rPr>
        <w:t>Operative outcomes</w:t>
      </w:r>
    </w:p>
    <w:p w14:paraId="2014081F" w14:textId="79691437" w:rsidR="00B050D4" w:rsidRPr="00D0089A" w:rsidRDefault="001B32BA" w:rsidP="00207FBE">
      <w:pPr>
        <w:spacing w:line="480" w:lineRule="auto"/>
        <w:rPr>
          <w:rFonts w:eastAsia="Calibri" w:cs="Arial"/>
          <w:bCs/>
          <w:sz w:val="24"/>
          <w:lang w:val="en-GB"/>
        </w:rPr>
      </w:pPr>
      <w:r>
        <w:rPr>
          <w:rFonts w:eastAsia="Calibri" w:cs="Arial"/>
          <w:bCs/>
          <w:sz w:val="24"/>
          <w:lang w:val="en-GB"/>
        </w:rPr>
        <w:t xml:space="preserve">Operative data is presented in supplementary table 1. </w:t>
      </w:r>
      <w:r w:rsidR="008334F0">
        <w:rPr>
          <w:rFonts w:eastAsia="Calibri" w:cs="Arial"/>
          <w:bCs/>
          <w:sz w:val="24"/>
          <w:lang w:val="en-GB"/>
        </w:rPr>
        <w:t>Among patients with rSAVR, t</w:t>
      </w:r>
      <w:r w:rsidR="008334F0" w:rsidRPr="00D0089A">
        <w:rPr>
          <w:rFonts w:eastAsia="Calibri" w:cs="Arial"/>
          <w:bCs/>
          <w:sz w:val="24"/>
          <w:lang w:val="en-GB"/>
        </w:rPr>
        <w:t xml:space="preserve">he </w:t>
      </w:r>
      <w:r w:rsidR="007374EB" w:rsidRPr="00D0089A">
        <w:rPr>
          <w:rFonts w:eastAsia="Calibri" w:cs="Arial"/>
          <w:bCs/>
          <w:sz w:val="24"/>
          <w:lang w:val="en-GB"/>
        </w:rPr>
        <w:t xml:space="preserve">hospital mortality was </w:t>
      </w:r>
      <w:r w:rsidR="00A533AE" w:rsidRPr="00D0089A">
        <w:rPr>
          <w:rFonts w:eastAsia="Calibri" w:cs="Arial"/>
          <w:bCs/>
          <w:sz w:val="24"/>
          <w:lang w:val="en-GB"/>
        </w:rPr>
        <w:t>2</w:t>
      </w:r>
      <w:r w:rsidR="0003763F" w:rsidRPr="00D0089A">
        <w:rPr>
          <w:rFonts w:eastAsia="Calibri" w:cs="Arial"/>
          <w:bCs/>
          <w:sz w:val="24"/>
          <w:lang w:val="en-GB"/>
        </w:rPr>
        <w:t>.</w:t>
      </w:r>
      <w:r w:rsidR="00A533AE" w:rsidRPr="00D0089A">
        <w:rPr>
          <w:rFonts w:eastAsia="Calibri" w:cs="Arial"/>
          <w:bCs/>
          <w:sz w:val="24"/>
          <w:lang w:val="en-GB"/>
        </w:rPr>
        <w:t>2</w:t>
      </w:r>
      <w:r w:rsidR="0003763F" w:rsidRPr="00D0089A">
        <w:rPr>
          <w:rFonts w:eastAsia="Calibri" w:cs="Arial"/>
          <w:bCs/>
          <w:sz w:val="24"/>
          <w:lang w:val="en-GB"/>
        </w:rPr>
        <w:t>%.</w:t>
      </w:r>
      <w:r w:rsidR="002A7594" w:rsidRPr="00D0089A">
        <w:rPr>
          <w:rFonts w:eastAsia="Calibri" w:cs="Arial"/>
          <w:bCs/>
          <w:sz w:val="24"/>
          <w:lang w:val="en-GB"/>
        </w:rPr>
        <w:t xml:space="preserve"> </w:t>
      </w:r>
      <w:r w:rsidR="00CB4585" w:rsidRPr="00D0089A">
        <w:rPr>
          <w:rFonts w:eastAsia="Calibri" w:cs="Arial"/>
          <w:bCs/>
          <w:sz w:val="24"/>
          <w:lang w:val="en-GB"/>
        </w:rPr>
        <w:t>Significant morbidities of rSAVR included re-explorations</w:t>
      </w:r>
      <w:r w:rsidR="008334F0">
        <w:rPr>
          <w:rFonts w:eastAsia="Calibri" w:cs="Arial"/>
          <w:bCs/>
          <w:sz w:val="24"/>
          <w:lang w:val="en-GB"/>
        </w:rPr>
        <w:t xml:space="preserve"> for bleeding</w:t>
      </w:r>
      <w:r w:rsidR="00CB4585" w:rsidRPr="00D0089A">
        <w:rPr>
          <w:rFonts w:eastAsia="Calibri" w:cs="Arial"/>
          <w:bCs/>
          <w:sz w:val="24"/>
          <w:lang w:val="en-GB"/>
        </w:rPr>
        <w:t xml:space="preserve"> (3.3%) and</w:t>
      </w:r>
      <w:r w:rsidR="005A36EA" w:rsidRPr="00D0089A">
        <w:rPr>
          <w:rFonts w:eastAsia="Calibri" w:cs="Arial"/>
          <w:bCs/>
          <w:sz w:val="24"/>
          <w:lang w:val="en-GB"/>
        </w:rPr>
        <w:t xml:space="preserve"> stroke </w:t>
      </w:r>
      <w:r w:rsidR="00CB4585" w:rsidRPr="00D0089A">
        <w:rPr>
          <w:rFonts w:eastAsia="Calibri" w:cs="Arial"/>
          <w:bCs/>
          <w:sz w:val="24"/>
          <w:lang w:val="en-GB"/>
        </w:rPr>
        <w:t>(</w:t>
      </w:r>
      <w:r w:rsidR="005A36EA" w:rsidRPr="00D0089A">
        <w:rPr>
          <w:rFonts w:eastAsia="Calibri" w:cs="Arial"/>
          <w:bCs/>
          <w:sz w:val="24"/>
          <w:lang w:val="en-GB"/>
        </w:rPr>
        <w:t>7.8%</w:t>
      </w:r>
      <w:r w:rsidR="00CB4585" w:rsidRPr="00D0089A">
        <w:rPr>
          <w:rFonts w:eastAsia="Calibri" w:cs="Arial"/>
          <w:bCs/>
          <w:sz w:val="24"/>
          <w:lang w:val="en-GB"/>
        </w:rPr>
        <w:t>)</w:t>
      </w:r>
      <w:r w:rsidR="005A36EA" w:rsidRPr="00D0089A">
        <w:rPr>
          <w:rFonts w:eastAsia="Calibri" w:cs="Arial"/>
          <w:bCs/>
          <w:sz w:val="24"/>
          <w:lang w:val="en-GB"/>
        </w:rPr>
        <w:t>(</w:t>
      </w:r>
      <w:r w:rsidR="00AE2B00">
        <w:rPr>
          <w:rFonts w:eastAsia="Calibri" w:cs="Arial"/>
          <w:bCs/>
          <w:sz w:val="24"/>
          <w:lang w:val="en-GB"/>
        </w:rPr>
        <w:t>T</w:t>
      </w:r>
      <w:r w:rsidR="00863919" w:rsidRPr="00D0089A">
        <w:rPr>
          <w:rFonts w:eastAsia="Calibri" w:cs="Arial"/>
          <w:bCs/>
          <w:sz w:val="24"/>
          <w:lang w:val="en-GB"/>
        </w:rPr>
        <w:t>able</w:t>
      </w:r>
      <w:r w:rsidR="00AE2B00">
        <w:rPr>
          <w:rFonts w:eastAsia="Calibri" w:cs="Arial"/>
          <w:bCs/>
          <w:sz w:val="24"/>
          <w:lang w:val="en-GB"/>
        </w:rPr>
        <w:t xml:space="preserve"> </w:t>
      </w:r>
      <w:r>
        <w:rPr>
          <w:rFonts w:eastAsia="Calibri" w:cs="Arial"/>
          <w:bCs/>
          <w:sz w:val="24"/>
          <w:lang w:val="en-GB"/>
        </w:rPr>
        <w:t>3</w:t>
      </w:r>
      <w:r w:rsidR="005A36EA" w:rsidRPr="00D0089A">
        <w:rPr>
          <w:rFonts w:eastAsia="Calibri" w:cs="Arial"/>
          <w:bCs/>
          <w:sz w:val="24"/>
          <w:lang w:val="en-GB"/>
        </w:rPr>
        <w:t>)</w:t>
      </w:r>
      <w:r w:rsidR="00F07AB6" w:rsidRPr="00D0089A">
        <w:rPr>
          <w:rFonts w:eastAsia="Calibri" w:cs="Arial"/>
          <w:bCs/>
          <w:sz w:val="24"/>
          <w:lang w:val="en-GB"/>
        </w:rPr>
        <w:t xml:space="preserve">. Multivariable regression did not identify any of the preoperative variates as predictors of </w:t>
      </w:r>
      <w:r w:rsidR="00311659">
        <w:rPr>
          <w:rFonts w:eastAsia="Calibri" w:cs="Arial"/>
          <w:bCs/>
          <w:sz w:val="24"/>
          <w:lang w:val="en-GB"/>
        </w:rPr>
        <w:t xml:space="preserve">worse </w:t>
      </w:r>
      <w:r w:rsidR="00F07AB6" w:rsidRPr="00D0089A">
        <w:rPr>
          <w:rFonts w:cs="Arial"/>
          <w:sz w:val="24"/>
        </w:rPr>
        <w:t>composite of neurological sequelae/ renal failure/ deep sternal wound infection/ re-exploration and death</w:t>
      </w:r>
      <w:r w:rsidR="008334F0">
        <w:rPr>
          <w:rFonts w:eastAsia="Calibri" w:cs="Arial"/>
          <w:bCs/>
          <w:sz w:val="24"/>
          <w:lang w:val="en-GB"/>
        </w:rPr>
        <w:t>.</w:t>
      </w:r>
    </w:p>
    <w:p w14:paraId="1ED5CCF7" w14:textId="696042F3" w:rsidR="007374EB" w:rsidRPr="00D0089A" w:rsidRDefault="00B050D4" w:rsidP="00207FBE">
      <w:pPr>
        <w:spacing w:line="480" w:lineRule="auto"/>
        <w:rPr>
          <w:rFonts w:eastAsia="Calibri" w:cs="Arial"/>
          <w:bCs/>
          <w:sz w:val="24"/>
          <w:lang w:val="en-GB"/>
        </w:rPr>
      </w:pPr>
      <w:r w:rsidRPr="00D0089A">
        <w:rPr>
          <w:rFonts w:eastAsia="Calibri" w:cs="Arial"/>
          <w:bCs/>
          <w:sz w:val="24"/>
          <w:lang w:val="en-GB"/>
        </w:rPr>
        <w:t xml:space="preserve">The mean length of hospital stay </w:t>
      </w:r>
      <w:r w:rsidR="00F57D59">
        <w:rPr>
          <w:rFonts w:eastAsia="Calibri" w:cs="Arial"/>
          <w:bCs/>
          <w:sz w:val="24"/>
          <w:lang w:val="en-GB"/>
        </w:rPr>
        <w:t xml:space="preserve">for rSAVR </w:t>
      </w:r>
      <w:r w:rsidRPr="00D0089A">
        <w:rPr>
          <w:rFonts w:eastAsia="Calibri" w:cs="Arial"/>
          <w:bCs/>
          <w:sz w:val="24"/>
          <w:lang w:val="en-GB"/>
        </w:rPr>
        <w:t xml:space="preserve">was </w:t>
      </w:r>
      <w:r w:rsidR="005A36EA" w:rsidRPr="00D0089A">
        <w:rPr>
          <w:rFonts w:eastAsia="Calibri" w:cs="Arial"/>
          <w:bCs/>
          <w:sz w:val="24"/>
          <w:lang w:val="en-GB"/>
        </w:rPr>
        <w:t>10.5 days</w:t>
      </w:r>
      <w:r w:rsidRPr="00D0089A">
        <w:rPr>
          <w:rFonts w:eastAsia="Calibri" w:cs="Arial"/>
          <w:bCs/>
          <w:sz w:val="24"/>
          <w:lang w:val="en-GB"/>
        </w:rPr>
        <w:t xml:space="preserve"> and </w:t>
      </w:r>
      <w:r w:rsidR="005A36EA" w:rsidRPr="00D0089A">
        <w:rPr>
          <w:rFonts w:eastAsia="Calibri" w:cs="Arial"/>
          <w:bCs/>
          <w:sz w:val="24"/>
          <w:lang w:val="en-GB"/>
        </w:rPr>
        <w:t>60%</w:t>
      </w:r>
      <w:r w:rsidRPr="00D0089A">
        <w:rPr>
          <w:rFonts w:eastAsia="Calibri" w:cs="Arial"/>
          <w:bCs/>
          <w:sz w:val="24"/>
          <w:lang w:val="en-GB"/>
        </w:rPr>
        <w:t xml:space="preserve"> of the patients were discharged home. </w:t>
      </w:r>
      <w:r w:rsidR="005A36EA" w:rsidRPr="00D0089A">
        <w:rPr>
          <w:rFonts w:eastAsia="Calibri" w:cs="Arial"/>
          <w:bCs/>
          <w:sz w:val="24"/>
          <w:lang w:val="en-GB"/>
        </w:rPr>
        <w:t>31.1%</w:t>
      </w:r>
      <w:r w:rsidRPr="00D0089A">
        <w:rPr>
          <w:rFonts w:eastAsia="Calibri" w:cs="Arial"/>
          <w:bCs/>
          <w:sz w:val="24"/>
          <w:lang w:val="en-GB"/>
        </w:rPr>
        <w:t xml:space="preserve"> required further rehabilitation due to age, frailty, </w:t>
      </w:r>
      <w:r w:rsidR="00863919" w:rsidRPr="00D0089A">
        <w:rPr>
          <w:rFonts w:eastAsia="Calibri" w:cs="Arial"/>
          <w:bCs/>
          <w:sz w:val="24"/>
          <w:lang w:val="en-GB"/>
        </w:rPr>
        <w:t xml:space="preserve">social circumstances and </w:t>
      </w:r>
      <w:r w:rsidRPr="00D0089A">
        <w:rPr>
          <w:rFonts w:eastAsia="Calibri" w:cs="Arial"/>
          <w:bCs/>
          <w:sz w:val="24"/>
          <w:lang w:val="en-GB"/>
        </w:rPr>
        <w:t xml:space="preserve">living alone, or consequence, morbidity or complications of surgery.  </w:t>
      </w:r>
      <w:r w:rsidR="0003763F" w:rsidRPr="00D0089A">
        <w:rPr>
          <w:rFonts w:eastAsia="Calibri" w:cs="Arial"/>
          <w:bCs/>
          <w:sz w:val="24"/>
          <w:lang w:val="en-GB"/>
        </w:rPr>
        <w:t xml:space="preserve"> </w:t>
      </w:r>
    </w:p>
    <w:p w14:paraId="19FF8983" w14:textId="2F419DEC" w:rsidR="00311659" w:rsidRPr="00311659" w:rsidRDefault="00AB1023" w:rsidP="00207FBE">
      <w:pPr>
        <w:spacing w:line="480" w:lineRule="auto"/>
        <w:rPr>
          <w:rFonts w:eastAsia="Calibri" w:cs="Arial"/>
          <w:bCs/>
          <w:i/>
          <w:sz w:val="24"/>
          <w:lang w:val="en-GB"/>
        </w:rPr>
      </w:pPr>
      <w:r>
        <w:rPr>
          <w:rFonts w:eastAsia="Calibri" w:cs="Arial"/>
          <w:bCs/>
          <w:i/>
          <w:sz w:val="24"/>
          <w:lang w:val="en-GB"/>
        </w:rPr>
        <w:t>S</w:t>
      </w:r>
      <w:r w:rsidR="00311659" w:rsidRPr="00311659">
        <w:rPr>
          <w:rFonts w:eastAsia="Calibri" w:cs="Arial"/>
          <w:bCs/>
          <w:i/>
          <w:sz w:val="24"/>
          <w:lang w:val="en-GB"/>
        </w:rPr>
        <w:t>urvival</w:t>
      </w:r>
    </w:p>
    <w:p w14:paraId="3BD841D2" w14:textId="50BE3208" w:rsidR="00690E96" w:rsidRPr="00D0089A" w:rsidRDefault="00A63E98" w:rsidP="00207FBE">
      <w:pPr>
        <w:spacing w:line="480" w:lineRule="auto"/>
        <w:rPr>
          <w:rFonts w:eastAsia="Calibri" w:cs="Arial"/>
          <w:bCs/>
          <w:sz w:val="24"/>
          <w:lang w:val="en-GB"/>
        </w:rPr>
      </w:pPr>
      <w:r>
        <w:rPr>
          <w:rFonts w:eastAsia="Calibri" w:cs="Arial"/>
          <w:bCs/>
          <w:sz w:val="24"/>
          <w:lang w:val="en-GB"/>
        </w:rPr>
        <w:t>Five-year</w:t>
      </w:r>
      <w:r w:rsidRPr="00D0089A">
        <w:rPr>
          <w:rFonts w:eastAsia="Calibri" w:cs="Arial"/>
          <w:bCs/>
          <w:sz w:val="24"/>
          <w:lang w:val="en-GB"/>
        </w:rPr>
        <w:t xml:space="preserve"> </w:t>
      </w:r>
      <w:r w:rsidR="00F8769F" w:rsidRPr="00D0089A">
        <w:rPr>
          <w:rFonts w:eastAsia="Calibri" w:cs="Arial"/>
          <w:bCs/>
          <w:sz w:val="24"/>
          <w:lang w:val="en-GB"/>
        </w:rPr>
        <w:t xml:space="preserve">survival was </w:t>
      </w:r>
      <w:r>
        <w:rPr>
          <w:rFonts w:eastAsia="Calibri" w:cs="Arial"/>
          <w:bCs/>
          <w:sz w:val="24"/>
          <w:lang w:val="en-GB"/>
        </w:rPr>
        <w:t>12.6%</w:t>
      </w:r>
      <w:r w:rsidR="00233E32">
        <w:rPr>
          <w:rFonts w:eastAsia="Calibri" w:cs="Arial"/>
          <w:bCs/>
          <w:sz w:val="24"/>
          <w:lang w:val="en-GB"/>
        </w:rPr>
        <w:t xml:space="preserve"> for the Conservative</w:t>
      </w:r>
      <w:r w:rsidR="00233E32" w:rsidRPr="007F70C2">
        <w:rPr>
          <w:rFonts w:eastAsia="Calibri" w:cs="Arial"/>
          <w:bCs/>
          <w:sz w:val="24"/>
          <w:lang w:val="en-GB"/>
        </w:rPr>
        <w:t xml:space="preserve"> </w:t>
      </w:r>
      <w:r w:rsidR="00233E32">
        <w:rPr>
          <w:rFonts w:eastAsia="Calibri" w:cs="Arial"/>
          <w:bCs/>
          <w:sz w:val="24"/>
          <w:lang w:val="en-GB"/>
        </w:rPr>
        <w:t xml:space="preserve">versus </w:t>
      </w:r>
      <w:r>
        <w:rPr>
          <w:rFonts w:eastAsia="Calibri" w:cs="Arial"/>
          <w:bCs/>
          <w:sz w:val="24"/>
          <w:lang w:val="en-GB"/>
        </w:rPr>
        <w:t>59.5%</w:t>
      </w:r>
      <w:r w:rsidR="00F8769F" w:rsidRPr="00D0089A">
        <w:rPr>
          <w:rFonts w:eastAsia="Calibri" w:cs="Arial"/>
          <w:bCs/>
          <w:sz w:val="24"/>
          <w:lang w:val="en-GB"/>
        </w:rPr>
        <w:t xml:space="preserve"> for rSAVR </w:t>
      </w:r>
      <w:r w:rsidR="00233E32">
        <w:rPr>
          <w:rFonts w:eastAsia="Calibri" w:cs="Arial"/>
          <w:bCs/>
          <w:sz w:val="24"/>
          <w:lang w:val="en-GB"/>
        </w:rPr>
        <w:t>versus group respectively.</w:t>
      </w:r>
      <w:r w:rsidR="00F8769F">
        <w:rPr>
          <w:rFonts w:eastAsia="Calibri" w:cs="Arial"/>
          <w:bCs/>
          <w:sz w:val="24"/>
          <w:lang w:val="en-GB"/>
        </w:rPr>
        <w:t xml:space="preserve"> </w:t>
      </w:r>
      <w:r w:rsidR="000B2DE7">
        <w:rPr>
          <w:rFonts w:eastAsia="Calibri" w:cs="Arial"/>
          <w:bCs/>
          <w:sz w:val="24"/>
          <w:lang w:val="en-GB"/>
        </w:rPr>
        <w:t>S</w:t>
      </w:r>
      <w:r w:rsidR="00037348" w:rsidRPr="00D0089A">
        <w:rPr>
          <w:rFonts w:eastAsia="Calibri" w:cs="Arial"/>
          <w:bCs/>
          <w:sz w:val="24"/>
          <w:lang w:val="en-GB"/>
        </w:rPr>
        <w:t xml:space="preserve">urvival was </w:t>
      </w:r>
      <w:r w:rsidR="00233E32">
        <w:rPr>
          <w:rFonts w:eastAsia="Calibri" w:cs="Arial"/>
          <w:bCs/>
          <w:sz w:val="24"/>
          <w:lang w:val="en-GB"/>
        </w:rPr>
        <w:t>C</w:t>
      </w:r>
      <w:r w:rsidR="00233E32" w:rsidRPr="00D0089A">
        <w:rPr>
          <w:rFonts w:eastAsia="Calibri" w:cs="Arial"/>
          <w:bCs/>
          <w:sz w:val="24"/>
          <w:lang w:val="en-GB"/>
        </w:rPr>
        <w:t>onservative</w:t>
      </w:r>
      <w:r w:rsidR="00233E32">
        <w:rPr>
          <w:rFonts w:eastAsia="Calibri" w:cs="Arial"/>
          <w:bCs/>
          <w:sz w:val="24"/>
          <w:lang w:val="en-GB"/>
        </w:rPr>
        <w:t>;</w:t>
      </w:r>
      <w:r w:rsidR="00233E32" w:rsidRPr="00D0089A">
        <w:rPr>
          <w:rFonts w:eastAsia="Calibri" w:cs="Arial"/>
          <w:bCs/>
          <w:sz w:val="24"/>
          <w:lang w:val="en-GB"/>
        </w:rPr>
        <w:t xml:space="preserve"> 38.0%</w:t>
      </w:r>
      <w:r w:rsidR="00233E32">
        <w:rPr>
          <w:rFonts w:eastAsia="Calibri" w:cs="Arial"/>
          <w:bCs/>
          <w:sz w:val="24"/>
          <w:lang w:val="en-GB"/>
        </w:rPr>
        <w:t xml:space="preserve"> versus </w:t>
      </w:r>
      <w:r w:rsidR="00233E32" w:rsidRPr="00D0089A">
        <w:rPr>
          <w:rFonts w:eastAsia="Calibri" w:cs="Arial"/>
          <w:bCs/>
          <w:sz w:val="24"/>
          <w:lang w:val="en-GB"/>
        </w:rPr>
        <w:t>rSAVR</w:t>
      </w:r>
      <w:r w:rsidR="00233E32">
        <w:rPr>
          <w:rFonts w:eastAsia="Calibri" w:cs="Arial"/>
          <w:bCs/>
          <w:sz w:val="24"/>
          <w:lang w:val="en-GB"/>
        </w:rPr>
        <w:t>;</w:t>
      </w:r>
      <w:r w:rsidR="00233E32" w:rsidRPr="00D0089A">
        <w:rPr>
          <w:rFonts w:eastAsia="Calibri" w:cs="Arial"/>
          <w:bCs/>
          <w:sz w:val="24"/>
          <w:lang w:val="en-GB"/>
        </w:rPr>
        <w:t xml:space="preserve"> 60.5%</w:t>
      </w:r>
      <w:r w:rsidR="00233E32">
        <w:rPr>
          <w:rFonts w:eastAsia="Calibri" w:cs="Arial"/>
          <w:bCs/>
          <w:sz w:val="24"/>
          <w:lang w:val="en-GB"/>
        </w:rPr>
        <w:t xml:space="preserve">, </w:t>
      </w:r>
      <w:r w:rsidR="00233E32" w:rsidRPr="00D0089A">
        <w:rPr>
          <w:rFonts w:eastAsia="Calibri" w:cs="Arial"/>
          <w:bCs/>
          <w:sz w:val="24"/>
          <w:lang w:val="en-GB"/>
        </w:rPr>
        <w:t>p&lt;0.001</w:t>
      </w:r>
      <w:r w:rsidR="00B947D0">
        <w:rPr>
          <w:rFonts w:eastAsia="Calibri" w:cs="Arial"/>
          <w:bCs/>
          <w:sz w:val="24"/>
          <w:lang w:val="en-GB"/>
        </w:rPr>
        <w:t>(Figure 2</w:t>
      </w:r>
      <w:r w:rsidR="00D1561C">
        <w:rPr>
          <w:rFonts w:eastAsia="Calibri" w:cs="Arial"/>
          <w:bCs/>
          <w:sz w:val="24"/>
          <w:lang w:val="en-GB"/>
        </w:rPr>
        <w:t>)</w:t>
      </w:r>
      <w:r w:rsidR="00233E32">
        <w:rPr>
          <w:rFonts w:eastAsia="Calibri" w:cs="Arial"/>
          <w:bCs/>
          <w:sz w:val="24"/>
          <w:lang w:val="en-GB"/>
        </w:rPr>
        <w:t xml:space="preserve">. </w:t>
      </w:r>
      <w:r w:rsidR="00037348" w:rsidRPr="00D0089A">
        <w:rPr>
          <w:rFonts w:eastAsia="Calibri" w:cs="Arial"/>
          <w:bCs/>
          <w:sz w:val="24"/>
          <w:lang w:val="en-GB"/>
        </w:rPr>
        <w:t xml:space="preserve">Stratified survival was significantly better at all time points for </w:t>
      </w:r>
      <w:r w:rsidR="00256C45">
        <w:rPr>
          <w:rFonts w:eastAsia="Calibri" w:cs="Arial"/>
          <w:bCs/>
          <w:sz w:val="24"/>
          <w:lang w:val="en-GB"/>
        </w:rPr>
        <w:t>r</w:t>
      </w:r>
      <w:r w:rsidR="00037348" w:rsidRPr="00D0089A">
        <w:rPr>
          <w:rFonts w:eastAsia="Calibri" w:cs="Arial"/>
          <w:bCs/>
          <w:sz w:val="24"/>
          <w:lang w:val="en-GB"/>
        </w:rPr>
        <w:t xml:space="preserve">SAVR (78.5% versus 91.2%, p=0.007 at 6 months, 64.1% versus 84.1%, p&lt;0.001 at 1 yr and 12.6% versus 59.5%, p&lt;0.001 at 5 yrs for </w:t>
      </w:r>
      <w:r w:rsidR="00577104">
        <w:rPr>
          <w:rFonts w:eastAsia="Calibri" w:cs="Arial"/>
          <w:bCs/>
          <w:sz w:val="24"/>
          <w:lang w:val="en-GB"/>
        </w:rPr>
        <w:t>C</w:t>
      </w:r>
      <w:r w:rsidR="00037348" w:rsidRPr="00D0089A">
        <w:rPr>
          <w:rFonts w:eastAsia="Calibri" w:cs="Arial"/>
          <w:bCs/>
          <w:sz w:val="24"/>
          <w:lang w:val="en-GB"/>
        </w:rPr>
        <w:t xml:space="preserve">onservative and </w:t>
      </w:r>
      <w:r w:rsidR="00017417" w:rsidRPr="00D0089A">
        <w:rPr>
          <w:rFonts w:eastAsia="Calibri" w:cs="Arial"/>
          <w:bCs/>
          <w:sz w:val="24"/>
          <w:lang w:val="en-GB"/>
        </w:rPr>
        <w:t>r</w:t>
      </w:r>
      <w:r w:rsidR="00037348" w:rsidRPr="00D0089A">
        <w:rPr>
          <w:rFonts w:eastAsia="Calibri" w:cs="Arial"/>
          <w:bCs/>
          <w:sz w:val="24"/>
          <w:lang w:val="en-GB"/>
        </w:rPr>
        <w:t>S</w:t>
      </w:r>
      <w:r w:rsidR="00F64F2E" w:rsidRPr="00D0089A">
        <w:rPr>
          <w:rFonts w:eastAsia="Calibri" w:cs="Arial"/>
          <w:bCs/>
          <w:sz w:val="24"/>
          <w:lang w:val="en-GB"/>
        </w:rPr>
        <w:t xml:space="preserve">AVR groups respectively, </w:t>
      </w:r>
      <w:r w:rsidR="00F630B9">
        <w:rPr>
          <w:rFonts w:eastAsia="Calibri" w:cs="Arial"/>
          <w:bCs/>
          <w:sz w:val="24"/>
          <w:lang w:val="en-GB"/>
        </w:rPr>
        <w:t xml:space="preserve">Appendix </w:t>
      </w:r>
      <w:r w:rsidR="00F64F2E" w:rsidRPr="00D0089A">
        <w:rPr>
          <w:rFonts w:eastAsia="Calibri" w:cs="Arial"/>
          <w:bCs/>
          <w:sz w:val="24"/>
          <w:lang w:val="en-GB"/>
        </w:rPr>
        <w:t xml:space="preserve">Table </w:t>
      </w:r>
      <w:r w:rsidR="00F630B9">
        <w:rPr>
          <w:rFonts w:eastAsia="Calibri" w:cs="Arial"/>
          <w:bCs/>
          <w:sz w:val="24"/>
          <w:lang w:val="en-GB"/>
        </w:rPr>
        <w:t>2</w:t>
      </w:r>
      <w:r w:rsidR="00037348" w:rsidRPr="00D0089A">
        <w:rPr>
          <w:rFonts w:eastAsia="Calibri" w:cs="Arial"/>
          <w:bCs/>
          <w:sz w:val="24"/>
          <w:lang w:val="en-GB"/>
        </w:rPr>
        <w:t>)</w:t>
      </w:r>
      <w:r w:rsidR="00F07AB6" w:rsidRPr="00D0089A">
        <w:rPr>
          <w:rFonts w:eastAsia="Calibri" w:cs="Arial"/>
          <w:bCs/>
          <w:sz w:val="24"/>
          <w:lang w:val="en-GB"/>
        </w:rPr>
        <w:t xml:space="preserve">. </w:t>
      </w:r>
      <w:r w:rsidR="00F64F2E" w:rsidRPr="00D0089A">
        <w:rPr>
          <w:rFonts w:eastAsia="Calibri" w:cs="Arial"/>
          <w:bCs/>
          <w:sz w:val="24"/>
          <w:lang w:val="en-GB"/>
        </w:rPr>
        <w:t xml:space="preserve">Among patients undergoing </w:t>
      </w:r>
      <w:r w:rsidR="00B050D4" w:rsidRPr="00D0089A">
        <w:rPr>
          <w:rFonts w:eastAsia="Calibri" w:cs="Arial"/>
          <w:bCs/>
          <w:sz w:val="24"/>
          <w:lang w:val="en-GB"/>
        </w:rPr>
        <w:t>r</w:t>
      </w:r>
      <w:r w:rsidR="00F64F2E" w:rsidRPr="00D0089A">
        <w:rPr>
          <w:rFonts w:eastAsia="Calibri" w:cs="Arial"/>
          <w:bCs/>
          <w:sz w:val="24"/>
          <w:lang w:val="en-GB"/>
        </w:rPr>
        <w:t xml:space="preserve">SAVR, an adverse neurological history was the only </w:t>
      </w:r>
      <w:r w:rsidR="008334F0">
        <w:rPr>
          <w:rFonts w:eastAsia="Calibri" w:cs="Arial"/>
          <w:bCs/>
          <w:sz w:val="24"/>
          <w:lang w:val="en-GB"/>
        </w:rPr>
        <w:t xml:space="preserve">independent </w:t>
      </w:r>
      <w:r w:rsidR="00F64F2E" w:rsidRPr="00D0089A">
        <w:rPr>
          <w:rFonts w:eastAsia="Calibri" w:cs="Arial"/>
          <w:bCs/>
          <w:sz w:val="24"/>
          <w:lang w:val="en-GB"/>
        </w:rPr>
        <w:t xml:space="preserve">predictor of survival (HR; 3.10, 95% </w:t>
      </w:r>
      <w:r w:rsidR="00F630B9">
        <w:rPr>
          <w:rFonts w:eastAsia="Calibri" w:cs="Arial"/>
          <w:bCs/>
          <w:sz w:val="24"/>
          <w:lang w:val="en-GB"/>
        </w:rPr>
        <w:t xml:space="preserve">CI; 1.14, 8.41, </w:t>
      </w:r>
      <w:r w:rsidR="00DE0924">
        <w:rPr>
          <w:rFonts w:eastAsia="Calibri" w:cs="Arial"/>
          <w:bCs/>
          <w:sz w:val="24"/>
          <w:lang w:val="en-GB"/>
        </w:rPr>
        <w:t>P</w:t>
      </w:r>
      <w:r w:rsidR="00F630B9">
        <w:rPr>
          <w:rFonts w:eastAsia="Calibri" w:cs="Arial"/>
          <w:bCs/>
          <w:sz w:val="24"/>
          <w:lang w:val="en-GB"/>
        </w:rPr>
        <w:t>=0.027</w:t>
      </w:r>
      <w:r w:rsidR="00F64F2E" w:rsidRPr="00D0089A">
        <w:rPr>
          <w:rFonts w:eastAsia="Calibri" w:cs="Arial"/>
          <w:bCs/>
          <w:sz w:val="24"/>
          <w:lang w:val="en-GB"/>
        </w:rPr>
        <w:t>).</w:t>
      </w:r>
      <w:r w:rsidR="008334F0" w:rsidRPr="008334F0">
        <w:rPr>
          <w:rFonts w:eastAsia="Times New Roman" w:cs="Arial"/>
          <w:color w:val="000000"/>
          <w:sz w:val="24"/>
        </w:rPr>
        <w:t xml:space="preserve"> </w:t>
      </w:r>
      <w:r w:rsidR="008334F0" w:rsidRPr="00D0089A">
        <w:rPr>
          <w:rFonts w:eastAsia="Times New Roman" w:cs="Arial"/>
          <w:color w:val="000000"/>
          <w:sz w:val="24"/>
        </w:rPr>
        <w:t xml:space="preserve">Overall, rSAVR was protective (HR; 0.37, 95% CI; 0.26, 0.51, p&lt;0.001) and high co-morbidities </w:t>
      </w:r>
      <w:r w:rsidR="008334F0">
        <w:rPr>
          <w:rFonts w:eastAsia="Times New Roman" w:cs="Arial"/>
          <w:color w:val="000000"/>
          <w:sz w:val="24"/>
        </w:rPr>
        <w:t xml:space="preserve">at the time of multidisciplinary evaluation </w:t>
      </w:r>
      <w:r w:rsidR="008334F0" w:rsidRPr="00D0089A">
        <w:rPr>
          <w:rFonts w:eastAsia="Times New Roman" w:cs="Arial"/>
          <w:color w:val="000000"/>
          <w:sz w:val="24"/>
        </w:rPr>
        <w:t>were associated with a significant hazard (HR; 1.57, 95% CI; 1.19, 2.07, p=0.001) for survival</w:t>
      </w:r>
      <w:r w:rsidR="008334F0">
        <w:rPr>
          <w:rFonts w:eastAsia="Times New Roman" w:cs="Arial"/>
          <w:color w:val="000000"/>
          <w:sz w:val="24"/>
        </w:rPr>
        <w:t>.</w:t>
      </w:r>
    </w:p>
    <w:p w14:paraId="00ACBF47" w14:textId="6B03BF42" w:rsidR="005D5D8B" w:rsidRDefault="00FA3734" w:rsidP="00207FBE">
      <w:pPr>
        <w:pStyle w:val="CommentText"/>
        <w:spacing w:line="480" w:lineRule="auto"/>
        <w:rPr>
          <w:rFonts w:eastAsia="Calibri" w:cs="Arial"/>
          <w:bCs/>
          <w:sz w:val="24"/>
          <w:szCs w:val="24"/>
          <w:lang w:val="en-GB"/>
        </w:rPr>
      </w:pPr>
      <w:r>
        <w:rPr>
          <w:rFonts w:eastAsia="Calibri" w:cs="Arial"/>
          <w:bCs/>
          <w:sz w:val="24"/>
          <w:szCs w:val="24"/>
          <w:lang w:val="en-GB"/>
        </w:rPr>
        <w:t>S</w:t>
      </w:r>
      <w:r w:rsidR="000E4065" w:rsidRPr="00D0089A">
        <w:rPr>
          <w:rFonts w:eastAsia="Calibri" w:cs="Arial"/>
          <w:bCs/>
          <w:sz w:val="24"/>
          <w:szCs w:val="24"/>
          <w:lang w:val="en-GB"/>
        </w:rPr>
        <w:t xml:space="preserve">urvival was superior </w:t>
      </w:r>
      <w:r w:rsidR="00EA1B16" w:rsidRPr="00D0089A">
        <w:rPr>
          <w:rFonts w:eastAsia="Calibri" w:cs="Arial"/>
          <w:bCs/>
          <w:sz w:val="24"/>
          <w:szCs w:val="24"/>
          <w:lang w:val="en-GB"/>
        </w:rPr>
        <w:t xml:space="preserve">for rSAVR </w:t>
      </w:r>
      <w:r w:rsidR="000E4065" w:rsidRPr="00D0089A">
        <w:rPr>
          <w:rFonts w:eastAsia="Calibri" w:cs="Arial"/>
          <w:bCs/>
          <w:sz w:val="24"/>
          <w:szCs w:val="24"/>
          <w:lang w:val="en-GB"/>
        </w:rPr>
        <w:t>on s</w:t>
      </w:r>
      <w:r w:rsidR="00863919" w:rsidRPr="00D0089A">
        <w:rPr>
          <w:rFonts w:eastAsia="Calibri" w:cs="Arial"/>
          <w:bCs/>
          <w:sz w:val="24"/>
          <w:szCs w:val="24"/>
          <w:lang w:val="en-GB"/>
        </w:rPr>
        <w:t>ub</w:t>
      </w:r>
      <w:r w:rsidR="00F17636">
        <w:rPr>
          <w:rFonts w:eastAsia="Calibri" w:cs="Arial"/>
          <w:bCs/>
          <w:sz w:val="24"/>
          <w:szCs w:val="24"/>
          <w:lang w:val="en-GB"/>
        </w:rPr>
        <w:t>-</w:t>
      </w:r>
      <w:r w:rsidR="00863919" w:rsidRPr="00D0089A">
        <w:rPr>
          <w:rFonts w:eastAsia="Calibri" w:cs="Arial"/>
          <w:bCs/>
          <w:sz w:val="24"/>
          <w:szCs w:val="24"/>
          <w:lang w:val="en-GB"/>
        </w:rPr>
        <w:t>analyses based on age</w:t>
      </w:r>
      <w:r w:rsidR="00A533AE" w:rsidRPr="00D0089A">
        <w:rPr>
          <w:rFonts w:eastAsia="Calibri" w:cs="Arial"/>
          <w:bCs/>
          <w:sz w:val="24"/>
          <w:szCs w:val="24"/>
          <w:lang w:val="en-GB"/>
        </w:rPr>
        <w:t xml:space="preserve"> (</w:t>
      </w:r>
      <w:r w:rsidR="00A533AE" w:rsidRPr="00D0089A">
        <w:rPr>
          <w:rFonts w:cs="Arial"/>
          <w:sz w:val="24"/>
          <w:szCs w:val="24"/>
        </w:rPr>
        <w:t>Non-</w:t>
      </w:r>
      <w:r w:rsidR="008F2542" w:rsidRPr="00D0089A">
        <w:rPr>
          <w:rFonts w:cs="Arial"/>
          <w:sz w:val="24"/>
          <w:szCs w:val="24"/>
        </w:rPr>
        <w:t>octogenarians</w:t>
      </w:r>
      <w:r w:rsidR="00A533AE" w:rsidRPr="00D0089A">
        <w:rPr>
          <w:rFonts w:cs="Arial"/>
          <w:sz w:val="24"/>
          <w:szCs w:val="24"/>
        </w:rPr>
        <w:t xml:space="preserve">: Conservative 36.4% versus rSAVR; 62.2%, </w:t>
      </w:r>
      <w:r w:rsidR="000E4065" w:rsidRPr="00D0089A">
        <w:rPr>
          <w:rFonts w:cs="Arial"/>
          <w:sz w:val="24"/>
          <w:szCs w:val="24"/>
        </w:rPr>
        <w:t xml:space="preserve">p&lt;0.001, </w:t>
      </w:r>
      <w:r w:rsidR="008F2542" w:rsidRPr="00D0089A">
        <w:rPr>
          <w:rFonts w:cs="Arial"/>
          <w:sz w:val="24"/>
          <w:szCs w:val="24"/>
        </w:rPr>
        <w:t>Octogenarians</w:t>
      </w:r>
      <w:r w:rsidR="00A533AE" w:rsidRPr="00D0089A">
        <w:rPr>
          <w:rFonts w:cs="Arial"/>
          <w:sz w:val="24"/>
          <w:szCs w:val="24"/>
        </w:rPr>
        <w:t xml:space="preserve">: Conservative 42.4% versus rSAVR </w:t>
      </w:r>
      <w:r w:rsidR="000E4065" w:rsidRPr="00D0089A">
        <w:rPr>
          <w:rFonts w:cs="Arial"/>
          <w:sz w:val="24"/>
          <w:szCs w:val="24"/>
        </w:rPr>
        <w:t xml:space="preserve">61.9%, p&lt;0.001), </w:t>
      </w:r>
      <w:r w:rsidR="00A524C7" w:rsidRPr="00D0089A">
        <w:rPr>
          <w:rFonts w:cs="Arial"/>
          <w:sz w:val="24"/>
          <w:szCs w:val="24"/>
        </w:rPr>
        <w:t>considerations for refusal of TAVI (</w:t>
      </w:r>
      <w:r w:rsidR="00DF3F5C">
        <w:rPr>
          <w:rFonts w:cs="Arial"/>
          <w:sz w:val="24"/>
          <w:szCs w:val="24"/>
        </w:rPr>
        <w:t>Clinical/ patient related</w:t>
      </w:r>
      <w:r w:rsidR="00A524C7" w:rsidRPr="00D0089A">
        <w:rPr>
          <w:rFonts w:cs="Arial"/>
          <w:sz w:val="24"/>
          <w:szCs w:val="24"/>
        </w:rPr>
        <w:t>: Conservative: 42.9% versus rSAVR 64.9%, p&lt;0.001</w:t>
      </w:r>
      <w:r w:rsidR="00F630B9">
        <w:rPr>
          <w:rFonts w:cs="Arial"/>
          <w:sz w:val="24"/>
          <w:szCs w:val="24"/>
        </w:rPr>
        <w:t xml:space="preserve"> </w:t>
      </w:r>
      <w:r w:rsidR="00A524C7" w:rsidRPr="00D0089A">
        <w:rPr>
          <w:rFonts w:cs="Arial"/>
          <w:sz w:val="24"/>
          <w:szCs w:val="24"/>
        </w:rPr>
        <w:t>Technical</w:t>
      </w:r>
      <w:r w:rsidR="00DF3F5C">
        <w:rPr>
          <w:rFonts w:cs="Arial"/>
          <w:sz w:val="24"/>
          <w:szCs w:val="24"/>
        </w:rPr>
        <w:t>/procedural</w:t>
      </w:r>
      <w:r w:rsidR="00A524C7" w:rsidRPr="00D0089A">
        <w:rPr>
          <w:rFonts w:cs="Arial"/>
          <w:sz w:val="24"/>
          <w:szCs w:val="24"/>
        </w:rPr>
        <w:t xml:space="preserve">: Conservative 34.1% versus </w:t>
      </w:r>
      <w:r w:rsidR="00247701" w:rsidRPr="00D0089A">
        <w:rPr>
          <w:rFonts w:cs="Arial"/>
          <w:sz w:val="24"/>
          <w:szCs w:val="24"/>
        </w:rPr>
        <w:t>rSAVR 51.7%, p&lt;0.001)</w:t>
      </w:r>
      <w:r w:rsidR="00EA1B16" w:rsidRPr="00D0089A">
        <w:rPr>
          <w:rFonts w:cs="Arial"/>
          <w:sz w:val="24"/>
          <w:szCs w:val="24"/>
        </w:rPr>
        <w:t xml:space="preserve">, </w:t>
      </w:r>
      <w:r w:rsidR="00863919" w:rsidRPr="00D0089A">
        <w:rPr>
          <w:rFonts w:eastAsia="Calibri" w:cs="Arial"/>
          <w:bCs/>
          <w:sz w:val="24"/>
          <w:szCs w:val="24"/>
          <w:lang w:val="en-GB"/>
        </w:rPr>
        <w:t>operative risk</w:t>
      </w:r>
      <w:r w:rsidR="005D5D8B">
        <w:rPr>
          <w:rFonts w:eastAsia="Calibri" w:cs="Arial"/>
          <w:bCs/>
          <w:sz w:val="24"/>
          <w:szCs w:val="24"/>
          <w:lang w:val="en-GB"/>
        </w:rPr>
        <w:t xml:space="preserve"> and co-morbidities</w:t>
      </w:r>
      <w:r w:rsidR="00863919" w:rsidRPr="00D0089A">
        <w:rPr>
          <w:rFonts w:eastAsia="Calibri" w:cs="Arial"/>
          <w:bCs/>
          <w:sz w:val="24"/>
          <w:szCs w:val="24"/>
          <w:lang w:val="en-GB"/>
        </w:rPr>
        <w:t xml:space="preserve"> </w:t>
      </w:r>
      <w:r w:rsidR="000E4065" w:rsidRPr="00D0089A">
        <w:rPr>
          <w:rFonts w:eastAsia="Calibri" w:cs="Arial"/>
          <w:bCs/>
          <w:sz w:val="24"/>
          <w:szCs w:val="24"/>
          <w:lang w:val="en-GB"/>
        </w:rPr>
        <w:t>(</w:t>
      </w:r>
      <w:r w:rsidR="00EA1B16" w:rsidRPr="00D0089A">
        <w:rPr>
          <w:rFonts w:eastAsia="Calibri" w:cs="Arial"/>
          <w:bCs/>
          <w:sz w:val="24"/>
          <w:szCs w:val="24"/>
          <w:lang w:val="en-GB"/>
        </w:rPr>
        <w:t>Conservative 38.5% versus 58.1%, p&lt;0.001)</w:t>
      </w:r>
      <w:r w:rsidR="00F630B9" w:rsidRPr="00F630B9">
        <w:rPr>
          <w:rFonts w:cs="Arial"/>
          <w:sz w:val="24"/>
          <w:szCs w:val="24"/>
        </w:rPr>
        <w:t xml:space="preserve"> </w:t>
      </w:r>
      <w:r w:rsidR="00B947D0">
        <w:rPr>
          <w:rFonts w:cs="Arial"/>
          <w:sz w:val="24"/>
          <w:szCs w:val="24"/>
        </w:rPr>
        <w:t>(Figures 3</w:t>
      </w:r>
      <w:r w:rsidR="00F630B9">
        <w:rPr>
          <w:rFonts w:cs="Arial"/>
          <w:sz w:val="24"/>
          <w:szCs w:val="24"/>
        </w:rPr>
        <w:t>-</w:t>
      </w:r>
      <w:r w:rsidR="00B947D0">
        <w:rPr>
          <w:rFonts w:cs="Arial"/>
          <w:sz w:val="24"/>
          <w:szCs w:val="24"/>
        </w:rPr>
        <w:t>5</w:t>
      </w:r>
      <w:r w:rsidR="00F630B9">
        <w:rPr>
          <w:rFonts w:cs="Arial"/>
          <w:sz w:val="24"/>
          <w:szCs w:val="24"/>
        </w:rPr>
        <w:t>)</w:t>
      </w:r>
      <w:r w:rsidR="00863919" w:rsidRPr="00D0089A">
        <w:rPr>
          <w:rFonts w:eastAsia="Calibri" w:cs="Arial"/>
          <w:bCs/>
          <w:sz w:val="24"/>
          <w:szCs w:val="24"/>
          <w:lang w:val="en-GB"/>
        </w:rPr>
        <w:t xml:space="preserve">. </w:t>
      </w:r>
    </w:p>
    <w:p w14:paraId="5EC4409F" w14:textId="11866A21" w:rsidR="00904460" w:rsidRDefault="005D5D8B" w:rsidP="00207FBE">
      <w:pPr>
        <w:pStyle w:val="CommentText"/>
        <w:spacing w:line="480" w:lineRule="auto"/>
        <w:rPr>
          <w:rFonts w:eastAsia="Calibri" w:cs="Arial"/>
          <w:bCs/>
          <w:sz w:val="24"/>
          <w:szCs w:val="24"/>
          <w:lang w:val="en-GB"/>
        </w:rPr>
      </w:pPr>
      <w:r w:rsidRPr="00D0089A">
        <w:rPr>
          <w:rFonts w:eastAsia="Calibri" w:cs="Arial"/>
          <w:bCs/>
          <w:sz w:val="24"/>
          <w:szCs w:val="24"/>
          <w:lang w:val="en-GB"/>
        </w:rPr>
        <w:t xml:space="preserve">The number of hospital readmissions rate </w:t>
      </w:r>
      <w:r w:rsidR="00DF3F5C">
        <w:rPr>
          <w:rFonts w:eastAsia="Calibri" w:cs="Arial"/>
          <w:bCs/>
          <w:sz w:val="24"/>
          <w:szCs w:val="24"/>
          <w:lang w:val="en-GB"/>
        </w:rPr>
        <w:t xml:space="preserve">(overall number of patients readmitted in each group) </w:t>
      </w:r>
      <w:r w:rsidRPr="00D0089A">
        <w:rPr>
          <w:rFonts w:eastAsia="Calibri" w:cs="Arial"/>
          <w:bCs/>
          <w:sz w:val="24"/>
          <w:szCs w:val="24"/>
          <w:lang w:val="en-GB"/>
        </w:rPr>
        <w:t xml:space="preserve">was </w:t>
      </w:r>
      <w:r w:rsidR="00233E32">
        <w:rPr>
          <w:rFonts w:eastAsia="Calibri" w:cs="Arial"/>
          <w:bCs/>
          <w:sz w:val="24"/>
          <w:szCs w:val="24"/>
          <w:lang w:val="en-GB"/>
        </w:rPr>
        <w:t>similar (</w:t>
      </w:r>
      <w:r w:rsidRPr="00D0089A">
        <w:rPr>
          <w:rFonts w:cs="Arial"/>
          <w:sz w:val="24"/>
          <w:szCs w:val="24"/>
        </w:rPr>
        <w:t>Conservative; 20.5% versus rSAVR; 21.1%, p = 0.687)</w:t>
      </w:r>
      <w:r w:rsidR="00DF3F5C">
        <w:rPr>
          <w:rFonts w:cs="Arial"/>
          <w:sz w:val="24"/>
          <w:szCs w:val="24"/>
        </w:rPr>
        <w:t xml:space="preserve">. </w:t>
      </w:r>
      <w:r w:rsidRPr="00D0089A">
        <w:rPr>
          <w:rFonts w:eastAsia="Calibri" w:cs="Arial"/>
          <w:bCs/>
          <w:sz w:val="24"/>
          <w:szCs w:val="24"/>
          <w:lang w:val="en-GB"/>
        </w:rPr>
        <w:t>The number of hospital readmission episodes</w:t>
      </w:r>
      <w:r w:rsidR="00DF3F5C">
        <w:rPr>
          <w:rFonts w:eastAsia="Calibri" w:cs="Arial"/>
          <w:bCs/>
          <w:sz w:val="24"/>
          <w:szCs w:val="24"/>
          <w:lang w:val="en-GB"/>
        </w:rPr>
        <w:t xml:space="preserve"> rate (total number of readmission episodes/patient-year) was better for rSAVR (</w:t>
      </w:r>
      <w:r>
        <w:rPr>
          <w:rFonts w:eastAsia="Calibri" w:cs="Arial"/>
          <w:bCs/>
          <w:sz w:val="24"/>
          <w:szCs w:val="24"/>
          <w:lang w:val="en-GB"/>
        </w:rPr>
        <w:t xml:space="preserve">Conservative; </w:t>
      </w:r>
      <w:r w:rsidRPr="005D5D8B">
        <w:rPr>
          <w:rFonts w:eastAsia="Calibri" w:cs="Arial"/>
          <w:bCs/>
          <w:sz w:val="24"/>
          <w:szCs w:val="24"/>
          <w:lang w:val="en-GB"/>
        </w:rPr>
        <w:t>13.6</w:t>
      </w:r>
      <w:r>
        <w:rPr>
          <w:rFonts w:eastAsia="Calibri" w:cs="Arial"/>
          <w:bCs/>
          <w:sz w:val="24"/>
          <w:szCs w:val="24"/>
          <w:lang w:val="en-GB"/>
        </w:rPr>
        <w:t xml:space="preserve">/ patient-year versus rSAVR; </w:t>
      </w:r>
      <w:r w:rsidRPr="005D5D8B">
        <w:rPr>
          <w:rFonts w:eastAsia="Calibri" w:cs="Arial"/>
          <w:bCs/>
          <w:sz w:val="24"/>
          <w:szCs w:val="24"/>
          <w:lang w:val="en-GB"/>
        </w:rPr>
        <w:t>6.9</w:t>
      </w:r>
      <w:r>
        <w:rPr>
          <w:rFonts w:eastAsia="Calibri" w:cs="Arial"/>
          <w:bCs/>
          <w:sz w:val="24"/>
          <w:szCs w:val="24"/>
          <w:lang w:val="en-GB"/>
        </w:rPr>
        <w:t>/ patient-year, p=</w:t>
      </w:r>
      <w:r w:rsidR="00904460">
        <w:rPr>
          <w:rFonts w:eastAsia="Calibri" w:cs="Arial"/>
          <w:bCs/>
          <w:sz w:val="24"/>
          <w:szCs w:val="24"/>
          <w:lang w:val="en-GB"/>
        </w:rPr>
        <w:t>0.002</w:t>
      </w:r>
      <w:r>
        <w:rPr>
          <w:rFonts w:eastAsia="Calibri" w:cs="Arial"/>
          <w:bCs/>
          <w:sz w:val="24"/>
          <w:szCs w:val="24"/>
          <w:lang w:val="en-GB"/>
        </w:rPr>
        <w:t>)</w:t>
      </w:r>
      <w:r w:rsidR="001F7A47">
        <w:rPr>
          <w:rFonts w:eastAsia="Calibri" w:cs="Arial"/>
          <w:bCs/>
          <w:sz w:val="24"/>
          <w:szCs w:val="24"/>
          <w:lang w:val="en-GB"/>
        </w:rPr>
        <w:t xml:space="preserve">. </w:t>
      </w:r>
    </w:p>
    <w:p w14:paraId="13DBCE0D" w14:textId="25B4A9E9" w:rsidR="007B36A0" w:rsidRPr="00D0089A" w:rsidRDefault="00DA5A6A" w:rsidP="00207FBE">
      <w:pPr>
        <w:spacing w:line="480" w:lineRule="auto"/>
        <w:rPr>
          <w:rFonts w:eastAsia="Calibri" w:cs="Arial"/>
          <w:b/>
          <w:sz w:val="24"/>
          <w:lang w:val="en-GB"/>
        </w:rPr>
      </w:pPr>
      <w:r>
        <w:rPr>
          <w:rFonts w:eastAsia="Calibri" w:cs="Arial"/>
          <w:b/>
          <w:sz w:val="24"/>
          <w:lang w:val="en-GB"/>
        </w:rPr>
        <w:t>DISCUSSION</w:t>
      </w:r>
    </w:p>
    <w:p w14:paraId="5D4481EA" w14:textId="49B7B352" w:rsidR="00937259" w:rsidRPr="00D0089A" w:rsidRDefault="00AC618F" w:rsidP="00207FBE">
      <w:pPr>
        <w:spacing w:line="480" w:lineRule="auto"/>
        <w:rPr>
          <w:rFonts w:eastAsia="Calibri" w:cs="Arial"/>
          <w:sz w:val="24"/>
        </w:rPr>
      </w:pPr>
      <w:r w:rsidRPr="00D0089A">
        <w:rPr>
          <w:rFonts w:eastAsia="Calibri" w:cs="Arial"/>
          <w:sz w:val="24"/>
          <w:lang w:val="en-GB"/>
        </w:rPr>
        <w:t>Conservative management of severe calcific AS is associated with universal poor prognosis</w:t>
      </w:r>
      <w:r w:rsidR="00871089" w:rsidRPr="00D0089A">
        <w:rPr>
          <w:rFonts w:eastAsia="Calibri" w:cs="Arial"/>
          <w:sz w:val="24"/>
          <w:lang w:val="en-GB"/>
        </w:rPr>
        <w:t xml:space="preserve">, </w:t>
      </w:r>
      <w:r w:rsidRPr="00D0089A">
        <w:rPr>
          <w:rFonts w:eastAsia="Calibri" w:cs="Arial"/>
          <w:sz w:val="24"/>
          <w:lang w:val="en-GB"/>
        </w:rPr>
        <w:t xml:space="preserve">rapid </w:t>
      </w:r>
      <w:r w:rsidR="00871089" w:rsidRPr="00D0089A">
        <w:rPr>
          <w:rFonts w:eastAsia="Calibri" w:cs="Arial"/>
          <w:sz w:val="24"/>
          <w:lang w:val="en-GB"/>
        </w:rPr>
        <w:t xml:space="preserve">symptomatic deterioration and </w:t>
      </w:r>
      <w:r w:rsidRPr="00D0089A">
        <w:rPr>
          <w:rFonts w:eastAsia="Calibri" w:cs="Arial"/>
          <w:sz w:val="24"/>
          <w:lang w:val="en-GB"/>
        </w:rPr>
        <w:t>death.</w:t>
      </w:r>
      <w:r w:rsidR="000430AA" w:rsidRPr="00D0089A">
        <w:rPr>
          <w:rFonts w:cs="Arial"/>
          <w:sz w:val="24"/>
        </w:rPr>
        <w:t xml:space="preserve"> </w:t>
      </w:r>
      <w:r w:rsidR="00937259" w:rsidRPr="00D0089A">
        <w:rPr>
          <w:rFonts w:cs="Arial"/>
          <w:sz w:val="24"/>
        </w:rPr>
        <w:t xml:space="preserve">In a study of </w:t>
      </w:r>
      <w:r w:rsidR="000430AA" w:rsidRPr="00D0089A">
        <w:rPr>
          <w:rFonts w:cs="Arial"/>
          <w:sz w:val="24"/>
        </w:rPr>
        <w:t xml:space="preserve">natural history of severe </w:t>
      </w:r>
      <w:r w:rsidR="00DD093B" w:rsidRPr="00D0089A">
        <w:rPr>
          <w:rFonts w:cs="Arial"/>
          <w:sz w:val="24"/>
        </w:rPr>
        <w:t>AS</w:t>
      </w:r>
      <w:r w:rsidR="000430AA" w:rsidRPr="00D0089A">
        <w:rPr>
          <w:rFonts w:cs="Arial"/>
          <w:sz w:val="24"/>
        </w:rPr>
        <w:t xml:space="preserve"> in patients aged </w:t>
      </w:r>
      <w:r w:rsidR="000430AA" w:rsidRPr="00D0089A">
        <w:rPr>
          <w:rFonts w:eastAsia="Calibri" w:cs="Arial"/>
          <w:sz w:val="24"/>
        </w:rPr>
        <w:t>75 ± 13 years, survival at 1 year, 5 years, and 10 years was 62%, 32%, and 18%, respectively</w:t>
      </w:r>
      <w:r w:rsidR="00991D53" w:rsidRPr="00D0089A">
        <w:rPr>
          <w:rFonts w:eastAsia="Calibri" w:cs="Arial"/>
          <w:sz w:val="24"/>
        </w:rPr>
        <w:t xml:space="preserve"> (10)</w:t>
      </w:r>
      <w:r w:rsidR="000430AA" w:rsidRPr="00D0089A">
        <w:rPr>
          <w:rFonts w:eastAsia="Calibri" w:cs="Arial"/>
          <w:sz w:val="24"/>
        </w:rPr>
        <w:t>.</w:t>
      </w:r>
      <w:r w:rsidR="000430AA" w:rsidRPr="00D0089A">
        <w:rPr>
          <w:rFonts w:cs="Arial"/>
          <w:sz w:val="24"/>
        </w:rPr>
        <w:t xml:space="preserve"> </w:t>
      </w:r>
      <w:r w:rsidR="000430AA" w:rsidRPr="00D0089A">
        <w:rPr>
          <w:rFonts w:eastAsia="Calibri" w:cs="Arial"/>
          <w:sz w:val="24"/>
        </w:rPr>
        <w:t xml:space="preserve">Independent predictors of poor survival were advanced age, low LV ejection fraction, heart failure, elevated serum creatinine level, and systemic hypertension. </w:t>
      </w:r>
      <w:r w:rsidR="00E9764E" w:rsidRPr="00D0089A">
        <w:rPr>
          <w:rFonts w:eastAsia="Calibri" w:cs="Arial"/>
          <w:sz w:val="24"/>
        </w:rPr>
        <w:t>P</w:t>
      </w:r>
      <w:r w:rsidR="000430AA" w:rsidRPr="00D0089A">
        <w:rPr>
          <w:rFonts w:eastAsia="Calibri" w:cs="Arial"/>
          <w:sz w:val="24"/>
        </w:rPr>
        <w:t xml:space="preserve">harmacotherapy </w:t>
      </w:r>
      <w:r w:rsidR="00E9764E" w:rsidRPr="00D0089A">
        <w:rPr>
          <w:rFonts w:eastAsia="Calibri" w:cs="Arial"/>
          <w:sz w:val="24"/>
        </w:rPr>
        <w:t xml:space="preserve">usually </w:t>
      </w:r>
      <w:r w:rsidR="000430AA" w:rsidRPr="00D0089A">
        <w:rPr>
          <w:rFonts w:eastAsia="Calibri" w:cs="Arial"/>
          <w:sz w:val="24"/>
        </w:rPr>
        <w:t>ha</w:t>
      </w:r>
      <w:r w:rsidR="00E9764E" w:rsidRPr="00D0089A">
        <w:rPr>
          <w:rFonts w:eastAsia="Calibri" w:cs="Arial"/>
          <w:sz w:val="24"/>
        </w:rPr>
        <w:t>s</w:t>
      </w:r>
      <w:r w:rsidR="000430AA" w:rsidRPr="00D0089A">
        <w:rPr>
          <w:rFonts w:eastAsia="Calibri" w:cs="Arial"/>
          <w:sz w:val="24"/>
        </w:rPr>
        <w:t xml:space="preserve"> no impact on survival.</w:t>
      </w:r>
      <w:r w:rsidR="00937259" w:rsidRPr="00D0089A">
        <w:rPr>
          <w:rFonts w:eastAsia="Calibri" w:cs="Arial"/>
          <w:sz w:val="24"/>
        </w:rPr>
        <w:t xml:space="preserve"> </w:t>
      </w:r>
    </w:p>
    <w:p w14:paraId="3C56E73C" w14:textId="24B6C8AC" w:rsidR="00F77F04" w:rsidRDefault="00937259" w:rsidP="00207FBE">
      <w:pPr>
        <w:spacing w:line="480" w:lineRule="auto"/>
        <w:rPr>
          <w:rFonts w:eastAsia="Calibri" w:cs="Arial"/>
          <w:sz w:val="24"/>
        </w:rPr>
      </w:pPr>
      <w:r w:rsidRPr="00D0089A">
        <w:rPr>
          <w:rFonts w:eastAsia="Calibri" w:cs="Arial"/>
          <w:sz w:val="24"/>
        </w:rPr>
        <w:t xml:space="preserve">Pellikka et al found that </w:t>
      </w:r>
      <w:r w:rsidR="00E9764E" w:rsidRPr="00D0089A">
        <w:rPr>
          <w:rFonts w:eastAsia="Calibri" w:cs="Arial"/>
          <w:sz w:val="24"/>
        </w:rPr>
        <w:t>t</w:t>
      </w:r>
      <w:r w:rsidRPr="00D0089A">
        <w:rPr>
          <w:rFonts w:eastAsia="Calibri" w:cs="Arial"/>
          <w:sz w:val="24"/>
        </w:rPr>
        <w:t>he probability of remaining symptom</w:t>
      </w:r>
      <w:r w:rsidR="00E9764E" w:rsidRPr="00D0089A">
        <w:rPr>
          <w:rFonts w:eastAsia="Calibri" w:cs="Arial"/>
          <w:sz w:val="24"/>
        </w:rPr>
        <w:t xml:space="preserve"> free</w:t>
      </w:r>
      <w:r w:rsidRPr="00D0089A">
        <w:rPr>
          <w:rFonts w:eastAsia="Calibri" w:cs="Arial"/>
          <w:sz w:val="24"/>
        </w:rPr>
        <w:t xml:space="preserve"> without SAVR was 82%, 67%, and 33% at 1, 2, and 5 years, respectively</w:t>
      </w:r>
      <w:r w:rsidR="00AF5B49" w:rsidRPr="00D0089A">
        <w:rPr>
          <w:rFonts w:eastAsia="Calibri" w:cs="Arial"/>
          <w:sz w:val="24"/>
        </w:rPr>
        <w:t xml:space="preserve"> (11)</w:t>
      </w:r>
      <w:r w:rsidRPr="00D0089A">
        <w:rPr>
          <w:rFonts w:eastAsia="Calibri" w:cs="Arial"/>
          <w:sz w:val="24"/>
        </w:rPr>
        <w:t>. Aortic valve area and left ventricular hypertrophy predicted symptom development. The 1-, 2-, and 5-year probabilities of remaining free of surgery or cardiac death were 80%, 63%, and 25%, respectively. Multivariate predictors of all-cause mortality were age (hazard ratio [HR], 1.05; P&lt;0.0001), chronic renal failure (HR, 2.41; P=0.004), inactivity (HR, 2.00; P=0.001), and aortic valve velocity (HR, 1.46; P=0.03). Sudden death without preceding symptoms occurred in 4.1%</w:t>
      </w:r>
      <w:r w:rsidR="00385CAE" w:rsidRPr="00D0089A">
        <w:rPr>
          <w:rFonts w:eastAsia="Calibri" w:cs="Arial"/>
          <w:sz w:val="24"/>
        </w:rPr>
        <w:t xml:space="preserve"> of the </w:t>
      </w:r>
      <w:r w:rsidRPr="00D0089A">
        <w:rPr>
          <w:rFonts w:eastAsia="Calibri" w:cs="Arial"/>
          <w:sz w:val="24"/>
        </w:rPr>
        <w:t>un</w:t>
      </w:r>
      <w:r w:rsidR="00F77F04">
        <w:rPr>
          <w:rFonts w:eastAsia="Calibri" w:cs="Arial"/>
          <w:sz w:val="24"/>
        </w:rPr>
        <w:t>-</w:t>
      </w:r>
      <w:r w:rsidRPr="00D0089A">
        <w:rPr>
          <w:rFonts w:eastAsia="Calibri" w:cs="Arial"/>
          <w:sz w:val="24"/>
        </w:rPr>
        <w:t>operated patients. Patients with peak velocity &gt; or =4.5 m/s had a higher likelihood of developing symptoms (relative risk, 1.34) or having surgery or cardiac death (relative risk, 1.48).</w:t>
      </w:r>
      <w:r w:rsidR="00E9764E" w:rsidRPr="00D0089A">
        <w:rPr>
          <w:rFonts w:eastAsia="Calibri" w:cs="Arial"/>
          <w:sz w:val="24"/>
        </w:rPr>
        <w:t xml:space="preserve"> </w:t>
      </w:r>
    </w:p>
    <w:p w14:paraId="664AEC17" w14:textId="09CD4A08" w:rsidR="005C0563" w:rsidRPr="00D0089A" w:rsidRDefault="009A7981" w:rsidP="00207FBE">
      <w:pPr>
        <w:spacing w:line="480" w:lineRule="auto"/>
        <w:rPr>
          <w:rFonts w:eastAsia="Calibri" w:cs="Arial"/>
          <w:sz w:val="24"/>
          <w:lang w:val="en-GB"/>
        </w:rPr>
      </w:pPr>
      <w:r w:rsidRPr="00D0089A">
        <w:rPr>
          <w:rFonts w:eastAsia="Calibri" w:cs="Arial"/>
          <w:sz w:val="24"/>
        </w:rPr>
        <w:t>In a meta</w:t>
      </w:r>
      <w:r w:rsidR="004F6CA4">
        <w:rPr>
          <w:rFonts w:eastAsia="Calibri" w:cs="Arial"/>
          <w:sz w:val="24"/>
        </w:rPr>
        <w:t>-a</w:t>
      </w:r>
      <w:r w:rsidRPr="00D0089A">
        <w:rPr>
          <w:rFonts w:eastAsia="Calibri" w:cs="Arial"/>
          <w:sz w:val="24"/>
        </w:rPr>
        <w:t xml:space="preserve">nalysis of </w:t>
      </w:r>
      <w:r w:rsidRPr="00D0089A">
        <w:rPr>
          <w:rFonts w:cs="Arial"/>
          <w:sz w:val="24"/>
        </w:rPr>
        <w:t xml:space="preserve">4 retrospective studies, patients with severe asymptomatic AS had 3.5-fold higher rate of all-cause death with a watchful-waiting strategy compared with </w:t>
      </w:r>
      <w:r w:rsidR="00C635AE">
        <w:rPr>
          <w:rFonts w:cs="Arial"/>
          <w:sz w:val="24"/>
        </w:rPr>
        <w:t>S</w:t>
      </w:r>
      <w:r w:rsidRPr="00D0089A">
        <w:rPr>
          <w:rFonts w:cs="Arial"/>
          <w:sz w:val="24"/>
        </w:rPr>
        <w:t>AVR</w:t>
      </w:r>
      <w:r w:rsidR="00CE222B" w:rsidRPr="00D0089A">
        <w:rPr>
          <w:rFonts w:cs="Arial"/>
          <w:sz w:val="24"/>
        </w:rPr>
        <w:t xml:space="preserve"> (12)</w:t>
      </w:r>
      <w:r w:rsidRPr="00D0089A">
        <w:rPr>
          <w:rFonts w:cs="Arial"/>
          <w:sz w:val="24"/>
        </w:rPr>
        <w:t>. There was substantial heterogeneity between the pooled studies and older, sicker patients with significant co-morbidities were more likely to be in the conservative group.</w:t>
      </w:r>
    </w:p>
    <w:p w14:paraId="6604762B" w14:textId="4D7D1240" w:rsidR="00AC618F" w:rsidRPr="00D0089A" w:rsidRDefault="005C0563" w:rsidP="00207FBE">
      <w:pPr>
        <w:spacing w:line="480" w:lineRule="auto"/>
        <w:rPr>
          <w:rFonts w:eastAsia="Calibri" w:cs="Arial"/>
          <w:sz w:val="24"/>
        </w:rPr>
      </w:pPr>
      <w:r w:rsidRPr="00D0089A">
        <w:rPr>
          <w:rFonts w:eastAsia="Calibri" w:cs="Arial"/>
          <w:sz w:val="24"/>
          <w:lang w:val="en-GB"/>
        </w:rPr>
        <w:t xml:space="preserve">All of above studies were however confined to the general population groups. </w:t>
      </w:r>
      <w:r w:rsidR="00AC618F" w:rsidRPr="00D0089A">
        <w:rPr>
          <w:rFonts w:eastAsia="Calibri" w:cs="Arial"/>
          <w:sz w:val="24"/>
          <w:lang w:val="en-GB"/>
        </w:rPr>
        <w:t>Data from PARTNER1</w:t>
      </w:r>
      <w:r w:rsidR="00811ED1" w:rsidRPr="00D0089A">
        <w:rPr>
          <w:rFonts w:eastAsia="Calibri" w:cs="Arial"/>
          <w:sz w:val="24"/>
          <w:lang w:val="en-GB"/>
        </w:rPr>
        <w:t xml:space="preserve"> cohort B</w:t>
      </w:r>
      <w:r w:rsidR="00AC618F" w:rsidRPr="00D0089A">
        <w:rPr>
          <w:rFonts w:eastAsia="Calibri" w:cs="Arial"/>
          <w:sz w:val="24"/>
          <w:lang w:val="en-GB"/>
        </w:rPr>
        <w:t xml:space="preserve"> (</w:t>
      </w:r>
      <w:r w:rsidR="00811ED1" w:rsidRPr="00D0089A">
        <w:rPr>
          <w:rFonts w:eastAsia="Calibri" w:cs="Arial"/>
          <w:sz w:val="24"/>
          <w:lang w:val="en-GB"/>
        </w:rPr>
        <w:t xml:space="preserve">standard treatment </w:t>
      </w:r>
      <w:r w:rsidR="00AC618F" w:rsidRPr="00D0089A">
        <w:rPr>
          <w:rFonts w:eastAsia="Calibri" w:cs="Arial"/>
          <w:sz w:val="24"/>
          <w:lang w:val="en-GB"/>
        </w:rPr>
        <w:t>versus TAVI</w:t>
      </w:r>
      <w:r w:rsidR="00811ED1" w:rsidRPr="00D0089A">
        <w:rPr>
          <w:rFonts w:eastAsia="Calibri" w:cs="Arial"/>
          <w:sz w:val="24"/>
          <w:lang w:val="en-GB"/>
        </w:rPr>
        <w:t xml:space="preserve"> for severe AS</w:t>
      </w:r>
      <w:r w:rsidR="00AC618F" w:rsidRPr="00D0089A">
        <w:rPr>
          <w:rFonts w:eastAsia="Calibri" w:cs="Arial"/>
          <w:sz w:val="24"/>
          <w:lang w:val="en-GB"/>
        </w:rPr>
        <w:t>)</w:t>
      </w:r>
      <w:r w:rsidR="00811ED1" w:rsidRPr="00D0089A">
        <w:rPr>
          <w:rFonts w:eastAsia="Calibri" w:cs="Arial"/>
          <w:sz w:val="24"/>
          <w:lang w:val="en-GB"/>
        </w:rPr>
        <w:t xml:space="preserve"> in a high surgical risk population </w:t>
      </w:r>
      <w:r w:rsidR="007E4ABE" w:rsidRPr="00D0089A">
        <w:rPr>
          <w:rFonts w:eastAsia="Calibri" w:cs="Arial"/>
          <w:sz w:val="24"/>
          <w:lang w:val="en-GB"/>
        </w:rPr>
        <w:t>(mean age 83.2 years, Society of Thoracic Surgeons Predicted Risk of Mortality 11</w:t>
      </w:r>
      <w:r w:rsidR="00F7395E" w:rsidRPr="00D0089A">
        <w:rPr>
          <w:rFonts w:eastAsia="Calibri" w:cs="Arial"/>
          <w:sz w:val="24"/>
          <w:lang w:val="en-GB"/>
        </w:rPr>
        <w:t>.</w:t>
      </w:r>
      <w:r w:rsidR="007E4ABE" w:rsidRPr="00D0089A">
        <w:rPr>
          <w:rFonts w:eastAsia="Calibri" w:cs="Arial"/>
          <w:sz w:val="24"/>
          <w:lang w:val="en-GB"/>
        </w:rPr>
        <w:t xml:space="preserve">7%, corresponding mean logistic EuroSCORE of 28.4) </w:t>
      </w:r>
      <w:r w:rsidR="00A11435" w:rsidRPr="00D0089A">
        <w:rPr>
          <w:rFonts w:eastAsia="Calibri" w:cs="Arial"/>
          <w:sz w:val="24"/>
          <w:lang w:val="en-GB"/>
        </w:rPr>
        <w:t>similar to this study</w:t>
      </w:r>
      <w:r w:rsidR="00E9764E" w:rsidRPr="00D0089A">
        <w:rPr>
          <w:rFonts w:eastAsia="Calibri" w:cs="Arial"/>
          <w:sz w:val="24"/>
          <w:lang w:val="en-GB"/>
        </w:rPr>
        <w:t xml:space="preserve"> </w:t>
      </w:r>
      <w:r w:rsidR="00811ED1" w:rsidRPr="00D0089A">
        <w:rPr>
          <w:rFonts w:eastAsia="Calibri" w:cs="Arial"/>
          <w:sz w:val="24"/>
          <w:lang w:val="en-GB"/>
        </w:rPr>
        <w:t xml:space="preserve">showed </w:t>
      </w:r>
      <w:r w:rsidR="00AC618F" w:rsidRPr="00D0089A">
        <w:rPr>
          <w:rFonts w:eastAsia="Calibri" w:cs="Arial"/>
          <w:sz w:val="24"/>
          <w:lang w:val="en-GB"/>
        </w:rPr>
        <w:t xml:space="preserve">a </w:t>
      </w:r>
      <w:r w:rsidR="00A11435" w:rsidRPr="00D0089A">
        <w:rPr>
          <w:rFonts w:eastAsia="Calibri" w:cs="Arial"/>
          <w:sz w:val="24"/>
          <w:lang w:val="en-GB"/>
        </w:rPr>
        <w:t xml:space="preserve">dismal </w:t>
      </w:r>
      <w:r w:rsidR="00AC618F" w:rsidRPr="00D0089A">
        <w:rPr>
          <w:rFonts w:eastAsia="Calibri" w:cs="Arial"/>
          <w:sz w:val="24"/>
          <w:lang w:val="en-GB"/>
        </w:rPr>
        <w:t xml:space="preserve">survival of </w:t>
      </w:r>
      <w:r w:rsidR="00811ED1" w:rsidRPr="00D0089A">
        <w:rPr>
          <w:rFonts w:eastAsia="Calibri" w:cs="Arial"/>
          <w:sz w:val="24"/>
          <w:lang w:val="en-GB"/>
        </w:rPr>
        <w:t>49.3</w:t>
      </w:r>
      <w:r w:rsidR="00811ED1" w:rsidRPr="00D0089A">
        <w:rPr>
          <w:rFonts w:eastAsia="Calibri" w:cs="Arial"/>
          <w:sz w:val="24"/>
        </w:rPr>
        <w:t xml:space="preserve">% </w:t>
      </w:r>
      <w:r w:rsidR="00E9764E" w:rsidRPr="00D0089A">
        <w:rPr>
          <w:rFonts w:eastAsia="Calibri" w:cs="Arial"/>
          <w:sz w:val="24"/>
        </w:rPr>
        <w:t xml:space="preserve">at </w:t>
      </w:r>
      <w:r w:rsidR="00811ED1" w:rsidRPr="00D0089A">
        <w:rPr>
          <w:rFonts w:eastAsia="Calibri" w:cs="Arial"/>
          <w:sz w:val="24"/>
        </w:rPr>
        <w:t xml:space="preserve">1 yr, 32.4% </w:t>
      </w:r>
      <w:r w:rsidR="00E9764E" w:rsidRPr="00D0089A">
        <w:rPr>
          <w:rFonts w:eastAsia="Calibri" w:cs="Arial"/>
          <w:sz w:val="24"/>
        </w:rPr>
        <w:t xml:space="preserve">at </w:t>
      </w:r>
      <w:r w:rsidR="00811ED1" w:rsidRPr="00D0089A">
        <w:rPr>
          <w:rFonts w:eastAsia="Calibri" w:cs="Arial"/>
          <w:sz w:val="24"/>
        </w:rPr>
        <w:t xml:space="preserve">2 yrs, 19.1% </w:t>
      </w:r>
      <w:r w:rsidR="00E9764E" w:rsidRPr="00D0089A">
        <w:rPr>
          <w:rFonts w:eastAsia="Calibri" w:cs="Arial"/>
          <w:sz w:val="24"/>
        </w:rPr>
        <w:t xml:space="preserve">at </w:t>
      </w:r>
      <w:r w:rsidR="00811ED1" w:rsidRPr="00D0089A">
        <w:rPr>
          <w:rFonts w:eastAsia="Calibri" w:cs="Arial"/>
          <w:sz w:val="24"/>
        </w:rPr>
        <w:t>3 yrs and 6.4% at 5 yrs in the standard treatment arm of the trial</w:t>
      </w:r>
      <w:r w:rsidR="009C167D" w:rsidRPr="00D0089A">
        <w:rPr>
          <w:rFonts w:eastAsia="Calibri" w:cs="Arial"/>
          <w:sz w:val="24"/>
        </w:rPr>
        <w:t xml:space="preserve"> (13)</w:t>
      </w:r>
      <w:r w:rsidR="00811ED1" w:rsidRPr="00D0089A">
        <w:rPr>
          <w:rFonts w:eastAsia="Calibri" w:cs="Arial"/>
          <w:sz w:val="24"/>
        </w:rPr>
        <w:t>.</w:t>
      </w:r>
      <w:r w:rsidR="00E9764E" w:rsidRPr="00D0089A">
        <w:rPr>
          <w:rFonts w:eastAsia="Calibri" w:cs="Arial"/>
          <w:sz w:val="24"/>
        </w:rPr>
        <w:t xml:space="preserve"> </w:t>
      </w:r>
      <w:r w:rsidR="00F237B8" w:rsidRPr="00D0089A">
        <w:rPr>
          <w:rFonts w:eastAsia="Calibri" w:cs="Arial"/>
          <w:sz w:val="24"/>
        </w:rPr>
        <w:t>Mean survival was 31 months in the TAV</w:t>
      </w:r>
      <w:r w:rsidR="008F48C6" w:rsidRPr="00D0089A">
        <w:rPr>
          <w:rFonts w:eastAsia="Calibri" w:cs="Arial"/>
          <w:sz w:val="24"/>
        </w:rPr>
        <w:t>I</w:t>
      </w:r>
      <w:r w:rsidR="00F237B8" w:rsidRPr="00D0089A">
        <w:rPr>
          <w:rFonts w:eastAsia="Calibri" w:cs="Arial"/>
          <w:sz w:val="24"/>
        </w:rPr>
        <w:t xml:space="preserve"> group </w:t>
      </w:r>
      <w:r w:rsidR="003923F4">
        <w:rPr>
          <w:rFonts w:eastAsia="Calibri" w:cs="Arial"/>
          <w:sz w:val="24"/>
        </w:rPr>
        <w:t xml:space="preserve">versus </w:t>
      </w:r>
      <w:r w:rsidR="00F237B8" w:rsidRPr="00D0089A">
        <w:rPr>
          <w:rFonts w:eastAsia="Calibri" w:cs="Arial"/>
          <w:sz w:val="24"/>
        </w:rPr>
        <w:t xml:space="preserve">11.7 months </w:t>
      </w:r>
      <w:r w:rsidR="003923F4">
        <w:rPr>
          <w:rFonts w:eastAsia="Calibri" w:cs="Arial"/>
          <w:sz w:val="24"/>
        </w:rPr>
        <w:t xml:space="preserve">with </w:t>
      </w:r>
      <w:r w:rsidR="00C635AE">
        <w:rPr>
          <w:rFonts w:eastAsia="Calibri" w:cs="Arial"/>
          <w:sz w:val="24"/>
        </w:rPr>
        <w:t xml:space="preserve">conservative </w:t>
      </w:r>
      <w:r w:rsidR="00F237B8" w:rsidRPr="00D0089A">
        <w:rPr>
          <w:rFonts w:eastAsia="Calibri" w:cs="Arial"/>
          <w:sz w:val="24"/>
        </w:rPr>
        <w:t xml:space="preserve">treatment. </w:t>
      </w:r>
      <w:r w:rsidR="003F60F6" w:rsidRPr="00D0089A">
        <w:rPr>
          <w:rFonts w:eastAsia="Calibri" w:cs="Arial"/>
          <w:sz w:val="24"/>
        </w:rPr>
        <w:t xml:space="preserve"> </w:t>
      </w:r>
    </w:p>
    <w:p w14:paraId="715B6C2F" w14:textId="47E6F43D" w:rsidR="00BB4B98" w:rsidRPr="00D0089A" w:rsidRDefault="00C7090E" w:rsidP="00207FBE">
      <w:pPr>
        <w:spacing w:line="480" w:lineRule="auto"/>
        <w:rPr>
          <w:rFonts w:eastAsia="Calibri" w:cs="Arial"/>
          <w:sz w:val="24"/>
          <w:lang w:val="en-GB"/>
        </w:rPr>
      </w:pPr>
      <w:r w:rsidRPr="00D0089A">
        <w:rPr>
          <w:rFonts w:eastAsia="Calibri" w:cs="Arial"/>
          <w:sz w:val="24"/>
        </w:rPr>
        <w:t>Comparison with these studies may not be strictly appropriate for our analysis. T</w:t>
      </w:r>
      <w:r w:rsidR="00BB4B98" w:rsidRPr="00D0089A">
        <w:rPr>
          <w:rFonts w:eastAsia="Calibri" w:cs="Arial"/>
          <w:sz w:val="24"/>
        </w:rPr>
        <w:t>hese studies included patients w</w:t>
      </w:r>
      <w:r w:rsidRPr="00D0089A">
        <w:rPr>
          <w:rFonts w:eastAsia="Calibri" w:cs="Arial"/>
          <w:sz w:val="24"/>
        </w:rPr>
        <w:t>here</w:t>
      </w:r>
      <w:r w:rsidR="00BB4B98" w:rsidRPr="00D0089A">
        <w:rPr>
          <w:rFonts w:eastAsia="Calibri" w:cs="Arial"/>
          <w:sz w:val="24"/>
        </w:rPr>
        <w:t xml:space="preserve"> SAVR</w:t>
      </w:r>
      <w:r w:rsidRPr="00D0089A">
        <w:rPr>
          <w:rFonts w:eastAsia="Calibri" w:cs="Arial"/>
          <w:sz w:val="24"/>
        </w:rPr>
        <w:t xml:space="preserve"> </w:t>
      </w:r>
      <w:r w:rsidR="005C0563" w:rsidRPr="00D0089A">
        <w:rPr>
          <w:rFonts w:eastAsia="Calibri" w:cs="Arial"/>
          <w:sz w:val="24"/>
        </w:rPr>
        <w:t>w</w:t>
      </w:r>
      <w:r w:rsidRPr="00D0089A">
        <w:rPr>
          <w:rFonts w:eastAsia="Calibri" w:cs="Arial"/>
          <w:sz w:val="24"/>
        </w:rPr>
        <w:t xml:space="preserve">as the initial interventional modality </w:t>
      </w:r>
      <w:r w:rsidR="005C0563" w:rsidRPr="00D0089A">
        <w:rPr>
          <w:rFonts w:eastAsia="Calibri" w:cs="Arial"/>
          <w:sz w:val="24"/>
        </w:rPr>
        <w:t xml:space="preserve">against conservative management. </w:t>
      </w:r>
      <w:r w:rsidRPr="00D0089A">
        <w:rPr>
          <w:rFonts w:eastAsia="Calibri" w:cs="Arial"/>
          <w:sz w:val="24"/>
        </w:rPr>
        <w:t>Our study however considers the question of conservative management versus rSAVR in patients who have previously been turned down for SAVR and then again for TAVI</w:t>
      </w:r>
      <w:r w:rsidR="00682307" w:rsidRPr="00D0089A">
        <w:rPr>
          <w:rFonts w:eastAsia="Calibri" w:cs="Arial"/>
          <w:sz w:val="24"/>
        </w:rPr>
        <w:t xml:space="preserve"> based on technical factors or their high risk profile.</w:t>
      </w:r>
      <w:r w:rsidR="00B23253" w:rsidRPr="00D0089A">
        <w:rPr>
          <w:rFonts w:eastAsia="Calibri" w:cs="Arial"/>
          <w:sz w:val="24"/>
        </w:rPr>
        <w:t xml:space="preserve"> </w:t>
      </w:r>
      <w:r w:rsidR="005C0563" w:rsidRPr="00D0089A">
        <w:rPr>
          <w:rFonts w:eastAsia="Calibri" w:cs="Arial"/>
          <w:sz w:val="24"/>
        </w:rPr>
        <w:t>In a</w:t>
      </w:r>
      <w:r w:rsidR="00C635AE">
        <w:rPr>
          <w:rFonts w:eastAsia="Calibri" w:cs="Arial"/>
          <w:sz w:val="24"/>
        </w:rPr>
        <w:t xml:space="preserve">n </w:t>
      </w:r>
      <w:r w:rsidR="005C0563" w:rsidRPr="00D0089A">
        <w:rPr>
          <w:rFonts w:eastAsia="Calibri" w:cs="Arial"/>
          <w:sz w:val="24"/>
        </w:rPr>
        <w:t>analysis</w:t>
      </w:r>
      <w:r w:rsidR="00C635AE">
        <w:rPr>
          <w:rFonts w:eastAsia="Calibri" w:cs="Arial"/>
          <w:sz w:val="24"/>
        </w:rPr>
        <w:t xml:space="preserve"> similar to this study</w:t>
      </w:r>
      <w:r w:rsidR="005C0563" w:rsidRPr="00D0089A">
        <w:rPr>
          <w:rFonts w:eastAsia="Calibri" w:cs="Arial"/>
          <w:sz w:val="24"/>
        </w:rPr>
        <w:t xml:space="preserve">, </w:t>
      </w:r>
      <w:r w:rsidR="00F7395E" w:rsidRPr="00D0089A">
        <w:rPr>
          <w:rFonts w:eastAsia="Calibri" w:cs="Arial"/>
          <w:sz w:val="24"/>
        </w:rPr>
        <w:t>Subramanianian et al looked at a cohort of 75 patients to evaluate the triage process by examining the</w:t>
      </w:r>
      <w:r w:rsidR="00B679AA" w:rsidRPr="00D0089A">
        <w:rPr>
          <w:rFonts w:eastAsia="Calibri" w:cs="Arial"/>
          <w:sz w:val="24"/>
        </w:rPr>
        <w:t xml:space="preserve"> </w:t>
      </w:r>
      <w:r w:rsidR="00F7395E" w:rsidRPr="00D0089A">
        <w:rPr>
          <w:rFonts w:eastAsia="Calibri" w:cs="Arial"/>
          <w:sz w:val="24"/>
        </w:rPr>
        <w:t>outcomes for elderly patients screened for TAVI but who</w:t>
      </w:r>
      <w:r w:rsidR="00B679AA" w:rsidRPr="00D0089A">
        <w:rPr>
          <w:rFonts w:eastAsia="Calibri" w:cs="Arial"/>
          <w:sz w:val="24"/>
        </w:rPr>
        <w:t xml:space="preserve"> </w:t>
      </w:r>
      <w:r w:rsidR="00F7395E" w:rsidRPr="00D0089A">
        <w:rPr>
          <w:rFonts w:eastAsia="Calibri" w:cs="Arial"/>
          <w:sz w:val="24"/>
        </w:rPr>
        <w:t>subsequently underwent AVR</w:t>
      </w:r>
      <w:r w:rsidR="00364496" w:rsidRPr="00D0089A">
        <w:rPr>
          <w:rFonts w:eastAsia="Calibri" w:cs="Arial"/>
          <w:sz w:val="24"/>
        </w:rPr>
        <w:t xml:space="preserve"> </w:t>
      </w:r>
      <w:r w:rsidR="009C167D" w:rsidRPr="00D0089A">
        <w:rPr>
          <w:rFonts w:eastAsia="Calibri" w:cs="Arial"/>
          <w:sz w:val="24"/>
        </w:rPr>
        <w:t>(14)</w:t>
      </w:r>
      <w:r w:rsidR="00364496" w:rsidRPr="00D0089A">
        <w:rPr>
          <w:rFonts w:eastAsia="Calibri" w:cs="Arial"/>
          <w:sz w:val="24"/>
        </w:rPr>
        <w:t>.</w:t>
      </w:r>
      <w:r w:rsidR="00F7395E" w:rsidRPr="00D0089A">
        <w:rPr>
          <w:rFonts w:eastAsia="Calibri" w:cs="Arial"/>
          <w:sz w:val="24"/>
        </w:rPr>
        <w:t xml:space="preserve"> </w:t>
      </w:r>
      <w:r w:rsidR="00F7395E" w:rsidRPr="00D0089A">
        <w:rPr>
          <w:rFonts w:cs="Arial"/>
          <w:sz w:val="24"/>
        </w:rPr>
        <w:t>Their m</w:t>
      </w:r>
      <w:r w:rsidR="00F7395E" w:rsidRPr="00D0089A">
        <w:rPr>
          <w:rFonts w:eastAsia="Calibri" w:cs="Arial"/>
          <w:sz w:val="24"/>
        </w:rPr>
        <w:t xml:space="preserve">ean age was 80.4±3.6 years with a mean left ventricular ejection fraction of 55±16%, and mean logistic EuroSCORE of 13±7%. </w:t>
      </w:r>
      <w:r w:rsidR="006B3C54" w:rsidRPr="00D0089A">
        <w:rPr>
          <w:rFonts w:eastAsia="Calibri" w:cs="Arial"/>
          <w:sz w:val="24"/>
        </w:rPr>
        <w:t xml:space="preserve">Hospital mortality was 1.3% with cumulative survival </w:t>
      </w:r>
      <w:r w:rsidR="00C635AE">
        <w:rPr>
          <w:rFonts w:eastAsia="Calibri" w:cs="Arial"/>
          <w:sz w:val="24"/>
        </w:rPr>
        <w:t xml:space="preserve">of </w:t>
      </w:r>
      <w:r w:rsidR="00C635AE" w:rsidRPr="00D0089A">
        <w:rPr>
          <w:rFonts w:eastAsia="Calibri" w:cs="Arial"/>
          <w:sz w:val="24"/>
        </w:rPr>
        <w:t>88.5%, 87.1% and 72.7%</w:t>
      </w:r>
      <w:r w:rsidR="00C635AE">
        <w:rPr>
          <w:rFonts w:eastAsia="Calibri" w:cs="Arial"/>
          <w:sz w:val="24"/>
        </w:rPr>
        <w:t xml:space="preserve"> </w:t>
      </w:r>
      <w:r w:rsidR="006B3C54" w:rsidRPr="00D0089A">
        <w:rPr>
          <w:rFonts w:eastAsia="Calibri" w:cs="Arial"/>
          <w:sz w:val="24"/>
        </w:rPr>
        <w:t>at 6, 12, and 36 months respectively. Postoperative morbidity included permanent stroke in 2.5%, respiratory failure in 11% and pacemaker implantation in 2.5%.</w:t>
      </w:r>
    </w:p>
    <w:p w14:paraId="6E8466F0" w14:textId="254FE119" w:rsidR="00BB4B98" w:rsidRPr="00D0089A" w:rsidRDefault="00AC23E5" w:rsidP="00207FBE">
      <w:pPr>
        <w:spacing w:line="480" w:lineRule="auto"/>
        <w:rPr>
          <w:rFonts w:eastAsia="Times New Roman" w:cs="Arial"/>
          <w:color w:val="000000"/>
          <w:sz w:val="24"/>
        </w:rPr>
      </w:pPr>
      <w:r w:rsidRPr="00DD1143">
        <w:rPr>
          <w:rFonts w:eastAsia="Calibri" w:cs="Arial"/>
          <w:sz w:val="24"/>
          <w:lang w:val="en-GB"/>
        </w:rPr>
        <w:t xml:space="preserve">SAVR may be considered too high risk and </w:t>
      </w:r>
      <w:r w:rsidR="00A11435" w:rsidRPr="00DD1143">
        <w:rPr>
          <w:rFonts w:eastAsia="Calibri" w:cs="Arial"/>
          <w:sz w:val="24"/>
          <w:lang w:val="en-GB"/>
        </w:rPr>
        <w:t xml:space="preserve">refused </w:t>
      </w:r>
      <w:r w:rsidR="00682307" w:rsidRPr="00DD1143">
        <w:rPr>
          <w:rFonts w:eastAsia="Calibri" w:cs="Arial"/>
          <w:sz w:val="24"/>
          <w:lang w:val="en-GB"/>
        </w:rPr>
        <w:t xml:space="preserve">at the initial surgical referral </w:t>
      </w:r>
      <w:r w:rsidRPr="00DD1143">
        <w:rPr>
          <w:rFonts w:eastAsia="Calibri" w:cs="Arial"/>
          <w:sz w:val="24"/>
          <w:lang w:val="en-GB"/>
        </w:rPr>
        <w:t>based on factors like cogniti</w:t>
      </w:r>
      <w:r w:rsidR="004F6CA4" w:rsidRPr="00DD1143">
        <w:rPr>
          <w:rFonts w:eastAsia="Calibri" w:cs="Arial"/>
          <w:sz w:val="24"/>
          <w:lang w:val="en-GB"/>
        </w:rPr>
        <w:t>ve</w:t>
      </w:r>
      <w:r w:rsidRPr="00DD1143">
        <w:rPr>
          <w:rFonts w:eastAsia="Calibri" w:cs="Arial"/>
          <w:sz w:val="24"/>
          <w:lang w:val="en-GB"/>
        </w:rPr>
        <w:t xml:space="preserve"> impairment, muscle wasting, frailty, malnutrition, excess alcohol intake</w:t>
      </w:r>
      <w:r w:rsidR="006E5B98" w:rsidRPr="00DD1143">
        <w:rPr>
          <w:rFonts w:eastAsia="Calibri" w:cs="Arial"/>
          <w:sz w:val="24"/>
          <w:lang w:val="en-GB"/>
        </w:rPr>
        <w:t xml:space="preserve">, </w:t>
      </w:r>
      <w:r w:rsidRPr="00DD1143">
        <w:rPr>
          <w:rFonts w:eastAsia="Calibri" w:cs="Arial"/>
          <w:sz w:val="24"/>
          <w:lang w:val="en-GB"/>
        </w:rPr>
        <w:t>liver cirrhosis and reduced life expectancy due to age and other co-morbidit</w:t>
      </w:r>
      <w:r w:rsidR="00BB4B98" w:rsidRPr="00DD1143">
        <w:rPr>
          <w:rFonts w:eastAsia="Calibri" w:cs="Arial"/>
          <w:sz w:val="24"/>
          <w:lang w:val="en-GB"/>
        </w:rPr>
        <w:t>i</w:t>
      </w:r>
      <w:r w:rsidRPr="00DD1143">
        <w:rPr>
          <w:rFonts w:eastAsia="Calibri" w:cs="Arial"/>
          <w:sz w:val="24"/>
          <w:lang w:val="en-GB"/>
        </w:rPr>
        <w:t>es. None of these factors are captured by the risk scoring systems in SAVR or TAVI.</w:t>
      </w:r>
      <w:r w:rsidRPr="00D0089A">
        <w:rPr>
          <w:rFonts w:eastAsia="Calibri" w:cs="Arial"/>
          <w:sz w:val="24"/>
          <w:lang w:val="en-GB"/>
        </w:rPr>
        <w:t xml:space="preserve"> TAVI itself has a number of limitations that would warrant rSAVR after careful consideration. Technical reasons for refusal of TAVI related to bicuspid valves, annulus asymmetry, degree of </w:t>
      </w:r>
      <w:r w:rsidR="00682307" w:rsidRPr="00D0089A">
        <w:rPr>
          <w:rFonts w:eastAsia="Calibri" w:cs="Arial"/>
          <w:sz w:val="24"/>
          <w:lang w:val="en-GB"/>
        </w:rPr>
        <w:t xml:space="preserve">aortic valve </w:t>
      </w:r>
      <w:r w:rsidRPr="00D0089A">
        <w:rPr>
          <w:rFonts w:eastAsia="Calibri" w:cs="Arial"/>
          <w:sz w:val="24"/>
          <w:lang w:val="en-GB"/>
        </w:rPr>
        <w:t xml:space="preserve">calcification, small root (not requiring root enlargement), low lying coronary ostia or associated aorto-mitral calcific shelves per-se should not in themselves increase the technical risk of rSAVR. However other factors like multiple procedures, peripheral vascular disease and vascular inaccessibility, severe calcifications of root, ascending aorta or arch, central and peripheral vascular aneurysms of the aorta and its main branches </w:t>
      </w:r>
      <w:r w:rsidR="00C635AE">
        <w:rPr>
          <w:rFonts w:eastAsia="Calibri" w:cs="Arial"/>
          <w:sz w:val="24"/>
          <w:lang w:val="en-GB"/>
        </w:rPr>
        <w:t xml:space="preserve">and patient factors related to old age, frailty, cognitive impairment and dementia </w:t>
      </w:r>
      <w:r w:rsidRPr="00D0089A">
        <w:rPr>
          <w:rFonts w:eastAsia="Calibri" w:cs="Arial"/>
          <w:sz w:val="24"/>
          <w:lang w:val="en-GB"/>
        </w:rPr>
        <w:t xml:space="preserve">can significantly increase the </w:t>
      </w:r>
      <w:r w:rsidR="00101ADA" w:rsidRPr="00D0089A">
        <w:rPr>
          <w:rFonts w:eastAsia="Calibri" w:cs="Arial"/>
          <w:sz w:val="24"/>
          <w:lang w:val="en-GB"/>
        </w:rPr>
        <w:t>complexity</w:t>
      </w:r>
      <w:r w:rsidR="00C635AE">
        <w:rPr>
          <w:rFonts w:eastAsia="Calibri" w:cs="Arial"/>
          <w:sz w:val="24"/>
          <w:lang w:val="en-GB"/>
        </w:rPr>
        <w:t>,</w:t>
      </w:r>
      <w:r w:rsidR="00101ADA" w:rsidRPr="00D0089A">
        <w:rPr>
          <w:rFonts w:eastAsia="Calibri" w:cs="Arial"/>
          <w:sz w:val="24"/>
          <w:lang w:val="en-GB"/>
        </w:rPr>
        <w:t xml:space="preserve"> risk</w:t>
      </w:r>
      <w:r w:rsidR="00C635AE">
        <w:rPr>
          <w:rFonts w:eastAsia="Calibri" w:cs="Arial"/>
          <w:sz w:val="24"/>
          <w:lang w:val="en-GB"/>
        </w:rPr>
        <w:t xml:space="preserve"> and postoperative management</w:t>
      </w:r>
      <w:r w:rsidR="00101ADA" w:rsidRPr="00D0089A">
        <w:rPr>
          <w:rFonts w:eastAsia="Calibri" w:cs="Arial"/>
          <w:sz w:val="24"/>
          <w:lang w:val="en-GB"/>
        </w:rPr>
        <w:t xml:space="preserve"> of rSAVR.</w:t>
      </w:r>
      <w:r w:rsidR="00105EF4">
        <w:rPr>
          <w:rFonts w:eastAsia="Calibri" w:cs="Arial"/>
          <w:sz w:val="24"/>
          <w:lang w:val="en-GB"/>
        </w:rPr>
        <w:t xml:space="preserve"> </w:t>
      </w:r>
      <w:r w:rsidR="00BB4B98" w:rsidRPr="00D0089A">
        <w:rPr>
          <w:rFonts w:eastAsia="Times New Roman" w:cs="Arial"/>
          <w:color w:val="000000"/>
          <w:sz w:val="24"/>
          <w:lang w:val="en-GB"/>
        </w:rPr>
        <w:t xml:space="preserve">Hernandez-Vaquero showed that in patients &gt; 75yrs who </w:t>
      </w:r>
      <w:r w:rsidR="00BB4B98" w:rsidRPr="00D0089A">
        <w:rPr>
          <w:rFonts w:eastAsia="Times New Roman" w:cs="Arial"/>
          <w:color w:val="000000"/>
          <w:sz w:val="24"/>
        </w:rPr>
        <w:t>underwent SAVR and survived the operation, life expectancy and survival rates were similar to that of the general population</w:t>
      </w:r>
      <w:r w:rsidR="00BB4B98" w:rsidRPr="00D0089A">
        <w:rPr>
          <w:rFonts w:cs="Arial"/>
          <w:sz w:val="24"/>
        </w:rPr>
        <w:t xml:space="preserve"> (</w:t>
      </w:r>
      <w:r w:rsidR="00BB4B98" w:rsidRPr="00D0089A">
        <w:rPr>
          <w:rFonts w:eastAsia="Times New Roman" w:cs="Arial"/>
          <w:color w:val="000000"/>
          <w:sz w:val="24"/>
        </w:rPr>
        <w:t>HR 1.07, 95% CI 0.94-1.22)</w:t>
      </w:r>
      <w:r w:rsidR="00364496" w:rsidRPr="00D0089A">
        <w:rPr>
          <w:rFonts w:eastAsia="Times New Roman" w:cs="Arial"/>
          <w:color w:val="000000"/>
          <w:sz w:val="24"/>
        </w:rPr>
        <w:t xml:space="preserve"> (15)</w:t>
      </w:r>
      <w:r w:rsidR="00BB4B98" w:rsidRPr="00D0089A">
        <w:rPr>
          <w:rFonts w:eastAsia="Times New Roman" w:cs="Arial"/>
          <w:color w:val="000000"/>
          <w:sz w:val="24"/>
          <w:lang w:val="en-GB"/>
        </w:rPr>
        <w:t xml:space="preserve">. </w:t>
      </w:r>
      <w:r w:rsidR="00BB4B98" w:rsidRPr="00D0089A">
        <w:rPr>
          <w:rFonts w:eastAsia="Times New Roman" w:cs="Arial"/>
          <w:color w:val="000000"/>
          <w:sz w:val="24"/>
        </w:rPr>
        <w:t xml:space="preserve"> </w:t>
      </w:r>
    </w:p>
    <w:p w14:paraId="69F24749" w14:textId="05C24847" w:rsidR="00732F90" w:rsidRDefault="00B07FC6" w:rsidP="00207FBE">
      <w:pPr>
        <w:spacing w:line="480" w:lineRule="auto"/>
        <w:rPr>
          <w:rFonts w:cs="Arial"/>
          <w:sz w:val="24"/>
        </w:rPr>
      </w:pPr>
      <w:r w:rsidRPr="00D30257">
        <w:rPr>
          <w:rFonts w:eastAsia="Calibri" w:cs="Arial"/>
          <w:sz w:val="24"/>
          <w:lang w:val="en-GB"/>
        </w:rPr>
        <w:t>For</w:t>
      </w:r>
      <w:r w:rsidR="002F5FB9" w:rsidRPr="00D30257">
        <w:rPr>
          <w:rFonts w:eastAsia="Calibri" w:cs="Arial"/>
          <w:sz w:val="24"/>
          <w:lang w:val="en-GB"/>
        </w:rPr>
        <w:t xml:space="preserve"> truly asymptomatic patients</w:t>
      </w:r>
      <w:r w:rsidRPr="00D30257">
        <w:rPr>
          <w:rFonts w:eastAsia="Calibri" w:cs="Arial"/>
          <w:sz w:val="24"/>
          <w:lang w:val="en-GB"/>
        </w:rPr>
        <w:t xml:space="preserve"> with preserved ventricular function</w:t>
      </w:r>
      <w:r w:rsidR="002F5FB9" w:rsidRPr="00D30257">
        <w:rPr>
          <w:rFonts w:eastAsia="Calibri" w:cs="Arial"/>
          <w:sz w:val="24"/>
          <w:lang w:val="en-GB"/>
        </w:rPr>
        <w:t>, t</w:t>
      </w:r>
      <w:r w:rsidR="00B265A0" w:rsidRPr="00D30257">
        <w:rPr>
          <w:rFonts w:eastAsia="Calibri" w:cs="Arial"/>
          <w:sz w:val="24"/>
          <w:lang w:val="en-GB"/>
        </w:rPr>
        <w:t>here is a 1-1.5</w:t>
      </w:r>
      <w:r w:rsidRPr="00D30257">
        <w:rPr>
          <w:rFonts w:eastAsia="Calibri" w:cs="Arial"/>
          <w:sz w:val="24"/>
          <w:lang w:val="en-GB"/>
        </w:rPr>
        <w:t>% risk of sudden cardiac death/</w:t>
      </w:r>
      <w:r w:rsidR="00B265A0" w:rsidRPr="00D30257">
        <w:rPr>
          <w:rFonts w:eastAsia="Calibri" w:cs="Arial"/>
          <w:sz w:val="24"/>
          <w:lang w:val="en-GB"/>
        </w:rPr>
        <w:t>year that justifies surgery in institutions</w:t>
      </w:r>
      <w:r w:rsidR="00581A93" w:rsidRPr="00D30257">
        <w:rPr>
          <w:rFonts w:eastAsia="Calibri" w:cs="Arial"/>
          <w:sz w:val="24"/>
          <w:lang w:val="en-GB"/>
        </w:rPr>
        <w:t xml:space="preserve"> with operative mortality of le</w:t>
      </w:r>
      <w:r w:rsidR="00B265A0" w:rsidRPr="00D30257">
        <w:rPr>
          <w:rFonts w:eastAsia="Calibri" w:cs="Arial"/>
          <w:sz w:val="24"/>
          <w:lang w:val="en-GB"/>
        </w:rPr>
        <w:t>ss than 1%</w:t>
      </w:r>
      <w:r w:rsidR="00C87798" w:rsidRPr="00D30257">
        <w:rPr>
          <w:rFonts w:eastAsia="Calibri" w:cs="Arial"/>
          <w:sz w:val="24"/>
          <w:lang w:val="en-GB"/>
        </w:rPr>
        <w:t xml:space="preserve"> (16-18)</w:t>
      </w:r>
      <w:r w:rsidR="00B265A0" w:rsidRPr="00D30257">
        <w:rPr>
          <w:rFonts w:eastAsia="Calibri" w:cs="Arial"/>
          <w:sz w:val="24"/>
          <w:lang w:val="en-GB"/>
        </w:rPr>
        <w:t xml:space="preserve">. However these patients develop symptoms more often than they suddenly die. </w:t>
      </w:r>
      <w:r w:rsidR="005C1253" w:rsidRPr="00D30257">
        <w:rPr>
          <w:rFonts w:eastAsia="Calibri" w:cs="Arial"/>
          <w:sz w:val="24"/>
          <w:lang w:val="en-GB"/>
        </w:rPr>
        <w:t xml:space="preserve">In a cohort of asymptomatic patients with </w:t>
      </w:r>
      <w:r w:rsidR="00B75DC4" w:rsidRPr="00D30257">
        <w:rPr>
          <w:rFonts w:eastAsia="Calibri" w:cs="Arial"/>
          <w:sz w:val="24"/>
          <w:lang w:val="en-GB"/>
        </w:rPr>
        <w:t>severe AS and trans</w:t>
      </w:r>
      <w:r w:rsidR="004942DB" w:rsidRPr="00D30257">
        <w:rPr>
          <w:rFonts w:eastAsia="Calibri" w:cs="Arial"/>
          <w:sz w:val="24"/>
          <w:lang w:val="en-GB"/>
        </w:rPr>
        <w:t>-</w:t>
      </w:r>
      <w:r w:rsidR="00B75DC4" w:rsidRPr="00D30257">
        <w:rPr>
          <w:rFonts w:eastAsia="Calibri" w:cs="Arial"/>
          <w:sz w:val="24"/>
          <w:lang w:val="en-GB"/>
        </w:rPr>
        <w:t xml:space="preserve">valvular peak velocities &gt;5.0 m/s and </w:t>
      </w:r>
      <w:r w:rsidR="005C1253" w:rsidRPr="00D30257">
        <w:rPr>
          <w:rFonts w:eastAsia="Calibri" w:cs="Arial"/>
          <w:sz w:val="24"/>
          <w:lang w:val="en-GB"/>
        </w:rPr>
        <w:t xml:space="preserve">preserved LV function, </w:t>
      </w:r>
      <w:r w:rsidR="00581A93" w:rsidRPr="00D30257">
        <w:rPr>
          <w:rFonts w:cs="Arial"/>
          <w:sz w:val="24"/>
        </w:rPr>
        <w:t>6-year cardiac and all-cause mortality rates were 0% and 2</w:t>
      </w:r>
      <w:r w:rsidR="005C1253" w:rsidRPr="00D30257">
        <w:rPr>
          <w:rFonts w:cs="Arial"/>
          <w:sz w:val="24"/>
        </w:rPr>
        <w:t>±</w:t>
      </w:r>
      <w:r w:rsidR="00581A93" w:rsidRPr="00D30257">
        <w:rPr>
          <w:rFonts w:cs="Arial"/>
          <w:sz w:val="24"/>
        </w:rPr>
        <w:t xml:space="preserve">1% in the </w:t>
      </w:r>
      <w:r w:rsidR="00C635AE" w:rsidRPr="00D30257">
        <w:rPr>
          <w:rFonts w:cs="Arial"/>
          <w:sz w:val="24"/>
        </w:rPr>
        <w:t>S</w:t>
      </w:r>
      <w:r w:rsidR="005C1253" w:rsidRPr="00D30257">
        <w:rPr>
          <w:rFonts w:cs="Arial"/>
          <w:sz w:val="24"/>
        </w:rPr>
        <w:t xml:space="preserve">AVR </w:t>
      </w:r>
      <w:r w:rsidR="00581A93" w:rsidRPr="00D30257">
        <w:rPr>
          <w:rFonts w:cs="Arial"/>
          <w:sz w:val="24"/>
        </w:rPr>
        <w:t>group and 24</w:t>
      </w:r>
      <w:r w:rsidR="005C1253" w:rsidRPr="00D30257">
        <w:rPr>
          <w:rFonts w:cs="Arial"/>
          <w:sz w:val="24"/>
        </w:rPr>
        <w:t>±</w:t>
      </w:r>
      <w:r w:rsidR="00581A93" w:rsidRPr="00D30257">
        <w:rPr>
          <w:rFonts w:cs="Arial"/>
          <w:sz w:val="24"/>
        </w:rPr>
        <w:t>5% and 32</w:t>
      </w:r>
      <w:r w:rsidR="005C1253" w:rsidRPr="00D30257">
        <w:rPr>
          <w:rFonts w:cs="Arial"/>
          <w:sz w:val="24"/>
        </w:rPr>
        <w:t>±</w:t>
      </w:r>
      <w:r w:rsidR="00581A93" w:rsidRPr="00D30257">
        <w:rPr>
          <w:rFonts w:cs="Arial"/>
          <w:sz w:val="24"/>
        </w:rPr>
        <w:t xml:space="preserve">6% in the </w:t>
      </w:r>
      <w:r w:rsidR="00581A93" w:rsidRPr="00D30257">
        <w:rPr>
          <w:rStyle w:val="highlight"/>
          <w:rFonts w:cs="Arial"/>
          <w:sz w:val="24"/>
        </w:rPr>
        <w:t>conventional</w:t>
      </w:r>
      <w:r w:rsidR="00581A93" w:rsidRPr="00D30257">
        <w:rPr>
          <w:rFonts w:cs="Arial"/>
          <w:sz w:val="24"/>
        </w:rPr>
        <w:t xml:space="preserve"> </w:t>
      </w:r>
      <w:r w:rsidR="00581A93" w:rsidRPr="00D30257">
        <w:rPr>
          <w:rStyle w:val="highlight"/>
          <w:rFonts w:cs="Arial"/>
          <w:sz w:val="24"/>
        </w:rPr>
        <w:t>treatment</w:t>
      </w:r>
      <w:r w:rsidR="00581A93" w:rsidRPr="00D30257">
        <w:rPr>
          <w:rFonts w:cs="Arial"/>
          <w:sz w:val="24"/>
        </w:rPr>
        <w:t xml:space="preserve"> group, respectively (P&lt;0.001)</w:t>
      </w:r>
      <w:r w:rsidR="00006C2F" w:rsidRPr="00D30257">
        <w:rPr>
          <w:rFonts w:cs="Arial"/>
          <w:sz w:val="24"/>
        </w:rPr>
        <w:t xml:space="preserve"> (</w:t>
      </w:r>
      <w:r w:rsidR="002F7651">
        <w:rPr>
          <w:rFonts w:cs="Arial"/>
          <w:sz w:val="24"/>
        </w:rPr>
        <w:t>19</w:t>
      </w:r>
      <w:r w:rsidR="00006C2F" w:rsidRPr="00D30257">
        <w:rPr>
          <w:rFonts w:cs="Arial"/>
          <w:sz w:val="24"/>
        </w:rPr>
        <w:t>)</w:t>
      </w:r>
      <w:r w:rsidR="005C1253" w:rsidRPr="00D30257">
        <w:rPr>
          <w:rFonts w:cs="Arial"/>
          <w:sz w:val="24"/>
        </w:rPr>
        <w:t xml:space="preserve">. After </w:t>
      </w:r>
      <w:r w:rsidR="00581A93" w:rsidRPr="00D30257">
        <w:rPr>
          <w:rFonts w:cs="Arial"/>
          <w:sz w:val="24"/>
        </w:rPr>
        <w:t xml:space="preserve">propensity </w:t>
      </w:r>
      <w:r w:rsidR="005C1253" w:rsidRPr="00D30257">
        <w:rPr>
          <w:rFonts w:cs="Arial"/>
          <w:sz w:val="24"/>
        </w:rPr>
        <w:t>matching</w:t>
      </w:r>
      <w:r w:rsidR="00581A93" w:rsidRPr="00D30257">
        <w:rPr>
          <w:rFonts w:cs="Arial"/>
          <w:sz w:val="24"/>
        </w:rPr>
        <w:t xml:space="preserve">, the risk of all-cause mortality was significantly lower in the operated group than in the </w:t>
      </w:r>
      <w:r w:rsidR="00581A93" w:rsidRPr="00D30257">
        <w:rPr>
          <w:rStyle w:val="highlight"/>
          <w:rFonts w:cs="Arial"/>
          <w:sz w:val="24"/>
        </w:rPr>
        <w:t>conventional</w:t>
      </w:r>
      <w:r w:rsidR="00581A93" w:rsidRPr="00D30257">
        <w:rPr>
          <w:rFonts w:cs="Arial"/>
          <w:sz w:val="24"/>
        </w:rPr>
        <w:t xml:space="preserve"> </w:t>
      </w:r>
      <w:r w:rsidR="00581A93" w:rsidRPr="00D30257">
        <w:rPr>
          <w:rStyle w:val="highlight"/>
          <w:rFonts w:cs="Arial"/>
          <w:sz w:val="24"/>
        </w:rPr>
        <w:t>treatment</w:t>
      </w:r>
      <w:r w:rsidR="00581A93" w:rsidRPr="00D30257">
        <w:rPr>
          <w:rFonts w:cs="Arial"/>
          <w:sz w:val="24"/>
        </w:rPr>
        <w:t xml:space="preserve"> group (hazard ratio, 0.135; 95% confidence interval, 0.030 to 0.597; P=0.008).</w:t>
      </w:r>
      <w:r w:rsidR="00B75DC4" w:rsidRPr="00D30257">
        <w:rPr>
          <w:rFonts w:cs="Arial"/>
          <w:sz w:val="24"/>
        </w:rPr>
        <w:t xml:space="preserve"> </w:t>
      </w:r>
      <w:r w:rsidR="00AC5B07" w:rsidRPr="00D30257">
        <w:rPr>
          <w:rFonts w:cs="Arial"/>
          <w:sz w:val="24"/>
        </w:rPr>
        <w:t>P</w:t>
      </w:r>
      <w:r w:rsidR="005B55DB" w:rsidRPr="00D30257">
        <w:rPr>
          <w:rFonts w:cs="Arial"/>
          <w:sz w:val="24"/>
        </w:rPr>
        <w:t>redictors of poor outcome are age, peak velocity&gt; 5.0 m/s, progression of gradients</w:t>
      </w:r>
      <w:r w:rsidR="002E49F0" w:rsidRPr="00D30257">
        <w:rPr>
          <w:rFonts w:cs="Arial"/>
          <w:sz w:val="24"/>
        </w:rPr>
        <w:t xml:space="preserve">, response to </w:t>
      </w:r>
      <w:r w:rsidR="00644D6E" w:rsidRPr="00D30257">
        <w:rPr>
          <w:rFonts w:cs="Arial"/>
          <w:sz w:val="24"/>
        </w:rPr>
        <w:t xml:space="preserve">exercise testing and </w:t>
      </w:r>
      <w:r w:rsidR="002E49F0" w:rsidRPr="00D30257">
        <w:rPr>
          <w:rFonts w:cs="Arial"/>
          <w:sz w:val="24"/>
        </w:rPr>
        <w:t>B-type natriuretic peptide</w:t>
      </w:r>
      <w:r w:rsidR="005B55DB" w:rsidRPr="00D30257">
        <w:rPr>
          <w:rFonts w:cs="Arial"/>
          <w:sz w:val="24"/>
        </w:rPr>
        <w:t xml:space="preserve"> </w:t>
      </w:r>
      <w:r w:rsidR="002E49F0" w:rsidRPr="00D30257">
        <w:rPr>
          <w:rFonts w:cs="Arial"/>
          <w:sz w:val="24"/>
        </w:rPr>
        <w:t>levels</w:t>
      </w:r>
      <w:r w:rsidR="00D0315E" w:rsidRPr="00D30257">
        <w:rPr>
          <w:rFonts w:cs="Arial"/>
          <w:sz w:val="24"/>
        </w:rPr>
        <w:t>.</w:t>
      </w:r>
    </w:p>
    <w:p w14:paraId="565B1853" w14:textId="7B9F2E89" w:rsidR="00660A40" w:rsidRPr="00D0089A" w:rsidRDefault="00831081" w:rsidP="00207FBE">
      <w:pPr>
        <w:spacing w:line="480" w:lineRule="auto"/>
        <w:rPr>
          <w:rFonts w:eastAsia="Calibri" w:cs="Arial"/>
          <w:sz w:val="24"/>
          <w:lang w:val="en-GB"/>
        </w:rPr>
      </w:pPr>
      <w:r w:rsidRPr="00B72067">
        <w:rPr>
          <w:rFonts w:cs="Arial"/>
          <w:sz w:val="24"/>
        </w:rPr>
        <w:t>For high risk cases where TAVI is not suitable, conservative management may</w:t>
      </w:r>
      <w:r w:rsidR="00D35C23" w:rsidRPr="00B72067">
        <w:rPr>
          <w:rFonts w:cs="Arial"/>
          <w:sz w:val="24"/>
        </w:rPr>
        <w:t xml:space="preserve"> avoid the morbidity of surgery. </w:t>
      </w:r>
      <w:r w:rsidR="002D2676">
        <w:rPr>
          <w:sz w:val="24"/>
        </w:rPr>
        <w:t>Stress testing if feasible, may be helpful to segregate asymptomatic patients with contractile reserve from the false negative ones.</w:t>
      </w:r>
      <w:r w:rsidR="00D35C23">
        <w:rPr>
          <w:sz w:val="24"/>
        </w:rPr>
        <w:t xml:space="preserve"> </w:t>
      </w:r>
      <w:r w:rsidR="00660A40" w:rsidRPr="00D0089A">
        <w:rPr>
          <w:rFonts w:eastAsia="Calibri" w:cs="Arial"/>
          <w:sz w:val="24"/>
          <w:lang w:val="en-GB"/>
        </w:rPr>
        <w:t>Delay in intervention</w:t>
      </w:r>
      <w:r w:rsidR="00694B4C" w:rsidRPr="00D0089A">
        <w:rPr>
          <w:rFonts w:eastAsia="Calibri" w:cs="Arial"/>
          <w:sz w:val="24"/>
          <w:lang w:val="en-GB"/>
        </w:rPr>
        <w:t xml:space="preserve"> </w:t>
      </w:r>
      <w:r w:rsidR="00D0315E">
        <w:rPr>
          <w:rFonts w:eastAsia="Calibri" w:cs="Arial"/>
          <w:sz w:val="24"/>
          <w:lang w:val="en-GB"/>
        </w:rPr>
        <w:t>a</w:t>
      </w:r>
      <w:r w:rsidR="00D0315E" w:rsidRPr="00D0089A">
        <w:rPr>
          <w:rFonts w:eastAsia="Calibri" w:cs="Arial"/>
          <w:sz w:val="24"/>
          <w:lang w:val="en-GB"/>
        </w:rPr>
        <w:t xml:space="preserve">fter discussion at a TAVI-mdt </w:t>
      </w:r>
      <w:r w:rsidR="00694B4C" w:rsidRPr="00D0089A">
        <w:rPr>
          <w:rFonts w:eastAsia="Calibri" w:cs="Arial"/>
          <w:sz w:val="24"/>
          <w:lang w:val="en-GB"/>
        </w:rPr>
        <w:t>for both TAVI and rSAVR</w:t>
      </w:r>
      <w:r w:rsidR="00660A40" w:rsidRPr="00D0089A">
        <w:rPr>
          <w:rFonts w:eastAsia="Calibri" w:cs="Arial"/>
          <w:sz w:val="24"/>
          <w:lang w:val="en-GB"/>
        </w:rPr>
        <w:t xml:space="preserve"> </w:t>
      </w:r>
      <w:r w:rsidR="00D0315E">
        <w:rPr>
          <w:rFonts w:eastAsia="Calibri" w:cs="Arial"/>
          <w:sz w:val="24"/>
          <w:lang w:val="en-GB"/>
        </w:rPr>
        <w:t>for</w:t>
      </w:r>
      <w:r w:rsidR="00B72067">
        <w:rPr>
          <w:rFonts w:eastAsia="Calibri" w:cs="Arial"/>
          <w:sz w:val="24"/>
          <w:lang w:val="en-GB"/>
        </w:rPr>
        <w:t xml:space="preserve"> false negative symptoms </w:t>
      </w:r>
      <w:r w:rsidR="00660A40" w:rsidRPr="00D0089A">
        <w:rPr>
          <w:rFonts w:eastAsia="Calibri" w:cs="Arial"/>
          <w:sz w:val="24"/>
          <w:lang w:val="en-GB"/>
        </w:rPr>
        <w:t xml:space="preserve">is </w:t>
      </w:r>
      <w:r w:rsidR="00644D6E" w:rsidRPr="00D0089A">
        <w:rPr>
          <w:rFonts w:eastAsia="Calibri" w:cs="Arial"/>
          <w:sz w:val="24"/>
          <w:lang w:val="en-GB"/>
        </w:rPr>
        <w:t xml:space="preserve">itself </w:t>
      </w:r>
      <w:r w:rsidR="00660A40" w:rsidRPr="00D0089A">
        <w:rPr>
          <w:rFonts w:eastAsia="Calibri" w:cs="Arial"/>
          <w:sz w:val="24"/>
          <w:lang w:val="en-GB"/>
        </w:rPr>
        <w:t>associated with a worse outcome</w:t>
      </w:r>
      <w:r w:rsidR="00D1231F" w:rsidRPr="00D0089A">
        <w:rPr>
          <w:rFonts w:eastAsia="Calibri" w:cs="Arial"/>
          <w:sz w:val="24"/>
          <w:lang w:val="en-GB"/>
        </w:rPr>
        <w:t>.</w:t>
      </w:r>
      <w:r w:rsidR="00660A40" w:rsidRPr="00D0089A">
        <w:rPr>
          <w:rFonts w:eastAsia="Calibri" w:cs="Arial"/>
          <w:sz w:val="24"/>
          <w:lang w:val="en-GB"/>
        </w:rPr>
        <w:t xml:space="preserve"> </w:t>
      </w:r>
    </w:p>
    <w:p w14:paraId="0FAE0757" w14:textId="65F1A4F8" w:rsidR="00221F15" w:rsidRPr="00D0089A" w:rsidRDefault="003A69CA" w:rsidP="00207FBE">
      <w:pPr>
        <w:spacing w:line="480" w:lineRule="auto"/>
        <w:rPr>
          <w:rFonts w:eastAsia="Calibri" w:cs="Arial"/>
          <w:sz w:val="24"/>
          <w:lang w:val="en-GB"/>
        </w:rPr>
      </w:pPr>
      <w:r w:rsidRPr="00D0089A">
        <w:rPr>
          <w:rFonts w:eastAsia="Calibri" w:cs="Arial"/>
          <w:sz w:val="24"/>
          <w:lang w:val="en-GB"/>
        </w:rPr>
        <w:t xml:space="preserve">These results might not reflect </w:t>
      </w:r>
      <w:r w:rsidR="007374EB" w:rsidRPr="00D0089A">
        <w:rPr>
          <w:rFonts w:eastAsia="Calibri" w:cs="Arial"/>
          <w:sz w:val="24"/>
          <w:lang w:val="en-GB"/>
        </w:rPr>
        <w:t xml:space="preserve">the practice in </w:t>
      </w:r>
      <w:r w:rsidR="00740C27" w:rsidRPr="00D0089A">
        <w:rPr>
          <w:rFonts w:eastAsia="Calibri" w:cs="Arial"/>
          <w:sz w:val="24"/>
          <w:lang w:val="en-GB"/>
        </w:rPr>
        <w:t xml:space="preserve">other </w:t>
      </w:r>
      <w:r w:rsidR="007374EB" w:rsidRPr="00D0089A">
        <w:rPr>
          <w:rFonts w:eastAsia="Calibri" w:cs="Arial"/>
          <w:sz w:val="24"/>
          <w:lang w:val="en-GB"/>
        </w:rPr>
        <w:t>cent</w:t>
      </w:r>
      <w:r w:rsidRPr="00D0089A">
        <w:rPr>
          <w:rFonts w:eastAsia="Calibri" w:cs="Arial"/>
          <w:sz w:val="24"/>
          <w:lang w:val="en-GB"/>
        </w:rPr>
        <w:t>r</w:t>
      </w:r>
      <w:r w:rsidR="007374EB" w:rsidRPr="00D0089A">
        <w:rPr>
          <w:rFonts w:eastAsia="Calibri" w:cs="Arial"/>
          <w:sz w:val="24"/>
          <w:lang w:val="en-GB"/>
        </w:rPr>
        <w:t>e</w:t>
      </w:r>
      <w:r w:rsidRPr="00D0089A">
        <w:rPr>
          <w:rFonts w:eastAsia="Calibri" w:cs="Arial"/>
          <w:sz w:val="24"/>
          <w:lang w:val="en-GB"/>
        </w:rPr>
        <w:t xml:space="preserve">s and </w:t>
      </w:r>
      <w:r w:rsidR="008A3576" w:rsidRPr="00D0089A">
        <w:rPr>
          <w:rFonts w:eastAsia="Calibri" w:cs="Arial"/>
          <w:sz w:val="24"/>
          <w:lang w:val="en-GB"/>
        </w:rPr>
        <w:t>t</w:t>
      </w:r>
      <w:r w:rsidRPr="00D0089A">
        <w:rPr>
          <w:rFonts w:eastAsia="Calibri" w:cs="Arial"/>
          <w:sz w:val="24"/>
          <w:lang w:val="en-GB"/>
        </w:rPr>
        <w:t xml:space="preserve">herefore need to be </w:t>
      </w:r>
      <w:r w:rsidR="00871089" w:rsidRPr="00D0089A">
        <w:rPr>
          <w:rFonts w:eastAsia="Calibri" w:cs="Arial"/>
          <w:sz w:val="24"/>
          <w:lang w:val="en-GB"/>
        </w:rPr>
        <w:t xml:space="preserve">taken in context and </w:t>
      </w:r>
      <w:r w:rsidRPr="00D0089A">
        <w:rPr>
          <w:rFonts w:eastAsia="Calibri" w:cs="Arial"/>
          <w:sz w:val="24"/>
          <w:lang w:val="en-GB"/>
        </w:rPr>
        <w:t>in</w:t>
      </w:r>
      <w:r w:rsidR="008A3576" w:rsidRPr="00D0089A">
        <w:rPr>
          <w:rFonts w:eastAsia="Calibri" w:cs="Arial"/>
          <w:sz w:val="24"/>
          <w:lang w:val="en-GB"/>
        </w:rPr>
        <w:t>t</w:t>
      </w:r>
      <w:r w:rsidRPr="00D0089A">
        <w:rPr>
          <w:rFonts w:eastAsia="Calibri" w:cs="Arial"/>
          <w:sz w:val="24"/>
          <w:lang w:val="en-GB"/>
        </w:rPr>
        <w:t>erpreted cautio</w:t>
      </w:r>
      <w:r w:rsidR="008A3576" w:rsidRPr="00D0089A">
        <w:rPr>
          <w:rFonts w:eastAsia="Calibri" w:cs="Arial"/>
          <w:sz w:val="24"/>
          <w:lang w:val="en-GB"/>
        </w:rPr>
        <w:t>u</w:t>
      </w:r>
      <w:r w:rsidRPr="00D0089A">
        <w:rPr>
          <w:rFonts w:eastAsia="Calibri" w:cs="Arial"/>
          <w:sz w:val="24"/>
          <w:lang w:val="en-GB"/>
        </w:rPr>
        <w:t>sly</w:t>
      </w:r>
      <w:r w:rsidR="00871089" w:rsidRPr="00D0089A">
        <w:rPr>
          <w:rFonts w:eastAsia="Calibri" w:cs="Arial"/>
          <w:sz w:val="24"/>
          <w:lang w:val="en-GB"/>
        </w:rPr>
        <w:t>.</w:t>
      </w:r>
      <w:r w:rsidR="00D1231F" w:rsidRPr="00D0089A">
        <w:rPr>
          <w:rFonts w:eastAsia="Calibri" w:cs="Arial"/>
          <w:sz w:val="24"/>
          <w:lang w:val="en-GB"/>
        </w:rPr>
        <w:t xml:space="preserve"> </w:t>
      </w:r>
      <w:r w:rsidR="00F87E32" w:rsidRPr="00D0089A">
        <w:rPr>
          <w:rFonts w:eastAsia="Calibri" w:cs="Arial"/>
          <w:sz w:val="24"/>
          <w:lang w:val="en-GB"/>
        </w:rPr>
        <w:t>The all-comers mortality for first time SAVR has been consistently below 0.5%/ year for over a decade now at our centr</w:t>
      </w:r>
      <w:r w:rsidR="00B72067">
        <w:rPr>
          <w:rFonts w:eastAsia="Calibri" w:cs="Arial"/>
          <w:sz w:val="24"/>
          <w:lang w:val="en-GB"/>
        </w:rPr>
        <w:t>e</w:t>
      </w:r>
      <w:r w:rsidR="0077677D">
        <w:rPr>
          <w:rFonts w:eastAsia="Calibri" w:cs="Arial"/>
          <w:sz w:val="24"/>
          <w:lang w:val="en-GB"/>
        </w:rPr>
        <w:t xml:space="preserve"> and 2.2% for octogenarians over last 2 decades (20)</w:t>
      </w:r>
      <w:r w:rsidR="00F87E32" w:rsidRPr="00D0089A">
        <w:rPr>
          <w:rFonts w:eastAsia="Calibri" w:cs="Arial"/>
          <w:sz w:val="24"/>
          <w:lang w:val="en-GB"/>
        </w:rPr>
        <w:t xml:space="preserve">. The STS database reports a 30 day all-cause mortality of </w:t>
      </w:r>
      <w:r w:rsidR="00293140" w:rsidRPr="00D0089A">
        <w:rPr>
          <w:rFonts w:eastAsia="Calibri" w:cs="Arial"/>
          <w:sz w:val="24"/>
          <w:lang w:val="en-GB"/>
        </w:rPr>
        <w:t>1</w:t>
      </w:r>
      <w:r w:rsidR="00F87E32" w:rsidRPr="00D0089A">
        <w:rPr>
          <w:rFonts w:eastAsia="Calibri" w:cs="Arial"/>
          <w:sz w:val="24"/>
          <w:lang w:val="en-GB"/>
        </w:rPr>
        <w:t>.</w:t>
      </w:r>
      <w:r w:rsidR="00293140" w:rsidRPr="00D0089A">
        <w:rPr>
          <w:rFonts w:eastAsia="Calibri" w:cs="Arial"/>
          <w:sz w:val="24"/>
          <w:lang w:val="en-GB"/>
        </w:rPr>
        <w:t>9</w:t>
      </w:r>
      <w:r w:rsidR="00F87E32" w:rsidRPr="00D0089A">
        <w:rPr>
          <w:rFonts w:eastAsia="Calibri" w:cs="Arial"/>
          <w:sz w:val="24"/>
          <w:lang w:val="en-GB"/>
        </w:rPr>
        <w:t>% (all risk categories inclusive, 201</w:t>
      </w:r>
      <w:r w:rsidR="00293140" w:rsidRPr="00D0089A">
        <w:rPr>
          <w:rFonts w:eastAsia="Calibri" w:cs="Arial"/>
          <w:sz w:val="24"/>
          <w:lang w:val="en-GB"/>
        </w:rPr>
        <w:t>8</w:t>
      </w:r>
      <w:r w:rsidR="00F87E32" w:rsidRPr="00D0089A">
        <w:rPr>
          <w:rFonts w:eastAsia="Calibri" w:cs="Arial"/>
          <w:sz w:val="24"/>
          <w:lang w:val="en-GB"/>
        </w:rPr>
        <w:t>) for isolated aortic valve replacement</w:t>
      </w:r>
      <w:r w:rsidR="00B72067">
        <w:rPr>
          <w:rFonts w:eastAsia="Calibri" w:cs="Arial"/>
          <w:sz w:val="24"/>
          <w:lang w:val="en-GB"/>
        </w:rPr>
        <w:t>s</w:t>
      </w:r>
      <w:r w:rsidR="00F87E32" w:rsidRPr="00D0089A">
        <w:rPr>
          <w:rFonts w:eastAsia="Calibri" w:cs="Arial"/>
          <w:sz w:val="24"/>
          <w:lang w:val="en-GB"/>
        </w:rPr>
        <w:t xml:space="preserve"> which is almost </w:t>
      </w:r>
      <w:r w:rsidR="00293140" w:rsidRPr="00D0089A">
        <w:rPr>
          <w:rFonts w:eastAsia="Calibri" w:cs="Arial"/>
          <w:sz w:val="24"/>
          <w:lang w:val="en-GB"/>
        </w:rPr>
        <w:t>4</w:t>
      </w:r>
      <w:r w:rsidR="00F87E32" w:rsidRPr="00D0089A">
        <w:rPr>
          <w:rFonts w:eastAsia="Calibri" w:cs="Arial"/>
          <w:sz w:val="24"/>
          <w:lang w:val="en-GB"/>
        </w:rPr>
        <w:t xml:space="preserve"> times our reported mortality</w:t>
      </w:r>
      <w:r w:rsidR="004942DB">
        <w:rPr>
          <w:rFonts w:eastAsia="Calibri" w:cs="Arial"/>
          <w:sz w:val="24"/>
          <w:lang w:val="en-GB"/>
        </w:rPr>
        <w:t xml:space="preserve"> (21)</w:t>
      </w:r>
      <w:r w:rsidR="00F87E32" w:rsidRPr="00D0089A">
        <w:rPr>
          <w:rFonts w:eastAsia="Calibri" w:cs="Arial"/>
          <w:sz w:val="24"/>
          <w:lang w:val="en-GB"/>
        </w:rPr>
        <w:t xml:space="preserve">. </w:t>
      </w:r>
      <w:r w:rsidR="00293140" w:rsidRPr="00D0089A">
        <w:rPr>
          <w:rFonts w:eastAsia="Calibri" w:cs="Arial"/>
          <w:sz w:val="24"/>
          <w:lang w:val="en-GB"/>
        </w:rPr>
        <w:t>Thi</w:t>
      </w:r>
      <w:r w:rsidR="00B72067">
        <w:rPr>
          <w:rFonts w:eastAsia="Calibri" w:cs="Arial"/>
          <w:sz w:val="24"/>
          <w:lang w:val="en-GB"/>
        </w:rPr>
        <w:t>s would be much higher for cent</w:t>
      </w:r>
      <w:r w:rsidR="00293140" w:rsidRPr="00D0089A">
        <w:rPr>
          <w:rFonts w:eastAsia="Calibri" w:cs="Arial"/>
          <w:sz w:val="24"/>
          <w:lang w:val="en-GB"/>
        </w:rPr>
        <w:t>r</w:t>
      </w:r>
      <w:r w:rsidR="00B72067">
        <w:rPr>
          <w:rFonts w:eastAsia="Calibri" w:cs="Arial"/>
          <w:sz w:val="24"/>
          <w:lang w:val="en-GB"/>
        </w:rPr>
        <w:t>e</w:t>
      </w:r>
      <w:r w:rsidR="00293140" w:rsidRPr="00D0089A">
        <w:rPr>
          <w:rFonts w:eastAsia="Calibri" w:cs="Arial"/>
          <w:sz w:val="24"/>
          <w:lang w:val="en-GB"/>
        </w:rPr>
        <w:t xml:space="preserve">s in the upper centiles of the mortality range. </w:t>
      </w:r>
      <w:r w:rsidR="00D1231F" w:rsidRPr="00D0089A">
        <w:rPr>
          <w:rFonts w:eastAsia="Calibri" w:cs="Arial"/>
          <w:sz w:val="24"/>
          <w:lang w:val="en-GB"/>
        </w:rPr>
        <w:t xml:space="preserve">Even after re-evaluation of co-morbidities, careful considerations and re-appraisal of surgical risk, consultations with patients, their families and other clinicians, rSAVR could be offered to </w:t>
      </w:r>
      <w:r w:rsidR="00D55C11" w:rsidRPr="00D0089A">
        <w:rPr>
          <w:rFonts w:eastAsia="Calibri" w:cs="Arial"/>
          <w:sz w:val="24"/>
          <w:lang w:val="en-GB"/>
        </w:rPr>
        <w:t>only a fifth of the</w:t>
      </w:r>
      <w:r w:rsidR="00247837" w:rsidRPr="00D0089A">
        <w:rPr>
          <w:rFonts w:eastAsia="Calibri" w:cs="Arial"/>
          <w:sz w:val="24"/>
          <w:lang w:val="en-GB"/>
        </w:rPr>
        <w:t>se</w:t>
      </w:r>
      <w:r w:rsidR="00D55C11" w:rsidRPr="00D0089A">
        <w:rPr>
          <w:rFonts w:eastAsia="Calibri" w:cs="Arial"/>
          <w:sz w:val="24"/>
          <w:lang w:val="en-GB"/>
        </w:rPr>
        <w:t xml:space="preserve"> patients found unsuitable for TAVI.</w:t>
      </w:r>
      <w:r w:rsidR="00D1231F" w:rsidRPr="00D0089A">
        <w:rPr>
          <w:rFonts w:eastAsia="Calibri" w:cs="Arial"/>
          <w:sz w:val="24"/>
          <w:lang w:val="en-GB"/>
        </w:rPr>
        <w:t xml:space="preserve"> </w:t>
      </w:r>
      <w:r w:rsidR="00EB7D6A" w:rsidRPr="00D0089A">
        <w:rPr>
          <w:rFonts w:eastAsia="Calibri" w:cs="Arial"/>
          <w:sz w:val="24"/>
          <w:lang w:val="en-GB"/>
        </w:rPr>
        <w:t xml:space="preserve">There may have been a selection bias in the evaluation of </w:t>
      </w:r>
      <w:r w:rsidR="00101ADA" w:rsidRPr="00D0089A">
        <w:rPr>
          <w:rFonts w:eastAsia="Calibri" w:cs="Arial"/>
          <w:sz w:val="24"/>
          <w:lang w:val="en-GB"/>
        </w:rPr>
        <w:t xml:space="preserve">this </w:t>
      </w:r>
      <w:r w:rsidR="00EB7D6A" w:rsidRPr="00D0089A">
        <w:rPr>
          <w:rFonts w:eastAsia="Calibri" w:cs="Arial"/>
          <w:sz w:val="24"/>
          <w:lang w:val="en-GB"/>
        </w:rPr>
        <w:t>cohort of very high risk patients.</w:t>
      </w:r>
      <w:r w:rsidRPr="00D0089A">
        <w:rPr>
          <w:rFonts w:eastAsia="Calibri" w:cs="Arial"/>
          <w:sz w:val="24"/>
          <w:lang w:val="en-GB"/>
        </w:rPr>
        <w:t xml:space="preserve"> </w:t>
      </w:r>
      <w:r w:rsidR="006711BF" w:rsidRPr="00D0089A">
        <w:rPr>
          <w:rFonts w:eastAsia="Calibri" w:cs="Arial"/>
          <w:sz w:val="24"/>
          <w:lang w:val="en-GB"/>
        </w:rPr>
        <w:t>With expanding indications for TAVI which involve even low to intermediate risk patients now, there is also the possibility of overzealous TAVI referrals. This is however unlikely in TAVI programs in the UK with limitations of funding and capacity.</w:t>
      </w:r>
      <w:r w:rsidR="00CB4585" w:rsidRPr="00D0089A">
        <w:rPr>
          <w:rFonts w:eastAsia="Calibri" w:cs="Arial"/>
          <w:sz w:val="24"/>
          <w:lang w:val="en-GB"/>
        </w:rPr>
        <w:t xml:space="preserve"> Just over half of the referred patients were accepted for TAVI in our program.</w:t>
      </w:r>
      <w:r w:rsidR="00221F15" w:rsidRPr="00D0089A">
        <w:rPr>
          <w:rFonts w:eastAsia="Calibri" w:cs="Arial"/>
          <w:sz w:val="24"/>
          <w:lang w:val="en-GB"/>
        </w:rPr>
        <w:t xml:space="preserve"> </w:t>
      </w:r>
      <w:r w:rsidR="00017417" w:rsidRPr="00D0089A">
        <w:rPr>
          <w:rFonts w:eastAsia="Calibri" w:cs="Arial"/>
          <w:sz w:val="24"/>
          <w:lang w:val="en-GB"/>
        </w:rPr>
        <w:t>Although the reasons for denial of TAVI were classed as technical</w:t>
      </w:r>
      <w:r w:rsidR="00D0315E">
        <w:rPr>
          <w:rFonts w:eastAsia="Calibri" w:cs="Arial"/>
          <w:sz w:val="24"/>
          <w:lang w:val="en-GB"/>
        </w:rPr>
        <w:t>/procedural</w:t>
      </w:r>
      <w:r w:rsidR="00017417" w:rsidRPr="00D0089A">
        <w:rPr>
          <w:rFonts w:eastAsia="Calibri" w:cs="Arial"/>
          <w:sz w:val="24"/>
          <w:lang w:val="en-GB"/>
        </w:rPr>
        <w:t xml:space="preserve"> and clinical</w:t>
      </w:r>
      <w:r w:rsidR="00D0315E">
        <w:rPr>
          <w:rFonts w:eastAsia="Calibri" w:cs="Arial"/>
          <w:sz w:val="24"/>
          <w:lang w:val="en-GB"/>
        </w:rPr>
        <w:t>/patient related</w:t>
      </w:r>
      <w:r w:rsidR="00017417" w:rsidRPr="00D0089A">
        <w:rPr>
          <w:rFonts w:eastAsia="Calibri" w:cs="Arial"/>
          <w:sz w:val="24"/>
          <w:lang w:val="en-GB"/>
        </w:rPr>
        <w:t>, the high surgical risk was still the common denominator between the 2 groups.</w:t>
      </w:r>
      <w:r w:rsidR="00AA5163" w:rsidRPr="00D0089A">
        <w:rPr>
          <w:rFonts w:eastAsia="Calibri" w:cs="Arial"/>
          <w:sz w:val="24"/>
          <w:lang w:val="en-GB"/>
        </w:rPr>
        <w:t xml:space="preserve"> An important </w:t>
      </w:r>
      <w:r w:rsidR="00385CAE" w:rsidRPr="00D0089A">
        <w:rPr>
          <w:rFonts w:eastAsia="Calibri" w:cs="Arial"/>
          <w:sz w:val="24"/>
          <w:lang w:val="en-GB"/>
        </w:rPr>
        <w:t>patient insight from this study</w:t>
      </w:r>
      <w:r w:rsidR="00AA5163" w:rsidRPr="00D0089A">
        <w:rPr>
          <w:rFonts w:eastAsia="Calibri" w:cs="Arial"/>
          <w:sz w:val="24"/>
          <w:lang w:val="en-GB"/>
        </w:rPr>
        <w:t xml:space="preserve"> is </w:t>
      </w:r>
      <w:r w:rsidR="00221F15" w:rsidRPr="00D0089A">
        <w:rPr>
          <w:rFonts w:eastAsia="Calibri" w:cs="Arial"/>
          <w:sz w:val="24"/>
          <w:lang w:val="en-GB"/>
        </w:rPr>
        <w:t xml:space="preserve">also </w:t>
      </w:r>
      <w:r w:rsidR="00AA5163" w:rsidRPr="00D0089A">
        <w:rPr>
          <w:rFonts w:eastAsia="Calibri" w:cs="Arial"/>
          <w:sz w:val="24"/>
          <w:lang w:val="en-GB"/>
        </w:rPr>
        <w:t>that o</w:t>
      </w:r>
      <w:r w:rsidR="00B14400" w:rsidRPr="00D0089A">
        <w:rPr>
          <w:rFonts w:eastAsia="Calibri" w:cs="Arial"/>
          <w:sz w:val="24"/>
          <w:lang w:val="en-GB"/>
        </w:rPr>
        <w:t xml:space="preserve">nly 3.2% of the patients voluntarily refused further surgical intervention and opted for conservative management </w:t>
      </w:r>
      <w:r w:rsidR="00AA5163" w:rsidRPr="00D0089A">
        <w:rPr>
          <w:rFonts w:eastAsia="Calibri" w:cs="Arial"/>
          <w:sz w:val="24"/>
          <w:lang w:val="en-GB"/>
        </w:rPr>
        <w:t xml:space="preserve">after being declined for TAVI </w:t>
      </w:r>
      <w:r w:rsidR="00247837" w:rsidRPr="00D0089A">
        <w:rPr>
          <w:rFonts w:eastAsia="Calibri" w:cs="Arial"/>
          <w:sz w:val="24"/>
          <w:lang w:val="en-GB"/>
        </w:rPr>
        <w:t xml:space="preserve">despite consultations and communication of perceived </w:t>
      </w:r>
      <w:r w:rsidR="004F7D7F" w:rsidRPr="00D0089A">
        <w:rPr>
          <w:rFonts w:eastAsia="Calibri" w:cs="Arial"/>
          <w:sz w:val="24"/>
          <w:lang w:val="en-GB"/>
        </w:rPr>
        <w:t xml:space="preserve">high </w:t>
      </w:r>
      <w:r w:rsidR="00247837" w:rsidRPr="00D0089A">
        <w:rPr>
          <w:rFonts w:eastAsia="Calibri" w:cs="Arial"/>
          <w:sz w:val="24"/>
          <w:lang w:val="en-GB"/>
        </w:rPr>
        <w:t>surgical</w:t>
      </w:r>
      <w:r w:rsidR="00D0315E">
        <w:rPr>
          <w:rFonts w:eastAsia="Calibri" w:cs="Arial"/>
          <w:sz w:val="24"/>
          <w:lang w:val="en-GB"/>
        </w:rPr>
        <w:t>/clinical</w:t>
      </w:r>
      <w:r w:rsidR="00247837" w:rsidRPr="00D0089A">
        <w:rPr>
          <w:rFonts w:eastAsia="Calibri" w:cs="Arial"/>
          <w:sz w:val="24"/>
          <w:lang w:val="en-GB"/>
        </w:rPr>
        <w:t xml:space="preserve"> risk by the surgical team</w:t>
      </w:r>
      <w:r w:rsidR="00B14400" w:rsidRPr="00D0089A">
        <w:rPr>
          <w:rFonts w:eastAsia="Calibri" w:cs="Arial"/>
          <w:sz w:val="24"/>
          <w:lang w:val="en-GB"/>
        </w:rPr>
        <w:t xml:space="preserve">. </w:t>
      </w:r>
    </w:p>
    <w:p w14:paraId="299D395A" w14:textId="225C5FB0" w:rsidR="00221F15" w:rsidRPr="00D0089A" w:rsidRDefault="00221F15" w:rsidP="00207FBE">
      <w:pPr>
        <w:spacing w:line="480" w:lineRule="auto"/>
        <w:rPr>
          <w:rFonts w:eastAsia="Calibri" w:cs="Arial"/>
          <w:sz w:val="24"/>
          <w:lang w:val="en-GB"/>
        </w:rPr>
      </w:pPr>
      <w:r w:rsidRPr="00D0089A">
        <w:rPr>
          <w:rFonts w:eastAsia="Calibri" w:cs="Arial"/>
          <w:sz w:val="24"/>
          <w:lang w:val="en-GB"/>
        </w:rPr>
        <w:t>There is the potential option of minimally invasive aortic valve replacement and use of sutureless valves in this cohort of patients to reduce the operative morbidity of surgery and help with faster postoperative recuperation and return to normal activity. Our study did not employ any of these techniques.</w:t>
      </w:r>
    </w:p>
    <w:p w14:paraId="7C537437" w14:textId="2C837EDF" w:rsidR="005C0563" w:rsidRDefault="005C0563" w:rsidP="00207FBE">
      <w:pPr>
        <w:spacing w:line="480" w:lineRule="auto"/>
        <w:rPr>
          <w:rFonts w:eastAsia="Calibri" w:cs="Arial"/>
          <w:sz w:val="24"/>
          <w:lang w:val="en-GB"/>
        </w:rPr>
      </w:pPr>
      <w:r w:rsidRPr="00D0089A">
        <w:rPr>
          <w:rFonts w:eastAsia="Calibri" w:cs="Arial"/>
          <w:sz w:val="24"/>
          <w:lang w:val="en-GB"/>
        </w:rPr>
        <w:t xml:space="preserve">rSAVR </w:t>
      </w:r>
      <w:r w:rsidR="00D0315E">
        <w:rPr>
          <w:rFonts w:eastAsia="Calibri" w:cs="Arial"/>
          <w:sz w:val="24"/>
          <w:lang w:val="en-GB"/>
        </w:rPr>
        <w:t xml:space="preserve">can </w:t>
      </w:r>
      <w:r w:rsidRPr="00D0089A">
        <w:rPr>
          <w:rFonts w:eastAsia="Calibri" w:cs="Arial"/>
          <w:sz w:val="24"/>
          <w:lang w:val="en-GB"/>
        </w:rPr>
        <w:t>offer hope for amelioration of symptoms of breathlessness, feeling of wellbeing</w:t>
      </w:r>
      <w:r w:rsidR="00E64354">
        <w:rPr>
          <w:rFonts w:eastAsia="Calibri" w:cs="Arial"/>
          <w:sz w:val="24"/>
          <w:lang w:val="en-GB"/>
        </w:rPr>
        <w:t xml:space="preserve"> and confidence</w:t>
      </w:r>
      <w:r w:rsidRPr="00D0089A">
        <w:rPr>
          <w:rFonts w:eastAsia="Calibri" w:cs="Arial"/>
          <w:sz w:val="24"/>
          <w:lang w:val="en-GB"/>
        </w:rPr>
        <w:t xml:space="preserve">, reduced hospital admission episodes, better quality of life, independence and improved survival </w:t>
      </w:r>
      <w:r w:rsidR="00E64354" w:rsidRPr="00D0089A">
        <w:rPr>
          <w:rFonts w:eastAsia="Calibri" w:cs="Arial"/>
          <w:sz w:val="24"/>
          <w:lang w:val="en-GB"/>
        </w:rPr>
        <w:t xml:space="preserve">towards the end of their lives </w:t>
      </w:r>
      <w:r w:rsidRPr="00D0089A">
        <w:rPr>
          <w:rFonts w:eastAsia="Calibri" w:cs="Arial"/>
          <w:sz w:val="24"/>
          <w:lang w:val="en-GB"/>
        </w:rPr>
        <w:t xml:space="preserve">in a cohort of </w:t>
      </w:r>
      <w:r w:rsidR="00E64354" w:rsidRPr="00D0089A">
        <w:rPr>
          <w:rFonts w:eastAsia="Calibri" w:cs="Arial"/>
          <w:sz w:val="24"/>
          <w:lang w:val="en-GB"/>
        </w:rPr>
        <w:t>carefully selected</w:t>
      </w:r>
      <w:r w:rsidR="00E64354">
        <w:rPr>
          <w:rFonts w:eastAsia="Calibri" w:cs="Arial"/>
          <w:sz w:val="24"/>
          <w:lang w:val="en-GB"/>
        </w:rPr>
        <w:t>,</w:t>
      </w:r>
      <w:r w:rsidR="00E64354" w:rsidRPr="00D0089A">
        <w:rPr>
          <w:rFonts w:eastAsia="Calibri" w:cs="Arial"/>
          <w:sz w:val="24"/>
          <w:lang w:val="en-GB"/>
        </w:rPr>
        <w:t xml:space="preserve"> </w:t>
      </w:r>
      <w:r w:rsidRPr="00D0089A">
        <w:rPr>
          <w:rFonts w:eastAsia="Calibri" w:cs="Arial"/>
          <w:sz w:val="24"/>
          <w:lang w:val="en-GB"/>
        </w:rPr>
        <w:t>very high risk</w:t>
      </w:r>
      <w:r w:rsidR="00E64354">
        <w:rPr>
          <w:rFonts w:eastAsia="Calibri" w:cs="Arial"/>
          <w:sz w:val="24"/>
          <w:lang w:val="en-GB"/>
        </w:rPr>
        <w:t>,</w:t>
      </w:r>
      <w:r w:rsidRPr="00D0089A">
        <w:rPr>
          <w:rFonts w:eastAsia="Calibri" w:cs="Arial"/>
          <w:sz w:val="24"/>
          <w:lang w:val="en-GB"/>
        </w:rPr>
        <w:t xml:space="preserve"> elderly patients</w:t>
      </w:r>
      <w:r w:rsidR="00E64354">
        <w:rPr>
          <w:rFonts w:eastAsia="Calibri" w:cs="Arial"/>
          <w:sz w:val="24"/>
          <w:lang w:val="en-GB"/>
        </w:rPr>
        <w:t xml:space="preserve"> that are unsuitable for TAVI.</w:t>
      </w:r>
      <w:r w:rsidRPr="00D0089A">
        <w:rPr>
          <w:rFonts w:eastAsia="Calibri" w:cs="Arial"/>
          <w:sz w:val="24"/>
          <w:lang w:val="en-GB"/>
        </w:rPr>
        <w:t xml:space="preserve"> .</w:t>
      </w:r>
    </w:p>
    <w:p w14:paraId="468DA70B" w14:textId="4A3965E3" w:rsidR="008F37BA" w:rsidRPr="000D271B" w:rsidRDefault="008F37BA" w:rsidP="00207FBE">
      <w:pPr>
        <w:spacing w:line="480" w:lineRule="auto"/>
        <w:rPr>
          <w:rFonts w:eastAsia="Calibri" w:cs="Arial"/>
          <w:b/>
          <w:bCs/>
          <w:sz w:val="24"/>
          <w:lang w:val="en-GB"/>
        </w:rPr>
      </w:pPr>
      <w:r w:rsidRPr="000D271B">
        <w:rPr>
          <w:rFonts w:eastAsia="Calibri" w:cs="Arial"/>
          <w:b/>
          <w:bCs/>
          <w:sz w:val="24"/>
          <w:lang w:val="en-GB"/>
        </w:rPr>
        <w:t xml:space="preserve">Limitations </w:t>
      </w:r>
    </w:p>
    <w:p w14:paraId="170689E9" w14:textId="4B45BB96" w:rsidR="008F37BA" w:rsidRPr="00D0089A" w:rsidRDefault="008F37BA" w:rsidP="00207FBE">
      <w:pPr>
        <w:spacing w:line="480" w:lineRule="auto"/>
        <w:rPr>
          <w:rFonts w:eastAsia="Calibri" w:cs="Arial"/>
          <w:sz w:val="24"/>
          <w:lang w:val="en-GB"/>
        </w:rPr>
      </w:pPr>
      <w:r>
        <w:rPr>
          <w:rFonts w:eastAsia="Calibri" w:cs="Arial"/>
          <w:sz w:val="24"/>
          <w:lang w:val="en-GB"/>
        </w:rPr>
        <w:t>This is a retrospective analysis and therefore does not adequately balance the study groups for comparison or correct for inherent selection bias</w:t>
      </w:r>
      <w:r w:rsidR="00B42703">
        <w:rPr>
          <w:rFonts w:eastAsia="Calibri" w:cs="Arial"/>
          <w:sz w:val="24"/>
          <w:lang w:val="en-GB"/>
        </w:rPr>
        <w:t>es</w:t>
      </w:r>
      <w:r>
        <w:rPr>
          <w:rFonts w:eastAsia="Calibri" w:cs="Arial"/>
          <w:sz w:val="24"/>
          <w:lang w:val="en-GB"/>
        </w:rPr>
        <w:t xml:space="preserve"> for rSAVR patients. </w:t>
      </w:r>
      <w:r w:rsidR="009E66CC">
        <w:rPr>
          <w:rFonts w:eastAsia="Calibri" w:cs="Arial"/>
          <w:sz w:val="24"/>
          <w:lang w:val="en-GB"/>
        </w:rPr>
        <w:t>TAVI case volumes were limited by capacity and funding in the</w:t>
      </w:r>
      <w:r w:rsidR="006440ED">
        <w:rPr>
          <w:rFonts w:eastAsia="Calibri" w:cs="Arial"/>
          <w:sz w:val="24"/>
          <w:lang w:val="en-GB"/>
        </w:rPr>
        <w:t xml:space="preserve"> program for many years so there may be a selection bias for the TAVI declined cases.</w:t>
      </w:r>
      <w:r w:rsidR="009E66CC">
        <w:rPr>
          <w:rFonts w:eastAsia="Calibri" w:cs="Arial"/>
          <w:sz w:val="24"/>
          <w:lang w:val="en-GB"/>
        </w:rPr>
        <w:t xml:space="preserve"> </w:t>
      </w:r>
      <w:r>
        <w:rPr>
          <w:rFonts w:eastAsia="Calibri" w:cs="Arial"/>
          <w:sz w:val="24"/>
          <w:lang w:val="en-GB"/>
        </w:rPr>
        <w:t xml:space="preserve">The number of patients for subgroup </w:t>
      </w:r>
      <w:r w:rsidR="00B42703">
        <w:rPr>
          <w:rFonts w:eastAsia="Calibri" w:cs="Arial"/>
          <w:sz w:val="24"/>
          <w:lang w:val="en-GB"/>
        </w:rPr>
        <w:t xml:space="preserve">survival </w:t>
      </w:r>
      <w:r>
        <w:rPr>
          <w:rFonts w:eastAsia="Calibri" w:cs="Arial"/>
          <w:sz w:val="24"/>
          <w:lang w:val="en-GB"/>
        </w:rPr>
        <w:t xml:space="preserve">analysis </w:t>
      </w:r>
      <w:r w:rsidR="00693D04">
        <w:rPr>
          <w:rFonts w:eastAsia="Calibri" w:cs="Arial"/>
          <w:sz w:val="24"/>
          <w:lang w:val="en-GB"/>
        </w:rPr>
        <w:t>was</w:t>
      </w:r>
      <w:r>
        <w:rPr>
          <w:rFonts w:eastAsia="Calibri" w:cs="Arial"/>
          <w:sz w:val="24"/>
          <w:lang w:val="en-GB"/>
        </w:rPr>
        <w:t xml:space="preserve"> small so may not be entirely representative. </w:t>
      </w:r>
      <w:r w:rsidR="00B42703">
        <w:rPr>
          <w:rFonts w:eastAsia="Calibri" w:cs="Arial"/>
          <w:sz w:val="24"/>
          <w:lang w:val="en-GB"/>
        </w:rPr>
        <w:t xml:space="preserve">Although deaths were fully captured from the NHS digital tracking and linkages to GP medical records, </w:t>
      </w:r>
      <w:r>
        <w:rPr>
          <w:rFonts w:eastAsia="Calibri" w:cs="Arial"/>
          <w:sz w:val="24"/>
          <w:lang w:val="en-GB"/>
        </w:rPr>
        <w:t xml:space="preserve">hospital readmission episodes </w:t>
      </w:r>
      <w:r w:rsidR="00B42703">
        <w:rPr>
          <w:rFonts w:eastAsia="Calibri" w:cs="Arial"/>
          <w:sz w:val="24"/>
          <w:lang w:val="en-GB"/>
        </w:rPr>
        <w:t xml:space="preserve">would not have been adequately captured </w:t>
      </w:r>
      <w:r w:rsidR="009E66CC">
        <w:rPr>
          <w:rFonts w:eastAsia="Calibri" w:cs="Arial"/>
          <w:sz w:val="24"/>
          <w:lang w:val="en-GB"/>
        </w:rPr>
        <w:t>by</w:t>
      </w:r>
      <w:r w:rsidR="00B42703">
        <w:rPr>
          <w:rFonts w:eastAsia="Calibri" w:cs="Arial"/>
          <w:sz w:val="24"/>
          <w:lang w:val="en-GB"/>
        </w:rPr>
        <w:t xml:space="preserve"> </w:t>
      </w:r>
      <w:r w:rsidR="00B42703" w:rsidRPr="00B42703">
        <w:rPr>
          <w:rFonts w:eastAsia="Calibri" w:cs="Arial"/>
          <w:sz w:val="24"/>
          <w:lang w:val="en-GB"/>
        </w:rPr>
        <w:t xml:space="preserve">virtue of our </w:t>
      </w:r>
      <w:r w:rsidR="009E66CC">
        <w:rPr>
          <w:rFonts w:eastAsia="Calibri" w:cs="Arial"/>
          <w:sz w:val="24"/>
          <w:lang w:val="en-GB"/>
        </w:rPr>
        <w:t xml:space="preserve">wide </w:t>
      </w:r>
      <w:r w:rsidR="00B42703" w:rsidRPr="00B42703">
        <w:rPr>
          <w:rFonts w:eastAsia="Calibri" w:cs="Arial"/>
          <w:sz w:val="24"/>
          <w:lang w:val="en-GB"/>
        </w:rPr>
        <w:t>multisource referral base</w:t>
      </w:r>
      <w:r w:rsidR="009E66CC">
        <w:rPr>
          <w:rFonts w:eastAsia="Calibri" w:cs="Arial"/>
          <w:sz w:val="24"/>
          <w:lang w:val="en-GB"/>
        </w:rPr>
        <w:t xml:space="preserve">. </w:t>
      </w:r>
      <w:r w:rsidR="00B42703">
        <w:rPr>
          <w:rFonts w:eastAsia="Calibri" w:cs="Arial"/>
          <w:sz w:val="24"/>
          <w:lang w:val="en-GB"/>
        </w:rPr>
        <w:t xml:space="preserve">The risk scoring system underscores the perceived clinical/surgical risk related to frailty and age in these very high risk study groups. </w:t>
      </w:r>
      <w:r w:rsidR="009E66CC">
        <w:rPr>
          <w:rFonts w:eastAsia="Calibri" w:cs="Arial"/>
          <w:sz w:val="24"/>
          <w:lang w:val="en-GB"/>
        </w:rPr>
        <w:t xml:space="preserve">These are single centre results </w:t>
      </w:r>
      <w:r w:rsidR="006440ED">
        <w:rPr>
          <w:rFonts w:eastAsia="Calibri" w:cs="Arial"/>
          <w:sz w:val="24"/>
          <w:lang w:val="en-GB"/>
        </w:rPr>
        <w:t>from a high volume</w:t>
      </w:r>
      <w:r w:rsidR="00094C31">
        <w:rPr>
          <w:rFonts w:eastAsia="Calibri" w:cs="Arial"/>
          <w:sz w:val="24"/>
          <w:lang w:val="en-GB"/>
        </w:rPr>
        <w:t>,</w:t>
      </w:r>
      <w:r w:rsidR="006440ED">
        <w:rPr>
          <w:rFonts w:eastAsia="Calibri" w:cs="Arial"/>
          <w:sz w:val="24"/>
          <w:lang w:val="en-GB"/>
        </w:rPr>
        <w:t xml:space="preserve"> academic centre of excellence </w:t>
      </w:r>
      <w:r w:rsidR="009E66CC">
        <w:rPr>
          <w:rFonts w:eastAsia="Calibri" w:cs="Arial"/>
          <w:sz w:val="24"/>
          <w:lang w:val="en-GB"/>
        </w:rPr>
        <w:t>with a very low historical institution</w:t>
      </w:r>
      <w:r w:rsidR="006440ED">
        <w:rPr>
          <w:rFonts w:eastAsia="Calibri" w:cs="Arial"/>
          <w:sz w:val="24"/>
          <w:lang w:val="en-GB"/>
        </w:rPr>
        <w:t>al</w:t>
      </w:r>
      <w:r w:rsidR="009E66CC">
        <w:rPr>
          <w:rFonts w:eastAsia="Calibri" w:cs="Arial"/>
          <w:sz w:val="24"/>
          <w:lang w:val="en-GB"/>
        </w:rPr>
        <w:t xml:space="preserve"> mortality for is</w:t>
      </w:r>
      <w:r w:rsidR="006440ED">
        <w:rPr>
          <w:rFonts w:eastAsia="Calibri" w:cs="Arial"/>
          <w:sz w:val="24"/>
          <w:lang w:val="en-GB"/>
        </w:rPr>
        <w:t>o</w:t>
      </w:r>
      <w:r w:rsidR="009E66CC">
        <w:rPr>
          <w:rFonts w:eastAsia="Calibri" w:cs="Arial"/>
          <w:sz w:val="24"/>
          <w:lang w:val="en-GB"/>
        </w:rPr>
        <w:t>lated SAVR. These results and conclusions therefore may not be representative of wider cardiac surgical practice</w:t>
      </w:r>
      <w:r w:rsidR="006440ED">
        <w:rPr>
          <w:rFonts w:eastAsia="Calibri" w:cs="Arial"/>
          <w:sz w:val="24"/>
          <w:lang w:val="en-GB"/>
        </w:rPr>
        <w:t xml:space="preserve"> in other centres.</w:t>
      </w:r>
      <w:r w:rsidR="009E66CC">
        <w:rPr>
          <w:rFonts w:eastAsia="Calibri" w:cs="Arial"/>
          <w:sz w:val="24"/>
          <w:lang w:val="en-GB"/>
        </w:rPr>
        <w:t xml:space="preserve">  </w:t>
      </w:r>
      <w:r w:rsidR="00B42703">
        <w:rPr>
          <w:rFonts w:eastAsia="Calibri" w:cs="Arial"/>
          <w:sz w:val="24"/>
          <w:lang w:val="en-GB"/>
        </w:rPr>
        <w:t xml:space="preserve"> </w:t>
      </w:r>
      <w:r>
        <w:rPr>
          <w:rFonts w:eastAsia="Calibri" w:cs="Arial"/>
          <w:sz w:val="24"/>
          <w:lang w:val="en-GB"/>
        </w:rPr>
        <w:t xml:space="preserve">  </w:t>
      </w:r>
    </w:p>
    <w:p w14:paraId="2B681134" w14:textId="2145CD67" w:rsidR="007B36A0" w:rsidRPr="0067748E" w:rsidRDefault="00B53CB6" w:rsidP="00207FBE">
      <w:pPr>
        <w:spacing w:line="480" w:lineRule="auto"/>
        <w:rPr>
          <w:rFonts w:eastAsia="Calibri" w:cs="Arial"/>
          <w:b/>
          <w:bCs/>
          <w:sz w:val="24"/>
          <w:lang w:val="en-GB"/>
        </w:rPr>
      </w:pPr>
      <w:r>
        <w:rPr>
          <w:rFonts w:eastAsia="Calibri" w:cs="Arial"/>
          <w:b/>
          <w:sz w:val="24"/>
          <w:lang w:val="en-GB"/>
        </w:rPr>
        <w:t>CONCLUSION</w:t>
      </w:r>
    </w:p>
    <w:p w14:paraId="1B76F356" w14:textId="0CABF8F8" w:rsidR="00221F15" w:rsidRDefault="00221F15" w:rsidP="00207FBE">
      <w:pPr>
        <w:spacing w:line="480" w:lineRule="auto"/>
        <w:rPr>
          <w:rFonts w:cs="Arial"/>
          <w:sz w:val="24"/>
        </w:rPr>
      </w:pPr>
      <w:r w:rsidRPr="00D0089A">
        <w:rPr>
          <w:rFonts w:cs="Arial"/>
          <w:sz w:val="24"/>
        </w:rPr>
        <w:t xml:space="preserve">rSAVR should be considered in </w:t>
      </w:r>
      <w:r w:rsidR="00E64354">
        <w:rPr>
          <w:rFonts w:cs="Arial"/>
          <w:sz w:val="24"/>
        </w:rPr>
        <w:t xml:space="preserve">elderly </w:t>
      </w:r>
      <w:r w:rsidRPr="00D0089A">
        <w:rPr>
          <w:rFonts w:cs="Arial"/>
          <w:sz w:val="24"/>
        </w:rPr>
        <w:t xml:space="preserve">high surgical risk patients who </w:t>
      </w:r>
      <w:r w:rsidR="00E64354">
        <w:rPr>
          <w:rFonts w:cs="Arial"/>
          <w:sz w:val="24"/>
        </w:rPr>
        <w:t xml:space="preserve">are unsuitable for </w:t>
      </w:r>
      <w:r w:rsidRPr="00D0089A">
        <w:rPr>
          <w:rFonts w:cs="Arial"/>
          <w:sz w:val="24"/>
        </w:rPr>
        <w:t>TAVI</w:t>
      </w:r>
      <w:r w:rsidR="00E64354">
        <w:rPr>
          <w:rFonts w:cs="Arial"/>
          <w:sz w:val="24"/>
        </w:rPr>
        <w:t>,</w:t>
      </w:r>
      <w:r w:rsidR="0063696C">
        <w:rPr>
          <w:rFonts w:cs="Arial"/>
          <w:sz w:val="24"/>
        </w:rPr>
        <w:t xml:space="preserve"> in centers with low operative mortality</w:t>
      </w:r>
      <w:r w:rsidRPr="00D0089A">
        <w:rPr>
          <w:rFonts w:cs="Arial"/>
          <w:sz w:val="24"/>
        </w:rPr>
        <w:t xml:space="preserve">. rSAVR </w:t>
      </w:r>
      <w:r w:rsidR="004130BD">
        <w:rPr>
          <w:rFonts w:cs="Arial"/>
          <w:sz w:val="24"/>
        </w:rPr>
        <w:t xml:space="preserve">may be </w:t>
      </w:r>
      <w:r w:rsidRPr="00D0089A">
        <w:rPr>
          <w:rFonts w:cs="Arial"/>
          <w:sz w:val="24"/>
        </w:rPr>
        <w:t>superior to conservative management</w:t>
      </w:r>
      <w:r w:rsidR="00831081">
        <w:rPr>
          <w:rFonts w:cs="Arial"/>
          <w:sz w:val="24"/>
        </w:rPr>
        <w:t xml:space="preserve"> </w:t>
      </w:r>
      <w:r w:rsidR="00E64354">
        <w:rPr>
          <w:rFonts w:cs="Arial"/>
          <w:sz w:val="24"/>
        </w:rPr>
        <w:t xml:space="preserve">in carefully selected patients. </w:t>
      </w:r>
      <w:r w:rsidRPr="00D0089A">
        <w:rPr>
          <w:rFonts w:cs="Arial"/>
          <w:sz w:val="24"/>
        </w:rPr>
        <w:t xml:space="preserve"> </w:t>
      </w:r>
    </w:p>
    <w:p w14:paraId="7A519456" w14:textId="6D94F0C0" w:rsidR="00D11B9E" w:rsidRPr="00D11B9E" w:rsidRDefault="00D11B9E" w:rsidP="00207FBE">
      <w:pPr>
        <w:spacing w:line="480" w:lineRule="auto"/>
        <w:rPr>
          <w:rFonts w:cs="Arial"/>
          <w:i/>
          <w:sz w:val="24"/>
        </w:rPr>
      </w:pPr>
      <w:r w:rsidRPr="00D11B9E">
        <w:rPr>
          <w:rFonts w:cs="Arial"/>
          <w:i/>
          <w:sz w:val="24"/>
        </w:rPr>
        <w:t xml:space="preserve">Ethical approval </w:t>
      </w:r>
      <w:r>
        <w:rPr>
          <w:rFonts w:cs="Arial"/>
          <w:i/>
          <w:sz w:val="24"/>
        </w:rPr>
        <w:t xml:space="preserve">- </w:t>
      </w:r>
      <w:r w:rsidRPr="00D11B9E">
        <w:rPr>
          <w:rFonts w:eastAsia="Calibri" w:cs="Arial"/>
          <w:bCs/>
          <w:i/>
          <w:sz w:val="24"/>
          <w:lang w:val="en-GB"/>
        </w:rPr>
        <w:t>SEV/0029, 24.10.2018</w:t>
      </w:r>
    </w:p>
    <w:p w14:paraId="7683AA8B" w14:textId="60FEBA26" w:rsidR="00D11B9E" w:rsidRPr="00F27389" w:rsidRDefault="00D11B9E" w:rsidP="00D11B9E">
      <w:pPr>
        <w:spacing w:after="160" w:line="480" w:lineRule="auto"/>
        <w:rPr>
          <w:rFonts w:eastAsia="Calibri" w:cs="Arial"/>
          <w:bCs/>
          <w:i/>
          <w:sz w:val="24"/>
          <w:lang w:val="en-GB"/>
        </w:rPr>
      </w:pPr>
      <w:r w:rsidRPr="00F27389">
        <w:rPr>
          <w:rFonts w:eastAsia="Calibri" w:cs="Arial"/>
          <w:bCs/>
          <w:i/>
          <w:sz w:val="24"/>
          <w:lang w:val="en-GB"/>
        </w:rPr>
        <w:t>A</w:t>
      </w:r>
      <w:r w:rsidR="00F27389">
        <w:rPr>
          <w:rFonts w:eastAsia="Calibri" w:cs="Arial"/>
          <w:bCs/>
          <w:i/>
          <w:sz w:val="24"/>
          <w:lang w:val="en-GB"/>
        </w:rPr>
        <w:t>cknowledgements</w:t>
      </w:r>
    </w:p>
    <w:p w14:paraId="34327B20" w14:textId="77777777" w:rsidR="00D11B9E" w:rsidRPr="00C36DAB" w:rsidRDefault="00D11B9E" w:rsidP="00D11B9E">
      <w:pPr>
        <w:spacing w:after="160" w:line="480" w:lineRule="auto"/>
        <w:rPr>
          <w:rFonts w:eastAsia="Calibri" w:cs="Arial"/>
          <w:bCs/>
          <w:sz w:val="24"/>
          <w:lang w:val="en-GB"/>
        </w:rPr>
      </w:pPr>
      <w:r w:rsidRPr="00C36DAB">
        <w:rPr>
          <w:rFonts w:eastAsia="Calibri" w:cs="Arial"/>
          <w:bCs/>
          <w:sz w:val="24"/>
          <w:lang w:val="en-GB"/>
        </w:rPr>
        <w:t xml:space="preserve">We thank Dan Mcgrath, TAVI Co-ordinator and Bradley Yee, Database manager at SGH for help with collection and collation of data.  </w:t>
      </w:r>
    </w:p>
    <w:p w14:paraId="2B02245F" w14:textId="77777777" w:rsidR="00D11B9E" w:rsidRPr="00F27389" w:rsidRDefault="00D11B9E" w:rsidP="00D11B9E">
      <w:pPr>
        <w:spacing w:after="160" w:line="480" w:lineRule="auto"/>
        <w:rPr>
          <w:rFonts w:eastAsia="Calibri" w:cs="Arial"/>
          <w:bCs/>
          <w:i/>
          <w:sz w:val="24"/>
          <w:lang w:val="en-GB"/>
        </w:rPr>
      </w:pPr>
      <w:r w:rsidRPr="00F27389">
        <w:rPr>
          <w:rFonts w:eastAsia="Calibri" w:cs="Arial"/>
          <w:bCs/>
          <w:i/>
          <w:sz w:val="24"/>
          <w:lang w:val="en-GB"/>
        </w:rPr>
        <w:t>Funding statement</w:t>
      </w:r>
    </w:p>
    <w:p w14:paraId="0C3A1440" w14:textId="77777777" w:rsidR="00D11B9E" w:rsidRPr="00C36DAB" w:rsidRDefault="00D11B9E" w:rsidP="00D11B9E">
      <w:pPr>
        <w:spacing w:after="160" w:line="480" w:lineRule="auto"/>
        <w:rPr>
          <w:rFonts w:eastAsia="Calibri" w:cs="Arial"/>
          <w:bCs/>
          <w:sz w:val="24"/>
          <w:lang w:val="en-GB"/>
        </w:rPr>
      </w:pPr>
      <w:r w:rsidRPr="00C36DAB">
        <w:rPr>
          <w:rFonts w:eastAsia="Calibri" w:cs="Arial"/>
          <w:bCs/>
          <w:sz w:val="24"/>
          <w:lang w:val="en-GB"/>
        </w:rPr>
        <w:t>There are no relevant funds used for the creation of this manuscript.</w:t>
      </w:r>
    </w:p>
    <w:p w14:paraId="2B279685" w14:textId="454FC671" w:rsidR="00D11B9E" w:rsidRPr="00F27389" w:rsidRDefault="00D11B9E" w:rsidP="00D11B9E">
      <w:pPr>
        <w:spacing w:after="160" w:line="480" w:lineRule="auto"/>
        <w:rPr>
          <w:rFonts w:eastAsia="Calibri" w:cs="Arial"/>
          <w:bCs/>
          <w:i/>
          <w:sz w:val="24"/>
          <w:lang w:val="en-GB"/>
        </w:rPr>
      </w:pPr>
      <w:r w:rsidRPr="00F27389">
        <w:rPr>
          <w:rFonts w:eastAsia="Calibri" w:cs="Arial"/>
          <w:bCs/>
          <w:i/>
          <w:sz w:val="24"/>
          <w:lang w:val="en-GB"/>
        </w:rPr>
        <w:t>D</w:t>
      </w:r>
      <w:r w:rsidR="00F27389">
        <w:rPr>
          <w:rFonts w:eastAsia="Calibri" w:cs="Arial"/>
          <w:bCs/>
          <w:i/>
          <w:sz w:val="24"/>
          <w:lang w:val="en-GB"/>
        </w:rPr>
        <w:t>isclosures and conflicts of interest</w:t>
      </w:r>
    </w:p>
    <w:p w14:paraId="25883C72" w14:textId="207CBCE3" w:rsidR="00D11B9E" w:rsidRPr="00F27389" w:rsidRDefault="00D11B9E" w:rsidP="00F27389">
      <w:pPr>
        <w:spacing w:after="160" w:line="480" w:lineRule="auto"/>
        <w:rPr>
          <w:rFonts w:eastAsia="Calibri" w:cs="Arial"/>
          <w:bCs/>
          <w:sz w:val="24"/>
          <w:lang w:val="en-GB"/>
        </w:rPr>
      </w:pPr>
      <w:r w:rsidRPr="00C36DAB">
        <w:rPr>
          <w:rFonts w:eastAsia="Calibri" w:cs="Arial"/>
          <w:bCs/>
          <w:sz w:val="24"/>
          <w:lang w:val="en-GB"/>
        </w:rPr>
        <w:t>There are no disclosures or conflict</w:t>
      </w:r>
      <w:r>
        <w:rPr>
          <w:rFonts w:eastAsia="Calibri" w:cs="Arial"/>
          <w:bCs/>
          <w:sz w:val="24"/>
          <w:lang w:val="en-GB"/>
        </w:rPr>
        <w:t>s</w:t>
      </w:r>
      <w:r w:rsidRPr="00C36DAB">
        <w:rPr>
          <w:rFonts w:eastAsia="Calibri" w:cs="Arial"/>
          <w:bCs/>
          <w:sz w:val="24"/>
          <w:lang w:val="en-GB"/>
        </w:rPr>
        <w:t xml:space="preserve"> of interest by any of the authors related to the</w:t>
      </w:r>
      <w:r>
        <w:rPr>
          <w:rFonts w:eastAsia="Calibri" w:cs="Arial"/>
          <w:bCs/>
          <w:sz w:val="24"/>
          <w:lang w:val="en-GB"/>
        </w:rPr>
        <w:t xml:space="preserve"> development of this manuscript</w:t>
      </w:r>
    </w:p>
    <w:p w14:paraId="09618F33" w14:textId="488222A4" w:rsidR="00221F15" w:rsidRPr="004C4A8F" w:rsidRDefault="008528E9" w:rsidP="00207FBE">
      <w:pPr>
        <w:spacing w:line="480" w:lineRule="auto"/>
        <w:rPr>
          <w:rFonts w:cs="Arial"/>
          <w:b/>
          <w:sz w:val="24"/>
        </w:rPr>
      </w:pPr>
      <w:r>
        <w:rPr>
          <w:rFonts w:cs="Arial"/>
          <w:b/>
          <w:sz w:val="24"/>
        </w:rPr>
        <w:t>REFERENCES</w:t>
      </w:r>
    </w:p>
    <w:p w14:paraId="1BECD981" w14:textId="76E4AD47" w:rsidR="00221F15" w:rsidRPr="00D0089A" w:rsidRDefault="00221F15" w:rsidP="00207FBE">
      <w:pPr>
        <w:pStyle w:val="CommentText"/>
        <w:numPr>
          <w:ilvl w:val="0"/>
          <w:numId w:val="7"/>
        </w:numPr>
        <w:spacing w:line="480" w:lineRule="auto"/>
        <w:ind w:left="426" w:hanging="426"/>
        <w:rPr>
          <w:rFonts w:cs="Arial"/>
          <w:sz w:val="24"/>
          <w:szCs w:val="24"/>
        </w:rPr>
      </w:pPr>
      <w:r w:rsidRPr="00D0089A">
        <w:rPr>
          <w:rFonts w:cs="Arial"/>
          <w:sz w:val="24"/>
          <w:szCs w:val="24"/>
        </w:rPr>
        <w:t>Makkar RR, Thourani VH, Mack MJ, Kodali SK, Kapadia S, Webb JG, Yoon SH, Trento A, Svensson LG, Herrmann HC, Szeto WY, Miller DC, Satler L, Cohen DJ, Dewey TM, Babaliaros V, Williams MR, Kereiakes DJ, Zajarias A, Greason KL, Whisenant BK, Hodson RW, Brown DL, Fearon WF, Russo MJ, Pibarot P, Hahn RT, Jaber WA, Rogers E, Xu K, Wheeler J, Alu MC, Smith CR, Leon MB; PARTNER 2 Investigators. Five-Year Outcomes of Transcatheter or Surgical Aortic-Valve Replacement. N Engl J Med. 2020;382(9):799-809.</w:t>
      </w:r>
    </w:p>
    <w:p w14:paraId="2ED526F6" w14:textId="77777777" w:rsidR="00221F15" w:rsidRPr="00D0089A" w:rsidRDefault="00221F15" w:rsidP="00207FBE">
      <w:pPr>
        <w:pStyle w:val="CommentText"/>
        <w:numPr>
          <w:ilvl w:val="0"/>
          <w:numId w:val="7"/>
        </w:numPr>
        <w:spacing w:line="480" w:lineRule="auto"/>
        <w:ind w:left="426" w:hanging="426"/>
        <w:rPr>
          <w:rFonts w:cs="Arial"/>
          <w:sz w:val="24"/>
          <w:szCs w:val="24"/>
        </w:rPr>
      </w:pPr>
      <w:r w:rsidRPr="00D0089A">
        <w:rPr>
          <w:rFonts w:cs="Arial"/>
          <w:sz w:val="24"/>
          <w:szCs w:val="24"/>
        </w:rPr>
        <w:t>Herrmann HC, Thourani VH, Kodali SK, Makkar RR, Szeto WY, Anwaruddin S, Desai N, Lim S, Malaisrie SC, Kereiakes DJ, Ramee S, Greason KL, Kapadia S, Babaliaros V, Hahn RT, Pibarot P, Weissman NJ, Leipsic J, Whisenant BK, Webb JG, Mack MJ, Leon MB; PARTNER Investigators. One-Year Clinical Outcomes With SAPIEN 3 Transcatheter Aortic Valve Replacement in High-Risk and Inoperable Patients With Severe Aortic Stenosis. Circulation. 2016;134(2):130-40.</w:t>
      </w:r>
    </w:p>
    <w:p w14:paraId="27954CC2" w14:textId="77777777" w:rsidR="00221F15" w:rsidRPr="00D0089A" w:rsidRDefault="00221F15" w:rsidP="00207FBE">
      <w:pPr>
        <w:pStyle w:val="CommentText"/>
        <w:numPr>
          <w:ilvl w:val="0"/>
          <w:numId w:val="7"/>
        </w:numPr>
        <w:spacing w:line="480" w:lineRule="auto"/>
        <w:ind w:left="426" w:hanging="426"/>
        <w:rPr>
          <w:rFonts w:cs="Arial"/>
          <w:sz w:val="24"/>
          <w:szCs w:val="24"/>
        </w:rPr>
      </w:pPr>
      <w:r w:rsidRPr="00D0089A">
        <w:rPr>
          <w:rFonts w:cs="Arial"/>
          <w:sz w:val="24"/>
          <w:szCs w:val="24"/>
        </w:rPr>
        <w:t>Leon MB, Smith CR, Mack MJ, Makkar RR, Svensson LG, Kodali SK, Thourani VH, Tuzcu EM, Miller DC, Herrmann HC, Doshi D, Cohen DJ, Pichard AD, Kapadia S, Dewey T, Babaliaros V, Szeto WY, Williams MR, Kereiakes D, Zajarias A, Greason KL, Whisenant BK, Hodson RW, Moses JW, Trento A, Brown DL, Fearon WF, Pibarot P, Hahn RT, Jaber WA, Anderson WN, Alu MC, Webb JG; PARTNER 2 Investigators. Transcatheter or Surgical Aortic-Valve Replacement in Intermediate-Risk Patients. N Engl J Med. 2016;374(17):1609-20.</w:t>
      </w:r>
    </w:p>
    <w:p w14:paraId="6BF04F5B" w14:textId="77777777" w:rsidR="00A11435" w:rsidRPr="00D0089A" w:rsidRDefault="00221F15" w:rsidP="00207FBE">
      <w:pPr>
        <w:pStyle w:val="CommentText"/>
        <w:numPr>
          <w:ilvl w:val="0"/>
          <w:numId w:val="7"/>
        </w:numPr>
        <w:spacing w:line="480" w:lineRule="auto"/>
        <w:ind w:left="426" w:hanging="426"/>
        <w:rPr>
          <w:rFonts w:cs="Arial"/>
          <w:sz w:val="24"/>
          <w:szCs w:val="24"/>
        </w:rPr>
      </w:pPr>
      <w:r w:rsidRPr="00D0089A">
        <w:rPr>
          <w:rFonts w:cs="Arial"/>
          <w:sz w:val="24"/>
          <w:szCs w:val="24"/>
        </w:rPr>
        <w:t>Mack MJ, Leon MB, Smith CR, et al. 5-year outcomes of transcatheter aortic valve replacement or surgical aortic valve replacement for high surgical risk patients with aortic stenosis (PARTNER 1): a randomised controlled trial. Lancet. 2015;385(9986):2477-2484.</w:t>
      </w:r>
    </w:p>
    <w:p w14:paraId="53E09466" w14:textId="77777777" w:rsidR="00F07AB6" w:rsidRPr="00D0089A" w:rsidRDefault="00221F15" w:rsidP="00207FBE">
      <w:pPr>
        <w:pStyle w:val="CommentText"/>
        <w:numPr>
          <w:ilvl w:val="0"/>
          <w:numId w:val="7"/>
        </w:numPr>
        <w:spacing w:line="480" w:lineRule="auto"/>
        <w:ind w:left="426" w:hanging="426"/>
        <w:rPr>
          <w:rFonts w:cs="Arial"/>
          <w:sz w:val="24"/>
          <w:szCs w:val="24"/>
        </w:rPr>
      </w:pPr>
      <w:r w:rsidRPr="00D0089A">
        <w:rPr>
          <w:rFonts w:cs="Arial"/>
          <w:sz w:val="24"/>
          <w:szCs w:val="24"/>
        </w:rPr>
        <w:t>Popma JJ, Deeb GM, Yakubov SJ, et al. Transcatheter Aortic-Valve Replacement with a Self-Expanding Valve in Low-Risk Patients. N Engl J Med. 2019;380(18):1706-1715.</w:t>
      </w:r>
    </w:p>
    <w:p w14:paraId="69DF5A29" w14:textId="77777777" w:rsidR="00F07AB6" w:rsidRPr="00D0089A" w:rsidRDefault="00221F15" w:rsidP="00207FBE">
      <w:pPr>
        <w:pStyle w:val="CommentText"/>
        <w:numPr>
          <w:ilvl w:val="0"/>
          <w:numId w:val="7"/>
        </w:numPr>
        <w:spacing w:line="480" w:lineRule="auto"/>
        <w:ind w:left="426" w:hanging="426"/>
        <w:rPr>
          <w:rFonts w:cs="Arial"/>
          <w:sz w:val="24"/>
          <w:szCs w:val="24"/>
        </w:rPr>
      </w:pPr>
      <w:r w:rsidRPr="00D0089A">
        <w:rPr>
          <w:rFonts w:cs="Arial"/>
          <w:sz w:val="24"/>
          <w:szCs w:val="24"/>
        </w:rPr>
        <w:t>Mack MJ, Leon MB, Thourani VH, et al.</w:t>
      </w:r>
      <w:r w:rsidR="00A11435" w:rsidRPr="00D0089A">
        <w:rPr>
          <w:rFonts w:cs="Arial"/>
          <w:sz w:val="24"/>
          <w:szCs w:val="24"/>
        </w:rPr>
        <w:t xml:space="preserve"> </w:t>
      </w:r>
      <w:r w:rsidRPr="00D0089A">
        <w:rPr>
          <w:rFonts w:cs="Arial"/>
          <w:sz w:val="24"/>
          <w:szCs w:val="24"/>
        </w:rPr>
        <w:t>Transcatheter Aortic-Valve Replacement with a Balloon-Expandable Valve in Low-Risk Patients. N Engl J Med. 2019;380(18):1695-1705.</w:t>
      </w:r>
    </w:p>
    <w:p w14:paraId="2F0343C8" w14:textId="32B4768E" w:rsidR="00F07AB6" w:rsidRPr="00D0089A" w:rsidRDefault="00F549FA" w:rsidP="00207FBE">
      <w:pPr>
        <w:pStyle w:val="CommentText"/>
        <w:numPr>
          <w:ilvl w:val="0"/>
          <w:numId w:val="7"/>
        </w:numPr>
        <w:spacing w:line="480" w:lineRule="auto"/>
        <w:ind w:left="426" w:hanging="426"/>
        <w:rPr>
          <w:rFonts w:cs="Arial"/>
          <w:sz w:val="24"/>
          <w:szCs w:val="24"/>
        </w:rPr>
      </w:pPr>
      <w:hyperlink r:id="rId7" w:history="1">
        <w:r w:rsidR="00F07AB6" w:rsidRPr="00D0089A">
          <w:rPr>
            <w:rStyle w:val="Hyperlink"/>
            <w:rFonts w:cs="Arial"/>
            <w:sz w:val="24"/>
            <w:szCs w:val="24"/>
          </w:rPr>
          <w:t>https://www.bcis.org.uk/resources/bcis-guidance-documents/service-specification-for-transcatheter-aortic-valve-implantation-tavi/</w:t>
        </w:r>
      </w:hyperlink>
    </w:p>
    <w:p w14:paraId="4AEE8C56" w14:textId="77777777" w:rsidR="00F07AB6" w:rsidRPr="00D0089A" w:rsidRDefault="00F07AB6" w:rsidP="00207FBE">
      <w:pPr>
        <w:pStyle w:val="CommentText"/>
        <w:numPr>
          <w:ilvl w:val="0"/>
          <w:numId w:val="7"/>
        </w:numPr>
        <w:spacing w:line="480" w:lineRule="auto"/>
        <w:ind w:left="426" w:hanging="426"/>
        <w:rPr>
          <w:rFonts w:cs="Arial"/>
          <w:sz w:val="24"/>
          <w:szCs w:val="24"/>
        </w:rPr>
      </w:pPr>
      <w:r w:rsidRPr="00D0089A">
        <w:rPr>
          <w:rFonts w:cs="Arial"/>
          <w:sz w:val="24"/>
          <w:szCs w:val="24"/>
        </w:rPr>
        <w:t xml:space="preserve">Joint Statement on clinical selection for Trans-catheter Aortic Valve Implantation (TAVI) 1/8/2017 On behalf of BCS, SCTS and BCIS. </w:t>
      </w:r>
      <w:hyperlink r:id="rId8" w:history="1">
        <w:r w:rsidRPr="00D0089A">
          <w:rPr>
            <w:rStyle w:val="Hyperlink"/>
            <w:rFonts w:cs="Arial"/>
            <w:sz w:val="24"/>
            <w:szCs w:val="24"/>
          </w:rPr>
          <w:t>https://www.bcis.org.uk/wp-content/uploads/2017/08/TAVI-commissioning- statement-final.pdf</w:t>
        </w:r>
      </w:hyperlink>
    </w:p>
    <w:p w14:paraId="5E205E51" w14:textId="75CB99F9" w:rsidR="00991D53" w:rsidRPr="00D0089A" w:rsidRDefault="00F549FA" w:rsidP="00207FBE">
      <w:pPr>
        <w:pStyle w:val="CommentText"/>
        <w:numPr>
          <w:ilvl w:val="0"/>
          <w:numId w:val="7"/>
        </w:numPr>
        <w:spacing w:line="480" w:lineRule="auto"/>
        <w:ind w:left="426" w:hanging="426"/>
        <w:rPr>
          <w:rFonts w:cs="Arial"/>
          <w:sz w:val="24"/>
          <w:szCs w:val="24"/>
        </w:rPr>
      </w:pPr>
      <w:hyperlink r:id="rId9" w:history="1">
        <w:r w:rsidR="00991D53" w:rsidRPr="00D0089A">
          <w:rPr>
            <w:rStyle w:val="Hyperlink"/>
            <w:rFonts w:cs="Arial"/>
            <w:sz w:val="24"/>
            <w:szCs w:val="24"/>
          </w:rPr>
          <w:t>https://www.bcis.org.uk/resources/bcis-guidance-documents/service-specification-for-transcatheter-aortic-valve-implantation-tavi/</w:t>
        </w:r>
      </w:hyperlink>
    </w:p>
    <w:p w14:paraId="5D2BF83F" w14:textId="77777777" w:rsidR="00AF5B49" w:rsidRPr="00D0089A" w:rsidRDefault="00991D53" w:rsidP="00207FBE">
      <w:pPr>
        <w:pStyle w:val="CommentText"/>
        <w:numPr>
          <w:ilvl w:val="0"/>
          <w:numId w:val="7"/>
        </w:numPr>
        <w:spacing w:line="480" w:lineRule="auto"/>
        <w:ind w:left="426" w:hanging="426"/>
        <w:rPr>
          <w:rFonts w:cs="Arial"/>
          <w:sz w:val="24"/>
          <w:szCs w:val="24"/>
        </w:rPr>
      </w:pPr>
      <w:r w:rsidRPr="00D0089A">
        <w:rPr>
          <w:rFonts w:cs="Arial"/>
          <w:sz w:val="24"/>
          <w:szCs w:val="24"/>
        </w:rPr>
        <w:t>Varadarajan P, Kapoor N, Bansal RC, Pai RG. Clinical profile and natural history of 453 nonsurgically managed patients with severe aortic stenosis. Ann Thorac Surg. 2006;82(6):2111-5.</w:t>
      </w:r>
    </w:p>
    <w:p w14:paraId="6C4C66DD" w14:textId="77777777" w:rsidR="00CE222B" w:rsidRPr="00D0089A" w:rsidRDefault="00AF5B49" w:rsidP="00207FBE">
      <w:pPr>
        <w:pStyle w:val="CommentText"/>
        <w:numPr>
          <w:ilvl w:val="0"/>
          <w:numId w:val="7"/>
        </w:numPr>
        <w:spacing w:line="480" w:lineRule="auto"/>
        <w:ind w:left="426" w:hanging="426"/>
        <w:rPr>
          <w:rFonts w:cs="Arial"/>
          <w:sz w:val="24"/>
          <w:szCs w:val="24"/>
        </w:rPr>
      </w:pPr>
      <w:r w:rsidRPr="00D0089A">
        <w:rPr>
          <w:rFonts w:cs="Arial"/>
          <w:sz w:val="24"/>
          <w:szCs w:val="24"/>
        </w:rPr>
        <w:t>Pellikka PA, Sarano ME, Nishimura RA, Malouf JF, Bailey KR, Scott CG, Barnes ME, Tajik AJ. Outcome of 622 adults with asymptomatic, hemodynamically significant aortic stenosis during prolonged follow-up. Circulation. 2005;111(24):3290-5.</w:t>
      </w:r>
    </w:p>
    <w:p w14:paraId="6E974E16" w14:textId="101732AB" w:rsidR="00221F15" w:rsidRPr="00D0089A" w:rsidRDefault="00CE222B" w:rsidP="00207FBE">
      <w:pPr>
        <w:pStyle w:val="CommentText"/>
        <w:numPr>
          <w:ilvl w:val="0"/>
          <w:numId w:val="7"/>
        </w:numPr>
        <w:spacing w:line="480" w:lineRule="auto"/>
        <w:ind w:left="426" w:hanging="426"/>
        <w:rPr>
          <w:rFonts w:cs="Arial"/>
          <w:sz w:val="24"/>
          <w:szCs w:val="24"/>
        </w:rPr>
      </w:pPr>
      <w:r w:rsidRPr="00D0089A">
        <w:rPr>
          <w:rFonts w:cs="Arial"/>
          <w:sz w:val="24"/>
          <w:szCs w:val="24"/>
        </w:rPr>
        <w:t>Généreux P, Stone GW, O'Gara PT, Marquis-Gravel G, Redfors B, Giustino G,Pibarot P, Bax JJ, Bonow RO, Leon MB. Natural History, Diagnostic Approaches, and Therapeutic Strategies for Patients With Asymptomatic Severe Aortic Stenosis. J Am Coll Cardiol. 2016;67(19):2263-2288.</w:t>
      </w:r>
    </w:p>
    <w:p w14:paraId="054A546C" w14:textId="77777777" w:rsidR="00C10022" w:rsidRPr="00D0089A" w:rsidRDefault="009C167D" w:rsidP="00207FBE">
      <w:pPr>
        <w:pStyle w:val="CommentText"/>
        <w:numPr>
          <w:ilvl w:val="0"/>
          <w:numId w:val="7"/>
        </w:numPr>
        <w:spacing w:line="480" w:lineRule="auto"/>
        <w:ind w:left="426" w:hanging="426"/>
        <w:rPr>
          <w:rFonts w:cs="Arial"/>
          <w:sz w:val="24"/>
          <w:szCs w:val="24"/>
          <w:lang w:val="en-GB"/>
        </w:rPr>
      </w:pPr>
      <w:r w:rsidRPr="00D0089A">
        <w:rPr>
          <w:rFonts w:cs="Arial"/>
          <w:sz w:val="24"/>
          <w:szCs w:val="24"/>
          <w:lang w:val="en-GB"/>
        </w:rPr>
        <w:t>Kapadia SR, Leon MB, Makkar RR, Tuzcu EM, Svensson LG, Kodali S, Webb JG, Mack MJ, Douglas PS, Thourani VH, Babaliaros VC, Herrmann HC, Szeto WY, Pichard AD, Williams MR, Fontana GP, Miller DC, Anderson WN, Akin JJ, Davidson MJ, Smith CR; PARTNER trial investigators. 5-year outcomes of transcatheter aortic valve replacement compared with standard treatment for patients with inoperable aortic stenosis (PARTNER 1): a randomised controlled trial. Lancet. 2015;385(9986):2485-91.</w:t>
      </w:r>
    </w:p>
    <w:p w14:paraId="4A99971F" w14:textId="77777777" w:rsidR="00364496" w:rsidRPr="00D0089A" w:rsidRDefault="00C10022" w:rsidP="00207FBE">
      <w:pPr>
        <w:pStyle w:val="CommentText"/>
        <w:numPr>
          <w:ilvl w:val="0"/>
          <w:numId w:val="7"/>
        </w:numPr>
        <w:spacing w:line="480" w:lineRule="auto"/>
        <w:ind w:left="426" w:hanging="426"/>
        <w:rPr>
          <w:rFonts w:cs="Arial"/>
          <w:sz w:val="24"/>
          <w:szCs w:val="24"/>
          <w:lang w:val="en-GB"/>
        </w:rPr>
      </w:pPr>
      <w:r w:rsidRPr="00D0089A">
        <w:rPr>
          <w:rFonts w:cs="Arial"/>
          <w:sz w:val="24"/>
          <w:szCs w:val="24"/>
        </w:rPr>
        <w:t>Subramanian S, Rastan AJ, Holzhey D, Haensig M, Kempfert J, Borger MA, Walther T, Mohr FW. Conventional aortic valve replacement in transcatheter aortic valve implantation candidates: a 5-year experience. Ann Thorac Surg. 2012;94(3):726-9; discussion 729-30.</w:t>
      </w:r>
    </w:p>
    <w:p w14:paraId="47049845" w14:textId="77777777" w:rsidR="00576042" w:rsidRPr="00D0089A" w:rsidRDefault="00364496" w:rsidP="00207FBE">
      <w:pPr>
        <w:pStyle w:val="CommentText"/>
        <w:numPr>
          <w:ilvl w:val="0"/>
          <w:numId w:val="7"/>
        </w:numPr>
        <w:spacing w:line="480" w:lineRule="auto"/>
        <w:ind w:left="426" w:hanging="426"/>
        <w:rPr>
          <w:rFonts w:cs="Arial"/>
          <w:sz w:val="24"/>
          <w:szCs w:val="24"/>
          <w:lang w:val="en-GB"/>
        </w:rPr>
      </w:pPr>
      <w:r w:rsidRPr="00D0089A">
        <w:rPr>
          <w:rFonts w:cs="Arial"/>
          <w:sz w:val="24"/>
          <w:szCs w:val="24"/>
        </w:rPr>
        <w:t>Hernandez-Vaquero D, Diaz R, Alperi A, Almendarez MG, Escalera A,</w:t>
      </w:r>
      <w:r w:rsidRPr="00D0089A">
        <w:rPr>
          <w:rFonts w:cs="Arial"/>
          <w:sz w:val="24"/>
          <w:szCs w:val="24"/>
          <w:lang w:val="en-GB"/>
        </w:rPr>
        <w:t xml:space="preserve"> </w:t>
      </w:r>
      <w:r w:rsidRPr="00D0089A">
        <w:rPr>
          <w:rFonts w:cs="Arial"/>
          <w:sz w:val="24"/>
          <w:szCs w:val="24"/>
        </w:rPr>
        <w:t>Cubero-Gallego H, Avanzas P, Moris C, Pascual I. Life expectancy of patients undergoing surgical aortic valve replacement compared with that of the general population. Interact Cardiovasc Thorac Surg. 2020;30(3):394-399.</w:t>
      </w:r>
    </w:p>
    <w:p w14:paraId="046A8159" w14:textId="77777777" w:rsidR="00576042" w:rsidRPr="00D0089A" w:rsidRDefault="00C87798" w:rsidP="00207FBE">
      <w:pPr>
        <w:pStyle w:val="CommentText"/>
        <w:numPr>
          <w:ilvl w:val="0"/>
          <w:numId w:val="7"/>
        </w:numPr>
        <w:spacing w:line="480" w:lineRule="auto"/>
        <w:ind w:left="426" w:hanging="426"/>
        <w:rPr>
          <w:rFonts w:cs="Arial"/>
          <w:sz w:val="24"/>
          <w:szCs w:val="24"/>
          <w:lang w:val="en-GB"/>
        </w:rPr>
      </w:pPr>
      <w:r w:rsidRPr="00D0089A">
        <w:rPr>
          <w:rFonts w:cs="Arial"/>
          <w:sz w:val="24"/>
          <w:szCs w:val="24"/>
        </w:rPr>
        <w:t>Rosenhek R, Binder T, Porenta G, et al. Predictors of outcome in severe, asymptomatic aortic stenosis. N Engl J Med 2000; 343:611–617.</w:t>
      </w:r>
    </w:p>
    <w:p w14:paraId="46B44CB3" w14:textId="77777777" w:rsidR="00576042" w:rsidRPr="00D0089A" w:rsidRDefault="00C87798" w:rsidP="00207FBE">
      <w:pPr>
        <w:pStyle w:val="CommentText"/>
        <w:numPr>
          <w:ilvl w:val="0"/>
          <w:numId w:val="7"/>
        </w:numPr>
        <w:spacing w:line="480" w:lineRule="auto"/>
        <w:ind w:left="426" w:hanging="426"/>
        <w:rPr>
          <w:rFonts w:cs="Arial"/>
          <w:sz w:val="24"/>
          <w:szCs w:val="24"/>
          <w:lang w:val="en-GB"/>
        </w:rPr>
      </w:pPr>
      <w:r w:rsidRPr="00D0089A">
        <w:rPr>
          <w:rFonts w:cs="Arial"/>
          <w:sz w:val="24"/>
          <w:szCs w:val="24"/>
        </w:rPr>
        <w:t>Rosenhek R, Zilberszac R, Schemper M, et al</w:t>
      </w:r>
      <w:r w:rsidR="00576042" w:rsidRPr="00D0089A">
        <w:rPr>
          <w:rFonts w:cs="Arial"/>
          <w:sz w:val="24"/>
          <w:szCs w:val="24"/>
        </w:rPr>
        <w:t>.</w:t>
      </w:r>
      <w:r w:rsidRPr="00D0089A">
        <w:rPr>
          <w:rFonts w:cs="Arial"/>
          <w:sz w:val="24"/>
          <w:szCs w:val="24"/>
        </w:rPr>
        <w:t xml:space="preserve"> Natural history of very severe aortic stenosis. Circulation 2010; 121:151–156.</w:t>
      </w:r>
    </w:p>
    <w:p w14:paraId="05CC115F" w14:textId="77777777" w:rsidR="00576042" w:rsidRPr="00D0089A" w:rsidRDefault="00C87798" w:rsidP="00207FBE">
      <w:pPr>
        <w:pStyle w:val="CommentText"/>
        <w:numPr>
          <w:ilvl w:val="0"/>
          <w:numId w:val="7"/>
        </w:numPr>
        <w:spacing w:line="480" w:lineRule="auto"/>
        <w:ind w:left="426" w:hanging="426"/>
        <w:rPr>
          <w:rFonts w:cs="Arial"/>
          <w:sz w:val="24"/>
          <w:szCs w:val="24"/>
          <w:lang w:val="en-GB"/>
        </w:rPr>
      </w:pPr>
      <w:r w:rsidRPr="00D0089A">
        <w:rPr>
          <w:rFonts w:cs="Arial"/>
          <w:sz w:val="24"/>
          <w:szCs w:val="24"/>
        </w:rPr>
        <w:t>Lancellotti P, Donal E, Magne J, et al</w:t>
      </w:r>
      <w:r w:rsidR="00576042" w:rsidRPr="00D0089A">
        <w:rPr>
          <w:rFonts w:cs="Arial"/>
          <w:sz w:val="24"/>
          <w:szCs w:val="24"/>
          <w:lang w:val="en-GB"/>
        </w:rPr>
        <w:t xml:space="preserve">. </w:t>
      </w:r>
      <w:r w:rsidRPr="00D0089A">
        <w:rPr>
          <w:rFonts w:cs="Arial"/>
          <w:sz w:val="24"/>
          <w:szCs w:val="24"/>
        </w:rPr>
        <w:t>Risk stratification in asymptomatic moderate to severe aortic stenosis: the importance of the valvular, arterial and ventricular interplay. Heart 2010; 96:1364–1371.</w:t>
      </w:r>
    </w:p>
    <w:p w14:paraId="7C8DD64F" w14:textId="77777777" w:rsidR="00006C2F" w:rsidRPr="00D0089A" w:rsidRDefault="00006C2F" w:rsidP="00207FBE">
      <w:pPr>
        <w:pStyle w:val="CommentText"/>
        <w:numPr>
          <w:ilvl w:val="0"/>
          <w:numId w:val="7"/>
        </w:numPr>
        <w:spacing w:line="480" w:lineRule="auto"/>
        <w:ind w:left="426" w:hanging="426"/>
        <w:rPr>
          <w:rFonts w:cs="Arial"/>
          <w:sz w:val="24"/>
          <w:szCs w:val="24"/>
          <w:lang w:val="en-GB"/>
        </w:rPr>
      </w:pPr>
      <w:r w:rsidRPr="00D0089A">
        <w:rPr>
          <w:rFonts w:cs="Arial"/>
          <w:sz w:val="24"/>
          <w:szCs w:val="24"/>
          <w:lang w:val="en-GB"/>
        </w:rPr>
        <w:t>Kang DH, Park SJ, Rim JH, Yun SC, Kim DH, Song JM, Choo SJ, Park SW, Song JK, Lee JW, Park PW. Early surgery versus conventional treatment in asymptomatic very severe aortic stenosis. Circulation. 2010;121(13):1502-9.</w:t>
      </w:r>
    </w:p>
    <w:p w14:paraId="007DBFEC" w14:textId="61CDB1BA" w:rsidR="0077677D" w:rsidRPr="005532EF" w:rsidRDefault="0077677D" w:rsidP="00207FBE">
      <w:pPr>
        <w:pStyle w:val="CommentText"/>
        <w:numPr>
          <w:ilvl w:val="0"/>
          <w:numId w:val="7"/>
        </w:numPr>
        <w:spacing w:line="480" w:lineRule="auto"/>
        <w:ind w:left="426" w:hanging="426"/>
        <w:rPr>
          <w:rFonts w:cs="Arial"/>
          <w:sz w:val="24"/>
          <w:szCs w:val="24"/>
          <w:lang w:val="en-GB"/>
        </w:rPr>
      </w:pPr>
      <w:r w:rsidRPr="0077677D">
        <w:rPr>
          <w:rFonts w:cs="Arial"/>
          <w:sz w:val="24"/>
          <w:szCs w:val="24"/>
        </w:rPr>
        <w:t>Malvindi PG, Luthra S, Giritharan S, Kowalewski M, Ohri S. Long-term survival after surgical aortic valve replacement in patients aged 80 years and over</w:t>
      </w:r>
      <w:r>
        <w:rPr>
          <w:rFonts w:cs="Arial"/>
          <w:sz w:val="24"/>
          <w:szCs w:val="24"/>
        </w:rPr>
        <w:t>. Eur J Cardiothorac Surg. 2021</w:t>
      </w:r>
      <w:r w:rsidRPr="0077677D">
        <w:rPr>
          <w:rFonts w:cs="Arial"/>
          <w:sz w:val="24"/>
          <w:szCs w:val="24"/>
        </w:rPr>
        <w:t>;60(3):671-678.</w:t>
      </w:r>
    </w:p>
    <w:p w14:paraId="7B35F4EA" w14:textId="73386658" w:rsidR="00576042" w:rsidRPr="00D0089A" w:rsidRDefault="00006C2F" w:rsidP="00207FBE">
      <w:pPr>
        <w:pStyle w:val="CommentText"/>
        <w:numPr>
          <w:ilvl w:val="0"/>
          <w:numId w:val="7"/>
        </w:numPr>
        <w:spacing w:line="480" w:lineRule="auto"/>
        <w:ind w:left="426" w:hanging="426"/>
        <w:rPr>
          <w:rFonts w:cs="Arial"/>
          <w:sz w:val="24"/>
          <w:szCs w:val="24"/>
          <w:lang w:val="en-GB"/>
        </w:rPr>
      </w:pPr>
      <w:r w:rsidRPr="00D0089A">
        <w:rPr>
          <w:rFonts w:cs="Arial"/>
          <w:sz w:val="24"/>
          <w:szCs w:val="24"/>
          <w:lang w:val="en-GB"/>
        </w:rPr>
        <w:t>D'Agostino RS, Jacobs JP, Badhwar V, Fernandez FG, Paone G, Wormuth DW, Shahian DM. The Society of Thoracic Surgeons Adult Cardiac Surgery Database: 2019 Update on Outcomes and Quality. Ann Thorac Surg. 2019;107(1):24-32.</w:t>
      </w:r>
    </w:p>
    <w:p w14:paraId="72E0FCA9" w14:textId="77777777" w:rsidR="00B94F93" w:rsidRDefault="00B94F93" w:rsidP="00207FBE">
      <w:pPr>
        <w:spacing w:line="480" w:lineRule="auto"/>
        <w:rPr>
          <w:sz w:val="24"/>
        </w:rPr>
      </w:pPr>
      <w:r>
        <w:rPr>
          <w:sz w:val="24"/>
        </w:rPr>
        <w:br w:type="page"/>
      </w:r>
    </w:p>
    <w:p w14:paraId="2FD74F1F" w14:textId="77777777" w:rsidR="00864698" w:rsidRPr="00864698" w:rsidRDefault="00864698" w:rsidP="00207FBE">
      <w:pPr>
        <w:spacing w:line="480" w:lineRule="auto"/>
        <w:rPr>
          <w:b/>
          <w:bCs/>
          <w:sz w:val="24"/>
        </w:rPr>
      </w:pPr>
      <w:r w:rsidRPr="00864698">
        <w:rPr>
          <w:b/>
          <w:bCs/>
          <w:sz w:val="24"/>
        </w:rPr>
        <w:t xml:space="preserve">Tables </w:t>
      </w:r>
    </w:p>
    <w:p w14:paraId="6BDF1697" w14:textId="72031241" w:rsidR="00AC5986" w:rsidRPr="00864698" w:rsidRDefault="00AC5986" w:rsidP="00207FBE">
      <w:pPr>
        <w:spacing w:line="480" w:lineRule="auto"/>
        <w:rPr>
          <w:bCs/>
          <w:sz w:val="24"/>
        </w:rPr>
      </w:pPr>
      <w:r w:rsidRPr="00864698">
        <w:rPr>
          <w:bCs/>
          <w:sz w:val="24"/>
        </w:rPr>
        <w:t xml:space="preserve">Table </w:t>
      </w:r>
      <w:r w:rsidR="00E901A7" w:rsidRPr="00864698">
        <w:rPr>
          <w:bCs/>
          <w:sz w:val="24"/>
        </w:rPr>
        <w:t>1</w:t>
      </w:r>
      <w:r w:rsidRPr="00864698">
        <w:rPr>
          <w:bCs/>
          <w:sz w:val="24"/>
        </w:rPr>
        <w:t xml:space="preserve">. Demographics for patients that underwent </w:t>
      </w:r>
      <w:r w:rsidR="00660A40" w:rsidRPr="00864698">
        <w:rPr>
          <w:bCs/>
          <w:sz w:val="24"/>
        </w:rPr>
        <w:t xml:space="preserve">reconsidered </w:t>
      </w:r>
      <w:r w:rsidR="004C4A8F" w:rsidRPr="00864698">
        <w:rPr>
          <w:bCs/>
          <w:sz w:val="24"/>
        </w:rPr>
        <w:t>S</w:t>
      </w:r>
      <w:r w:rsidR="00660A40" w:rsidRPr="00864698">
        <w:rPr>
          <w:bCs/>
          <w:sz w:val="24"/>
        </w:rPr>
        <w:t xml:space="preserve">urgical </w:t>
      </w:r>
      <w:r w:rsidR="004C4A8F" w:rsidRPr="00864698">
        <w:rPr>
          <w:bCs/>
          <w:sz w:val="24"/>
        </w:rPr>
        <w:t>A</w:t>
      </w:r>
      <w:r w:rsidR="00660A40" w:rsidRPr="00864698">
        <w:rPr>
          <w:bCs/>
          <w:sz w:val="24"/>
        </w:rPr>
        <w:t xml:space="preserve">ortic </w:t>
      </w:r>
      <w:r w:rsidR="004C4A8F" w:rsidRPr="00864698">
        <w:rPr>
          <w:bCs/>
          <w:sz w:val="24"/>
        </w:rPr>
        <w:t>V</w:t>
      </w:r>
      <w:r w:rsidR="00660A40" w:rsidRPr="00864698">
        <w:rPr>
          <w:bCs/>
          <w:sz w:val="24"/>
        </w:rPr>
        <w:t xml:space="preserve">alve </w:t>
      </w:r>
      <w:r w:rsidR="004C4A8F" w:rsidRPr="00864698">
        <w:rPr>
          <w:bCs/>
          <w:sz w:val="24"/>
        </w:rPr>
        <w:t>R</w:t>
      </w:r>
      <w:r w:rsidR="00660A40" w:rsidRPr="00864698">
        <w:rPr>
          <w:bCs/>
          <w:sz w:val="24"/>
        </w:rPr>
        <w:t>eplacement</w:t>
      </w:r>
      <w:r w:rsidR="007E4ABE" w:rsidRPr="00864698">
        <w:rPr>
          <w:bCs/>
          <w:sz w:val="24"/>
        </w:rPr>
        <w:t xml:space="preserve"> </w:t>
      </w:r>
      <w:r w:rsidR="004C4A8F" w:rsidRPr="00864698">
        <w:rPr>
          <w:bCs/>
          <w:sz w:val="24"/>
        </w:rPr>
        <w:t>(</w:t>
      </w:r>
      <w:r w:rsidR="007E4ABE" w:rsidRPr="00864698">
        <w:rPr>
          <w:bCs/>
          <w:sz w:val="24"/>
        </w:rPr>
        <w:t>rSAVR)</w:t>
      </w:r>
    </w:p>
    <w:p w14:paraId="0902D24E" w14:textId="15B56B04" w:rsidR="00AE2B00" w:rsidRPr="00864698" w:rsidRDefault="00AE2B00" w:rsidP="00207FBE">
      <w:pPr>
        <w:spacing w:line="480" w:lineRule="auto"/>
        <w:rPr>
          <w:rFonts w:cs="Arial"/>
          <w:bCs/>
          <w:sz w:val="24"/>
        </w:rPr>
      </w:pPr>
      <w:r w:rsidRPr="00864698">
        <w:rPr>
          <w:rFonts w:cs="Arial"/>
          <w:bCs/>
          <w:sz w:val="24"/>
        </w:rPr>
        <w:t xml:space="preserve">Table </w:t>
      </w:r>
      <w:r w:rsidR="001042A2" w:rsidRPr="00864698">
        <w:rPr>
          <w:rFonts w:cs="Arial"/>
          <w:bCs/>
          <w:sz w:val="24"/>
        </w:rPr>
        <w:t>2</w:t>
      </w:r>
      <w:r w:rsidRPr="00864698">
        <w:rPr>
          <w:rFonts w:cs="Arial"/>
          <w:bCs/>
          <w:sz w:val="24"/>
        </w:rPr>
        <w:t xml:space="preserve">. Reasons for </w:t>
      </w:r>
      <w:r w:rsidR="00D0315E" w:rsidRPr="00864698">
        <w:rPr>
          <w:rFonts w:cs="Arial"/>
          <w:bCs/>
          <w:sz w:val="24"/>
        </w:rPr>
        <w:t>denial of</w:t>
      </w:r>
      <w:r w:rsidRPr="00864698">
        <w:rPr>
          <w:rFonts w:cs="Arial"/>
          <w:bCs/>
          <w:sz w:val="24"/>
        </w:rPr>
        <w:t xml:space="preserve"> transcatheter aortic valve implantation</w:t>
      </w:r>
      <w:r w:rsidR="00D0315E" w:rsidRPr="00864698">
        <w:rPr>
          <w:rFonts w:cs="Arial"/>
          <w:bCs/>
          <w:sz w:val="24"/>
        </w:rPr>
        <w:t xml:space="preserve"> (TAVI) after multidisciplinary team discussion</w:t>
      </w:r>
    </w:p>
    <w:p w14:paraId="606C32CA" w14:textId="6BD72E53" w:rsidR="00E901A7" w:rsidRDefault="00E901A7" w:rsidP="00207FBE">
      <w:pPr>
        <w:spacing w:line="480" w:lineRule="auto"/>
        <w:rPr>
          <w:rFonts w:cs="Arial"/>
          <w:bCs/>
          <w:sz w:val="24"/>
        </w:rPr>
      </w:pPr>
      <w:r w:rsidRPr="00864698">
        <w:rPr>
          <w:rFonts w:cs="Arial"/>
          <w:bCs/>
          <w:sz w:val="24"/>
        </w:rPr>
        <w:t xml:space="preserve">Table </w:t>
      </w:r>
      <w:r w:rsidR="001042A2" w:rsidRPr="00864698">
        <w:rPr>
          <w:rFonts w:cs="Arial"/>
          <w:bCs/>
          <w:sz w:val="24"/>
        </w:rPr>
        <w:t>3</w:t>
      </w:r>
      <w:r w:rsidR="00C253FD" w:rsidRPr="00864698">
        <w:rPr>
          <w:rFonts w:cs="Arial"/>
          <w:bCs/>
          <w:sz w:val="24"/>
        </w:rPr>
        <w:t>.</w:t>
      </w:r>
      <w:r w:rsidRPr="00864698">
        <w:rPr>
          <w:rFonts w:cs="Arial"/>
          <w:bCs/>
          <w:sz w:val="24"/>
        </w:rPr>
        <w:t xml:space="preserve"> Outcomes</w:t>
      </w:r>
      <w:r w:rsidR="004C4A8F" w:rsidRPr="00864698">
        <w:rPr>
          <w:rFonts w:cs="Arial"/>
          <w:bCs/>
          <w:sz w:val="24"/>
        </w:rPr>
        <w:t xml:space="preserve"> of reconsidered Surgical Aortic Valve Replacement (rSAVR)</w:t>
      </w:r>
    </w:p>
    <w:p w14:paraId="66CC58FB" w14:textId="3313AD98" w:rsidR="00D0089A" w:rsidRPr="00864698" w:rsidRDefault="00B0188E" w:rsidP="00207FBE">
      <w:pPr>
        <w:spacing w:line="480" w:lineRule="auto"/>
        <w:rPr>
          <w:rFonts w:cs="Arial"/>
          <w:bCs/>
          <w:sz w:val="24"/>
        </w:rPr>
      </w:pPr>
      <w:r w:rsidRPr="00864698">
        <w:rPr>
          <w:rFonts w:cs="Arial"/>
          <w:bCs/>
          <w:sz w:val="24"/>
        </w:rPr>
        <w:t xml:space="preserve">Table </w:t>
      </w:r>
      <w:r w:rsidR="001042A2" w:rsidRPr="00864698">
        <w:rPr>
          <w:rFonts w:cs="Arial"/>
          <w:bCs/>
          <w:sz w:val="24"/>
        </w:rPr>
        <w:t>4</w:t>
      </w:r>
      <w:r w:rsidR="00AC5986" w:rsidRPr="00864698">
        <w:rPr>
          <w:rFonts w:cs="Arial"/>
          <w:bCs/>
          <w:sz w:val="24"/>
        </w:rPr>
        <w:t xml:space="preserve">. Cox </w:t>
      </w:r>
      <w:r w:rsidR="00C01971" w:rsidRPr="00864698">
        <w:rPr>
          <w:rFonts w:cs="Arial"/>
          <w:bCs/>
          <w:sz w:val="24"/>
        </w:rPr>
        <w:t xml:space="preserve">proportional hazards </w:t>
      </w:r>
      <w:r w:rsidR="00AC5986" w:rsidRPr="00864698">
        <w:rPr>
          <w:rFonts w:cs="Arial"/>
          <w:bCs/>
          <w:sz w:val="24"/>
        </w:rPr>
        <w:t xml:space="preserve">model for </w:t>
      </w:r>
      <w:r w:rsidR="00F77F04" w:rsidRPr="00864698">
        <w:rPr>
          <w:rFonts w:cs="Arial"/>
          <w:bCs/>
          <w:sz w:val="24"/>
        </w:rPr>
        <w:t xml:space="preserve">long term </w:t>
      </w:r>
      <w:r w:rsidR="00AC5986" w:rsidRPr="00864698">
        <w:rPr>
          <w:rFonts w:cs="Arial"/>
          <w:bCs/>
          <w:sz w:val="24"/>
        </w:rPr>
        <w:t xml:space="preserve">survival </w:t>
      </w:r>
      <w:r w:rsidR="00E15083" w:rsidRPr="00864698">
        <w:rPr>
          <w:rFonts w:cs="Arial"/>
          <w:bCs/>
          <w:sz w:val="24"/>
        </w:rPr>
        <w:t>(rSAVR and conservative management)</w:t>
      </w:r>
    </w:p>
    <w:p w14:paraId="7E5BBE35" w14:textId="10261520" w:rsidR="001042A2" w:rsidRPr="00864698" w:rsidRDefault="001042A2" w:rsidP="00207FBE">
      <w:pPr>
        <w:spacing w:line="480" w:lineRule="auto"/>
        <w:rPr>
          <w:rFonts w:cs="Arial"/>
          <w:bCs/>
          <w:sz w:val="24"/>
        </w:rPr>
      </w:pPr>
      <w:r w:rsidRPr="00864698">
        <w:rPr>
          <w:rFonts w:cs="Arial"/>
          <w:bCs/>
          <w:sz w:val="24"/>
        </w:rPr>
        <w:t>Supplementary Table 1 – Operative characteristics of reconsidered Surgical Aortic Valve Replacement (rSAVR) group</w:t>
      </w:r>
    </w:p>
    <w:p w14:paraId="5B1BE5FF" w14:textId="3183FEEB" w:rsidR="001042A2" w:rsidRPr="0085090A" w:rsidRDefault="001042A2" w:rsidP="00207FBE">
      <w:pPr>
        <w:spacing w:line="480" w:lineRule="auto"/>
        <w:rPr>
          <w:rFonts w:cs="Arial"/>
          <w:sz w:val="16"/>
          <w:szCs w:val="20"/>
        </w:rPr>
      </w:pPr>
      <w:r w:rsidRPr="0085090A">
        <w:rPr>
          <w:rFonts w:cs="Arial"/>
        </w:rPr>
        <w:t xml:space="preserve"> </w:t>
      </w:r>
    </w:p>
    <w:p w14:paraId="0BDC113E" w14:textId="77777777" w:rsidR="00010E3C" w:rsidRDefault="00010E3C" w:rsidP="00207FBE">
      <w:pPr>
        <w:spacing w:line="480" w:lineRule="auto"/>
        <w:rPr>
          <w:b/>
          <w:bCs/>
          <w:sz w:val="24"/>
        </w:rPr>
      </w:pPr>
      <w:r>
        <w:rPr>
          <w:b/>
          <w:bCs/>
          <w:sz w:val="24"/>
        </w:rPr>
        <w:t>F</w:t>
      </w:r>
      <w:r w:rsidR="00DA5A6A" w:rsidRPr="00191D54">
        <w:rPr>
          <w:b/>
          <w:bCs/>
          <w:sz w:val="24"/>
        </w:rPr>
        <w:t>IGURE</w:t>
      </w:r>
      <w:r w:rsidR="00DA5A6A">
        <w:rPr>
          <w:b/>
          <w:bCs/>
          <w:sz w:val="24"/>
        </w:rPr>
        <w:t xml:space="preserve"> LEGENDS</w:t>
      </w:r>
    </w:p>
    <w:p w14:paraId="1BA27305" w14:textId="148E417B" w:rsidR="003D504D" w:rsidRPr="00191D54" w:rsidRDefault="003D504D" w:rsidP="00207FBE">
      <w:pPr>
        <w:spacing w:line="480" w:lineRule="auto"/>
        <w:rPr>
          <w:i/>
          <w:sz w:val="24"/>
        </w:rPr>
      </w:pPr>
      <w:r>
        <w:rPr>
          <w:sz w:val="24"/>
        </w:rPr>
        <w:t>Figure 1</w:t>
      </w:r>
      <w:r w:rsidRPr="00191D54">
        <w:rPr>
          <w:sz w:val="24"/>
        </w:rPr>
        <w:t xml:space="preserve">. </w:t>
      </w:r>
      <w:r>
        <w:rPr>
          <w:sz w:val="24"/>
        </w:rPr>
        <w:t>STROBE (</w:t>
      </w:r>
      <w:r w:rsidRPr="00F84A71">
        <w:rPr>
          <w:sz w:val="24"/>
        </w:rPr>
        <w:t>Strengthening the Reporting of Observational Studies in Epidemiology</w:t>
      </w:r>
      <w:r>
        <w:rPr>
          <w:sz w:val="24"/>
        </w:rPr>
        <w:t>) d</w:t>
      </w:r>
      <w:r w:rsidRPr="00191D54">
        <w:rPr>
          <w:sz w:val="24"/>
        </w:rPr>
        <w:t>ata flow chart for the study for cases</w:t>
      </w:r>
      <w:r>
        <w:rPr>
          <w:sz w:val="24"/>
        </w:rPr>
        <w:t xml:space="preserve"> and controls</w:t>
      </w:r>
      <w:r w:rsidRPr="00191D54">
        <w:rPr>
          <w:sz w:val="24"/>
        </w:rPr>
        <w:t xml:space="preserve"> discuss</w:t>
      </w:r>
      <w:r w:rsidR="00C92AE1">
        <w:rPr>
          <w:sz w:val="24"/>
        </w:rPr>
        <w:t xml:space="preserve">ed at the Transcatheter Aortic </w:t>
      </w:r>
      <w:r w:rsidRPr="00191D54">
        <w:rPr>
          <w:sz w:val="24"/>
        </w:rPr>
        <w:t xml:space="preserve">Valve Implantation multidisciplinary meeting. </w:t>
      </w:r>
      <w:r w:rsidRPr="00191D54">
        <w:rPr>
          <w:i/>
          <w:sz w:val="24"/>
        </w:rPr>
        <w:t>TAVI – transcatheter aortic valve replacement, rSAVR - reconsidered Surgical Aortic Valve Replacement.</w:t>
      </w:r>
    </w:p>
    <w:p w14:paraId="529ABB74" w14:textId="77777777" w:rsidR="00D90D88" w:rsidRDefault="00DA5A6A" w:rsidP="00207FBE">
      <w:pPr>
        <w:spacing w:line="480" w:lineRule="auto"/>
        <w:rPr>
          <w:sz w:val="24"/>
        </w:rPr>
      </w:pPr>
      <w:r w:rsidRPr="00191D54">
        <w:rPr>
          <w:sz w:val="24"/>
        </w:rPr>
        <w:t xml:space="preserve">Figure </w:t>
      </w:r>
      <w:r w:rsidR="001042A2">
        <w:rPr>
          <w:sz w:val="24"/>
        </w:rPr>
        <w:t>2</w:t>
      </w:r>
      <w:r w:rsidRPr="00191D54">
        <w:rPr>
          <w:sz w:val="24"/>
        </w:rPr>
        <w:t>. Overall survival</w:t>
      </w:r>
    </w:p>
    <w:p w14:paraId="61FD919D" w14:textId="77777777" w:rsidR="00D90D88" w:rsidRDefault="00DA5A6A" w:rsidP="00207FBE">
      <w:pPr>
        <w:spacing w:line="480" w:lineRule="auto"/>
        <w:rPr>
          <w:sz w:val="24"/>
        </w:rPr>
      </w:pPr>
      <w:r w:rsidRPr="00191D54">
        <w:rPr>
          <w:sz w:val="24"/>
        </w:rPr>
        <w:t xml:space="preserve">Figure </w:t>
      </w:r>
      <w:r w:rsidR="001042A2">
        <w:rPr>
          <w:sz w:val="24"/>
        </w:rPr>
        <w:t>3</w:t>
      </w:r>
      <w:r w:rsidRPr="00191D54">
        <w:rPr>
          <w:sz w:val="24"/>
        </w:rPr>
        <w:t>. Survival by non-octogenarians (A) and octogenarians (B)</w:t>
      </w:r>
    </w:p>
    <w:p w14:paraId="25DDAAAD" w14:textId="77777777" w:rsidR="00D90D88" w:rsidRDefault="00DA5A6A" w:rsidP="00207FBE">
      <w:pPr>
        <w:spacing w:line="480" w:lineRule="auto"/>
        <w:rPr>
          <w:sz w:val="24"/>
        </w:rPr>
      </w:pPr>
      <w:r w:rsidRPr="00191D54">
        <w:rPr>
          <w:sz w:val="24"/>
        </w:rPr>
        <w:t xml:space="preserve">Figure </w:t>
      </w:r>
      <w:r w:rsidR="001042A2">
        <w:rPr>
          <w:sz w:val="24"/>
        </w:rPr>
        <w:t>4</w:t>
      </w:r>
      <w:r w:rsidRPr="00191D54">
        <w:rPr>
          <w:sz w:val="24"/>
        </w:rPr>
        <w:t>. Survival by clinical (A) and technical (B) causes of denial for transcatheter aortic valve replacement</w:t>
      </w:r>
    </w:p>
    <w:p w14:paraId="3FDD72F3" w14:textId="1619E450" w:rsidR="00704BF8" w:rsidRPr="00B0188E" w:rsidRDefault="00DA5A6A" w:rsidP="00207FBE">
      <w:pPr>
        <w:spacing w:line="480" w:lineRule="auto"/>
        <w:rPr>
          <w:sz w:val="24"/>
        </w:rPr>
      </w:pPr>
      <w:r w:rsidRPr="00191D54">
        <w:rPr>
          <w:sz w:val="24"/>
        </w:rPr>
        <w:t xml:space="preserve">Figure </w:t>
      </w:r>
      <w:r w:rsidR="001042A2">
        <w:rPr>
          <w:sz w:val="24"/>
        </w:rPr>
        <w:t>5</w:t>
      </w:r>
      <w:r w:rsidRPr="00191D54">
        <w:rPr>
          <w:sz w:val="24"/>
        </w:rPr>
        <w:t>. Survival by low (A) and high-risk\ multiple co-morbidities (B) candidate as a cause of denial of transcatheter aortic valve replacement</w:t>
      </w:r>
    </w:p>
    <w:sectPr w:rsidR="00704BF8" w:rsidRPr="00B0188E" w:rsidSect="00FC031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7298C" w14:textId="77777777" w:rsidR="00F549FA" w:rsidRDefault="00F549FA" w:rsidP="009E094C">
      <w:r>
        <w:separator/>
      </w:r>
    </w:p>
  </w:endnote>
  <w:endnote w:type="continuationSeparator" w:id="0">
    <w:p w14:paraId="54545C49" w14:textId="77777777" w:rsidR="00F549FA" w:rsidRDefault="00F549FA" w:rsidP="009E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973027"/>
      <w:docPartObj>
        <w:docPartGallery w:val="Page Numbers (Bottom of Page)"/>
        <w:docPartUnique/>
      </w:docPartObj>
    </w:sdtPr>
    <w:sdtEndPr>
      <w:rPr>
        <w:noProof/>
      </w:rPr>
    </w:sdtEndPr>
    <w:sdtContent>
      <w:p w14:paraId="2E94574E" w14:textId="179FFBD9" w:rsidR="00B72F42" w:rsidRDefault="00B72F42">
        <w:pPr>
          <w:pStyle w:val="Footer"/>
          <w:jc w:val="center"/>
        </w:pPr>
        <w:r>
          <w:fldChar w:fldCharType="begin"/>
        </w:r>
        <w:r>
          <w:instrText xml:space="preserve"> PAGE   \* MERGEFORMAT </w:instrText>
        </w:r>
        <w:r>
          <w:fldChar w:fldCharType="separate"/>
        </w:r>
        <w:r w:rsidR="00F549FA">
          <w:rPr>
            <w:noProof/>
          </w:rPr>
          <w:t>1</w:t>
        </w:r>
        <w:r>
          <w:rPr>
            <w:noProof/>
          </w:rPr>
          <w:fldChar w:fldCharType="end"/>
        </w:r>
      </w:p>
    </w:sdtContent>
  </w:sdt>
  <w:p w14:paraId="7EB206D9" w14:textId="77777777" w:rsidR="00B72F42" w:rsidRDefault="00B72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C5AC6" w14:textId="77777777" w:rsidR="00F549FA" w:rsidRDefault="00F549FA" w:rsidP="009E094C">
      <w:r>
        <w:separator/>
      </w:r>
    </w:p>
  </w:footnote>
  <w:footnote w:type="continuationSeparator" w:id="0">
    <w:p w14:paraId="6C5AC751" w14:textId="77777777" w:rsidR="00F549FA" w:rsidRDefault="00F549FA" w:rsidP="009E0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CB"/>
    <w:multiLevelType w:val="hybridMultilevel"/>
    <w:tmpl w:val="67BC0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D2B77"/>
    <w:multiLevelType w:val="multilevel"/>
    <w:tmpl w:val="5858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A356C"/>
    <w:multiLevelType w:val="hybridMultilevel"/>
    <w:tmpl w:val="431C0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56FAE"/>
    <w:multiLevelType w:val="hybridMultilevel"/>
    <w:tmpl w:val="5B647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0C7651"/>
    <w:multiLevelType w:val="multilevel"/>
    <w:tmpl w:val="9C480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B048E"/>
    <w:multiLevelType w:val="hybridMultilevel"/>
    <w:tmpl w:val="5ED0E4AE"/>
    <w:lvl w:ilvl="0" w:tplc="DFB00398">
      <w:start w:val="35"/>
      <w:numFmt w:val="bullet"/>
      <w:lvlText w:val=""/>
      <w:lvlJc w:val="left"/>
      <w:pPr>
        <w:ind w:left="720" w:hanging="360"/>
      </w:pPr>
      <w:rPr>
        <w:rFonts w:ascii="Symbol" w:eastAsia="Times New Roman" w:hAnsi="Symbol"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A4E5E"/>
    <w:multiLevelType w:val="hybridMultilevel"/>
    <w:tmpl w:val="E3D4E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30129"/>
    <w:multiLevelType w:val="hybridMultilevel"/>
    <w:tmpl w:val="1CB0E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A173A4"/>
    <w:multiLevelType w:val="hybridMultilevel"/>
    <w:tmpl w:val="7C507B2E"/>
    <w:lvl w:ilvl="0" w:tplc="8BF0EEE6">
      <w:start w:val="35"/>
      <w:numFmt w:val="bullet"/>
      <w:lvlText w:val=""/>
      <w:lvlJc w:val="left"/>
      <w:pPr>
        <w:ind w:left="720" w:hanging="360"/>
      </w:pPr>
      <w:rPr>
        <w:rFonts w:ascii="Symbol" w:eastAsia="Times New Roman" w:hAnsi="Symbol"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A73815"/>
    <w:multiLevelType w:val="multilevel"/>
    <w:tmpl w:val="569E3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9"/>
  </w:num>
  <w:num w:numId="5">
    <w:abstractNumId w:val="7"/>
  </w:num>
  <w:num w:numId="6">
    <w:abstractNumId w:val="2"/>
  </w:num>
  <w:num w:numId="7">
    <w:abstractNumId w:val="6"/>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55"/>
    <w:rsid w:val="00001861"/>
    <w:rsid w:val="0000471E"/>
    <w:rsid w:val="00006C2F"/>
    <w:rsid w:val="00010E3C"/>
    <w:rsid w:val="00012F2F"/>
    <w:rsid w:val="00017417"/>
    <w:rsid w:val="000266DD"/>
    <w:rsid w:val="00037348"/>
    <w:rsid w:val="0003763F"/>
    <w:rsid w:val="0003782B"/>
    <w:rsid w:val="00040EF6"/>
    <w:rsid w:val="0004149E"/>
    <w:rsid w:val="000430AA"/>
    <w:rsid w:val="00063E37"/>
    <w:rsid w:val="00067740"/>
    <w:rsid w:val="00073DB1"/>
    <w:rsid w:val="000857F3"/>
    <w:rsid w:val="000861B7"/>
    <w:rsid w:val="0009260E"/>
    <w:rsid w:val="000937ED"/>
    <w:rsid w:val="00094C31"/>
    <w:rsid w:val="000B2DE7"/>
    <w:rsid w:val="000D271B"/>
    <w:rsid w:val="000E4065"/>
    <w:rsid w:val="000E7CFD"/>
    <w:rsid w:val="000F3309"/>
    <w:rsid w:val="00101ADA"/>
    <w:rsid w:val="00102C85"/>
    <w:rsid w:val="001042A2"/>
    <w:rsid w:val="00105EF4"/>
    <w:rsid w:val="0013144D"/>
    <w:rsid w:val="001469EF"/>
    <w:rsid w:val="00156DC0"/>
    <w:rsid w:val="00184381"/>
    <w:rsid w:val="001919F1"/>
    <w:rsid w:val="001A3F4D"/>
    <w:rsid w:val="001A619B"/>
    <w:rsid w:val="001A7BCD"/>
    <w:rsid w:val="001B32BA"/>
    <w:rsid w:val="001C0F19"/>
    <w:rsid w:val="001D1E76"/>
    <w:rsid w:val="001E654F"/>
    <w:rsid w:val="001F7A47"/>
    <w:rsid w:val="00206FFD"/>
    <w:rsid w:val="00207FBE"/>
    <w:rsid w:val="00221F15"/>
    <w:rsid w:val="00233E32"/>
    <w:rsid w:val="00234D27"/>
    <w:rsid w:val="00247701"/>
    <w:rsid w:val="00247837"/>
    <w:rsid w:val="00256C45"/>
    <w:rsid w:val="002900BF"/>
    <w:rsid w:val="002902DB"/>
    <w:rsid w:val="00291C9D"/>
    <w:rsid w:val="00293140"/>
    <w:rsid w:val="00296667"/>
    <w:rsid w:val="002A317A"/>
    <w:rsid w:val="002A7594"/>
    <w:rsid w:val="002B6557"/>
    <w:rsid w:val="002D2676"/>
    <w:rsid w:val="002D4340"/>
    <w:rsid w:val="002D4CF8"/>
    <w:rsid w:val="002E0BAD"/>
    <w:rsid w:val="002E49F0"/>
    <w:rsid w:val="002F0575"/>
    <w:rsid w:val="002F5FB9"/>
    <w:rsid w:val="002F7651"/>
    <w:rsid w:val="00307315"/>
    <w:rsid w:val="00311659"/>
    <w:rsid w:val="003612B4"/>
    <w:rsid w:val="00364496"/>
    <w:rsid w:val="0037086D"/>
    <w:rsid w:val="003709BB"/>
    <w:rsid w:val="00376778"/>
    <w:rsid w:val="00385CAE"/>
    <w:rsid w:val="003923F4"/>
    <w:rsid w:val="003A15BB"/>
    <w:rsid w:val="003A4007"/>
    <w:rsid w:val="003A69CA"/>
    <w:rsid w:val="003B0DB4"/>
    <w:rsid w:val="003D07F9"/>
    <w:rsid w:val="003D504D"/>
    <w:rsid w:val="003D701D"/>
    <w:rsid w:val="003F023E"/>
    <w:rsid w:val="003F60F6"/>
    <w:rsid w:val="0041126C"/>
    <w:rsid w:val="004130BD"/>
    <w:rsid w:val="00437C8A"/>
    <w:rsid w:val="00441E7C"/>
    <w:rsid w:val="004504A4"/>
    <w:rsid w:val="004523C5"/>
    <w:rsid w:val="0046070C"/>
    <w:rsid w:val="00464D63"/>
    <w:rsid w:val="00465965"/>
    <w:rsid w:val="00471EA8"/>
    <w:rsid w:val="00477EAC"/>
    <w:rsid w:val="00483674"/>
    <w:rsid w:val="00486761"/>
    <w:rsid w:val="004942DB"/>
    <w:rsid w:val="00494D1E"/>
    <w:rsid w:val="004A418D"/>
    <w:rsid w:val="004C4A8F"/>
    <w:rsid w:val="004D015F"/>
    <w:rsid w:val="004D6684"/>
    <w:rsid w:val="004E3DC6"/>
    <w:rsid w:val="004E6A4C"/>
    <w:rsid w:val="004E6B12"/>
    <w:rsid w:val="004E71B9"/>
    <w:rsid w:val="004F49F2"/>
    <w:rsid w:val="004F6CA4"/>
    <w:rsid w:val="004F7D7F"/>
    <w:rsid w:val="0050071A"/>
    <w:rsid w:val="00520262"/>
    <w:rsid w:val="0052117C"/>
    <w:rsid w:val="00522524"/>
    <w:rsid w:val="00535AD5"/>
    <w:rsid w:val="00543C3F"/>
    <w:rsid w:val="005451A0"/>
    <w:rsid w:val="00552322"/>
    <w:rsid w:val="005532EF"/>
    <w:rsid w:val="00553C7D"/>
    <w:rsid w:val="005726F0"/>
    <w:rsid w:val="005742DB"/>
    <w:rsid w:val="00574330"/>
    <w:rsid w:val="00575BE2"/>
    <w:rsid w:val="00576042"/>
    <w:rsid w:val="00577104"/>
    <w:rsid w:val="00581A93"/>
    <w:rsid w:val="005968D7"/>
    <w:rsid w:val="005A36EA"/>
    <w:rsid w:val="005B55DB"/>
    <w:rsid w:val="005C0563"/>
    <w:rsid w:val="005C1253"/>
    <w:rsid w:val="005C69E5"/>
    <w:rsid w:val="005D5D8B"/>
    <w:rsid w:val="005E629B"/>
    <w:rsid w:val="005E7DD8"/>
    <w:rsid w:val="006051A4"/>
    <w:rsid w:val="00624F25"/>
    <w:rsid w:val="0063696C"/>
    <w:rsid w:val="006407A8"/>
    <w:rsid w:val="006440ED"/>
    <w:rsid w:val="00644D6E"/>
    <w:rsid w:val="00655D52"/>
    <w:rsid w:val="00660A40"/>
    <w:rsid w:val="006711BF"/>
    <w:rsid w:val="00673809"/>
    <w:rsid w:val="006753C0"/>
    <w:rsid w:val="0067748E"/>
    <w:rsid w:val="0068226C"/>
    <w:rsid w:val="00682307"/>
    <w:rsid w:val="00687DB3"/>
    <w:rsid w:val="00690E96"/>
    <w:rsid w:val="00693D04"/>
    <w:rsid w:val="00694B4C"/>
    <w:rsid w:val="00696E86"/>
    <w:rsid w:val="006A6753"/>
    <w:rsid w:val="006B3C54"/>
    <w:rsid w:val="006B4F7B"/>
    <w:rsid w:val="006C0FDB"/>
    <w:rsid w:val="006E5B98"/>
    <w:rsid w:val="006E7E98"/>
    <w:rsid w:val="006F177A"/>
    <w:rsid w:val="00704BF8"/>
    <w:rsid w:val="00713906"/>
    <w:rsid w:val="00715BF9"/>
    <w:rsid w:val="00732F90"/>
    <w:rsid w:val="00736B89"/>
    <w:rsid w:val="007374EB"/>
    <w:rsid w:val="00740C27"/>
    <w:rsid w:val="00744854"/>
    <w:rsid w:val="0075096C"/>
    <w:rsid w:val="007542A5"/>
    <w:rsid w:val="0076286D"/>
    <w:rsid w:val="0077677D"/>
    <w:rsid w:val="007900AF"/>
    <w:rsid w:val="00793D80"/>
    <w:rsid w:val="00794780"/>
    <w:rsid w:val="00795E9F"/>
    <w:rsid w:val="007A67BE"/>
    <w:rsid w:val="007B36A0"/>
    <w:rsid w:val="007D58CA"/>
    <w:rsid w:val="007E4ABE"/>
    <w:rsid w:val="007E5BCB"/>
    <w:rsid w:val="007F2265"/>
    <w:rsid w:val="00807085"/>
    <w:rsid w:val="00811CE1"/>
    <w:rsid w:val="00811ED1"/>
    <w:rsid w:val="00816D8E"/>
    <w:rsid w:val="00825142"/>
    <w:rsid w:val="00825C8C"/>
    <w:rsid w:val="00831081"/>
    <w:rsid w:val="008334F0"/>
    <w:rsid w:val="00846C20"/>
    <w:rsid w:val="00847C83"/>
    <w:rsid w:val="0085090A"/>
    <w:rsid w:val="008528E9"/>
    <w:rsid w:val="008628CD"/>
    <w:rsid w:val="00863919"/>
    <w:rsid w:val="00864698"/>
    <w:rsid w:val="00871089"/>
    <w:rsid w:val="00880EF3"/>
    <w:rsid w:val="00886382"/>
    <w:rsid w:val="008A27B8"/>
    <w:rsid w:val="008A3576"/>
    <w:rsid w:val="008A54D9"/>
    <w:rsid w:val="008A636F"/>
    <w:rsid w:val="008B1C1B"/>
    <w:rsid w:val="008E00EE"/>
    <w:rsid w:val="008F2542"/>
    <w:rsid w:val="008F37BA"/>
    <w:rsid w:val="008F48C6"/>
    <w:rsid w:val="008F526F"/>
    <w:rsid w:val="00904460"/>
    <w:rsid w:val="00907086"/>
    <w:rsid w:val="00913DFD"/>
    <w:rsid w:val="00937259"/>
    <w:rsid w:val="00943590"/>
    <w:rsid w:val="00991D53"/>
    <w:rsid w:val="009A7981"/>
    <w:rsid w:val="009B4762"/>
    <w:rsid w:val="009C09ED"/>
    <w:rsid w:val="009C167D"/>
    <w:rsid w:val="009D6ED3"/>
    <w:rsid w:val="009E094C"/>
    <w:rsid w:val="009E39B8"/>
    <w:rsid w:val="009E66CC"/>
    <w:rsid w:val="009E722B"/>
    <w:rsid w:val="009F4558"/>
    <w:rsid w:val="009F6C39"/>
    <w:rsid w:val="00A11435"/>
    <w:rsid w:val="00A13487"/>
    <w:rsid w:val="00A21B6E"/>
    <w:rsid w:val="00A25440"/>
    <w:rsid w:val="00A4368C"/>
    <w:rsid w:val="00A47848"/>
    <w:rsid w:val="00A524C7"/>
    <w:rsid w:val="00A533AE"/>
    <w:rsid w:val="00A61BC5"/>
    <w:rsid w:val="00A62255"/>
    <w:rsid w:val="00A63E98"/>
    <w:rsid w:val="00A658F2"/>
    <w:rsid w:val="00A70AEC"/>
    <w:rsid w:val="00A72C7E"/>
    <w:rsid w:val="00A824DC"/>
    <w:rsid w:val="00A85DB8"/>
    <w:rsid w:val="00A91AE1"/>
    <w:rsid w:val="00A95C64"/>
    <w:rsid w:val="00A97F14"/>
    <w:rsid w:val="00AA5163"/>
    <w:rsid w:val="00AB1023"/>
    <w:rsid w:val="00AB7DB6"/>
    <w:rsid w:val="00AC23E5"/>
    <w:rsid w:val="00AC4D0B"/>
    <w:rsid w:val="00AC5986"/>
    <w:rsid w:val="00AC5B07"/>
    <w:rsid w:val="00AC618F"/>
    <w:rsid w:val="00AD2212"/>
    <w:rsid w:val="00AE2B00"/>
    <w:rsid w:val="00AE509B"/>
    <w:rsid w:val="00AF45B0"/>
    <w:rsid w:val="00AF5B49"/>
    <w:rsid w:val="00B0188E"/>
    <w:rsid w:val="00B050D4"/>
    <w:rsid w:val="00B07E8F"/>
    <w:rsid w:val="00B07FC6"/>
    <w:rsid w:val="00B14400"/>
    <w:rsid w:val="00B22F6C"/>
    <w:rsid w:val="00B23253"/>
    <w:rsid w:val="00B265A0"/>
    <w:rsid w:val="00B32565"/>
    <w:rsid w:val="00B42040"/>
    <w:rsid w:val="00B42703"/>
    <w:rsid w:val="00B53CB6"/>
    <w:rsid w:val="00B56D9F"/>
    <w:rsid w:val="00B679AA"/>
    <w:rsid w:val="00B72067"/>
    <w:rsid w:val="00B72F42"/>
    <w:rsid w:val="00B75DC4"/>
    <w:rsid w:val="00B813EB"/>
    <w:rsid w:val="00B828ED"/>
    <w:rsid w:val="00B947D0"/>
    <w:rsid w:val="00B94F93"/>
    <w:rsid w:val="00BA1BC9"/>
    <w:rsid w:val="00BB4B98"/>
    <w:rsid w:val="00BB5468"/>
    <w:rsid w:val="00BC2E20"/>
    <w:rsid w:val="00BC3A79"/>
    <w:rsid w:val="00BF41A5"/>
    <w:rsid w:val="00BF6591"/>
    <w:rsid w:val="00C01971"/>
    <w:rsid w:val="00C10022"/>
    <w:rsid w:val="00C11B83"/>
    <w:rsid w:val="00C253FD"/>
    <w:rsid w:val="00C327C1"/>
    <w:rsid w:val="00C4114B"/>
    <w:rsid w:val="00C51C27"/>
    <w:rsid w:val="00C53CCB"/>
    <w:rsid w:val="00C6206F"/>
    <w:rsid w:val="00C635AE"/>
    <w:rsid w:val="00C63E64"/>
    <w:rsid w:val="00C7090E"/>
    <w:rsid w:val="00C7719D"/>
    <w:rsid w:val="00C87798"/>
    <w:rsid w:val="00C900B9"/>
    <w:rsid w:val="00C912CB"/>
    <w:rsid w:val="00C92AE1"/>
    <w:rsid w:val="00CA3962"/>
    <w:rsid w:val="00CA7714"/>
    <w:rsid w:val="00CB0054"/>
    <w:rsid w:val="00CB4585"/>
    <w:rsid w:val="00CB4ED0"/>
    <w:rsid w:val="00CC1A1F"/>
    <w:rsid w:val="00CC55A4"/>
    <w:rsid w:val="00CE222B"/>
    <w:rsid w:val="00CE2D49"/>
    <w:rsid w:val="00D0089A"/>
    <w:rsid w:val="00D0315E"/>
    <w:rsid w:val="00D11B9E"/>
    <w:rsid w:val="00D1231F"/>
    <w:rsid w:val="00D1561C"/>
    <w:rsid w:val="00D30257"/>
    <w:rsid w:val="00D35C23"/>
    <w:rsid w:val="00D40457"/>
    <w:rsid w:val="00D4543B"/>
    <w:rsid w:val="00D47C7E"/>
    <w:rsid w:val="00D55C11"/>
    <w:rsid w:val="00D56F2A"/>
    <w:rsid w:val="00D63539"/>
    <w:rsid w:val="00D67860"/>
    <w:rsid w:val="00D90D88"/>
    <w:rsid w:val="00DA5A6A"/>
    <w:rsid w:val="00DA7E2B"/>
    <w:rsid w:val="00DB630C"/>
    <w:rsid w:val="00DC3778"/>
    <w:rsid w:val="00DD093B"/>
    <w:rsid w:val="00DD1143"/>
    <w:rsid w:val="00DD4E72"/>
    <w:rsid w:val="00DD5483"/>
    <w:rsid w:val="00DE0924"/>
    <w:rsid w:val="00DF3F5C"/>
    <w:rsid w:val="00E068A6"/>
    <w:rsid w:val="00E15083"/>
    <w:rsid w:val="00E24145"/>
    <w:rsid w:val="00E27A67"/>
    <w:rsid w:val="00E27FFC"/>
    <w:rsid w:val="00E53DD1"/>
    <w:rsid w:val="00E64354"/>
    <w:rsid w:val="00E83FD1"/>
    <w:rsid w:val="00E8507D"/>
    <w:rsid w:val="00E901A7"/>
    <w:rsid w:val="00E96ECB"/>
    <w:rsid w:val="00E9764E"/>
    <w:rsid w:val="00EA1B16"/>
    <w:rsid w:val="00EB7D6A"/>
    <w:rsid w:val="00EC1638"/>
    <w:rsid w:val="00EC2668"/>
    <w:rsid w:val="00ED69B8"/>
    <w:rsid w:val="00EE0410"/>
    <w:rsid w:val="00EE06DF"/>
    <w:rsid w:val="00EF3718"/>
    <w:rsid w:val="00EF77D1"/>
    <w:rsid w:val="00F03DAD"/>
    <w:rsid w:val="00F07AB6"/>
    <w:rsid w:val="00F108A6"/>
    <w:rsid w:val="00F10D60"/>
    <w:rsid w:val="00F16565"/>
    <w:rsid w:val="00F16C18"/>
    <w:rsid w:val="00F17045"/>
    <w:rsid w:val="00F17636"/>
    <w:rsid w:val="00F237B8"/>
    <w:rsid w:val="00F27389"/>
    <w:rsid w:val="00F4595E"/>
    <w:rsid w:val="00F549FA"/>
    <w:rsid w:val="00F554CE"/>
    <w:rsid w:val="00F57D59"/>
    <w:rsid w:val="00F630B9"/>
    <w:rsid w:val="00F64F2E"/>
    <w:rsid w:val="00F6605F"/>
    <w:rsid w:val="00F72500"/>
    <w:rsid w:val="00F7395E"/>
    <w:rsid w:val="00F77F04"/>
    <w:rsid w:val="00F84A71"/>
    <w:rsid w:val="00F8769F"/>
    <w:rsid w:val="00F87E32"/>
    <w:rsid w:val="00FA3734"/>
    <w:rsid w:val="00FA4B9B"/>
    <w:rsid w:val="00FA4CE4"/>
    <w:rsid w:val="00FB1653"/>
    <w:rsid w:val="00FB7779"/>
    <w:rsid w:val="00FC031B"/>
    <w:rsid w:val="00FD2D06"/>
    <w:rsid w:val="00FE6187"/>
    <w:rsid w:val="00FE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2057"/>
  <w15:chartTrackingRefBased/>
  <w15:docId w15:val="{87AE9EA3-D482-4839-8202-4EBFEACD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63F"/>
    <w:rPr>
      <w:rFonts w:ascii="Segoe UI" w:hAnsi="Segoe UI" w:cs="Segoe UI"/>
      <w:sz w:val="18"/>
      <w:szCs w:val="18"/>
    </w:rPr>
  </w:style>
  <w:style w:type="character" w:styleId="CommentReference">
    <w:name w:val="annotation reference"/>
    <w:basedOn w:val="DefaultParagraphFont"/>
    <w:uiPriority w:val="99"/>
    <w:semiHidden/>
    <w:unhideWhenUsed/>
    <w:rsid w:val="004504A4"/>
    <w:rPr>
      <w:sz w:val="16"/>
      <w:szCs w:val="16"/>
    </w:rPr>
  </w:style>
  <w:style w:type="paragraph" w:styleId="CommentText">
    <w:name w:val="annotation text"/>
    <w:basedOn w:val="Normal"/>
    <w:link w:val="CommentTextChar"/>
    <w:uiPriority w:val="99"/>
    <w:unhideWhenUsed/>
    <w:rsid w:val="004504A4"/>
    <w:rPr>
      <w:szCs w:val="20"/>
    </w:rPr>
  </w:style>
  <w:style w:type="character" w:customStyle="1" w:styleId="CommentTextChar">
    <w:name w:val="Comment Text Char"/>
    <w:basedOn w:val="DefaultParagraphFont"/>
    <w:link w:val="CommentText"/>
    <w:uiPriority w:val="99"/>
    <w:rsid w:val="004504A4"/>
    <w:rPr>
      <w:szCs w:val="20"/>
    </w:rPr>
  </w:style>
  <w:style w:type="paragraph" w:styleId="CommentSubject">
    <w:name w:val="annotation subject"/>
    <w:basedOn w:val="CommentText"/>
    <w:next w:val="CommentText"/>
    <w:link w:val="CommentSubjectChar"/>
    <w:uiPriority w:val="99"/>
    <w:semiHidden/>
    <w:unhideWhenUsed/>
    <w:rsid w:val="004504A4"/>
    <w:rPr>
      <w:b/>
      <w:bCs/>
    </w:rPr>
  </w:style>
  <w:style w:type="character" w:customStyle="1" w:styleId="CommentSubjectChar">
    <w:name w:val="Comment Subject Char"/>
    <w:basedOn w:val="CommentTextChar"/>
    <w:link w:val="CommentSubject"/>
    <w:uiPriority w:val="99"/>
    <w:semiHidden/>
    <w:rsid w:val="004504A4"/>
    <w:rPr>
      <w:b/>
      <w:bCs/>
      <w:szCs w:val="20"/>
    </w:rPr>
  </w:style>
  <w:style w:type="character" w:styleId="Hyperlink">
    <w:name w:val="Hyperlink"/>
    <w:basedOn w:val="DefaultParagraphFont"/>
    <w:uiPriority w:val="99"/>
    <w:unhideWhenUsed/>
    <w:rsid w:val="0068226C"/>
    <w:rPr>
      <w:color w:val="0563C1" w:themeColor="hyperlink"/>
      <w:u w:val="single"/>
    </w:rPr>
  </w:style>
  <w:style w:type="paragraph" w:customStyle="1" w:styleId="product-title">
    <w:name w:val="product-title"/>
    <w:basedOn w:val="Normal"/>
    <w:rsid w:val="00063E37"/>
    <w:pPr>
      <w:spacing w:before="100" w:beforeAutospacing="1" w:after="100" w:afterAutospacing="1"/>
    </w:pPr>
    <w:rPr>
      <w:rFonts w:ascii="Times New Roman" w:eastAsia="Times New Roman" w:hAnsi="Times New Roman" w:cs="Times New Roman"/>
      <w:sz w:val="24"/>
      <w:lang w:val="en-GB" w:eastAsia="en-GB"/>
    </w:rPr>
  </w:style>
  <w:style w:type="character" w:customStyle="1" w:styleId="prod-title">
    <w:name w:val="prod-title"/>
    <w:basedOn w:val="DefaultParagraphFont"/>
    <w:rsid w:val="00063E37"/>
  </w:style>
  <w:style w:type="character" w:customStyle="1" w:styleId="published-date">
    <w:name w:val="published-date"/>
    <w:basedOn w:val="DefaultParagraphFont"/>
    <w:rsid w:val="00063E37"/>
  </w:style>
  <w:style w:type="paragraph" w:styleId="HTMLPreformatted">
    <w:name w:val="HTML Preformatted"/>
    <w:basedOn w:val="Normal"/>
    <w:link w:val="HTMLPreformattedChar"/>
    <w:uiPriority w:val="99"/>
    <w:unhideWhenUsed/>
    <w:rsid w:val="004523C5"/>
    <w:rPr>
      <w:rFonts w:ascii="Consolas" w:hAnsi="Consolas"/>
      <w:szCs w:val="20"/>
    </w:rPr>
  </w:style>
  <w:style w:type="character" w:customStyle="1" w:styleId="HTMLPreformattedChar">
    <w:name w:val="HTML Preformatted Char"/>
    <w:basedOn w:val="DefaultParagraphFont"/>
    <w:link w:val="HTMLPreformatted"/>
    <w:uiPriority w:val="99"/>
    <w:rsid w:val="004523C5"/>
    <w:rPr>
      <w:rFonts w:ascii="Consolas" w:hAnsi="Consolas"/>
      <w:szCs w:val="20"/>
    </w:rPr>
  </w:style>
  <w:style w:type="character" w:customStyle="1" w:styleId="highlight">
    <w:name w:val="highlight"/>
    <w:basedOn w:val="DefaultParagraphFont"/>
    <w:rsid w:val="00581A93"/>
  </w:style>
  <w:style w:type="table" w:styleId="TableGrid">
    <w:name w:val="Table Grid"/>
    <w:basedOn w:val="TableNormal"/>
    <w:uiPriority w:val="39"/>
    <w:rsid w:val="00FB1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022"/>
    <w:pPr>
      <w:ind w:left="720"/>
      <w:contextualSpacing/>
    </w:pPr>
  </w:style>
  <w:style w:type="character" w:customStyle="1" w:styleId="UnresolvedMention">
    <w:name w:val="Unresolved Mention"/>
    <w:basedOn w:val="DefaultParagraphFont"/>
    <w:uiPriority w:val="99"/>
    <w:semiHidden/>
    <w:unhideWhenUsed/>
    <w:rsid w:val="00B94F93"/>
    <w:rPr>
      <w:color w:val="605E5C"/>
      <w:shd w:val="clear" w:color="auto" w:fill="E1DFDD"/>
    </w:rPr>
  </w:style>
  <w:style w:type="paragraph" w:styleId="Header">
    <w:name w:val="header"/>
    <w:basedOn w:val="Normal"/>
    <w:link w:val="HeaderChar"/>
    <w:uiPriority w:val="99"/>
    <w:unhideWhenUsed/>
    <w:rsid w:val="009E094C"/>
    <w:pPr>
      <w:tabs>
        <w:tab w:val="center" w:pos="4513"/>
        <w:tab w:val="right" w:pos="9026"/>
      </w:tabs>
    </w:pPr>
  </w:style>
  <w:style w:type="character" w:customStyle="1" w:styleId="HeaderChar">
    <w:name w:val="Header Char"/>
    <w:basedOn w:val="DefaultParagraphFont"/>
    <w:link w:val="Header"/>
    <w:uiPriority w:val="99"/>
    <w:rsid w:val="009E094C"/>
  </w:style>
  <w:style w:type="paragraph" w:styleId="Footer">
    <w:name w:val="footer"/>
    <w:basedOn w:val="Normal"/>
    <w:link w:val="FooterChar"/>
    <w:uiPriority w:val="99"/>
    <w:unhideWhenUsed/>
    <w:rsid w:val="009E094C"/>
    <w:pPr>
      <w:tabs>
        <w:tab w:val="center" w:pos="4513"/>
        <w:tab w:val="right" w:pos="9026"/>
      </w:tabs>
    </w:pPr>
  </w:style>
  <w:style w:type="character" w:customStyle="1" w:styleId="FooterChar">
    <w:name w:val="Footer Char"/>
    <w:basedOn w:val="DefaultParagraphFont"/>
    <w:link w:val="Footer"/>
    <w:uiPriority w:val="99"/>
    <w:rsid w:val="009E0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2724">
      <w:bodyDiv w:val="1"/>
      <w:marLeft w:val="0"/>
      <w:marRight w:val="0"/>
      <w:marTop w:val="0"/>
      <w:marBottom w:val="0"/>
      <w:divBdr>
        <w:top w:val="none" w:sz="0" w:space="0" w:color="auto"/>
        <w:left w:val="none" w:sz="0" w:space="0" w:color="auto"/>
        <w:bottom w:val="none" w:sz="0" w:space="0" w:color="auto"/>
        <w:right w:val="none" w:sz="0" w:space="0" w:color="auto"/>
      </w:divBdr>
    </w:div>
    <w:div w:id="120004524">
      <w:bodyDiv w:val="1"/>
      <w:marLeft w:val="0"/>
      <w:marRight w:val="0"/>
      <w:marTop w:val="0"/>
      <w:marBottom w:val="0"/>
      <w:divBdr>
        <w:top w:val="none" w:sz="0" w:space="0" w:color="auto"/>
        <w:left w:val="none" w:sz="0" w:space="0" w:color="auto"/>
        <w:bottom w:val="none" w:sz="0" w:space="0" w:color="auto"/>
        <w:right w:val="none" w:sz="0" w:space="0" w:color="auto"/>
      </w:divBdr>
    </w:div>
    <w:div w:id="134952047">
      <w:bodyDiv w:val="1"/>
      <w:marLeft w:val="0"/>
      <w:marRight w:val="0"/>
      <w:marTop w:val="0"/>
      <w:marBottom w:val="0"/>
      <w:divBdr>
        <w:top w:val="none" w:sz="0" w:space="0" w:color="auto"/>
        <w:left w:val="none" w:sz="0" w:space="0" w:color="auto"/>
        <w:bottom w:val="none" w:sz="0" w:space="0" w:color="auto"/>
        <w:right w:val="none" w:sz="0" w:space="0" w:color="auto"/>
      </w:divBdr>
    </w:div>
    <w:div w:id="240144837">
      <w:bodyDiv w:val="1"/>
      <w:marLeft w:val="0"/>
      <w:marRight w:val="0"/>
      <w:marTop w:val="0"/>
      <w:marBottom w:val="0"/>
      <w:divBdr>
        <w:top w:val="none" w:sz="0" w:space="0" w:color="auto"/>
        <w:left w:val="none" w:sz="0" w:space="0" w:color="auto"/>
        <w:bottom w:val="none" w:sz="0" w:space="0" w:color="auto"/>
        <w:right w:val="none" w:sz="0" w:space="0" w:color="auto"/>
      </w:divBdr>
    </w:div>
    <w:div w:id="276059086">
      <w:bodyDiv w:val="1"/>
      <w:marLeft w:val="0"/>
      <w:marRight w:val="0"/>
      <w:marTop w:val="0"/>
      <w:marBottom w:val="0"/>
      <w:divBdr>
        <w:top w:val="none" w:sz="0" w:space="0" w:color="auto"/>
        <w:left w:val="none" w:sz="0" w:space="0" w:color="auto"/>
        <w:bottom w:val="none" w:sz="0" w:space="0" w:color="auto"/>
        <w:right w:val="none" w:sz="0" w:space="0" w:color="auto"/>
      </w:divBdr>
    </w:div>
    <w:div w:id="278295999">
      <w:bodyDiv w:val="1"/>
      <w:marLeft w:val="0"/>
      <w:marRight w:val="0"/>
      <w:marTop w:val="0"/>
      <w:marBottom w:val="0"/>
      <w:divBdr>
        <w:top w:val="none" w:sz="0" w:space="0" w:color="auto"/>
        <w:left w:val="none" w:sz="0" w:space="0" w:color="auto"/>
        <w:bottom w:val="none" w:sz="0" w:space="0" w:color="auto"/>
        <w:right w:val="none" w:sz="0" w:space="0" w:color="auto"/>
      </w:divBdr>
    </w:div>
    <w:div w:id="492919560">
      <w:bodyDiv w:val="1"/>
      <w:marLeft w:val="0"/>
      <w:marRight w:val="0"/>
      <w:marTop w:val="0"/>
      <w:marBottom w:val="0"/>
      <w:divBdr>
        <w:top w:val="none" w:sz="0" w:space="0" w:color="auto"/>
        <w:left w:val="none" w:sz="0" w:space="0" w:color="auto"/>
        <w:bottom w:val="none" w:sz="0" w:space="0" w:color="auto"/>
        <w:right w:val="none" w:sz="0" w:space="0" w:color="auto"/>
      </w:divBdr>
    </w:div>
    <w:div w:id="753357479">
      <w:bodyDiv w:val="1"/>
      <w:marLeft w:val="0"/>
      <w:marRight w:val="0"/>
      <w:marTop w:val="0"/>
      <w:marBottom w:val="0"/>
      <w:divBdr>
        <w:top w:val="none" w:sz="0" w:space="0" w:color="auto"/>
        <w:left w:val="none" w:sz="0" w:space="0" w:color="auto"/>
        <w:bottom w:val="none" w:sz="0" w:space="0" w:color="auto"/>
        <w:right w:val="none" w:sz="0" w:space="0" w:color="auto"/>
      </w:divBdr>
    </w:div>
    <w:div w:id="929967016">
      <w:bodyDiv w:val="1"/>
      <w:marLeft w:val="0"/>
      <w:marRight w:val="0"/>
      <w:marTop w:val="0"/>
      <w:marBottom w:val="0"/>
      <w:divBdr>
        <w:top w:val="none" w:sz="0" w:space="0" w:color="auto"/>
        <w:left w:val="none" w:sz="0" w:space="0" w:color="auto"/>
        <w:bottom w:val="none" w:sz="0" w:space="0" w:color="auto"/>
        <w:right w:val="none" w:sz="0" w:space="0" w:color="auto"/>
      </w:divBdr>
    </w:div>
    <w:div w:id="1120416569">
      <w:bodyDiv w:val="1"/>
      <w:marLeft w:val="0"/>
      <w:marRight w:val="0"/>
      <w:marTop w:val="0"/>
      <w:marBottom w:val="0"/>
      <w:divBdr>
        <w:top w:val="none" w:sz="0" w:space="0" w:color="auto"/>
        <w:left w:val="none" w:sz="0" w:space="0" w:color="auto"/>
        <w:bottom w:val="none" w:sz="0" w:space="0" w:color="auto"/>
        <w:right w:val="none" w:sz="0" w:space="0" w:color="auto"/>
      </w:divBdr>
    </w:div>
    <w:div w:id="1289631256">
      <w:bodyDiv w:val="1"/>
      <w:marLeft w:val="0"/>
      <w:marRight w:val="0"/>
      <w:marTop w:val="0"/>
      <w:marBottom w:val="0"/>
      <w:divBdr>
        <w:top w:val="none" w:sz="0" w:space="0" w:color="auto"/>
        <w:left w:val="none" w:sz="0" w:space="0" w:color="auto"/>
        <w:bottom w:val="none" w:sz="0" w:space="0" w:color="auto"/>
        <w:right w:val="none" w:sz="0" w:space="0" w:color="auto"/>
      </w:divBdr>
    </w:div>
    <w:div w:id="1335180841">
      <w:bodyDiv w:val="1"/>
      <w:marLeft w:val="0"/>
      <w:marRight w:val="0"/>
      <w:marTop w:val="0"/>
      <w:marBottom w:val="0"/>
      <w:divBdr>
        <w:top w:val="none" w:sz="0" w:space="0" w:color="auto"/>
        <w:left w:val="none" w:sz="0" w:space="0" w:color="auto"/>
        <w:bottom w:val="none" w:sz="0" w:space="0" w:color="auto"/>
        <w:right w:val="none" w:sz="0" w:space="0" w:color="auto"/>
      </w:divBdr>
      <w:divsChild>
        <w:div w:id="1473017416">
          <w:marLeft w:val="0"/>
          <w:marRight w:val="0"/>
          <w:marTop w:val="0"/>
          <w:marBottom w:val="0"/>
          <w:divBdr>
            <w:top w:val="none" w:sz="0" w:space="0" w:color="auto"/>
            <w:left w:val="none" w:sz="0" w:space="0" w:color="auto"/>
            <w:bottom w:val="none" w:sz="0" w:space="0" w:color="auto"/>
            <w:right w:val="none" w:sz="0" w:space="0" w:color="auto"/>
          </w:divBdr>
        </w:div>
      </w:divsChild>
    </w:div>
    <w:div w:id="1416392789">
      <w:bodyDiv w:val="1"/>
      <w:marLeft w:val="0"/>
      <w:marRight w:val="0"/>
      <w:marTop w:val="0"/>
      <w:marBottom w:val="0"/>
      <w:divBdr>
        <w:top w:val="none" w:sz="0" w:space="0" w:color="auto"/>
        <w:left w:val="none" w:sz="0" w:space="0" w:color="auto"/>
        <w:bottom w:val="none" w:sz="0" w:space="0" w:color="auto"/>
        <w:right w:val="none" w:sz="0" w:space="0" w:color="auto"/>
      </w:divBdr>
      <w:divsChild>
        <w:div w:id="81420652">
          <w:marLeft w:val="0"/>
          <w:marRight w:val="0"/>
          <w:marTop w:val="0"/>
          <w:marBottom w:val="0"/>
          <w:divBdr>
            <w:top w:val="none" w:sz="0" w:space="0" w:color="auto"/>
            <w:left w:val="none" w:sz="0" w:space="0" w:color="auto"/>
            <w:bottom w:val="none" w:sz="0" w:space="0" w:color="auto"/>
            <w:right w:val="none" w:sz="0" w:space="0" w:color="auto"/>
          </w:divBdr>
        </w:div>
        <w:div w:id="82192128">
          <w:marLeft w:val="0"/>
          <w:marRight w:val="0"/>
          <w:marTop w:val="0"/>
          <w:marBottom w:val="0"/>
          <w:divBdr>
            <w:top w:val="none" w:sz="0" w:space="0" w:color="auto"/>
            <w:left w:val="none" w:sz="0" w:space="0" w:color="auto"/>
            <w:bottom w:val="none" w:sz="0" w:space="0" w:color="auto"/>
            <w:right w:val="none" w:sz="0" w:space="0" w:color="auto"/>
          </w:divBdr>
          <w:divsChild>
            <w:div w:id="382338976">
              <w:marLeft w:val="0"/>
              <w:marRight w:val="0"/>
              <w:marTop w:val="0"/>
              <w:marBottom w:val="0"/>
              <w:divBdr>
                <w:top w:val="none" w:sz="0" w:space="0" w:color="auto"/>
                <w:left w:val="none" w:sz="0" w:space="0" w:color="auto"/>
                <w:bottom w:val="none" w:sz="0" w:space="0" w:color="auto"/>
                <w:right w:val="none" w:sz="0" w:space="0" w:color="auto"/>
              </w:divBdr>
            </w:div>
            <w:div w:id="666782642">
              <w:marLeft w:val="0"/>
              <w:marRight w:val="0"/>
              <w:marTop w:val="0"/>
              <w:marBottom w:val="0"/>
              <w:divBdr>
                <w:top w:val="none" w:sz="0" w:space="0" w:color="auto"/>
                <w:left w:val="none" w:sz="0" w:space="0" w:color="auto"/>
                <w:bottom w:val="none" w:sz="0" w:space="0" w:color="auto"/>
                <w:right w:val="none" w:sz="0" w:space="0" w:color="auto"/>
              </w:divBdr>
            </w:div>
          </w:divsChild>
        </w:div>
        <w:div w:id="2078547949">
          <w:marLeft w:val="0"/>
          <w:marRight w:val="0"/>
          <w:marTop w:val="0"/>
          <w:marBottom w:val="0"/>
          <w:divBdr>
            <w:top w:val="none" w:sz="0" w:space="0" w:color="auto"/>
            <w:left w:val="none" w:sz="0" w:space="0" w:color="auto"/>
            <w:bottom w:val="none" w:sz="0" w:space="0" w:color="auto"/>
            <w:right w:val="none" w:sz="0" w:space="0" w:color="auto"/>
          </w:divBdr>
          <w:divsChild>
            <w:div w:id="4952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7997">
      <w:bodyDiv w:val="1"/>
      <w:marLeft w:val="0"/>
      <w:marRight w:val="0"/>
      <w:marTop w:val="0"/>
      <w:marBottom w:val="0"/>
      <w:divBdr>
        <w:top w:val="none" w:sz="0" w:space="0" w:color="auto"/>
        <w:left w:val="none" w:sz="0" w:space="0" w:color="auto"/>
        <w:bottom w:val="none" w:sz="0" w:space="0" w:color="auto"/>
        <w:right w:val="none" w:sz="0" w:space="0" w:color="auto"/>
      </w:divBdr>
    </w:div>
    <w:div w:id="1726564772">
      <w:bodyDiv w:val="1"/>
      <w:marLeft w:val="0"/>
      <w:marRight w:val="0"/>
      <w:marTop w:val="0"/>
      <w:marBottom w:val="0"/>
      <w:divBdr>
        <w:top w:val="none" w:sz="0" w:space="0" w:color="auto"/>
        <w:left w:val="none" w:sz="0" w:space="0" w:color="auto"/>
        <w:bottom w:val="none" w:sz="0" w:space="0" w:color="auto"/>
        <w:right w:val="none" w:sz="0" w:space="0" w:color="auto"/>
      </w:divBdr>
    </w:div>
    <w:div w:id="1921404741">
      <w:bodyDiv w:val="1"/>
      <w:marLeft w:val="0"/>
      <w:marRight w:val="0"/>
      <w:marTop w:val="0"/>
      <w:marBottom w:val="0"/>
      <w:divBdr>
        <w:top w:val="none" w:sz="0" w:space="0" w:color="auto"/>
        <w:left w:val="none" w:sz="0" w:space="0" w:color="auto"/>
        <w:bottom w:val="none" w:sz="0" w:space="0" w:color="auto"/>
        <w:right w:val="none" w:sz="0" w:space="0" w:color="auto"/>
      </w:divBdr>
    </w:div>
    <w:div w:id="212719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is.org.uk/wp-content/uploads/2017/08/TAVI-commissioning-%20statement-final.pdf" TargetMode="External"/><Relationship Id="rId3" Type="http://schemas.openxmlformats.org/officeDocument/2006/relationships/settings" Target="settings.xml"/><Relationship Id="rId7" Type="http://schemas.openxmlformats.org/officeDocument/2006/relationships/hyperlink" Target="https://www.bcis.org.uk/resources/bcis-guidance-documents/service-specification-for-transcatheter-aortic-valve-implantation-tav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cis.org.uk/resources/bcis-guidance-documents/service-specification-for-transcatheter-aortic-valve-implantation-t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4335</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Leiva Juarez, Miguel M.</dc:creator>
  <cp:keywords/>
  <dc:description/>
  <cp:lastModifiedBy>SL</cp:lastModifiedBy>
  <cp:revision>2</cp:revision>
  <dcterms:created xsi:type="dcterms:W3CDTF">2022-09-18T05:36:00Z</dcterms:created>
  <dcterms:modified xsi:type="dcterms:W3CDTF">2022-09-18T05:36:00Z</dcterms:modified>
</cp:coreProperties>
</file>