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7654A" w14:textId="77777777" w:rsidR="00C80A97" w:rsidRDefault="003C77CB" w:rsidP="00B6621E">
      <w:pPr>
        <w:suppressLineNumbers/>
        <w:spacing w:line="276" w:lineRule="auto"/>
        <w:jc w:val="center"/>
        <w:rPr>
          <w:b/>
          <w:bCs/>
        </w:rPr>
      </w:pPr>
      <w:r w:rsidRPr="008B4009">
        <w:rPr>
          <w:b/>
          <w:bCs/>
        </w:rPr>
        <w:t>Neuropsychological markers of antidepressant action</w:t>
      </w:r>
      <w:r w:rsidR="00E24D05">
        <w:rPr>
          <w:b/>
          <w:bCs/>
        </w:rPr>
        <w:t xml:space="preserve">: </w:t>
      </w:r>
    </w:p>
    <w:p w14:paraId="6E55BD25" w14:textId="77777777" w:rsidR="00253BC0" w:rsidRDefault="00E24D05" w:rsidP="00B6621E">
      <w:pPr>
        <w:suppressLineNumbers/>
        <w:spacing w:line="276" w:lineRule="auto"/>
        <w:jc w:val="center"/>
        <w:rPr>
          <w:b/>
          <w:bCs/>
        </w:rPr>
      </w:pPr>
      <w:r>
        <w:rPr>
          <w:b/>
          <w:bCs/>
        </w:rPr>
        <w:t>A s</w:t>
      </w:r>
      <w:r w:rsidRPr="008B4009">
        <w:rPr>
          <w:b/>
          <w:bCs/>
        </w:rPr>
        <w:t>econdary analysis of the ANTLER randomised controlled trial</w:t>
      </w:r>
    </w:p>
    <w:p w14:paraId="6A46189E" w14:textId="77777777" w:rsidR="00DB6F35" w:rsidRDefault="00DB6F35" w:rsidP="0024416B">
      <w:pPr>
        <w:suppressLineNumbers/>
        <w:spacing w:line="276" w:lineRule="auto"/>
        <w:jc w:val="center"/>
        <w:rPr>
          <w:b/>
          <w:bCs/>
        </w:rPr>
      </w:pPr>
    </w:p>
    <w:p w14:paraId="1E2B600F" w14:textId="77777777" w:rsidR="00672583" w:rsidRPr="004C37D2" w:rsidRDefault="00B938C5" w:rsidP="0024416B">
      <w:pPr>
        <w:suppressLineNumbers/>
        <w:spacing w:line="276" w:lineRule="auto"/>
        <w:rPr>
          <w:lang w:val="es-ES"/>
        </w:rPr>
      </w:pPr>
      <w:r w:rsidRPr="004C37D2">
        <w:rPr>
          <w:lang w:val="es-ES"/>
        </w:rPr>
        <w:t>Julia Rodriguez-Sanchez</w:t>
      </w:r>
      <w:r w:rsidR="007C13CB" w:rsidRPr="004C37D2">
        <w:rPr>
          <w:lang w:val="es-ES"/>
        </w:rPr>
        <w:t>,</w:t>
      </w:r>
      <w:r w:rsidR="00DB1EC8" w:rsidRPr="004C37D2">
        <w:rPr>
          <w:lang w:val="es-ES"/>
        </w:rPr>
        <w:t xml:space="preserve"> </w:t>
      </w:r>
      <w:proofErr w:type="spellStart"/>
      <w:r w:rsidR="007C13CB" w:rsidRPr="004C37D2">
        <w:rPr>
          <w:lang w:val="es-ES"/>
        </w:rPr>
        <w:t>Division</w:t>
      </w:r>
      <w:proofErr w:type="spellEnd"/>
      <w:r w:rsidR="007C13CB" w:rsidRPr="004C37D2">
        <w:rPr>
          <w:lang w:val="es-ES"/>
        </w:rPr>
        <w:t xml:space="preserve"> of</w:t>
      </w:r>
      <w:r w:rsidRPr="004C37D2">
        <w:rPr>
          <w:lang w:val="es-ES"/>
        </w:rPr>
        <w:t xml:space="preserve"> </w:t>
      </w:r>
      <w:proofErr w:type="spellStart"/>
      <w:r w:rsidR="007C13CB" w:rsidRPr="004C37D2">
        <w:rPr>
          <w:lang w:val="es-ES"/>
        </w:rPr>
        <w:t>Biosciences</w:t>
      </w:r>
      <w:proofErr w:type="spellEnd"/>
      <w:r w:rsidR="007C13CB" w:rsidRPr="004C37D2">
        <w:rPr>
          <w:lang w:val="es-ES"/>
        </w:rPr>
        <w:t>, UCL</w:t>
      </w:r>
    </w:p>
    <w:p w14:paraId="0110E031" w14:textId="77777777" w:rsidR="00672583" w:rsidRDefault="00B938C5" w:rsidP="0024416B">
      <w:pPr>
        <w:suppressLineNumbers/>
        <w:spacing w:line="276" w:lineRule="auto"/>
      </w:pPr>
      <w:r w:rsidRPr="007962A5">
        <w:t>Gemma Lewis</w:t>
      </w:r>
      <w:r w:rsidR="007C13CB" w:rsidRPr="007962A5">
        <w:t>, Division of Psychiatry, UCL</w:t>
      </w:r>
    </w:p>
    <w:p w14:paraId="7F7568E0" w14:textId="77777777" w:rsidR="00672583" w:rsidRDefault="0086109E" w:rsidP="0024416B">
      <w:pPr>
        <w:suppressLineNumbers/>
        <w:spacing w:line="276" w:lineRule="auto"/>
      </w:pPr>
      <w:r w:rsidRPr="007962A5">
        <w:t>Francesca Solmi</w:t>
      </w:r>
      <w:r w:rsidR="007C13CB">
        <w:t xml:space="preserve">, </w:t>
      </w:r>
      <w:r w:rsidR="007C13CB" w:rsidRPr="0058157D">
        <w:t>Division of Psychiatry, UCL</w:t>
      </w:r>
    </w:p>
    <w:p w14:paraId="5645589A" w14:textId="77777777" w:rsidR="00C30F94" w:rsidRDefault="00C30F94" w:rsidP="0024416B">
      <w:pPr>
        <w:suppressLineNumbers/>
        <w:spacing w:line="276" w:lineRule="auto"/>
      </w:pPr>
      <w:r w:rsidRPr="00C30F94">
        <w:t>Jessica K. Bone, Department of Behavioural Science and Health, Institute of Epidemiology and Health Care, UCL</w:t>
      </w:r>
    </w:p>
    <w:p w14:paraId="3D6501A8" w14:textId="77777777" w:rsidR="00672583" w:rsidRDefault="00371931" w:rsidP="0024416B">
      <w:pPr>
        <w:suppressLineNumbers/>
        <w:spacing w:line="276" w:lineRule="auto"/>
      </w:pPr>
      <w:r w:rsidRPr="007962A5">
        <w:t>Michael Moore</w:t>
      </w:r>
      <w:r w:rsidR="007C13CB">
        <w:t>,</w:t>
      </w:r>
      <w:r w:rsidRPr="007962A5">
        <w:t xml:space="preserve"> </w:t>
      </w:r>
      <w:r w:rsidR="00720C6F" w:rsidRPr="00720C6F">
        <w:t>Primary Care Population Sciences and Medical Education,</w:t>
      </w:r>
      <w:r w:rsidR="00720C6F">
        <w:t xml:space="preserve"> </w:t>
      </w:r>
      <w:r w:rsidR="00FE30B0" w:rsidRPr="00FE30B0">
        <w:t>Faculty of Medicine</w:t>
      </w:r>
      <w:r w:rsidR="00FE30B0">
        <w:t>,</w:t>
      </w:r>
      <w:r w:rsidR="00FE30B0" w:rsidRPr="00FE30B0">
        <w:t xml:space="preserve"> University of Southampton</w:t>
      </w:r>
    </w:p>
    <w:p w14:paraId="66FD7195" w14:textId="77777777" w:rsidR="00672583" w:rsidRDefault="00795F55" w:rsidP="0024416B">
      <w:pPr>
        <w:suppressLineNumbers/>
        <w:spacing w:line="276" w:lineRule="auto"/>
        <w:rPr>
          <w:bCs/>
        </w:rPr>
      </w:pPr>
      <w:r w:rsidRPr="007962A5">
        <w:t>Nicola Wiles</w:t>
      </w:r>
      <w:r w:rsidR="007C13CB">
        <w:t>,</w:t>
      </w:r>
      <w:r w:rsidR="00D6558E">
        <w:t xml:space="preserve"> </w:t>
      </w:r>
      <w:r w:rsidR="006E0DBE" w:rsidRPr="006E0DBE">
        <w:t>Centre for Academic Mental Health</w:t>
      </w:r>
      <w:r w:rsidR="006E0DBE">
        <w:t xml:space="preserve">, </w:t>
      </w:r>
      <w:r w:rsidR="00D6558E">
        <w:rPr>
          <w:bCs/>
        </w:rPr>
        <w:t>Bristol Medical School, University of Bristol</w:t>
      </w:r>
    </w:p>
    <w:p w14:paraId="23FB3C05" w14:textId="77777777" w:rsidR="00713FC5" w:rsidRDefault="00713FC5" w:rsidP="0024416B">
      <w:pPr>
        <w:suppressLineNumbers/>
        <w:spacing w:line="276" w:lineRule="auto"/>
      </w:pPr>
      <w:r>
        <w:rPr>
          <w:bCs/>
        </w:rPr>
        <w:t xml:space="preserve">Catherine J. Harmer, </w:t>
      </w:r>
      <w:r w:rsidR="0061385A" w:rsidRPr="0061385A">
        <w:rPr>
          <w:bCs/>
        </w:rPr>
        <w:t xml:space="preserve">University Department of Psychiatry, </w:t>
      </w:r>
      <w:proofErr w:type="spellStart"/>
      <w:r w:rsidR="0061385A" w:rsidRPr="0061385A">
        <w:rPr>
          <w:bCs/>
        </w:rPr>
        <w:t>Warneford</w:t>
      </w:r>
      <w:proofErr w:type="spellEnd"/>
      <w:r w:rsidR="0061385A" w:rsidRPr="0061385A">
        <w:rPr>
          <w:bCs/>
        </w:rPr>
        <w:t xml:space="preserve"> Hospital, Oxford </w:t>
      </w:r>
      <w:r w:rsidR="0061385A">
        <w:rPr>
          <w:bCs/>
        </w:rPr>
        <w:br/>
      </w:r>
      <w:proofErr w:type="spellStart"/>
      <w:r w:rsidR="0061385A" w:rsidRPr="0061385A">
        <w:rPr>
          <w:bCs/>
        </w:rPr>
        <w:t>Oxford</w:t>
      </w:r>
      <w:proofErr w:type="spellEnd"/>
      <w:r w:rsidR="0061385A" w:rsidRPr="0061385A">
        <w:rPr>
          <w:bCs/>
        </w:rPr>
        <w:t xml:space="preserve"> Health NHS Foundation Trust, </w:t>
      </w:r>
      <w:proofErr w:type="spellStart"/>
      <w:r w:rsidR="0061385A" w:rsidRPr="0061385A">
        <w:rPr>
          <w:bCs/>
        </w:rPr>
        <w:t>Warneford</w:t>
      </w:r>
      <w:proofErr w:type="spellEnd"/>
      <w:r w:rsidR="0061385A" w:rsidRPr="0061385A">
        <w:rPr>
          <w:bCs/>
        </w:rPr>
        <w:t xml:space="preserve"> Hospital, Oxford</w:t>
      </w:r>
    </w:p>
    <w:p w14:paraId="783A4BF4" w14:textId="77777777" w:rsidR="0079276F" w:rsidRDefault="0086109E" w:rsidP="0024416B">
      <w:pPr>
        <w:suppressLineNumbers/>
        <w:spacing w:line="276" w:lineRule="auto"/>
      </w:pPr>
      <w:r w:rsidRPr="007962A5">
        <w:t>Larisa Duffy</w:t>
      </w:r>
      <w:r w:rsidR="007C13CB">
        <w:t xml:space="preserve">, </w:t>
      </w:r>
      <w:r w:rsidR="007C13CB" w:rsidRPr="0058157D">
        <w:t>Division of Psychiatry, UCL</w:t>
      </w:r>
    </w:p>
    <w:p w14:paraId="6F80BC0F" w14:textId="77777777" w:rsidR="00B938C5" w:rsidRDefault="00407F0F" w:rsidP="0024416B">
      <w:pPr>
        <w:suppressLineNumbers/>
        <w:spacing w:line="276" w:lineRule="auto"/>
      </w:pPr>
      <w:r w:rsidRPr="007962A5">
        <w:t>Glyn Lewi</w:t>
      </w:r>
      <w:r w:rsidR="00DB1EC8" w:rsidRPr="007962A5">
        <w:t>s</w:t>
      </w:r>
      <w:r w:rsidR="007C13CB">
        <w:t xml:space="preserve">, </w:t>
      </w:r>
      <w:r w:rsidR="007C13CB" w:rsidRPr="0058157D">
        <w:t>Division of Psychiatry, UCL</w:t>
      </w:r>
    </w:p>
    <w:p w14:paraId="38BB855C" w14:textId="77777777" w:rsidR="00565D91" w:rsidRDefault="00565D91" w:rsidP="0024416B">
      <w:pPr>
        <w:suppressLineNumbers/>
        <w:spacing w:line="276" w:lineRule="auto"/>
      </w:pPr>
    </w:p>
    <w:p w14:paraId="4385DCAB" w14:textId="77777777" w:rsidR="00385EF1" w:rsidRDefault="00565D91" w:rsidP="0024416B">
      <w:pPr>
        <w:suppressLineNumbers/>
        <w:spacing w:line="276" w:lineRule="auto"/>
      </w:pPr>
      <w:r>
        <w:rPr>
          <w:b/>
          <w:bCs/>
        </w:rPr>
        <w:t xml:space="preserve">Corresponding author: </w:t>
      </w:r>
      <w:r>
        <w:t xml:space="preserve">Julia Rodriguez-Sanchez </w:t>
      </w:r>
    </w:p>
    <w:p w14:paraId="2A3A15F6" w14:textId="77777777" w:rsidR="00D45D27" w:rsidRDefault="00385EF1" w:rsidP="0024416B">
      <w:pPr>
        <w:suppressLineNumbers/>
        <w:spacing w:line="276" w:lineRule="auto"/>
      </w:pPr>
      <w:r>
        <w:t>Address: Centre for Medical Image Computing, 90 High Holborn</w:t>
      </w:r>
      <w:r w:rsidR="00D45D27">
        <w:t xml:space="preserve">, </w:t>
      </w:r>
      <w:r w:rsidR="00D45D27" w:rsidRPr="00D45D27">
        <w:t>London, WC1V 6LJ</w:t>
      </w:r>
    </w:p>
    <w:p w14:paraId="1CB09F0D" w14:textId="2BC3D530" w:rsidR="00565D91" w:rsidRPr="00385EF1" w:rsidRDefault="00D45D27" w:rsidP="0024416B">
      <w:pPr>
        <w:suppressLineNumbers/>
        <w:spacing w:line="276" w:lineRule="auto"/>
        <w:rPr>
          <w:b/>
          <w:bCs/>
        </w:rPr>
      </w:pPr>
      <w:r>
        <w:t xml:space="preserve">Email: </w:t>
      </w:r>
      <w:hyperlink r:id="rId11" w:history="1">
        <w:r w:rsidRPr="006335FC">
          <w:rPr>
            <w:rStyle w:val="Hyperlink"/>
          </w:rPr>
          <w:t>julia.sanchez.16@ucl.ac.uk</w:t>
        </w:r>
      </w:hyperlink>
      <w:r w:rsidR="00565D91">
        <w:t xml:space="preserve"> </w:t>
      </w:r>
    </w:p>
    <w:p w14:paraId="3ED286B8" w14:textId="77777777" w:rsidR="003C77CB" w:rsidRDefault="003C77CB" w:rsidP="0024416B">
      <w:pPr>
        <w:suppressLineNumbers/>
        <w:spacing w:line="276" w:lineRule="auto"/>
        <w:rPr>
          <w:b/>
          <w:bCs/>
        </w:rPr>
      </w:pPr>
    </w:p>
    <w:p w14:paraId="2D87283F" w14:textId="5448ADD3" w:rsidR="003D58D1" w:rsidRPr="00A06F90" w:rsidRDefault="003D58D1" w:rsidP="0024416B">
      <w:pPr>
        <w:suppressLineNumbers/>
        <w:spacing w:line="276" w:lineRule="auto"/>
      </w:pPr>
      <w:r>
        <w:rPr>
          <w:b/>
          <w:bCs/>
        </w:rPr>
        <w:t xml:space="preserve">Word count: </w:t>
      </w:r>
      <w:r w:rsidR="00FC3A6A">
        <w:t>34</w:t>
      </w:r>
      <w:r w:rsidR="00777006">
        <w:t>03</w:t>
      </w:r>
    </w:p>
    <w:p w14:paraId="2D2C443A" w14:textId="77777777" w:rsidR="00CF4D5E" w:rsidRDefault="003D58D1" w:rsidP="0024416B">
      <w:pPr>
        <w:suppressLineNumbers/>
        <w:spacing w:line="276" w:lineRule="auto"/>
      </w:pPr>
      <w:r>
        <w:rPr>
          <w:b/>
          <w:bCs/>
        </w:rPr>
        <w:t>Table</w:t>
      </w:r>
      <w:r w:rsidR="007E5CA6">
        <w:rPr>
          <w:b/>
          <w:bCs/>
        </w:rPr>
        <w:t>s/figures</w:t>
      </w:r>
      <w:r>
        <w:rPr>
          <w:b/>
          <w:bCs/>
        </w:rPr>
        <w:t xml:space="preserve">: </w:t>
      </w:r>
      <w:r>
        <w:t>5</w:t>
      </w:r>
    </w:p>
    <w:p w14:paraId="042CBC93" w14:textId="77777777" w:rsidR="00CF4D5E" w:rsidRDefault="00CF4D5E" w:rsidP="00B6621E">
      <w:pPr>
        <w:suppressLineNumbers/>
        <w:spacing w:line="276" w:lineRule="auto"/>
      </w:pPr>
    </w:p>
    <w:p w14:paraId="5092389A" w14:textId="77777777" w:rsidR="00802719" w:rsidRDefault="00802719" w:rsidP="007F55EB">
      <w:pPr>
        <w:suppressLineNumbers/>
        <w:spacing w:line="276" w:lineRule="auto"/>
        <w:rPr>
          <w:b/>
          <w:bCs/>
        </w:rPr>
      </w:pPr>
    </w:p>
    <w:p w14:paraId="4D2403D1" w14:textId="77777777" w:rsidR="00802719" w:rsidRDefault="00802719" w:rsidP="007F55EB">
      <w:pPr>
        <w:suppressLineNumbers/>
        <w:spacing w:line="276" w:lineRule="auto"/>
        <w:rPr>
          <w:b/>
          <w:bCs/>
        </w:rPr>
      </w:pPr>
    </w:p>
    <w:p w14:paraId="7A8B3C9D" w14:textId="2A7C7D54" w:rsidR="00CF4D5E" w:rsidRDefault="00802719" w:rsidP="007F55EB">
      <w:pPr>
        <w:suppressLineNumbers/>
        <w:spacing w:line="276" w:lineRule="auto"/>
        <w:rPr>
          <w:b/>
          <w:bCs/>
        </w:rPr>
      </w:pPr>
      <w:r>
        <w:rPr>
          <w:b/>
          <w:bCs/>
        </w:rPr>
        <w:t xml:space="preserve">Funding </w:t>
      </w:r>
      <w:r w:rsidR="00562DA9">
        <w:rPr>
          <w:b/>
          <w:bCs/>
        </w:rPr>
        <w:t>S</w:t>
      </w:r>
      <w:r>
        <w:rPr>
          <w:b/>
          <w:bCs/>
        </w:rPr>
        <w:t>tatement</w:t>
      </w:r>
      <w:r w:rsidR="00562DA9">
        <w:rPr>
          <w:b/>
          <w:bCs/>
        </w:rPr>
        <w:t>:</w:t>
      </w:r>
    </w:p>
    <w:p w14:paraId="1D60A79C" w14:textId="5A56D1B4" w:rsidR="002C7C86" w:rsidRPr="002C7C86" w:rsidRDefault="002C7C86" w:rsidP="007F55EB">
      <w:pPr>
        <w:suppressLineNumbers/>
        <w:spacing w:line="276" w:lineRule="auto"/>
        <w:jc w:val="both"/>
      </w:pPr>
      <w:r>
        <w:t>This work was supported</w:t>
      </w:r>
      <w:r w:rsidRPr="00605153">
        <w:t xml:space="preserve"> by the </w:t>
      </w:r>
      <w:r>
        <w:t>National Institute for Health Research (</w:t>
      </w:r>
      <w:r w:rsidRPr="00605153">
        <w:t>HTA Programme 13/115/48</w:t>
      </w:r>
      <w:r>
        <w:t>), the Medical Research Council (</w:t>
      </w:r>
      <w:r w:rsidR="007F4B99">
        <w:t xml:space="preserve">JRS, </w:t>
      </w:r>
      <w:r w:rsidR="00802719">
        <w:t>Grant No.</w:t>
      </w:r>
      <w:r>
        <w:t xml:space="preserve"> </w:t>
      </w:r>
      <w:r w:rsidRPr="00B65423">
        <w:t>MR/N013867/1</w:t>
      </w:r>
      <w:r>
        <w:t xml:space="preserve">) and </w:t>
      </w:r>
      <w:r w:rsidRPr="00470626">
        <w:t>the NIHR Biomedical Research Centre at University Hospitals Bristol and Weston NHS Foundation Trust and the University of Bristol</w:t>
      </w:r>
      <w:r>
        <w:t xml:space="preserve"> (NW). </w:t>
      </w:r>
      <w:r w:rsidRPr="00605153">
        <w:t>The views expressed are those of the author</w:t>
      </w:r>
      <w:r>
        <w:t>s</w:t>
      </w:r>
      <w:r w:rsidRPr="00605153">
        <w:t xml:space="preserve"> and not necessarily those of</w:t>
      </w:r>
      <w:r>
        <w:t xml:space="preserve"> the </w:t>
      </w:r>
      <w:r w:rsidRPr="00605153">
        <w:t>NHS, the NIHR or the Department of Health and Social Care.</w:t>
      </w:r>
      <w:r>
        <w:t xml:space="preserve"> </w:t>
      </w:r>
    </w:p>
    <w:p w14:paraId="1EF5917D" w14:textId="65DA1602" w:rsidR="001C149E" w:rsidRPr="00941F91" w:rsidRDefault="001C149E" w:rsidP="00B6621E">
      <w:pPr>
        <w:suppressLineNumbers/>
        <w:spacing w:line="276" w:lineRule="auto"/>
      </w:pPr>
      <w:r>
        <w:rPr>
          <w:b/>
          <w:bCs/>
        </w:rPr>
        <w:br w:type="page"/>
      </w:r>
    </w:p>
    <w:p w14:paraId="4DDB2DB8" w14:textId="23D4A3A6" w:rsidR="004430E0" w:rsidRDefault="002D55BE" w:rsidP="00655C0C">
      <w:pPr>
        <w:spacing w:line="276" w:lineRule="auto"/>
        <w:rPr>
          <w:b/>
          <w:bCs/>
        </w:rPr>
      </w:pPr>
      <w:r w:rsidRPr="008B4009">
        <w:rPr>
          <w:b/>
          <w:bCs/>
        </w:rPr>
        <w:lastRenderedPageBreak/>
        <w:t>ABSTRACT</w:t>
      </w:r>
    </w:p>
    <w:p w14:paraId="6C75C65B" w14:textId="77777777" w:rsidR="004430E0" w:rsidRDefault="004430E0" w:rsidP="00655C0C">
      <w:pPr>
        <w:spacing w:line="276" w:lineRule="auto"/>
        <w:rPr>
          <w:b/>
          <w:bCs/>
        </w:rPr>
      </w:pPr>
      <w:r>
        <w:rPr>
          <w:b/>
          <w:bCs/>
        </w:rPr>
        <w:t>Background</w:t>
      </w:r>
    </w:p>
    <w:p w14:paraId="7D477B14" w14:textId="77777777" w:rsidR="007C7323" w:rsidRDefault="0015415E" w:rsidP="00655C0C">
      <w:pPr>
        <w:spacing w:line="276" w:lineRule="auto"/>
        <w:jc w:val="both"/>
        <w:rPr>
          <w:b/>
          <w:bCs/>
        </w:rPr>
      </w:pPr>
      <w:r>
        <w:t>Antidepressants</w:t>
      </w:r>
      <w:r w:rsidR="00CA0E82">
        <w:t xml:space="preserve"> ha</w:t>
      </w:r>
      <w:r>
        <w:t>ve</w:t>
      </w:r>
      <w:r w:rsidR="00CA0E82">
        <w:t xml:space="preserve"> been </w:t>
      </w:r>
      <w:r w:rsidR="003325DC">
        <w:t>proposed</w:t>
      </w:r>
      <w:r w:rsidR="00CA0E82">
        <w:t xml:space="preserve"> </w:t>
      </w:r>
      <w:r>
        <w:t>to</w:t>
      </w:r>
      <w:r w:rsidR="00CA0E82">
        <w:t xml:space="preserve"> act via their influence </w:t>
      </w:r>
      <w:r w:rsidR="008002AB">
        <w:t xml:space="preserve">on </w:t>
      </w:r>
      <w:r w:rsidR="00CA0E82">
        <w:t>emotional processing</w:t>
      </w:r>
      <w:r w:rsidR="00DA6170">
        <w:t>.</w:t>
      </w:r>
      <w:r w:rsidR="00711AB4" w:rsidRPr="00711AB4">
        <w:t xml:space="preserve"> </w:t>
      </w:r>
      <w:r w:rsidR="007C7323">
        <w:t xml:space="preserve">We investigated the </w:t>
      </w:r>
      <w:r w:rsidR="007C7323" w:rsidRPr="007C7323">
        <w:t xml:space="preserve">effect of discontinuing maintenance </w:t>
      </w:r>
      <w:r>
        <w:t xml:space="preserve">antidepressant </w:t>
      </w:r>
      <w:r w:rsidR="007C7323" w:rsidRPr="007C7323">
        <w:t>treatment on positive and negative self-referential recall</w:t>
      </w:r>
      <w:r w:rsidR="00FE1EDF">
        <w:t xml:space="preserve"> and</w:t>
      </w:r>
      <w:r w:rsidR="007C7323">
        <w:t xml:space="preserve"> </w:t>
      </w:r>
      <w:r w:rsidR="007C7323" w:rsidRPr="007C7323">
        <w:t xml:space="preserve">the association between </w:t>
      </w:r>
      <w:r w:rsidR="007C7323">
        <w:t xml:space="preserve">self-referential </w:t>
      </w:r>
      <w:r w:rsidR="007C7323" w:rsidRPr="007C7323">
        <w:t>recall</w:t>
      </w:r>
      <w:r w:rsidR="007C7323">
        <w:t xml:space="preserve"> </w:t>
      </w:r>
      <w:r w:rsidR="007C7323" w:rsidRPr="007C7323">
        <w:t>and</w:t>
      </w:r>
      <w:r w:rsidR="006569AA">
        <w:t xml:space="preserve"> </w:t>
      </w:r>
      <w:r w:rsidR="007C7323" w:rsidRPr="007C7323">
        <w:t>risk of relapse.</w:t>
      </w:r>
    </w:p>
    <w:p w14:paraId="3A49AF5E" w14:textId="77777777" w:rsidR="001C149E" w:rsidRDefault="001C149E" w:rsidP="00655C0C">
      <w:pPr>
        <w:spacing w:line="276" w:lineRule="auto"/>
        <w:rPr>
          <w:b/>
          <w:bCs/>
        </w:rPr>
      </w:pPr>
    </w:p>
    <w:p w14:paraId="37D981CA" w14:textId="77777777" w:rsidR="004430E0" w:rsidRDefault="004430E0" w:rsidP="00655C0C">
      <w:pPr>
        <w:spacing w:line="276" w:lineRule="auto"/>
        <w:rPr>
          <w:b/>
          <w:bCs/>
        </w:rPr>
      </w:pPr>
      <w:r>
        <w:rPr>
          <w:b/>
          <w:bCs/>
        </w:rPr>
        <w:t>Method</w:t>
      </w:r>
      <w:r w:rsidR="008100D0">
        <w:rPr>
          <w:b/>
          <w:bCs/>
        </w:rPr>
        <w:t>s</w:t>
      </w:r>
    </w:p>
    <w:p w14:paraId="2E54F7A7" w14:textId="09123B33" w:rsidR="00013EFF" w:rsidRDefault="00BA7966" w:rsidP="00655C0C">
      <w:pPr>
        <w:spacing w:line="276" w:lineRule="auto"/>
        <w:jc w:val="both"/>
        <w:rPr>
          <w:b/>
          <w:bCs/>
        </w:rPr>
      </w:pPr>
      <w:r>
        <w:t xml:space="preserve">The ANTLER trial </w:t>
      </w:r>
      <w:r w:rsidR="00D358FF">
        <w:t xml:space="preserve">was a large </w:t>
      </w:r>
      <w:r w:rsidR="002A2492" w:rsidRPr="002A2492">
        <w:t xml:space="preserve">(N=478) pragmatic double-blind trial investigating the clinical effectiveness of long-term antidepressant treatment </w:t>
      </w:r>
      <w:r w:rsidR="00746853">
        <w:t>for</w:t>
      </w:r>
      <w:r w:rsidR="00746853" w:rsidRPr="002A2492">
        <w:t xml:space="preserve"> </w:t>
      </w:r>
      <w:r w:rsidR="002A2492" w:rsidRPr="002A2492">
        <w:t>preventing relapse in primary care patients.</w:t>
      </w:r>
      <w:r w:rsidR="002A2492">
        <w:t xml:space="preserve"> </w:t>
      </w:r>
      <w:r w:rsidR="00EB2F1F">
        <w:t xml:space="preserve">Participants were randomised to </w:t>
      </w:r>
      <w:r w:rsidR="00E24287">
        <w:t xml:space="preserve">continue their </w:t>
      </w:r>
      <w:r w:rsidR="00EB2F1F">
        <w:t xml:space="preserve">maintenance antidepressants or </w:t>
      </w:r>
      <w:r w:rsidR="00207645">
        <w:t xml:space="preserve">discontinue via a </w:t>
      </w:r>
      <w:r w:rsidR="00E24287">
        <w:t>taper to placebo</w:t>
      </w:r>
      <w:r w:rsidR="00EB2F1F">
        <w:t xml:space="preserve">. </w:t>
      </w:r>
      <w:bookmarkStart w:id="0" w:name="_Hlk116036501"/>
      <w:r w:rsidR="00CA2D45">
        <w:t>We analysed m</w:t>
      </w:r>
      <w:r w:rsidR="002A2492">
        <w:t xml:space="preserve">emory for positive and negative </w:t>
      </w:r>
      <w:r w:rsidR="00493110">
        <w:t>personality descriptor</w:t>
      </w:r>
      <w:r w:rsidR="00470E20">
        <w:t>s</w:t>
      </w:r>
      <w:r w:rsidR="00E712D3">
        <w:t>,</w:t>
      </w:r>
      <w:r w:rsidR="00493110">
        <w:t xml:space="preserve"> </w:t>
      </w:r>
      <w:r w:rsidR="00BA636A">
        <w:t>assessed</w:t>
      </w:r>
      <w:r w:rsidR="00470E20">
        <w:t xml:space="preserve"> at baseline</w:t>
      </w:r>
      <w:r w:rsidR="00A46CE7">
        <w:t>,</w:t>
      </w:r>
      <w:r w:rsidR="00470E20">
        <w:t xml:space="preserve"> </w:t>
      </w:r>
      <w:r w:rsidR="0005574A">
        <w:t>12- and 52-week</w:t>
      </w:r>
      <w:r w:rsidR="00470E20">
        <w:t xml:space="preserve"> </w:t>
      </w:r>
      <w:r w:rsidR="00E24287">
        <w:t>follow-</w:t>
      </w:r>
      <w:r w:rsidR="0097681B">
        <w:t>up</w:t>
      </w:r>
      <w:r w:rsidR="00C1523B">
        <w:t>.</w:t>
      </w:r>
      <w:r w:rsidR="00E712D3">
        <w:t xml:space="preserve"> </w:t>
      </w:r>
      <w:bookmarkEnd w:id="0"/>
    </w:p>
    <w:p w14:paraId="0CAD9045" w14:textId="77777777" w:rsidR="001C149E" w:rsidRDefault="001C149E" w:rsidP="00655C0C">
      <w:pPr>
        <w:spacing w:line="276" w:lineRule="auto"/>
        <w:rPr>
          <w:b/>
          <w:bCs/>
        </w:rPr>
      </w:pPr>
    </w:p>
    <w:p w14:paraId="79846F4B" w14:textId="77777777" w:rsidR="008100D0" w:rsidRDefault="008100D0" w:rsidP="00655C0C">
      <w:pPr>
        <w:spacing w:line="276" w:lineRule="auto"/>
        <w:rPr>
          <w:b/>
          <w:bCs/>
        </w:rPr>
      </w:pPr>
      <w:r>
        <w:rPr>
          <w:b/>
          <w:bCs/>
        </w:rPr>
        <w:t>Results</w:t>
      </w:r>
    </w:p>
    <w:p w14:paraId="68AE9458" w14:textId="1EAAE05E" w:rsidR="00FA5970" w:rsidRPr="008B4009" w:rsidRDefault="00A368D4" w:rsidP="007F55EB">
      <w:pPr>
        <w:spacing w:line="276" w:lineRule="auto"/>
        <w:jc w:val="both"/>
      </w:pPr>
      <w:r>
        <w:t>T</w:t>
      </w:r>
      <w:r w:rsidR="007C7D09">
        <w:t>he recall task</w:t>
      </w:r>
      <w:r w:rsidR="008E254C">
        <w:t xml:space="preserve"> </w:t>
      </w:r>
      <w:r>
        <w:t>was completed by 4</w:t>
      </w:r>
      <w:r w:rsidR="00EB2F1F">
        <w:t>37 participants</w:t>
      </w:r>
      <w:r w:rsidR="00877C98" w:rsidRPr="00877C98">
        <w:t>.</w:t>
      </w:r>
      <w:r w:rsidR="001A3C2B">
        <w:t xml:space="preserve"> </w:t>
      </w:r>
      <w:r w:rsidR="00B96E79">
        <w:t>There was</w:t>
      </w:r>
      <w:r w:rsidR="001A3C2B">
        <w:t xml:space="preserve"> no evidence </w:t>
      </w:r>
      <w:r w:rsidR="008D5DF9">
        <w:t>of</w:t>
      </w:r>
      <w:r w:rsidR="00301CB2">
        <w:t xml:space="preserve"> an </w:t>
      </w:r>
      <w:r w:rsidR="00B96E79">
        <w:t>effect of</w:t>
      </w:r>
      <w:r w:rsidR="00301CB2">
        <w:t xml:space="preserve"> </w:t>
      </w:r>
      <w:r w:rsidR="00CA0E82">
        <w:t>discontinuation</w:t>
      </w:r>
      <w:r w:rsidR="002F7F2B">
        <w:t xml:space="preserve"> </w:t>
      </w:r>
      <w:r w:rsidR="00B96E79">
        <w:t>on</w:t>
      </w:r>
      <w:r w:rsidR="00301CB2">
        <w:t xml:space="preserve"> s</w:t>
      </w:r>
      <w:r w:rsidR="0006479E">
        <w:t>elf-referential recall</w:t>
      </w:r>
      <w:r w:rsidR="00301CB2">
        <w:t xml:space="preserve"> at 12</w:t>
      </w:r>
      <w:r w:rsidR="00AB3231">
        <w:t xml:space="preserve"> </w:t>
      </w:r>
      <w:r w:rsidR="00E06B50">
        <w:t xml:space="preserve">(positive </w:t>
      </w:r>
      <w:r w:rsidR="0006479E">
        <w:t xml:space="preserve">recall </w:t>
      </w:r>
      <w:r w:rsidR="00E06B50">
        <w:t>ratio</w:t>
      </w:r>
      <w:r w:rsidR="00D13547">
        <w:t xml:space="preserve"> 1.0</w:t>
      </w:r>
      <w:r w:rsidR="00DB1498">
        <w:t>0</w:t>
      </w:r>
      <w:r w:rsidR="00D13547">
        <w:t xml:space="preserve">, </w:t>
      </w:r>
      <w:r w:rsidR="00214ACE">
        <w:t xml:space="preserve">95% </w:t>
      </w:r>
      <w:r w:rsidR="00D13547">
        <w:t xml:space="preserve">CI </w:t>
      </w:r>
      <w:r w:rsidR="006C2AB1">
        <w:t>[</w:t>
      </w:r>
      <w:r w:rsidR="00D13547">
        <w:t>0.9</w:t>
      </w:r>
      <w:r w:rsidR="004E6169">
        <w:t>0</w:t>
      </w:r>
      <w:r w:rsidR="00214ACE">
        <w:t>-</w:t>
      </w:r>
      <w:r w:rsidR="00C91CF4">
        <w:t>1.1</w:t>
      </w:r>
      <w:r w:rsidR="00DB1498">
        <w:t>1</w:t>
      </w:r>
      <w:r w:rsidR="006C2AB1">
        <w:t>]</w:t>
      </w:r>
      <w:r w:rsidR="00C91CF4">
        <w:t>, p=0.</w:t>
      </w:r>
      <w:r w:rsidR="00DB1498">
        <w:t>93</w:t>
      </w:r>
      <w:r w:rsidR="00E06B50">
        <w:t xml:space="preserve">; negative </w:t>
      </w:r>
      <w:r w:rsidR="0006479E">
        <w:t xml:space="preserve">recall </w:t>
      </w:r>
      <w:r w:rsidR="00E06B50">
        <w:t>ratio</w:t>
      </w:r>
      <w:r w:rsidR="008645B6">
        <w:t xml:space="preserve"> 1.0</w:t>
      </w:r>
      <w:r w:rsidR="003973CA">
        <w:t>0</w:t>
      </w:r>
      <w:r w:rsidR="008645B6">
        <w:t xml:space="preserve"> </w:t>
      </w:r>
      <w:r w:rsidR="00070DD1">
        <w:t>[</w:t>
      </w:r>
      <w:r w:rsidR="008645B6">
        <w:t>0.8</w:t>
      </w:r>
      <w:r w:rsidR="003973CA">
        <w:t>7</w:t>
      </w:r>
      <w:r w:rsidR="00214ACE">
        <w:t>-</w:t>
      </w:r>
      <w:r w:rsidR="008645B6">
        <w:t>1.1</w:t>
      </w:r>
      <w:r w:rsidR="003973CA">
        <w:t>4</w:t>
      </w:r>
      <w:r w:rsidR="00070DD1">
        <w:t>]</w:t>
      </w:r>
      <w:r w:rsidR="008645B6">
        <w:t>, p=0.</w:t>
      </w:r>
      <w:r w:rsidR="003973CA">
        <w:t>87</w:t>
      </w:r>
      <w:r w:rsidR="00E06B50">
        <w:t xml:space="preserve">) </w:t>
      </w:r>
      <w:r w:rsidR="00301CB2">
        <w:t xml:space="preserve">or 52 weeks </w:t>
      </w:r>
      <w:r w:rsidR="00E06B50">
        <w:t>(</w:t>
      </w:r>
      <w:r w:rsidR="00C94142">
        <w:t>positive recall ratio</w:t>
      </w:r>
      <w:r w:rsidR="00B62358">
        <w:t xml:space="preserve"> 1.0</w:t>
      </w:r>
      <w:r w:rsidR="003973CA">
        <w:t>3</w:t>
      </w:r>
      <w:r w:rsidR="00C94142">
        <w:t xml:space="preserve"> [</w:t>
      </w:r>
      <w:r w:rsidR="00B62358">
        <w:t>0.91</w:t>
      </w:r>
      <w:r w:rsidR="00214ACE">
        <w:t>-</w:t>
      </w:r>
      <w:r w:rsidR="00B62358">
        <w:t>1.1</w:t>
      </w:r>
      <w:r w:rsidR="003973CA">
        <w:t>7</w:t>
      </w:r>
      <w:r w:rsidR="00C94142">
        <w:t>]</w:t>
      </w:r>
      <w:r w:rsidR="00B62358">
        <w:t>, p=0.</w:t>
      </w:r>
      <w:r w:rsidR="0026230F">
        <w:t>6</w:t>
      </w:r>
      <w:r w:rsidR="003973CA">
        <w:t>2</w:t>
      </w:r>
      <w:r w:rsidR="00E06B50">
        <w:t xml:space="preserve">; </w:t>
      </w:r>
      <w:r w:rsidR="00C94142">
        <w:t>negative recall ratio</w:t>
      </w:r>
      <w:r w:rsidR="00AC7725">
        <w:t xml:space="preserve"> 1.0</w:t>
      </w:r>
      <w:r w:rsidR="005212A6">
        <w:t>0</w:t>
      </w:r>
      <w:r w:rsidR="00C94142">
        <w:t xml:space="preserve"> [</w:t>
      </w:r>
      <w:r w:rsidR="00AC7725">
        <w:t>0.8</w:t>
      </w:r>
      <w:r w:rsidR="005212A6">
        <w:t>6</w:t>
      </w:r>
      <w:r w:rsidR="00214ACE">
        <w:t>-</w:t>
      </w:r>
      <w:r w:rsidR="00AC7725">
        <w:t>1.1</w:t>
      </w:r>
      <w:r w:rsidR="005212A6">
        <w:t>5</w:t>
      </w:r>
      <w:r w:rsidR="00C94142">
        <w:t>]</w:t>
      </w:r>
      <w:r w:rsidR="00AC7725">
        <w:t>, p=0.</w:t>
      </w:r>
      <w:r w:rsidR="005212A6">
        <w:t>96</w:t>
      </w:r>
      <w:r w:rsidR="00207645">
        <w:t>; ratios larger than one indicate higher recall in the discontinuation group</w:t>
      </w:r>
      <w:r w:rsidR="00E06B50">
        <w:t>)</w:t>
      </w:r>
      <w:r w:rsidR="00E11F96">
        <w:t xml:space="preserve">, and </w:t>
      </w:r>
      <w:r w:rsidR="00E06B50">
        <w:t xml:space="preserve">no evidence </w:t>
      </w:r>
      <w:r w:rsidR="008D5DF9">
        <w:t>of an association between recall at baseline</w:t>
      </w:r>
      <w:r w:rsidR="0000201F">
        <w:t xml:space="preserve"> or 12 weeks</w:t>
      </w:r>
      <w:r w:rsidR="00EB074C">
        <w:t xml:space="preserve"> and later relapse</w:t>
      </w:r>
      <w:r w:rsidR="008D5DF9">
        <w:t xml:space="preserve"> </w:t>
      </w:r>
      <w:r w:rsidR="00FC2F9B">
        <w:t>(baseline</w:t>
      </w:r>
      <w:r w:rsidR="009A4026">
        <w:t>,</w:t>
      </w:r>
      <w:r w:rsidR="00FC2F9B">
        <w:t xml:space="preserve"> positive hazard ratio [HR] 1.02 [0.93-1.12], p=0.74; negative HR 1.01 [0.90-1.13], p=0.87; 12 week</w:t>
      </w:r>
      <w:r w:rsidR="009A4026">
        <w:t xml:space="preserve">s, </w:t>
      </w:r>
      <w:r w:rsidR="00FC2F9B" w:rsidRPr="00DB1498">
        <w:t>positive HR 0</w:t>
      </w:r>
      <w:r w:rsidR="00FC2F9B">
        <w:t>.99</w:t>
      </w:r>
      <w:r w:rsidR="00FC2F9B" w:rsidRPr="00DB1498">
        <w:t xml:space="preserve"> [0.</w:t>
      </w:r>
      <w:r w:rsidR="00FC2F9B">
        <w:t>89</w:t>
      </w:r>
      <w:r w:rsidR="00FC2F9B" w:rsidRPr="00DB1498">
        <w:t>-1.</w:t>
      </w:r>
      <w:r w:rsidR="00FC2F9B">
        <w:t>09</w:t>
      </w:r>
      <w:r w:rsidR="00FC2F9B" w:rsidRPr="00DB1498">
        <w:t>], p=0.</w:t>
      </w:r>
      <w:r w:rsidR="00FC2F9B">
        <w:t>81</w:t>
      </w:r>
      <w:r w:rsidR="00FC2F9B" w:rsidRPr="00DB1498">
        <w:t>; negative HR 0</w:t>
      </w:r>
      <w:r w:rsidR="00FC2F9B">
        <w:t>.98</w:t>
      </w:r>
      <w:r w:rsidR="00FC2F9B" w:rsidRPr="00DB1498">
        <w:t xml:space="preserve"> [0.</w:t>
      </w:r>
      <w:r w:rsidR="00FC2F9B">
        <w:t>84</w:t>
      </w:r>
      <w:r w:rsidR="00FC2F9B" w:rsidRPr="00DB1498">
        <w:t>-1.1</w:t>
      </w:r>
      <w:r w:rsidR="00FC2F9B">
        <w:t>4</w:t>
      </w:r>
      <w:r w:rsidR="00FC2F9B" w:rsidRPr="00DB1498">
        <w:t>], p=0.</w:t>
      </w:r>
      <w:r w:rsidR="00FC2F9B">
        <w:t xml:space="preserve">78; </w:t>
      </w:r>
      <w:r w:rsidR="00207645">
        <w:t xml:space="preserve">ratios larger than one indicate a higher </w:t>
      </w:r>
      <w:r w:rsidR="004F0B4E">
        <w:t xml:space="preserve">frequency </w:t>
      </w:r>
      <w:r w:rsidR="00207645">
        <w:t xml:space="preserve">of </w:t>
      </w:r>
      <w:r w:rsidR="00FB75B3">
        <w:t xml:space="preserve">relapse </w:t>
      </w:r>
      <w:r w:rsidR="00207645">
        <w:t>in those with higher recall</w:t>
      </w:r>
      <w:r w:rsidR="00F530D4">
        <w:t>).</w:t>
      </w:r>
    </w:p>
    <w:p w14:paraId="4EFF9A48" w14:textId="77777777" w:rsidR="008100D0" w:rsidRDefault="008100D0" w:rsidP="007F55EB">
      <w:pPr>
        <w:spacing w:line="276" w:lineRule="auto"/>
        <w:jc w:val="both"/>
        <w:rPr>
          <w:b/>
          <w:bCs/>
        </w:rPr>
      </w:pPr>
    </w:p>
    <w:p w14:paraId="3ECE90FA" w14:textId="77777777" w:rsidR="00B96E79" w:rsidRDefault="008100D0" w:rsidP="007F55EB">
      <w:pPr>
        <w:spacing w:line="276" w:lineRule="auto"/>
        <w:rPr>
          <w:b/>
          <w:bCs/>
        </w:rPr>
      </w:pPr>
      <w:r>
        <w:rPr>
          <w:b/>
          <w:bCs/>
        </w:rPr>
        <w:t>Conclusion</w:t>
      </w:r>
      <w:r w:rsidR="00762EC4">
        <w:rPr>
          <w:b/>
          <w:bCs/>
        </w:rPr>
        <w:t>s</w:t>
      </w:r>
    </w:p>
    <w:p w14:paraId="159C91FA" w14:textId="61BD8EE4" w:rsidR="00A55100" w:rsidRDefault="00CC3F8E" w:rsidP="007F55EB">
      <w:pPr>
        <w:spacing w:line="276" w:lineRule="auto"/>
        <w:jc w:val="both"/>
        <w:rPr>
          <w:b/>
          <w:bCs/>
        </w:rPr>
      </w:pPr>
      <w:bookmarkStart w:id="1" w:name="_Hlk116036450"/>
      <w:r w:rsidRPr="00CC3F8E">
        <w:t xml:space="preserve">We found no evidence that </w:t>
      </w:r>
      <w:r w:rsidR="00E11F96" w:rsidRPr="00CC3F8E">
        <w:t>discontinuing long-term antidepressant</w:t>
      </w:r>
      <w:r w:rsidR="00E11F96">
        <w:t>s</w:t>
      </w:r>
      <w:r w:rsidR="00E11F96" w:rsidRPr="00CC3F8E">
        <w:t xml:space="preserve"> </w:t>
      </w:r>
      <w:r w:rsidR="00A46CE7">
        <w:t>altered</w:t>
      </w:r>
      <w:r w:rsidR="00E11F96">
        <w:t xml:space="preserve"> </w:t>
      </w:r>
      <w:r w:rsidR="00F43D47">
        <w:t>self-referential recall</w:t>
      </w:r>
      <w:r w:rsidR="00E11F96">
        <w:t xml:space="preserve"> or that self-referential recall</w:t>
      </w:r>
      <w:r w:rsidR="00F43D47">
        <w:t xml:space="preserve"> was associated with </w:t>
      </w:r>
      <w:r w:rsidRPr="00CC3F8E">
        <w:t>risk of relapse.</w:t>
      </w:r>
      <w:r w:rsidR="00A03D36">
        <w:t xml:space="preserve"> </w:t>
      </w:r>
      <w:bookmarkEnd w:id="1"/>
      <w:r w:rsidR="0049335A">
        <w:t>These findings</w:t>
      </w:r>
      <w:r w:rsidR="00E40383">
        <w:t xml:space="preserve"> </w:t>
      </w:r>
      <w:r w:rsidR="006A4EAE">
        <w:t xml:space="preserve">suggest </w:t>
      </w:r>
      <w:r w:rsidR="007055FD">
        <w:t xml:space="preserve">that self-referential recall </w:t>
      </w:r>
      <w:r w:rsidR="006A4EAE">
        <w:t>is not</w:t>
      </w:r>
      <w:r w:rsidR="007055FD">
        <w:t xml:space="preserve"> a neuropsycho</w:t>
      </w:r>
      <w:r w:rsidR="004254E4">
        <w:t xml:space="preserve">logical </w:t>
      </w:r>
      <w:r w:rsidR="007055FD">
        <w:t xml:space="preserve">marker </w:t>
      </w:r>
      <w:r w:rsidR="004254E4">
        <w:t>of antidepressant action</w:t>
      </w:r>
      <w:r w:rsidR="00B07789">
        <w:t xml:space="preserve">. </w:t>
      </w:r>
      <w:r w:rsidR="00A55100">
        <w:rPr>
          <w:b/>
          <w:bCs/>
        </w:rPr>
        <w:br w:type="page"/>
      </w:r>
    </w:p>
    <w:p w14:paraId="3298DE6A" w14:textId="77777777" w:rsidR="003C77CB" w:rsidRDefault="003C77CB" w:rsidP="00EC0251">
      <w:pPr>
        <w:spacing w:line="276" w:lineRule="auto"/>
        <w:jc w:val="both"/>
        <w:rPr>
          <w:b/>
          <w:bCs/>
        </w:rPr>
      </w:pPr>
      <w:r>
        <w:rPr>
          <w:b/>
          <w:bCs/>
        </w:rPr>
        <w:lastRenderedPageBreak/>
        <w:t>INTRODUCTION</w:t>
      </w:r>
    </w:p>
    <w:p w14:paraId="2D9963FF" w14:textId="77777777" w:rsidR="003C77CB" w:rsidRDefault="003C77CB" w:rsidP="00EC0251">
      <w:pPr>
        <w:spacing w:line="276" w:lineRule="auto"/>
        <w:jc w:val="both"/>
      </w:pPr>
      <w:r>
        <w:t xml:space="preserve">Selective serotonin reuptake inhibitor (SSRI) antidepressants are </w:t>
      </w:r>
      <w:r w:rsidR="00D64F1C">
        <w:t xml:space="preserve">often </w:t>
      </w:r>
      <w:r w:rsidR="006A4EAE">
        <w:t xml:space="preserve">a </w:t>
      </w:r>
      <w:r>
        <w:t>first line treatment for depression (</w:t>
      </w:r>
      <w:r w:rsidR="0013475E">
        <w:t>Kendrick et al., 2009</w:t>
      </w:r>
      <w:r>
        <w:t xml:space="preserve">). </w:t>
      </w:r>
      <w:r w:rsidR="006A4EAE">
        <w:t xml:space="preserve">SSRIs </w:t>
      </w:r>
      <w:r>
        <w:t xml:space="preserve">are amongst the most commonly prescribed medications in high-income countries </w:t>
      </w:r>
      <w:r w:rsidR="00BC44C1">
        <w:t xml:space="preserve">and </w:t>
      </w:r>
      <w:r>
        <w:t>have seen a dramatic and steady increase in prescriptions over the past three decades (NHS Digital, 2019).</w:t>
      </w:r>
      <w:r w:rsidR="003F3927">
        <w:t xml:space="preserve"> </w:t>
      </w:r>
      <w:r>
        <w:t xml:space="preserve">Although antidepressants are commonly used for treating acute </w:t>
      </w:r>
      <w:r w:rsidR="00D64F1C">
        <w:t xml:space="preserve">depressive </w:t>
      </w:r>
      <w:r>
        <w:t>episodes, a</w:t>
      </w:r>
      <w:r w:rsidR="00207645">
        <w:t xml:space="preserve"> large and increasing</w:t>
      </w:r>
      <w:r>
        <w:t xml:space="preserve"> proportion of prescriptions are </w:t>
      </w:r>
      <w:r w:rsidR="00207645">
        <w:t>for maintenance treatment to prevent future relapses</w:t>
      </w:r>
      <w:r>
        <w:t xml:space="preserve">. </w:t>
      </w:r>
      <w:r w:rsidR="002828A5">
        <w:t>B</w:t>
      </w:r>
      <w:r>
        <w:t>etween 1993 and 2005</w:t>
      </w:r>
      <w:r w:rsidR="002828A5">
        <w:t>,</w:t>
      </w:r>
      <w:r>
        <w:t xml:space="preserve"> an estimated 90% of prescriptions were </w:t>
      </w:r>
      <w:r w:rsidR="00D64F1C">
        <w:t xml:space="preserve">for </w:t>
      </w:r>
      <w:r>
        <w:t>maintenance treatment</w:t>
      </w:r>
      <w:r w:rsidR="00AB2177">
        <w:t xml:space="preserve">, with </w:t>
      </w:r>
      <w:r w:rsidR="008B4B9C">
        <w:t xml:space="preserve">the </w:t>
      </w:r>
      <w:r w:rsidR="00485765">
        <w:t>amount of time spent on SSRIs</w:t>
      </w:r>
      <w:r w:rsidR="008B4B9C">
        <w:t xml:space="preserve"> rising from </w:t>
      </w:r>
      <w:r w:rsidR="00485765">
        <w:t>0</w:t>
      </w:r>
      <w:r w:rsidR="006351B1">
        <w:t>.73 years per 100-person years</w:t>
      </w:r>
      <w:r w:rsidR="00E6568E">
        <w:t xml:space="preserve"> in 199</w:t>
      </w:r>
      <w:r w:rsidR="00D01D4F">
        <w:t>5</w:t>
      </w:r>
      <w:r w:rsidR="00E6568E">
        <w:t xml:space="preserve"> </w:t>
      </w:r>
      <w:r w:rsidR="00D83C88">
        <w:t xml:space="preserve">to </w:t>
      </w:r>
      <w:r w:rsidR="006351B1">
        <w:t>4.</w:t>
      </w:r>
      <w:r w:rsidR="00390999">
        <w:t xml:space="preserve">94 </w:t>
      </w:r>
      <w:r w:rsidR="005D2C08">
        <w:t>in 201</w:t>
      </w:r>
      <w:r w:rsidR="00390999">
        <w:t>2</w:t>
      </w:r>
      <w:r w:rsidR="009D0B1D">
        <w:t xml:space="preserve"> </w:t>
      </w:r>
      <w:r>
        <w:t>(Moore et al., 2009</w:t>
      </w:r>
      <w:r w:rsidR="005D2C08">
        <w:t>; Mc</w:t>
      </w:r>
      <w:r w:rsidR="00CE69DA">
        <w:t xml:space="preserve">Crea, </w:t>
      </w:r>
      <w:proofErr w:type="spellStart"/>
      <w:r w:rsidR="00CE69DA">
        <w:t>Sammon</w:t>
      </w:r>
      <w:proofErr w:type="spellEnd"/>
      <w:r w:rsidR="00CE69DA">
        <w:t>, Nazareth, &amp; Petersen, 201</w:t>
      </w:r>
      <w:r w:rsidR="00C229B2">
        <w:t>6</w:t>
      </w:r>
      <w:r>
        <w:t xml:space="preserve">). </w:t>
      </w:r>
    </w:p>
    <w:p w14:paraId="709DFF28" w14:textId="77777777" w:rsidR="003C77CB" w:rsidRDefault="00E04054" w:rsidP="00EC0251">
      <w:pPr>
        <w:spacing w:line="276" w:lineRule="auto"/>
        <w:jc w:val="both"/>
      </w:pPr>
      <w:r>
        <w:t xml:space="preserve">The cognitive neuropsychological model of antidepressant action proposes that </w:t>
      </w:r>
      <w:r w:rsidRPr="002828A5">
        <w:t>depression is associated with biases towards negative and away from positive information, and</w:t>
      </w:r>
      <w:r>
        <w:t xml:space="preserve"> that</w:t>
      </w:r>
      <w:r w:rsidRPr="002828A5">
        <w:t xml:space="preserve"> treatments for depression </w:t>
      </w:r>
      <w:r>
        <w:t>modulate</w:t>
      </w:r>
      <w:r w:rsidRPr="002828A5">
        <w:t xml:space="preserve"> such biases, for instance by biasing emotional processing towards positive stimuli </w:t>
      </w:r>
      <w:r>
        <w:t>(</w:t>
      </w:r>
      <w:r w:rsidR="00F552CE">
        <w:t xml:space="preserve">Clark et al., 2009; </w:t>
      </w:r>
      <w:r>
        <w:t>Harmer</w:t>
      </w:r>
      <w:r w:rsidR="00F552CE">
        <w:t xml:space="preserve"> et al.</w:t>
      </w:r>
      <w:r>
        <w:t xml:space="preserve">, 2009; </w:t>
      </w:r>
      <w:proofErr w:type="spellStart"/>
      <w:r w:rsidR="00DB145B" w:rsidRPr="00DB145B">
        <w:t>Roiser</w:t>
      </w:r>
      <w:proofErr w:type="spellEnd"/>
      <w:r w:rsidR="00DB145B" w:rsidRPr="00DB145B">
        <w:t>, Elliott,</w:t>
      </w:r>
      <w:r w:rsidR="00DB145B">
        <w:t xml:space="preserve"> &amp;</w:t>
      </w:r>
      <w:r w:rsidR="00DB145B" w:rsidRPr="00DB145B">
        <w:t xml:space="preserve"> Sahakian, 2012</w:t>
      </w:r>
      <w:r w:rsidRPr="002828A5">
        <w:t>).</w:t>
      </w:r>
      <w:r w:rsidR="00821D1E">
        <w:t xml:space="preserve"> In line with this model, there is </w:t>
      </w:r>
      <w:r w:rsidR="003C77CB">
        <w:t>evidence that antidepressant</w:t>
      </w:r>
      <w:r w:rsidR="00A87342">
        <w:t>s</w:t>
      </w:r>
      <w:r w:rsidR="003C77CB">
        <w:t xml:space="preserve"> alter emotional processing</w:t>
      </w:r>
      <w:r w:rsidR="00821D1E">
        <w:t xml:space="preserve"> </w:t>
      </w:r>
      <w:r w:rsidR="003C77CB">
        <w:t>(</w:t>
      </w:r>
      <w:r w:rsidR="0063586D" w:rsidRPr="00EB017F">
        <w:t xml:space="preserve">Harmer, </w:t>
      </w:r>
      <w:proofErr w:type="spellStart"/>
      <w:r w:rsidR="0063586D" w:rsidRPr="00EB017F">
        <w:t>Duman</w:t>
      </w:r>
      <w:proofErr w:type="spellEnd"/>
      <w:r w:rsidR="0063586D" w:rsidRPr="00EB017F">
        <w:t>,</w:t>
      </w:r>
      <w:r w:rsidR="0063586D">
        <w:t xml:space="preserve"> &amp;</w:t>
      </w:r>
      <w:r w:rsidR="0063586D" w:rsidRPr="00EB017F">
        <w:t xml:space="preserve"> Cowen,</w:t>
      </w:r>
      <w:r w:rsidR="003C77CB">
        <w:t xml:space="preserve"> 2017). </w:t>
      </w:r>
      <w:r w:rsidR="0047792F">
        <w:t xml:space="preserve">Changes in </w:t>
      </w:r>
      <w:r w:rsidR="00157504">
        <w:t>e</w:t>
      </w:r>
      <w:r w:rsidR="00DA6170">
        <w:t>motional processing have</w:t>
      </w:r>
      <w:r w:rsidR="00DA6170" w:rsidRPr="006429CE">
        <w:t xml:space="preserve"> been </w:t>
      </w:r>
      <w:r w:rsidR="00DA6170">
        <w:t>found</w:t>
      </w:r>
      <w:r w:rsidR="00DA6170" w:rsidRPr="006429CE">
        <w:t xml:space="preserve"> to precede changes in mood and symptoms (</w:t>
      </w:r>
      <w:r w:rsidR="0063586D" w:rsidRPr="00F40B64">
        <w:t xml:space="preserve">Harmer, Goodwin, </w:t>
      </w:r>
      <w:r w:rsidR="0063586D">
        <w:t xml:space="preserve">&amp; </w:t>
      </w:r>
      <w:r w:rsidR="0063586D" w:rsidRPr="00F40B64">
        <w:t>Cowen, 2009</w:t>
      </w:r>
      <w:r w:rsidR="00DA6170" w:rsidRPr="006429CE">
        <w:t>; Tranter et al., 2009</w:t>
      </w:r>
      <w:r w:rsidR="00DA6170">
        <w:t xml:space="preserve">; </w:t>
      </w:r>
      <w:r w:rsidR="00DA6170" w:rsidRPr="00257621">
        <w:t>Lewis et al., 2017</w:t>
      </w:r>
      <w:r w:rsidR="00DA6170" w:rsidRPr="006429CE">
        <w:t>).</w:t>
      </w:r>
    </w:p>
    <w:p w14:paraId="78529358" w14:textId="77777777" w:rsidR="00394608" w:rsidRDefault="00A71AD7" w:rsidP="00EC0251">
      <w:pPr>
        <w:spacing w:line="276" w:lineRule="auto"/>
        <w:jc w:val="both"/>
      </w:pPr>
      <w:r>
        <w:t>E</w:t>
      </w:r>
      <w:r w:rsidR="003C77CB">
        <w:t xml:space="preserve">motional memory </w:t>
      </w:r>
      <w:r>
        <w:t>is</w:t>
      </w:r>
      <w:r w:rsidR="003C77CB">
        <w:t xml:space="preserve"> a candidate </w:t>
      </w:r>
      <w:r w:rsidR="001F0D50">
        <w:t xml:space="preserve">neuropsychological </w:t>
      </w:r>
      <w:r w:rsidR="003C77CB">
        <w:t>marker of antidepressant drug action.</w:t>
      </w:r>
      <w:r w:rsidR="004F54ED">
        <w:t xml:space="preserve"> </w:t>
      </w:r>
      <w:r w:rsidR="003C77CB">
        <w:t xml:space="preserve">Self-referential recall, which can be </w:t>
      </w:r>
      <w:r w:rsidR="005939BA">
        <w:t xml:space="preserve">measured </w:t>
      </w:r>
      <w:r w:rsidR="003C77CB">
        <w:t xml:space="preserve">by asking participants to classify </w:t>
      </w:r>
      <w:r w:rsidR="00A87342">
        <w:t>then recall</w:t>
      </w:r>
      <w:r w:rsidR="003C77CB">
        <w:t xml:space="preserve"> positive and negative personality characteristics, has been </w:t>
      </w:r>
      <w:r w:rsidR="00237DEB">
        <w:t xml:space="preserve">used to investigate the effects of antidepressants. </w:t>
      </w:r>
      <w:r w:rsidR="00A87342">
        <w:t xml:space="preserve">Several </w:t>
      </w:r>
      <w:r w:rsidR="00237DEB">
        <w:t xml:space="preserve">studies have </w:t>
      </w:r>
      <w:r w:rsidR="002C3C83">
        <w:t>foun</w:t>
      </w:r>
      <w:r w:rsidR="00237DEB">
        <w:t>d increased positive and/or decreased negative recall following administration of an antidepressant</w:t>
      </w:r>
      <w:r w:rsidR="00314641">
        <w:t xml:space="preserve"> </w:t>
      </w:r>
      <w:r w:rsidR="00237DEB">
        <w:t>(</w:t>
      </w:r>
      <w:r w:rsidR="00225284">
        <w:t xml:space="preserve">Harmer, Shelley, Cowen, &amp; Goodwin, </w:t>
      </w:r>
      <w:r w:rsidR="00237DEB">
        <w:t xml:space="preserve">2004; </w:t>
      </w:r>
      <w:r w:rsidR="008A38A3" w:rsidRPr="00964323">
        <w:t xml:space="preserve">Arnone, </w:t>
      </w:r>
      <w:proofErr w:type="spellStart"/>
      <w:r w:rsidR="008A38A3" w:rsidRPr="00964323">
        <w:t>Horder</w:t>
      </w:r>
      <w:proofErr w:type="spellEnd"/>
      <w:r w:rsidR="008A38A3" w:rsidRPr="00964323">
        <w:t xml:space="preserve">, Cowen, </w:t>
      </w:r>
      <w:r w:rsidR="003517ED">
        <w:t>&amp;</w:t>
      </w:r>
      <w:r w:rsidR="008A38A3">
        <w:t xml:space="preserve"> </w:t>
      </w:r>
      <w:r w:rsidR="008A38A3" w:rsidRPr="00964323">
        <w:t xml:space="preserve">Harmer, </w:t>
      </w:r>
      <w:r w:rsidR="00237DEB">
        <w:t>2009</w:t>
      </w:r>
      <w:r w:rsidR="00C85F7C">
        <w:t>)</w:t>
      </w:r>
      <w:r w:rsidR="00A87342">
        <w:t>.</w:t>
      </w:r>
      <w:r w:rsidR="00C85F7C">
        <w:t xml:space="preserve"> </w:t>
      </w:r>
      <w:r w:rsidR="00A87342">
        <w:t>However,</w:t>
      </w:r>
      <w:r w:rsidR="00106ED8">
        <w:t xml:space="preserve"> m</w:t>
      </w:r>
      <w:r w:rsidR="00106ED8" w:rsidRPr="001702D5">
        <w:t>ost of the existing evidence comes from experimental studies in healthy volunteers</w:t>
      </w:r>
      <w:r w:rsidR="00106ED8" w:rsidRPr="008B4009">
        <w:t>, often with</w:t>
      </w:r>
      <w:r w:rsidR="00106ED8" w:rsidRPr="001702D5">
        <w:t xml:space="preserve"> small sample sizes and acute o</w:t>
      </w:r>
      <w:r w:rsidR="00106ED8" w:rsidRPr="008B4009">
        <w:t>r</w:t>
      </w:r>
      <w:r w:rsidR="00106ED8" w:rsidRPr="001702D5">
        <w:t xml:space="preserve"> short-term interventions</w:t>
      </w:r>
      <w:r w:rsidR="00B8539C">
        <w:t>. S</w:t>
      </w:r>
      <w:r w:rsidR="00B8539C" w:rsidRPr="008B4009">
        <w:t>uch</w:t>
      </w:r>
      <w:r w:rsidR="00B8539C">
        <w:t xml:space="preserve"> studies have limited</w:t>
      </w:r>
      <w:r w:rsidR="00B8539C" w:rsidRPr="001702D5">
        <w:t xml:space="preserve"> generalisability</w:t>
      </w:r>
      <w:r w:rsidR="00B8539C">
        <w:t xml:space="preserve">, and </w:t>
      </w:r>
      <w:r w:rsidR="00874599">
        <w:t xml:space="preserve">there have been inconsistent </w:t>
      </w:r>
      <w:r w:rsidR="00B8539C">
        <w:t xml:space="preserve">findings </w:t>
      </w:r>
      <w:r w:rsidR="00237DEB" w:rsidRPr="00CA2650">
        <w:t>(</w:t>
      </w:r>
      <w:r w:rsidR="00FD2144">
        <w:t xml:space="preserve">Ahmed et al., 2021; </w:t>
      </w:r>
      <w:proofErr w:type="spellStart"/>
      <w:r w:rsidR="00237DEB" w:rsidRPr="00CA2650">
        <w:t>Komulainen</w:t>
      </w:r>
      <w:proofErr w:type="spellEnd"/>
      <w:r w:rsidR="00237DEB" w:rsidRPr="00CA2650">
        <w:t xml:space="preserve"> et al., 2018; Walsh et al., 2018).</w:t>
      </w:r>
    </w:p>
    <w:p w14:paraId="12EB93E1" w14:textId="77777777" w:rsidR="00EF6F6D" w:rsidRDefault="0013475E" w:rsidP="00EC0251">
      <w:pPr>
        <w:spacing w:line="276" w:lineRule="auto"/>
        <w:jc w:val="both"/>
      </w:pPr>
      <w:r>
        <w:t>T</w:t>
      </w:r>
      <w:r w:rsidRPr="008B4009">
        <w:t>he</w:t>
      </w:r>
      <w:r>
        <w:t xml:space="preserve"> early</w:t>
      </w:r>
      <w:r w:rsidRPr="008B4009">
        <w:t xml:space="preserve"> effects of antidepressant</w:t>
      </w:r>
      <w:r w:rsidR="00914BAA">
        <w:t>s</w:t>
      </w:r>
      <w:r>
        <w:t xml:space="preserve"> </w:t>
      </w:r>
      <w:r w:rsidRPr="008B4009">
        <w:t xml:space="preserve">on emotional </w:t>
      </w:r>
      <w:r w:rsidR="001F0D50">
        <w:t>memory</w:t>
      </w:r>
      <w:r>
        <w:t xml:space="preserve"> have</w:t>
      </w:r>
      <w:r w:rsidR="001F0D50">
        <w:t xml:space="preserve"> </w:t>
      </w:r>
      <w:r>
        <w:t>attracted considerable attention</w:t>
      </w:r>
      <w:r w:rsidRPr="008B4009">
        <w:t xml:space="preserve">, but </w:t>
      </w:r>
      <w:r>
        <w:t>the</w:t>
      </w:r>
      <w:r w:rsidR="00907475">
        <w:t xml:space="preserve"> impact of antidepressant discontinuation on</w:t>
      </w:r>
      <w:r w:rsidR="00992EF6">
        <w:t xml:space="preserve"> these processes</w:t>
      </w:r>
      <w:r w:rsidR="00907475">
        <w:t xml:space="preserve"> and their potential</w:t>
      </w:r>
      <w:r w:rsidR="001F0D50">
        <w:t xml:space="preserve"> to guide </w:t>
      </w:r>
      <w:r w:rsidR="00907475">
        <w:t>treatment</w:t>
      </w:r>
      <w:r w:rsidR="001F0D50">
        <w:t xml:space="preserve"> decisions </w:t>
      </w:r>
      <w:r w:rsidR="00E02EDE">
        <w:t>ha</w:t>
      </w:r>
      <w:r w:rsidR="0093729F">
        <w:t>s</w:t>
      </w:r>
      <w:r w:rsidR="00E02EDE">
        <w:t xml:space="preserve"> not been addressed</w:t>
      </w:r>
      <w:r>
        <w:t>.</w:t>
      </w:r>
      <w:r w:rsidR="00E02EDE">
        <w:t xml:space="preserve"> </w:t>
      </w:r>
      <w:r w:rsidR="00992EF6">
        <w:t>Emotional</w:t>
      </w:r>
      <w:r w:rsidR="001F0D50">
        <w:t xml:space="preserve"> biases towards negative information have been proposed as a vulnerability factor for depression relapse, </w:t>
      </w:r>
      <w:r w:rsidR="00E02EDE">
        <w:t xml:space="preserve">but </w:t>
      </w:r>
      <w:r w:rsidR="001F0D50">
        <w:t xml:space="preserve">this hypothesis </w:t>
      </w:r>
      <w:r w:rsidR="00907475">
        <w:t>has</w:t>
      </w:r>
      <w:r w:rsidR="00303F43">
        <w:t xml:space="preserve"> not</w:t>
      </w:r>
      <w:r w:rsidR="00907475">
        <w:t xml:space="preserve"> been </w:t>
      </w:r>
      <w:r w:rsidR="00303F43">
        <w:t xml:space="preserve">appropriately </w:t>
      </w:r>
      <w:r w:rsidR="00907475">
        <w:t xml:space="preserve">tested </w:t>
      </w:r>
      <w:r w:rsidR="001F0D50">
        <w:t>(</w:t>
      </w:r>
      <w:proofErr w:type="spellStart"/>
      <w:r w:rsidR="00225284" w:rsidRPr="008B3ABA">
        <w:t>Bouhuys</w:t>
      </w:r>
      <w:proofErr w:type="spellEnd"/>
      <w:r w:rsidR="00225284">
        <w:t>,</w:t>
      </w:r>
      <w:r w:rsidR="00225284" w:rsidRPr="008B3ABA">
        <w:t xml:space="preserve"> </w:t>
      </w:r>
      <w:proofErr w:type="spellStart"/>
      <w:r w:rsidR="00225284" w:rsidRPr="008B3ABA">
        <w:t>Geerts</w:t>
      </w:r>
      <w:proofErr w:type="spellEnd"/>
      <w:r w:rsidR="00225284">
        <w:t>, &amp;</w:t>
      </w:r>
      <w:r w:rsidR="00225284" w:rsidRPr="008B3ABA">
        <w:t xml:space="preserve"> </w:t>
      </w:r>
      <w:proofErr w:type="spellStart"/>
      <w:r w:rsidR="00225284" w:rsidRPr="008B3ABA">
        <w:t>Gordijn</w:t>
      </w:r>
      <w:proofErr w:type="spellEnd"/>
      <w:r w:rsidR="00225284">
        <w:t>,</w:t>
      </w:r>
      <w:r w:rsidR="00225284" w:rsidRPr="008B3ABA">
        <w:t xml:space="preserve"> </w:t>
      </w:r>
      <w:r w:rsidR="001F0D50" w:rsidRPr="00AC0825">
        <w:t>1999</w:t>
      </w:r>
      <w:r w:rsidR="001F0D50">
        <w:t xml:space="preserve">). </w:t>
      </w:r>
      <w:r w:rsidR="005470B1">
        <w:t>I</w:t>
      </w:r>
      <w:r w:rsidR="00DC0359">
        <w:t>n this study, w</w:t>
      </w:r>
      <w:r w:rsidR="001F0D50" w:rsidRPr="003B0E9B">
        <w:t>e</w:t>
      </w:r>
      <w:r w:rsidR="00E02EDE">
        <w:t xml:space="preserve"> </w:t>
      </w:r>
      <w:r w:rsidR="001F0D50" w:rsidRPr="003B0E9B">
        <w:t>investigate</w:t>
      </w:r>
      <w:r w:rsidR="006105B6">
        <w:t>d</w:t>
      </w:r>
      <w:r w:rsidR="001F0D50" w:rsidRPr="003B0E9B">
        <w:t xml:space="preserve"> the effect of discontinuing </w:t>
      </w:r>
      <w:r w:rsidR="006105B6" w:rsidRPr="003B0E9B">
        <w:t xml:space="preserve">maintenance </w:t>
      </w:r>
      <w:r w:rsidR="001F0D50" w:rsidRPr="003B0E9B">
        <w:t>antidepressant</w:t>
      </w:r>
      <w:r w:rsidR="006105B6">
        <w:t>s</w:t>
      </w:r>
      <w:r w:rsidR="001F0D50" w:rsidRPr="003B0E9B">
        <w:t xml:space="preserve"> on </w:t>
      </w:r>
      <w:r w:rsidR="00992EF6">
        <w:t xml:space="preserve">positive and negative </w:t>
      </w:r>
      <w:r w:rsidR="001F0D50" w:rsidRPr="003B0E9B">
        <w:t xml:space="preserve">self-referential recall and </w:t>
      </w:r>
      <w:r w:rsidR="006105B6">
        <w:t>examined</w:t>
      </w:r>
      <w:r w:rsidR="006105B6" w:rsidRPr="003B0E9B">
        <w:t xml:space="preserve"> </w:t>
      </w:r>
      <w:r w:rsidR="001F0D50" w:rsidRPr="003B0E9B">
        <w:t xml:space="preserve">the association between recall and </w:t>
      </w:r>
      <w:r w:rsidR="006105B6">
        <w:t xml:space="preserve">subsequent </w:t>
      </w:r>
      <w:r w:rsidR="001F0D50" w:rsidRPr="003B0E9B">
        <w:t>risk of relapse.</w:t>
      </w:r>
    </w:p>
    <w:p w14:paraId="07075AFB" w14:textId="46E9AC4E" w:rsidR="00A51615" w:rsidRDefault="00A51615" w:rsidP="000A6A8E">
      <w:pPr>
        <w:spacing w:line="276" w:lineRule="auto"/>
        <w:jc w:val="both"/>
        <w:rPr>
          <w:rFonts w:eastAsia="Times New Roman"/>
          <w:color w:val="0070C0"/>
        </w:rPr>
      </w:pPr>
      <w:r w:rsidRPr="00563CC6">
        <w:rPr>
          <w:rFonts w:eastAsia="Times New Roman"/>
          <w:color w:val="0070C0"/>
        </w:rPr>
        <w:t>Reduced serotonin availability has been shown to alter emotional processing in acute tryptophan depletion studies. Contrary to antidepressant administration, tryptophan depletion has been shown to decrease positive biases and increase negative biases in both healthy participants and remitted patients (Hayward et al., 2005). Consistent with this, reduced serotonin availability upon antidepressant discontinuation could lead to decreased positive and increased negative stimuli processing. This should be particularly apparent in the first few weeks after discontinuation, when patients may experience withdrawal symptoms. In patients, such changes in emotional processing are generally associated with changes in mood (Smith, Fairburn &amp; Cowen, 1997; Van der Does et al., 2001), and could reflect an increased risk of relapse.</w:t>
      </w:r>
    </w:p>
    <w:p w14:paraId="7294CA6B" w14:textId="225737E0" w:rsidR="00A06F90" w:rsidRDefault="0048722B" w:rsidP="000A6A8E">
      <w:pPr>
        <w:spacing w:line="276" w:lineRule="auto"/>
        <w:jc w:val="both"/>
      </w:pPr>
      <w:r w:rsidRPr="0048722B">
        <w:lastRenderedPageBreak/>
        <w:t>We</w:t>
      </w:r>
      <w:r w:rsidR="00664AEC">
        <w:t xml:space="preserve"> therefore</w:t>
      </w:r>
      <w:r w:rsidRPr="0048722B">
        <w:t xml:space="preserve"> </w:t>
      </w:r>
      <w:r w:rsidR="00664AEC">
        <w:t>hypothesised</w:t>
      </w:r>
      <w:r w:rsidR="00664AEC" w:rsidRPr="0048722B">
        <w:t xml:space="preserve"> </w:t>
      </w:r>
      <w:r w:rsidRPr="0048722B">
        <w:t xml:space="preserve">(i) that recall of </w:t>
      </w:r>
      <w:r w:rsidR="00333AD4">
        <w:t xml:space="preserve">self-referential </w:t>
      </w:r>
      <w:r w:rsidRPr="0048722B">
        <w:t xml:space="preserve">positive words would </w:t>
      </w:r>
      <w:r w:rsidR="007904C0">
        <w:t>decrease</w:t>
      </w:r>
      <w:r w:rsidRPr="0048722B">
        <w:t xml:space="preserve"> and recall of </w:t>
      </w:r>
      <w:r w:rsidR="00333AD4">
        <w:t xml:space="preserve">self-referential </w:t>
      </w:r>
      <w:r w:rsidRPr="0048722B">
        <w:t xml:space="preserve">negative words would </w:t>
      </w:r>
      <w:r w:rsidR="007904C0">
        <w:t>increase</w:t>
      </w:r>
      <w:r w:rsidRPr="0048722B">
        <w:t xml:space="preserve"> in the </w:t>
      </w:r>
      <w:r w:rsidR="003F7E00">
        <w:t>discontinuation</w:t>
      </w:r>
      <w:r w:rsidR="003F7E00" w:rsidRPr="0048722B">
        <w:t xml:space="preserve"> </w:t>
      </w:r>
      <w:r w:rsidRPr="0048722B">
        <w:t xml:space="preserve">group, relative to maintenance antidepressant treatment, and (ii) that decreased recall of </w:t>
      </w:r>
      <w:r w:rsidR="00333AD4">
        <w:t xml:space="preserve">self-referential </w:t>
      </w:r>
      <w:r w:rsidRPr="0048722B">
        <w:t xml:space="preserve">positive words and increased recall of </w:t>
      </w:r>
      <w:r w:rsidR="00333AD4">
        <w:t xml:space="preserve">self-referential </w:t>
      </w:r>
      <w:r w:rsidRPr="0048722B">
        <w:t xml:space="preserve">negative words would </w:t>
      </w:r>
      <w:r w:rsidR="0034523F">
        <w:t>be associated with</w:t>
      </w:r>
      <w:r w:rsidR="00664AEC">
        <w:t xml:space="preserve"> subsequent risk of</w:t>
      </w:r>
      <w:r w:rsidR="0034523F" w:rsidRPr="0048722B">
        <w:t xml:space="preserve"> </w:t>
      </w:r>
      <w:r w:rsidRPr="0048722B">
        <w:t>relapse.</w:t>
      </w:r>
    </w:p>
    <w:p w14:paraId="1F2A5FBE" w14:textId="77777777" w:rsidR="00432EC4" w:rsidRDefault="00432EC4" w:rsidP="000A6A8E">
      <w:pPr>
        <w:spacing w:line="276" w:lineRule="auto"/>
        <w:jc w:val="both"/>
      </w:pPr>
    </w:p>
    <w:p w14:paraId="5126671A" w14:textId="77777777" w:rsidR="003C77CB" w:rsidRDefault="003C77CB" w:rsidP="00A06F90">
      <w:pPr>
        <w:spacing w:line="276" w:lineRule="auto"/>
        <w:rPr>
          <w:b/>
          <w:bCs/>
        </w:rPr>
      </w:pPr>
      <w:r>
        <w:rPr>
          <w:b/>
          <w:bCs/>
        </w:rPr>
        <w:t>METHODS</w:t>
      </w:r>
    </w:p>
    <w:p w14:paraId="494E3094" w14:textId="77777777" w:rsidR="003C77CB" w:rsidRPr="00F13C98" w:rsidRDefault="003C77CB" w:rsidP="00EC0251">
      <w:pPr>
        <w:tabs>
          <w:tab w:val="center" w:pos="4513"/>
        </w:tabs>
        <w:spacing w:line="276" w:lineRule="auto"/>
        <w:jc w:val="both"/>
        <w:rPr>
          <w:b/>
          <w:bCs/>
        </w:rPr>
      </w:pPr>
      <w:r w:rsidRPr="00F13C98">
        <w:rPr>
          <w:b/>
          <w:bCs/>
        </w:rPr>
        <w:t>Study design and participants</w:t>
      </w:r>
      <w:r w:rsidR="00AC1508">
        <w:rPr>
          <w:b/>
          <w:bCs/>
        </w:rPr>
        <w:tab/>
      </w:r>
    </w:p>
    <w:p w14:paraId="57AA7954" w14:textId="77777777" w:rsidR="00207645" w:rsidRDefault="00207645" w:rsidP="00207645">
      <w:pPr>
        <w:spacing w:line="276" w:lineRule="auto"/>
        <w:jc w:val="both"/>
      </w:pPr>
      <w:r>
        <w:t>We analysed data from</w:t>
      </w:r>
      <w:r w:rsidR="004401FE">
        <w:t xml:space="preserve"> ANTLER,</w:t>
      </w:r>
      <w:r>
        <w:t xml:space="preserve"> </w:t>
      </w:r>
      <w:r w:rsidRPr="00576D5E">
        <w:t xml:space="preserve">a large </w:t>
      </w:r>
      <w:r w:rsidR="004401FE">
        <w:t xml:space="preserve">individually randomised </w:t>
      </w:r>
      <w:r>
        <w:t xml:space="preserve">(N=478) </w:t>
      </w:r>
      <w:r w:rsidRPr="00576D5E">
        <w:t xml:space="preserve">pragmatic double-blind </w:t>
      </w:r>
      <w:r>
        <w:t xml:space="preserve">trial that </w:t>
      </w:r>
      <w:r w:rsidRPr="00576D5E">
        <w:t>investigat</w:t>
      </w:r>
      <w:r>
        <w:t>ed</w:t>
      </w:r>
      <w:r w:rsidRPr="00576D5E">
        <w:t xml:space="preserve"> the clinical effectiveness of antidepressants </w:t>
      </w:r>
      <w:r>
        <w:t>for</w:t>
      </w:r>
      <w:r w:rsidRPr="00576D5E">
        <w:t xml:space="preserve"> preventing relapse in primary care patients receiving </w:t>
      </w:r>
      <w:r>
        <w:t>long-term maintenance treatment (ANTLER; Duffy et al., 2019; Lewis et al., 2021)</w:t>
      </w:r>
      <w:r w:rsidRPr="00576D5E">
        <w:t xml:space="preserve">. </w:t>
      </w:r>
      <w:r>
        <w:t xml:space="preserve">The ANTLER trial found evidence that discontinuing treatment </w:t>
      </w:r>
      <w:r>
        <w:rPr>
          <w:bCs/>
        </w:rPr>
        <w:t xml:space="preserve">increased the risk of relapse. However, over 40% of primary care patients who discontinued were able to do so without relapsing over the 12-month follow-up (Lewis et al., 2021). </w:t>
      </w:r>
    </w:p>
    <w:p w14:paraId="41FD6402" w14:textId="77777777" w:rsidR="003C77CB" w:rsidRDefault="00331EAE" w:rsidP="00EC0251">
      <w:pPr>
        <w:spacing w:line="276" w:lineRule="auto"/>
        <w:jc w:val="both"/>
      </w:pPr>
      <w:r w:rsidRPr="00331EAE">
        <w:t xml:space="preserve">The </w:t>
      </w:r>
      <w:r w:rsidR="00A06F90">
        <w:t xml:space="preserve">ANTLER </w:t>
      </w:r>
      <w:r w:rsidRPr="00331EAE">
        <w:t>trial was registered with Controlled Trials ISRCTN Registry</w:t>
      </w:r>
      <w:r w:rsidR="00035636">
        <w:t xml:space="preserve"> (reference </w:t>
      </w:r>
      <w:r w:rsidRPr="00331EAE">
        <w:t>ISRCTN15969819</w:t>
      </w:r>
      <w:r w:rsidR="00035636">
        <w:t>)</w:t>
      </w:r>
      <w:r w:rsidRPr="00331EAE">
        <w:t>.</w:t>
      </w:r>
      <w:r w:rsidR="00D8084A">
        <w:t xml:space="preserve"> </w:t>
      </w:r>
      <w:bookmarkStart w:id="2" w:name="_Hlk114836591"/>
      <w:r w:rsidR="00D8084A">
        <w:t>A</w:t>
      </w:r>
      <w:r w:rsidR="00D8084A" w:rsidRPr="00517DE9">
        <w:t>ll procedures compl</w:t>
      </w:r>
      <w:r w:rsidR="00D8084A">
        <w:t>ied</w:t>
      </w:r>
      <w:r w:rsidR="00D8084A" w:rsidRPr="00517DE9">
        <w:t xml:space="preserve"> with the ethical standards of the relevant national and institutional committees on human experimentation</w:t>
      </w:r>
      <w:bookmarkEnd w:id="2"/>
      <w:r w:rsidR="00D8084A" w:rsidRPr="00517DE9">
        <w:t xml:space="preserve"> and with the Helsinki Declaration of 1975, as revised in 2008.</w:t>
      </w:r>
    </w:p>
    <w:p w14:paraId="30F2680F" w14:textId="77777777" w:rsidR="0018791A" w:rsidRDefault="003C77CB" w:rsidP="00EC0251">
      <w:pPr>
        <w:spacing w:line="276" w:lineRule="auto"/>
        <w:jc w:val="both"/>
      </w:pPr>
      <w:r>
        <w:t xml:space="preserve">Participants were </w:t>
      </w:r>
      <w:r w:rsidRPr="00D93CC1">
        <w:t>recruited from 150 general practices across</w:t>
      </w:r>
      <w:r w:rsidR="005E5AD5">
        <w:t xml:space="preserve"> four research centres (in London, Bristol, Southampton and York)</w:t>
      </w:r>
      <w:r w:rsidR="000E32EE">
        <w:t xml:space="preserve">, </w:t>
      </w:r>
      <w:r w:rsidR="0027186C">
        <w:t>either via record search or in-consultation recruitment</w:t>
      </w:r>
      <w:r w:rsidR="001E7037">
        <w:t xml:space="preserve">. </w:t>
      </w:r>
      <w:r>
        <w:t xml:space="preserve">Eligible </w:t>
      </w:r>
      <w:r w:rsidR="001E7037">
        <w:t xml:space="preserve">individuals </w:t>
      </w:r>
      <w:r>
        <w:t xml:space="preserve">were primary care patients being treated for depression but who were well enough to consider stopping antidepressant medication. </w:t>
      </w:r>
      <w:r w:rsidR="001E7037">
        <w:t xml:space="preserve">Patients </w:t>
      </w:r>
      <w:r>
        <w:t>were assessed for the following inclusion criteria: aged 18</w:t>
      </w:r>
      <w:r w:rsidR="007C20CE">
        <w:t>-</w:t>
      </w:r>
      <w:r>
        <w:t xml:space="preserve">74 years, </w:t>
      </w:r>
      <w:r w:rsidR="00D93CC1" w:rsidRPr="009C7F18">
        <w:t xml:space="preserve">at least two </w:t>
      </w:r>
      <w:r w:rsidRPr="009C7F18">
        <w:t>episodes of depression,</w:t>
      </w:r>
      <w:r>
        <w:t xml:space="preserve"> antidepressant treatment for at least 9 months and currently taking citalopram 20 mg, sertraline 100 mg, fluoxetine 20 mg or mirtazapine 30 mg, and adherence to medication (defined using a five-item self-report</w:t>
      </w:r>
      <w:r w:rsidR="003C61BC">
        <w:t xml:space="preserve"> </w:t>
      </w:r>
      <w:r>
        <w:t xml:space="preserve">measure of compliance). </w:t>
      </w:r>
    </w:p>
    <w:p w14:paraId="5E8EDE4A" w14:textId="77777777" w:rsidR="00462D23" w:rsidRDefault="003C77CB" w:rsidP="00EC0251">
      <w:pPr>
        <w:spacing w:line="276" w:lineRule="auto"/>
        <w:jc w:val="both"/>
        <w:rPr>
          <w:i/>
          <w:iCs/>
        </w:rPr>
      </w:pPr>
      <w:r>
        <w:t>Participants were excluded if they met any of the following criteria: internationally agreed (ICD-10) criteria for a depressive illness (assessed using the CIS-R), comorbid bipolar disorder, psychotic illness, dementia or a terminal illness, inability to complete self-administered questionnaires in English, contraindications for any of the prescribed medication, concurrent enrolment in another investigational medicinal product (IMP) trial, current or planned pregnancy or breastfeeding, use of monoamine oxidase inhibitors, and allergies to placebo excipients</w:t>
      </w:r>
      <w:r w:rsidR="00462D23">
        <w:rPr>
          <w:i/>
          <w:iCs/>
        </w:rPr>
        <w:t>.</w:t>
      </w:r>
    </w:p>
    <w:p w14:paraId="29F2AABB" w14:textId="77777777" w:rsidR="00F13C98" w:rsidRPr="00F13C98" w:rsidRDefault="00F13C98" w:rsidP="00EC0251">
      <w:pPr>
        <w:spacing w:line="276" w:lineRule="auto"/>
        <w:jc w:val="both"/>
      </w:pPr>
    </w:p>
    <w:p w14:paraId="5D8C8659" w14:textId="77777777" w:rsidR="005E5AD5" w:rsidRPr="00F13C98" w:rsidRDefault="00DE7B33" w:rsidP="00EC0251">
      <w:pPr>
        <w:spacing w:line="276" w:lineRule="auto"/>
        <w:jc w:val="both"/>
        <w:rPr>
          <w:b/>
          <w:bCs/>
        </w:rPr>
      </w:pPr>
      <w:r>
        <w:rPr>
          <w:b/>
          <w:bCs/>
        </w:rPr>
        <w:t>Randomisation p</w:t>
      </w:r>
      <w:r w:rsidR="005E5AD5" w:rsidRPr="00F13C98">
        <w:rPr>
          <w:b/>
          <w:bCs/>
        </w:rPr>
        <w:t>rocedure</w:t>
      </w:r>
    </w:p>
    <w:p w14:paraId="730AE9EF" w14:textId="77777777" w:rsidR="00A26503" w:rsidRDefault="005E5AD5" w:rsidP="00EC0251">
      <w:pPr>
        <w:spacing w:line="276" w:lineRule="auto"/>
        <w:jc w:val="both"/>
      </w:pPr>
      <w:r>
        <w:t>Eligible participants completed a baseline assessment</w:t>
      </w:r>
      <w:r w:rsidR="006366DB">
        <w:t xml:space="preserve"> and provided a written consent.</w:t>
      </w:r>
      <w:r w:rsidR="001E7037">
        <w:t xml:space="preserve"> </w:t>
      </w:r>
      <w:r w:rsidR="00984282">
        <w:t>They were then</w:t>
      </w:r>
      <w:r>
        <w:t xml:space="preserve"> randomised </w:t>
      </w:r>
      <w:r w:rsidR="00DE7B33" w:rsidRPr="00035636">
        <w:t>1:1 with a remote computer</w:t>
      </w:r>
      <w:r w:rsidR="00DE7B33">
        <w:t>-</w:t>
      </w:r>
      <w:r w:rsidR="00DE7B33" w:rsidRPr="00035636">
        <w:t xml:space="preserve">generated code, either </w:t>
      </w:r>
      <w:r>
        <w:t xml:space="preserve">to remain on active antidepressant medication (citalopram 20 mg, sertraline 100 mg, fluoxetine 20 mg or mirtazapine 30 mg) or to take an identical placebo following a 1-month (for fluoxetine) or 2-month (for citalopram, sertraline and mirtazapine) tapering period. </w:t>
      </w:r>
      <w:r w:rsidR="00DE7B33">
        <w:t xml:space="preserve">Randomisation was stratified by study centre, antidepressant medication and severity of depressive symptoms. </w:t>
      </w:r>
    </w:p>
    <w:p w14:paraId="04BD5B5B" w14:textId="77777777" w:rsidR="00907475" w:rsidRDefault="00DE7B33" w:rsidP="00EC0251">
      <w:pPr>
        <w:spacing w:line="276" w:lineRule="auto"/>
        <w:jc w:val="both"/>
      </w:pPr>
      <w:r>
        <w:lastRenderedPageBreak/>
        <w:t>T</w:t>
      </w:r>
      <w:r w:rsidRPr="00035636">
        <w:t>he active medication</w:t>
      </w:r>
      <w:r>
        <w:t xml:space="preserve"> and placebo</w:t>
      </w:r>
      <w:r w:rsidRPr="00035636">
        <w:t xml:space="preserve"> </w:t>
      </w:r>
      <w:r>
        <w:t xml:space="preserve">were </w:t>
      </w:r>
      <w:r w:rsidRPr="00035636">
        <w:t>encapsulated</w:t>
      </w:r>
      <w:r>
        <w:t>, with all capsules identical</w:t>
      </w:r>
      <w:r w:rsidRPr="00035636">
        <w:t xml:space="preserve"> in dimensions and appearance</w:t>
      </w:r>
      <w:r>
        <w:t xml:space="preserve">. </w:t>
      </w:r>
      <w:r w:rsidRPr="00F13C98">
        <w:t xml:space="preserve">Trial participants, clinicians and all members of the research team </w:t>
      </w:r>
      <w:r>
        <w:t>were</w:t>
      </w:r>
      <w:r w:rsidRPr="00F13C98">
        <w:t xml:space="preserve"> blinded to the treatment allocation</w:t>
      </w:r>
      <w:r w:rsidR="008F1C67">
        <w:t xml:space="preserve"> (Duffy et al., 2019)</w:t>
      </w:r>
      <w:r w:rsidRPr="00F13C98">
        <w:t>.</w:t>
      </w:r>
      <w:r>
        <w:t xml:space="preserve"> Analyses for this study were performed with awareness of the random allocation. </w:t>
      </w:r>
    </w:p>
    <w:p w14:paraId="6F666A54" w14:textId="77777777" w:rsidR="00D8084A" w:rsidRDefault="00D8084A" w:rsidP="00EC0251">
      <w:pPr>
        <w:spacing w:line="276" w:lineRule="auto"/>
        <w:jc w:val="both"/>
      </w:pPr>
    </w:p>
    <w:p w14:paraId="470A022A" w14:textId="77777777" w:rsidR="005E5AD5" w:rsidRDefault="005E5AD5" w:rsidP="00EC0251">
      <w:pPr>
        <w:spacing w:line="276" w:lineRule="auto"/>
        <w:jc w:val="both"/>
        <w:rPr>
          <w:b/>
          <w:bCs/>
        </w:rPr>
      </w:pPr>
      <w:r w:rsidRPr="00F13C98">
        <w:rPr>
          <w:b/>
          <w:bCs/>
        </w:rPr>
        <w:t>Measures</w:t>
      </w:r>
    </w:p>
    <w:p w14:paraId="6601E397" w14:textId="77777777" w:rsidR="00DD59ED" w:rsidRPr="002E4E34" w:rsidRDefault="00DD59ED" w:rsidP="00EC0251">
      <w:pPr>
        <w:spacing w:line="276" w:lineRule="auto"/>
        <w:jc w:val="both"/>
      </w:pPr>
      <w:r>
        <w:t xml:space="preserve">The duration of the trial was of 52 weeks. Follow-up assessments were carried out at 6, 12, 26, 39 and 52 weeks after randomisation </w:t>
      </w:r>
      <w:r w:rsidRPr="00042F5F">
        <w:t>(Duffy et al., 2019).</w:t>
      </w:r>
      <w:r>
        <w:t xml:space="preserve"> Participants completed the word recall task at baseline and at 12 and 52 weeks after randomisation.</w:t>
      </w:r>
    </w:p>
    <w:p w14:paraId="71850BFE" w14:textId="77777777" w:rsidR="00A06F90" w:rsidRDefault="00A06F90" w:rsidP="00EC0251">
      <w:pPr>
        <w:spacing w:line="276" w:lineRule="auto"/>
        <w:jc w:val="both"/>
        <w:rPr>
          <w:i/>
          <w:iCs/>
        </w:rPr>
      </w:pPr>
    </w:p>
    <w:p w14:paraId="1829FDF2" w14:textId="77777777" w:rsidR="005E5AD5" w:rsidRDefault="005E5AD5" w:rsidP="00EC0251">
      <w:pPr>
        <w:spacing w:line="276" w:lineRule="auto"/>
        <w:jc w:val="both"/>
        <w:rPr>
          <w:i/>
          <w:iCs/>
        </w:rPr>
      </w:pPr>
      <w:r w:rsidRPr="005E5AD5">
        <w:rPr>
          <w:i/>
          <w:iCs/>
        </w:rPr>
        <w:t>Word recall task</w:t>
      </w:r>
      <w:r>
        <w:rPr>
          <w:i/>
          <w:iCs/>
        </w:rPr>
        <w:t xml:space="preserve"> </w:t>
      </w:r>
    </w:p>
    <w:p w14:paraId="1DFFEB55" w14:textId="77777777" w:rsidR="00DA2ACE" w:rsidRDefault="005E5AD5" w:rsidP="00EC0251">
      <w:pPr>
        <w:spacing w:line="276" w:lineRule="auto"/>
        <w:jc w:val="both"/>
      </w:pPr>
      <w:r w:rsidRPr="005E5AD5">
        <w:t xml:space="preserve">The word recall task tests memory of </w:t>
      </w:r>
      <w:r w:rsidR="00246A2E">
        <w:t xml:space="preserve">positive and negative </w:t>
      </w:r>
      <w:r w:rsidRPr="005E5AD5">
        <w:t xml:space="preserve">information. Participants were first asked to classify 20 </w:t>
      </w:r>
      <w:proofErr w:type="gramStart"/>
      <w:r w:rsidR="00833252">
        <w:t>positive</w:t>
      </w:r>
      <w:proofErr w:type="gramEnd"/>
      <w:r w:rsidR="00833252" w:rsidRPr="005E5AD5">
        <w:t xml:space="preserve"> </w:t>
      </w:r>
      <w:r w:rsidRPr="005E5AD5">
        <w:t xml:space="preserve">(e.g. cheerful) and 20 </w:t>
      </w:r>
      <w:r w:rsidR="00833252">
        <w:t>negative</w:t>
      </w:r>
      <w:r w:rsidR="00833252" w:rsidRPr="005E5AD5">
        <w:t xml:space="preserve"> </w:t>
      </w:r>
      <w:r w:rsidRPr="005E5AD5">
        <w:t>(e.g. hostile) personality characteristics by indicating whether they would ‘like’ or ‘dislike’ to hear someone describing them in this way. The words were presented in a random order for 500 ms. Positive and negative words were matched according to length, usage frequency and meaningfulness.</w:t>
      </w:r>
      <w:r w:rsidR="00C47034">
        <w:t xml:space="preserve"> </w:t>
      </w:r>
      <w:r w:rsidRPr="005E5AD5">
        <w:t xml:space="preserve">This emotional categorisation task </w:t>
      </w:r>
      <w:r w:rsidR="00415E2D">
        <w:t xml:space="preserve">(ECAT) </w:t>
      </w:r>
      <w:r w:rsidRPr="005E5AD5">
        <w:t xml:space="preserve">was immediately followed by a surprise test, in which participants were asked to recall as many personality descriptors as possible in 2 minutes. </w:t>
      </w:r>
      <w:r w:rsidR="00577600">
        <w:t>Participants</w:t>
      </w:r>
      <w:r w:rsidR="00577600" w:rsidRPr="00577600">
        <w:t xml:space="preserve"> would have known to expect the recall element at follow-ups</w:t>
      </w:r>
      <w:r w:rsidR="00577600">
        <w:t>, but this</w:t>
      </w:r>
      <w:r w:rsidR="00577600" w:rsidRPr="00577600">
        <w:t xml:space="preserve"> did not lead to a marked improvement in recall</w:t>
      </w:r>
      <w:r w:rsidR="00577600">
        <w:t xml:space="preserve"> in previous studies</w:t>
      </w:r>
      <w:r w:rsidR="00577600" w:rsidRPr="00577600">
        <w:t xml:space="preserve"> (Lewis et al., 2017</w:t>
      </w:r>
      <w:r w:rsidR="00577600">
        <w:t>; Ahmed et al., 2021</w:t>
      </w:r>
      <w:r w:rsidR="00577600" w:rsidRPr="00577600">
        <w:t>).</w:t>
      </w:r>
      <w:r w:rsidR="00577600">
        <w:t xml:space="preserve"> </w:t>
      </w:r>
      <w:r w:rsidRPr="005E5AD5">
        <w:t xml:space="preserve">The number of positive and negative words recalled accurately (hits) </w:t>
      </w:r>
      <w:r w:rsidR="00353F30">
        <w:t xml:space="preserve">and falsely (false alarms) </w:t>
      </w:r>
      <w:r w:rsidRPr="005E5AD5">
        <w:t>were recorded.</w:t>
      </w:r>
    </w:p>
    <w:p w14:paraId="576C7B3B" w14:textId="77777777" w:rsidR="00A06F90" w:rsidRDefault="00A06F90" w:rsidP="00EC0251">
      <w:pPr>
        <w:spacing w:line="276" w:lineRule="auto"/>
        <w:jc w:val="both"/>
        <w:rPr>
          <w:i/>
          <w:iCs/>
        </w:rPr>
      </w:pPr>
    </w:p>
    <w:p w14:paraId="77C07014" w14:textId="77777777" w:rsidR="005E5AD5" w:rsidRPr="005E5AD5" w:rsidRDefault="005E5AD5" w:rsidP="00EC0251">
      <w:pPr>
        <w:spacing w:line="276" w:lineRule="auto"/>
        <w:jc w:val="both"/>
        <w:rPr>
          <w:i/>
          <w:iCs/>
        </w:rPr>
      </w:pPr>
      <w:r w:rsidRPr="005E5AD5">
        <w:rPr>
          <w:i/>
          <w:iCs/>
        </w:rPr>
        <w:t xml:space="preserve">Additional measures </w:t>
      </w:r>
    </w:p>
    <w:p w14:paraId="2C98B3D1" w14:textId="77777777" w:rsidR="005E5AD5" w:rsidRPr="005E5AD5" w:rsidRDefault="00212FA3" w:rsidP="00EC0251">
      <w:pPr>
        <w:spacing w:line="276" w:lineRule="auto"/>
        <w:jc w:val="both"/>
        <w:rPr>
          <w:i/>
          <w:iCs/>
        </w:rPr>
      </w:pPr>
      <w:r>
        <w:t xml:space="preserve">Relapse was measured </w:t>
      </w:r>
      <w:r w:rsidR="008E1722">
        <w:t xml:space="preserve">retrospectively </w:t>
      </w:r>
      <w:r w:rsidR="008E1722" w:rsidRPr="005E5AD5">
        <w:t>at 12, 26, 39 and 52 weeks</w:t>
      </w:r>
      <w:r w:rsidR="008E1722">
        <w:t xml:space="preserve"> using</w:t>
      </w:r>
      <w:r w:rsidR="005E5AD5" w:rsidRPr="005E5AD5">
        <w:t xml:space="preserve"> the </w:t>
      </w:r>
      <w:r w:rsidR="00F145C6">
        <w:t xml:space="preserve">retrospective </w:t>
      </w:r>
      <w:r w:rsidR="005E5AD5" w:rsidRPr="005E5AD5">
        <w:t>Clinical Interview Schedule-Revised (</w:t>
      </w:r>
      <w:proofErr w:type="spellStart"/>
      <w:r w:rsidR="00F145C6">
        <w:t>r</w:t>
      </w:r>
      <w:r w:rsidR="005E5AD5" w:rsidRPr="005E5AD5">
        <w:t>CIS</w:t>
      </w:r>
      <w:proofErr w:type="spellEnd"/>
      <w:r w:rsidR="005E5AD5" w:rsidRPr="005E5AD5">
        <w:t>-R; Lewis, Pelosi, Araya</w:t>
      </w:r>
      <w:r w:rsidR="00096CC1">
        <w:t>, &amp;</w:t>
      </w:r>
      <w:r w:rsidR="005E5AD5" w:rsidRPr="005E5AD5">
        <w:t xml:space="preserve"> Dunn, 1992</w:t>
      </w:r>
      <w:r w:rsidR="00BC72B2">
        <w:t xml:space="preserve">; </w:t>
      </w:r>
      <w:r w:rsidR="00E5477F">
        <w:t>Duffy et al., 2021</w:t>
      </w:r>
      <w:r w:rsidR="005E5AD5" w:rsidRPr="005E5AD5">
        <w:t>)</w:t>
      </w:r>
      <w:r w:rsidR="00835BEB">
        <w:t xml:space="preserve">. The </w:t>
      </w:r>
      <w:proofErr w:type="spellStart"/>
      <w:r w:rsidR="00835BEB">
        <w:t>rCIS</w:t>
      </w:r>
      <w:proofErr w:type="spellEnd"/>
      <w:r w:rsidR="00835BEB">
        <w:t xml:space="preserve">-R comprises five sections (depressive mood, depressive ideas, concentration, sleep and fatigue) and asks participants about symptoms in the previous 12 weeks. To be identified as having relapsed, participants had to report either low mood or anhedonia lasting for at least two weeks, together with at least one additional symptom from </w:t>
      </w:r>
      <w:r w:rsidR="00DB31C7">
        <w:t xml:space="preserve">depressive thoughts, </w:t>
      </w:r>
      <w:r w:rsidR="003C6B5B">
        <w:t>fatigu</w:t>
      </w:r>
      <w:r w:rsidR="002B6076">
        <w:t xml:space="preserve">e, </w:t>
      </w:r>
      <w:r w:rsidR="00DB31C7">
        <w:t xml:space="preserve">loss of </w:t>
      </w:r>
      <w:r w:rsidR="00835BEB">
        <w:t xml:space="preserve">concentration, </w:t>
      </w:r>
      <w:r w:rsidR="002B6076">
        <w:t xml:space="preserve">or </w:t>
      </w:r>
      <w:r w:rsidR="00835BEB">
        <w:t xml:space="preserve">sleep </w:t>
      </w:r>
      <w:r w:rsidR="00DB31C7">
        <w:t>disturbance</w:t>
      </w:r>
      <w:r w:rsidR="00835BEB">
        <w:t>.</w:t>
      </w:r>
    </w:p>
    <w:p w14:paraId="793718D6" w14:textId="77777777" w:rsidR="005E5AD5" w:rsidRPr="005E5AD5" w:rsidRDefault="005E5AD5" w:rsidP="00EC0251">
      <w:pPr>
        <w:spacing w:line="276" w:lineRule="auto"/>
        <w:jc w:val="both"/>
      </w:pPr>
      <w:r w:rsidRPr="005E5AD5">
        <w:t xml:space="preserve">Participants also completed the </w:t>
      </w:r>
      <w:r w:rsidR="002F482C">
        <w:t>Patient Health Questionnaire (</w:t>
      </w:r>
      <w:r w:rsidRPr="005E5AD5">
        <w:t>PHQ-9</w:t>
      </w:r>
      <w:r w:rsidR="002F482C">
        <w:t xml:space="preserve">; </w:t>
      </w:r>
      <w:r w:rsidR="006B6801" w:rsidRPr="00CA0D38">
        <w:t>Kroenke, Spitzer,</w:t>
      </w:r>
      <w:r w:rsidR="006B6801">
        <w:t xml:space="preserve"> &amp;</w:t>
      </w:r>
      <w:r w:rsidR="006B6801" w:rsidRPr="00CA0D38">
        <w:t xml:space="preserve"> Williams,</w:t>
      </w:r>
      <w:r w:rsidR="006B6801">
        <w:t xml:space="preserve"> </w:t>
      </w:r>
      <w:r w:rsidR="006B6801" w:rsidRPr="00CA0D38">
        <w:t>2001)</w:t>
      </w:r>
      <w:r w:rsidRPr="005E5AD5">
        <w:t xml:space="preserve"> and the Generalised Anxiety Disorder Assessment (GAD-7; </w:t>
      </w:r>
      <w:r w:rsidR="00E91A8B" w:rsidRPr="00C36855">
        <w:t>Spitzer, Kroenk</w:t>
      </w:r>
      <w:r w:rsidR="00E91A8B">
        <w:t>e</w:t>
      </w:r>
      <w:r w:rsidR="00E91A8B" w:rsidRPr="00C36855">
        <w:t xml:space="preserve">, Williams, </w:t>
      </w:r>
      <w:r w:rsidR="00E91A8B">
        <w:t xml:space="preserve">&amp; </w:t>
      </w:r>
      <w:proofErr w:type="spellStart"/>
      <w:r w:rsidR="00E91A8B" w:rsidRPr="00C36855">
        <w:t>Löwe</w:t>
      </w:r>
      <w:proofErr w:type="spellEnd"/>
      <w:r w:rsidR="00E91A8B">
        <w:t>, 2006</w:t>
      </w:r>
      <w:r w:rsidRPr="005E5AD5">
        <w:t>) at all times</w:t>
      </w:r>
      <w:r w:rsidR="008E1722">
        <w:t>, which measured</w:t>
      </w:r>
      <w:r w:rsidRPr="005E5AD5">
        <w:t xml:space="preserve"> depressive and anxiety symptoms</w:t>
      </w:r>
      <w:r w:rsidR="00E3553D">
        <w:t>,</w:t>
      </w:r>
      <w:r w:rsidR="008E1722">
        <w:t xml:space="preserve"> respectively</w:t>
      </w:r>
      <w:r w:rsidRPr="005E5AD5">
        <w:t xml:space="preserve">. Withdrawal symptoms were assessed based on the Discontinuation-Emergent Signs and Symptoms (DESS; </w:t>
      </w:r>
      <w:r w:rsidR="00F21153" w:rsidRPr="000039D4">
        <w:t xml:space="preserve">Rosenbaum, Fava, Hoog, </w:t>
      </w:r>
      <w:proofErr w:type="spellStart"/>
      <w:r w:rsidR="00F21153" w:rsidRPr="000039D4">
        <w:t>Ascroft</w:t>
      </w:r>
      <w:proofErr w:type="spellEnd"/>
      <w:r w:rsidR="00F21153" w:rsidRPr="000039D4">
        <w:t xml:space="preserve">, </w:t>
      </w:r>
      <w:r w:rsidR="00F21153">
        <w:t>&amp;</w:t>
      </w:r>
      <w:r w:rsidR="00F21153" w:rsidRPr="000039D4">
        <w:t xml:space="preserve"> Krebs, </w:t>
      </w:r>
      <w:r w:rsidRPr="005E5AD5">
        <w:t>1998).</w:t>
      </w:r>
    </w:p>
    <w:p w14:paraId="51C0C79F" w14:textId="77777777" w:rsidR="003E218A" w:rsidRPr="00A06F90" w:rsidRDefault="005E5AD5" w:rsidP="00EC0251">
      <w:pPr>
        <w:spacing w:line="276" w:lineRule="auto"/>
        <w:jc w:val="both"/>
      </w:pPr>
      <w:r w:rsidRPr="001F0D50">
        <w:t>Additional clinical and sociodemographic measures, including</w:t>
      </w:r>
      <w:r w:rsidR="003C61BC" w:rsidRPr="002E4E34">
        <w:t xml:space="preserve"> age, sex, ethnicity, educational qualifications, and</w:t>
      </w:r>
      <w:r w:rsidRPr="001F0D50">
        <w:t xml:space="preserve"> past medical history (such as physical illness contraindications and past psychiatric treatments)</w:t>
      </w:r>
      <w:r w:rsidR="003C61BC" w:rsidRPr="002E4E34">
        <w:t>,</w:t>
      </w:r>
      <w:r w:rsidRPr="001F0D50">
        <w:t xml:space="preserve"> </w:t>
      </w:r>
      <w:r w:rsidRPr="000B05C2">
        <w:t>were obtained as part of the baseline assessment</w:t>
      </w:r>
      <w:r w:rsidRPr="000B05C2">
        <w:rPr>
          <w:i/>
          <w:iCs/>
        </w:rPr>
        <w:t>.</w:t>
      </w:r>
    </w:p>
    <w:p w14:paraId="6BB6FE98" w14:textId="77777777" w:rsidR="000E32EE" w:rsidRDefault="000E32EE" w:rsidP="00A06F90">
      <w:pPr>
        <w:spacing w:line="276" w:lineRule="auto"/>
      </w:pPr>
    </w:p>
    <w:p w14:paraId="6651F345" w14:textId="77777777" w:rsidR="00DC72D6" w:rsidRPr="00F13C98" w:rsidRDefault="005E5AD5" w:rsidP="00A06F90">
      <w:pPr>
        <w:spacing w:line="276" w:lineRule="auto"/>
        <w:rPr>
          <w:b/>
          <w:bCs/>
        </w:rPr>
      </w:pPr>
      <w:r w:rsidRPr="00F13C98">
        <w:rPr>
          <w:b/>
          <w:bCs/>
        </w:rPr>
        <w:lastRenderedPageBreak/>
        <w:t>Statistical analysis</w:t>
      </w:r>
    </w:p>
    <w:p w14:paraId="70EE8730" w14:textId="77777777" w:rsidR="00B44215" w:rsidRDefault="005D4E6D" w:rsidP="00EC0251">
      <w:pPr>
        <w:spacing w:line="276" w:lineRule="auto"/>
        <w:jc w:val="both"/>
        <w:rPr>
          <w:i/>
          <w:iCs/>
        </w:rPr>
      </w:pPr>
      <w:r w:rsidRPr="00DC72D6">
        <w:t>Analyses w</w:t>
      </w:r>
      <w:r>
        <w:t xml:space="preserve">ere </w:t>
      </w:r>
      <w:r w:rsidRPr="00DC72D6">
        <w:t xml:space="preserve">performed using Stata </w:t>
      </w:r>
      <w:r>
        <w:t xml:space="preserve">16 </w:t>
      </w:r>
      <w:r w:rsidRPr="00DC72D6">
        <w:t>(</w:t>
      </w:r>
      <w:proofErr w:type="spellStart"/>
      <w:r w:rsidRPr="00DC72D6">
        <w:t>StataCorp</w:t>
      </w:r>
      <w:proofErr w:type="spellEnd"/>
      <w:r w:rsidRPr="00DC72D6">
        <w:t>, 2019).</w:t>
      </w:r>
      <w:r>
        <w:t xml:space="preserve"> </w:t>
      </w:r>
      <w:r w:rsidR="006475B9">
        <w:t xml:space="preserve">Descriptive statistics </w:t>
      </w:r>
      <w:r w:rsidR="006009CF">
        <w:t>are presented for the</w:t>
      </w:r>
      <w:r w:rsidR="00017D2F">
        <w:t xml:space="preserve"> </w:t>
      </w:r>
      <w:r w:rsidR="00FB6539">
        <w:t xml:space="preserve">overall </w:t>
      </w:r>
      <w:r w:rsidR="006009CF">
        <w:t xml:space="preserve">sample </w:t>
      </w:r>
      <w:r w:rsidR="005C3447">
        <w:t>included in the analys</w:t>
      </w:r>
      <w:r w:rsidR="00DD1886">
        <w:t>i</w:t>
      </w:r>
      <w:r w:rsidR="005C3447">
        <w:t>s</w:t>
      </w:r>
      <w:r w:rsidR="00682F2D">
        <w:t xml:space="preserve"> </w:t>
      </w:r>
      <w:r w:rsidR="006009CF">
        <w:t>and</w:t>
      </w:r>
      <w:r w:rsidR="006475B9">
        <w:t xml:space="preserve"> </w:t>
      </w:r>
      <w:r w:rsidR="00066104">
        <w:t>separately for each</w:t>
      </w:r>
      <w:r w:rsidR="004108C6">
        <w:t xml:space="preserve"> </w:t>
      </w:r>
      <w:r w:rsidR="00DD1886">
        <w:t>treatment</w:t>
      </w:r>
      <w:r w:rsidR="00D65F90">
        <w:t xml:space="preserve"> group</w:t>
      </w:r>
      <w:r w:rsidR="004108C6">
        <w:t>.</w:t>
      </w:r>
      <w:r w:rsidR="00D65F90">
        <w:t xml:space="preserve"> </w:t>
      </w:r>
      <w:r w:rsidR="0060556C">
        <w:t>We analysed p</w:t>
      </w:r>
      <w:r w:rsidR="00B43A51">
        <w:t xml:space="preserve">erformance </w:t>
      </w:r>
      <w:r w:rsidR="00066936">
        <w:t>i</w:t>
      </w:r>
      <w:r w:rsidR="00B43A51">
        <w:t xml:space="preserve">n the </w:t>
      </w:r>
      <w:r w:rsidR="0060556C">
        <w:t>initial classification stage of the word recall task</w:t>
      </w:r>
      <w:r w:rsidR="00415E2D">
        <w:t xml:space="preserve"> (the ECAT)</w:t>
      </w:r>
      <w:r w:rsidR="0060556C">
        <w:t xml:space="preserve"> </w:t>
      </w:r>
      <w:r w:rsidR="00B43A51">
        <w:t>at baseline</w:t>
      </w:r>
      <w:r w:rsidR="00C47034">
        <w:t xml:space="preserve"> (Supplement)</w:t>
      </w:r>
      <w:r w:rsidR="0060556C">
        <w:t>,</w:t>
      </w:r>
      <w:r w:rsidR="00B43A51">
        <w:t xml:space="preserve"> to ensure that participants understood the task</w:t>
      </w:r>
      <w:r w:rsidR="0060556C">
        <w:t xml:space="preserve">, before analysing </w:t>
      </w:r>
      <w:r w:rsidR="0060556C" w:rsidRPr="0060556C">
        <w:t>performance in the recall element of the task</w:t>
      </w:r>
      <w:r w:rsidR="00B43A51">
        <w:t xml:space="preserve">. </w:t>
      </w:r>
    </w:p>
    <w:p w14:paraId="09C53693" w14:textId="77777777" w:rsidR="00710B4C" w:rsidRDefault="00710B4C" w:rsidP="00EC0251">
      <w:pPr>
        <w:spacing w:line="276" w:lineRule="auto"/>
        <w:jc w:val="both"/>
        <w:rPr>
          <w:i/>
          <w:iCs/>
        </w:rPr>
      </w:pPr>
      <w:r>
        <w:rPr>
          <w:i/>
          <w:iCs/>
        </w:rPr>
        <w:t>A</w:t>
      </w:r>
      <w:r w:rsidR="00210075">
        <w:rPr>
          <w:i/>
          <w:iCs/>
        </w:rPr>
        <w:t>ssociations</w:t>
      </w:r>
      <w:r>
        <w:rPr>
          <w:i/>
          <w:iCs/>
        </w:rPr>
        <w:t xml:space="preserve"> between treatment </w:t>
      </w:r>
      <w:r w:rsidR="001B4739">
        <w:rPr>
          <w:i/>
          <w:iCs/>
        </w:rPr>
        <w:t xml:space="preserve">allocation </w:t>
      </w:r>
      <w:r>
        <w:rPr>
          <w:i/>
          <w:iCs/>
        </w:rPr>
        <w:t>and word recall</w:t>
      </w:r>
    </w:p>
    <w:p w14:paraId="6DCB5BDF" w14:textId="77777777" w:rsidR="004D18A7" w:rsidRDefault="0037444F" w:rsidP="00EC0251">
      <w:pPr>
        <w:spacing w:line="276" w:lineRule="auto"/>
        <w:jc w:val="both"/>
      </w:pPr>
      <w:r>
        <w:t xml:space="preserve">We first </w:t>
      </w:r>
      <w:r w:rsidR="00B3700D">
        <w:t>examined</w:t>
      </w:r>
      <w:r>
        <w:t xml:space="preserve"> p</w:t>
      </w:r>
      <w:r w:rsidR="00B4160E">
        <w:t>erformance in the word recall task</w:t>
      </w:r>
      <w:r w:rsidR="002E75D3">
        <w:t xml:space="preserve"> </w:t>
      </w:r>
      <w:r w:rsidR="00B4160E">
        <w:t xml:space="preserve">at all time points </w:t>
      </w:r>
      <w:r w:rsidR="00CD5CA5">
        <w:t xml:space="preserve">(baseline, 12 </w:t>
      </w:r>
      <w:r w:rsidR="00A638FD">
        <w:t>weeks,</w:t>
      </w:r>
      <w:r w:rsidR="00CD5CA5">
        <w:t xml:space="preserve"> and 52 weeks) </w:t>
      </w:r>
      <w:r w:rsidR="00B4160E">
        <w:t>according to treatment allocation.</w:t>
      </w:r>
      <w:r w:rsidR="00374AEA">
        <w:t xml:space="preserve"> </w:t>
      </w:r>
      <w:r w:rsidR="00B3700D">
        <w:t xml:space="preserve">Next, we </w:t>
      </w:r>
      <w:r w:rsidR="006F3F65">
        <w:t>investigated</w:t>
      </w:r>
      <w:r w:rsidR="00B3700D">
        <w:t xml:space="preserve"> t</w:t>
      </w:r>
      <w:r w:rsidR="00DC72D6" w:rsidRPr="00DC72D6">
        <w:t xml:space="preserve">he </w:t>
      </w:r>
      <w:r w:rsidR="00B3700D">
        <w:t>effect</w:t>
      </w:r>
      <w:r w:rsidR="00B3700D" w:rsidRPr="00DC72D6">
        <w:t xml:space="preserve"> </w:t>
      </w:r>
      <w:r w:rsidR="00DC72D6" w:rsidRPr="00DC72D6">
        <w:t xml:space="preserve">of treatment </w:t>
      </w:r>
      <w:r w:rsidR="003D58DA">
        <w:t xml:space="preserve">allocation </w:t>
      </w:r>
      <w:r w:rsidR="00DC72D6" w:rsidRPr="00DC72D6">
        <w:t>(maintenance antidepressant</w:t>
      </w:r>
      <w:r w:rsidR="0096434D">
        <w:t xml:space="preserve"> or discontinuation</w:t>
      </w:r>
      <w:r w:rsidR="00DC72D6" w:rsidRPr="00DC72D6">
        <w:t>) on task performance</w:t>
      </w:r>
      <w:r w:rsidR="00B3700D">
        <w:t xml:space="preserve">. </w:t>
      </w:r>
      <w:r w:rsidR="00737AA6">
        <w:t>We tested whether treatment allocation (exposure) was associated with positive or negative hits (outcomes modelled in separate models</w:t>
      </w:r>
      <w:r w:rsidR="005F56E3">
        <w:t>) a</w:t>
      </w:r>
      <w:r w:rsidR="00DC72D6" w:rsidRPr="00DC72D6">
        <w:t xml:space="preserve">t 12 </w:t>
      </w:r>
      <w:r w:rsidR="00B43A51">
        <w:t xml:space="preserve">or 52 </w:t>
      </w:r>
      <w:r w:rsidR="00DC72D6" w:rsidRPr="00DC72D6">
        <w:t>weeks after randomisation.</w:t>
      </w:r>
      <w:r w:rsidR="00975F09">
        <w:t xml:space="preserve"> </w:t>
      </w:r>
    </w:p>
    <w:p w14:paraId="2D907C3D" w14:textId="0D841038" w:rsidR="00DC72D6" w:rsidRPr="00DC72D6" w:rsidRDefault="00975F09" w:rsidP="00EC0251">
      <w:pPr>
        <w:spacing w:line="276" w:lineRule="auto"/>
        <w:jc w:val="both"/>
      </w:pPr>
      <w:r>
        <w:t>Negative binomial regression models were used because hits were count variables that were positively skewed.</w:t>
      </w:r>
      <w:r w:rsidR="001357C6">
        <w:t xml:space="preserve"> From these models, we report the ratio </w:t>
      </w:r>
      <w:r w:rsidR="001357C6" w:rsidRPr="00E46B9D">
        <w:t xml:space="preserve">of hits </w:t>
      </w:r>
      <w:r w:rsidR="001357C6">
        <w:t>for</w:t>
      </w:r>
      <w:r w:rsidR="001357C6" w:rsidRPr="00E46B9D">
        <w:t xml:space="preserve"> </w:t>
      </w:r>
      <w:r w:rsidR="001357C6">
        <w:t xml:space="preserve">the </w:t>
      </w:r>
      <w:r w:rsidR="005166CE">
        <w:t xml:space="preserve">discontinuation </w:t>
      </w:r>
      <w:r w:rsidR="001357C6" w:rsidRPr="00E46B9D">
        <w:t xml:space="preserve">relative to </w:t>
      </w:r>
      <w:r w:rsidR="001B4739">
        <w:t>maintenance groups</w:t>
      </w:r>
      <w:r w:rsidR="001357C6">
        <w:t xml:space="preserve">. A ratio greater than 1 indicates that word recall was higher in the </w:t>
      </w:r>
      <w:r w:rsidR="005166CE">
        <w:t xml:space="preserve">discontinuation </w:t>
      </w:r>
      <w:r w:rsidR="001357C6">
        <w:t xml:space="preserve">than </w:t>
      </w:r>
      <w:r w:rsidR="005166CE">
        <w:t xml:space="preserve">maintenance </w:t>
      </w:r>
      <w:r w:rsidR="001357C6">
        <w:t>group.</w:t>
      </w:r>
    </w:p>
    <w:p w14:paraId="1AFAFE50" w14:textId="0D05CB4F" w:rsidR="00374AEA" w:rsidRPr="00DC72D6" w:rsidRDefault="007C20CE" w:rsidP="00EC0251">
      <w:pPr>
        <w:spacing w:line="276" w:lineRule="auto"/>
        <w:jc w:val="both"/>
      </w:pPr>
      <w:r>
        <w:t>W</w:t>
      </w:r>
      <w:r w:rsidR="00975F09">
        <w:t xml:space="preserve">e </w:t>
      </w:r>
      <w:r w:rsidR="00DC72D6">
        <w:t>examine</w:t>
      </w:r>
      <w:r w:rsidR="00156A93">
        <w:t>d</w:t>
      </w:r>
      <w:r w:rsidR="00DC72D6">
        <w:t xml:space="preserve"> </w:t>
      </w:r>
      <w:r w:rsidR="00C80298">
        <w:t xml:space="preserve">whether there was evidence that </w:t>
      </w:r>
      <w:r w:rsidR="00DC72D6">
        <w:t>t</w:t>
      </w:r>
      <w:r w:rsidR="00DC72D6" w:rsidRPr="00DC72D6">
        <w:t xml:space="preserve">he influence of treatment </w:t>
      </w:r>
      <w:r w:rsidR="001B4739">
        <w:t xml:space="preserve">allocation </w:t>
      </w:r>
      <w:r w:rsidR="00DC72D6" w:rsidRPr="00DC72D6">
        <w:t xml:space="preserve">on </w:t>
      </w:r>
      <w:r w:rsidR="00C80298">
        <w:t>hits differed according to word valence (positive v</w:t>
      </w:r>
      <w:r w:rsidR="00DE57C9">
        <w:t>ersus</w:t>
      </w:r>
      <w:r w:rsidR="00C80298">
        <w:t xml:space="preserve"> negative)</w:t>
      </w:r>
      <w:r w:rsidR="00AE20CC">
        <w:t xml:space="preserve">. </w:t>
      </w:r>
      <w:r w:rsidR="00156A93">
        <w:t xml:space="preserve">To do this, we reshaped the data, using </w:t>
      </w:r>
      <w:r w:rsidR="00DC72D6" w:rsidRPr="00DC72D6">
        <w:t xml:space="preserve">total </w:t>
      </w:r>
      <w:r w:rsidR="00156A93">
        <w:t xml:space="preserve">hits </w:t>
      </w:r>
      <w:r w:rsidR="00327B90">
        <w:t xml:space="preserve">at 12 </w:t>
      </w:r>
      <w:r w:rsidR="00B43A51">
        <w:t xml:space="preserve">or 52 </w:t>
      </w:r>
      <w:r w:rsidR="00327B90">
        <w:t xml:space="preserve">weeks </w:t>
      </w:r>
      <w:r w:rsidR="00DC72D6" w:rsidRPr="00DC72D6">
        <w:t>as the outcome</w:t>
      </w:r>
      <w:r w:rsidR="007962A5">
        <w:t>,</w:t>
      </w:r>
      <w:r w:rsidR="00DC72D6" w:rsidRPr="00DC72D6">
        <w:t xml:space="preserve"> </w:t>
      </w:r>
      <w:r w:rsidR="007962A5">
        <w:t>with treatment</w:t>
      </w:r>
      <w:r w:rsidR="00DC72D6" w:rsidRPr="00DC72D6">
        <w:t xml:space="preserve"> </w:t>
      </w:r>
      <w:r w:rsidR="007962A5">
        <w:t xml:space="preserve">allocation and </w:t>
      </w:r>
      <w:r w:rsidR="00DC72D6" w:rsidRPr="00DC72D6">
        <w:t>word valence (positive versus negative) as exposure</w:t>
      </w:r>
      <w:r w:rsidR="007962A5">
        <w:t>s</w:t>
      </w:r>
      <w:r w:rsidR="00DC72D6" w:rsidRPr="00DC72D6">
        <w:t>.</w:t>
      </w:r>
      <w:r w:rsidR="00DC72D6">
        <w:t xml:space="preserve"> We </w:t>
      </w:r>
      <w:r w:rsidR="00DC72D6" w:rsidRPr="00DC72D6">
        <w:t>include</w:t>
      </w:r>
      <w:r w:rsidR="00DC72D6">
        <w:t>d</w:t>
      </w:r>
      <w:r w:rsidR="00DC72D6" w:rsidRPr="00DC72D6">
        <w:t xml:space="preserve"> an interaction term between treatment allocation and word </w:t>
      </w:r>
      <w:r w:rsidR="00327B90">
        <w:t>valence</w:t>
      </w:r>
      <w:r w:rsidR="00710B4C">
        <w:t xml:space="preserve"> to investigate </w:t>
      </w:r>
      <w:r w:rsidR="00DE57C9">
        <w:t xml:space="preserve">whether </w:t>
      </w:r>
      <w:r w:rsidR="00710B4C">
        <w:t>the effect of treatment on recall</w:t>
      </w:r>
      <w:r w:rsidR="00CC29E3">
        <w:t xml:space="preserve"> </w:t>
      </w:r>
      <w:r w:rsidR="00DE57C9">
        <w:t xml:space="preserve">varied according to </w:t>
      </w:r>
      <w:r w:rsidR="00CC29E3">
        <w:t xml:space="preserve">word valence. </w:t>
      </w:r>
    </w:p>
    <w:p w14:paraId="29FB07D9" w14:textId="2B775021" w:rsidR="00AF5391" w:rsidRDefault="00374AEA" w:rsidP="00EC0251">
      <w:pPr>
        <w:spacing w:line="276" w:lineRule="auto"/>
        <w:jc w:val="both"/>
      </w:pPr>
      <w:r>
        <w:t>All</w:t>
      </w:r>
      <w:r w:rsidRPr="00DC72D6">
        <w:t xml:space="preserve"> models </w:t>
      </w:r>
      <w:r w:rsidR="001357C6">
        <w:t>were adjusted for</w:t>
      </w:r>
      <w:r w:rsidR="001357C6" w:rsidRPr="00DC72D6">
        <w:t xml:space="preserve"> </w:t>
      </w:r>
      <w:r w:rsidRPr="00DC72D6">
        <w:t>baseline positive</w:t>
      </w:r>
      <w:r>
        <w:t xml:space="preserve"> and</w:t>
      </w:r>
      <w:r w:rsidRPr="00DC72D6">
        <w:t>/</w:t>
      </w:r>
      <w:r>
        <w:t xml:space="preserve">or </w:t>
      </w:r>
      <w:r w:rsidRPr="00DC72D6">
        <w:t xml:space="preserve">negative hits </w:t>
      </w:r>
      <w:r w:rsidR="00C2147A">
        <w:t>to account for recall ability</w:t>
      </w:r>
      <w:r w:rsidR="00BA4998">
        <w:t>. They</w:t>
      </w:r>
      <w:r w:rsidRPr="00DC72D6">
        <w:t xml:space="preserve"> </w:t>
      </w:r>
      <w:r w:rsidR="001357C6">
        <w:t>are reported</w:t>
      </w:r>
      <w:r w:rsidR="00AF1BEB">
        <w:t xml:space="preserve"> before and after </w:t>
      </w:r>
      <w:r w:rsidR="00D30D66">
        <w:t>adjust</w:t>
      </w:r>
      <w:r w:rsidR="00AF1BEB">
        <w:t>ment</w:t>
      </w:r>
      <w:r w:rsidR="00D30D66">
        <w:t xml:space="preserve"> for </w:t>
      </w:r>
      <w:r w:rsidR="00EB6617">
        <w:t xml:space="preserve">false alarms (positive and negative) and </w:t>
      </w:r>
      <w:r w:rsidR="00AD4EF0">
        <w:t>stratification</w:t>
      </w:r>
      <w:r w:rsidRPr="00DC72D6">
        <w:t xml:space="preserve"> variables (severity of depressive symptoms at baseline, assessed using the CIS-R, medication and study centre).</w:t>
      </w:r>
      <w:r>
        <w:t xml:space="preserve"> </w:t>
      </w:r>
    </w:p>
    <w:p w14:paraId="1E68DFEF" w14:textId="77777777" w:rsidR="00A06F90" w:rsidRDefault="00A06F90" w:rsidP="00EC0251">
      <w:pPr>
        <w:spacing w:line="276" w:lineRule="auto"/>
        <w:jc w:val="both"/>
        <w:rPr>
          <w:i/>
          <w:iCs/>
        </w:rPr>
      </w:pPr>
    </w:p>
    <w:p w14:paraId="38638DF8" w14:textId="77777777" w:rsidR="00210075" w:rsidRDefault="00710B4C" w:rsidP="00EC0251">
      <w:pPr>
        <w:spacing w:line="276" w:lineRule="auto"/>
        <w:jc w:val="both"/>
        <w:rPr>
          <w:i/>
          <w:iCs/>
        </w:rPr>
      </w:pPr>
      <w:r>
        <w:rPr>
          <w:i/>
          <w:iCs/>
        </w:rPr>
        <w:t>Associations between word recall and relapse</w:t>
      </w:r>
    </w:p>
    <w:p w14:paraId="5E4A3B22" w14:textId="77777777" w:rsidR="0096050D" w:rsidRDefault="00B4160E" w:rsidP="00EC0251">
      <w:pPr>
        <w:spacing w:line="276" w:lineRule="auto"/>
        <w:jc w:val="both"/>
      </w:pPr>
      <w:r>
        <w:t xml:space="preserve">We </w:t>
      </w:r>
      <w:r w:rsidR="00C34168">
        <w:t>examined</w:t>
      </w:r>
      <w:r w:rsidR="0033550A">
        <w:t xml:space="preserve"> </w:t>
      </w:r>
      <w:r w:rsidR="003708FF" w:rsidRPr="003708FF">
        <w:t>associations between task performance (positive and negative hits) at baseline and risk of relapse</w:t>
      </w:r>
      <w:r w:rsidR="00CB3EE5">
        <w:t xml:space="preserve"> </w:t>
      </w:r>
      <w:r w:rsidR="003708FF" w:rsidRPr="003708FF">
        <w:t>using Cox Proportional Hazards modelling</w:t>
      </w:r>
      <w:r w:rsidR="00CB3EE5">
        <w:t>.</w:t>
      </w:r>
      <w:r w:rsidR="003708FF" w:rsidRPr="003708FF">
        <w:t xml:space="preserve"> </w:t>
      </w:r>
      <w:r w:rsidR="004401FE">
        <w:t xml:space="preserve">In this analysis we were treating the study as though it were a cohort study and adjusted for randomised treatment. </w:t>
      </w:r>
      <w:r w:rsidR="00CB3EE5">
        <w:t>T</w:t>
      </w:r>
      <w:r w:rsidR="00ED0706">
        <w:t xml:space="preserve">he outcome </w:t>
      </w:r>
      <w:r w:rsidR="002A299B">
        <w:t xml:space="preserve">for these analyses </w:t>
      </w:r>
      <w:r w:rsidR="00ED0706">
        <w:t>was t</w:t>
      </w:r>
      <w:r w:rsidR="003708FF" w:rsidRPr="003708FF">
        <w:t>ime to relapse</w:t>
      </w:r>
      <w:r w:rsidR="002A299B">
        <w:t>. W</w:t>
      </w:r>
      <w:r w:rsidR="00ED0706">
        <w:t>e included</w:t>
      </w:r>
      <w:r w:rsidR="003708FF" w:rsidRPr="003708FF">
        <w:t xml:space="preserve"> baseline positive </w:t>
      </w:r>
      <w:r w:rsidR="002A299B">
        <w:t>hits (</w:t>
      </w:r>
      <w:r w:rsidR="008B2B2C">
        <w:t>adjusted for</w:t>
      </w:r>
      <w:r w:rsidR="002A299B">
        <w:t xml:space="preserve"> baseline negative hits) </w:t>
      </w:r>
      <w:r w:rsidR="003708FF" w:rsidRPr="003708FF">
        <w:t xml:space="preserve">and </w:t>
      </w:r>
      <w:r w:rsidR="002A299B">
        <w:t xml:space="preserve">baseline </w:t>
      </w:r>
      <w:r w:rsidR="003708FF" w:rsidRPr="003708FF">
        <w:t xml:space="preserve">negative hits </w:t>
      </w:r>
      <w:r w:rsidR="002A299B">
        <w:t>(</w:t>
      </w:r>
      <w:r w:rsidR="008B2B2C">
        <w:t>adjusted for</w:t>
      </w:r>
      <w:r w:rsidR="002A299B">
        <w:t xml:space="preserve"> baseline positive hits) </w:t>
      </w:r>
      <w:r w:rsidR="003708FF" w:rsidRPr="003708FF">
        <w:t>as exposures</w:t>
      </w:r>
      <w:r w:rsidR="00187873">
        <w:t xml:space="preserve"> in </w:t>
      </w:r>
      <w:r w:rsidR="002A299B">
        <w:t xml:space="preserve">two </w:t>
      </w:r>
      <w:r w:rsidR="00187873">
        <w:t>separate models</w:t>
      </w:r>
      <w:r w:rsidR="003708FF" w:rsidRPr="003708FF">
        <w:t>.</w:t>
      </w:r>
      <w:r w:rsidR="00764757">
        <w:t xml:space="preserve"> We report the hazard ratio estimates associated with positive and negative baseline hits.</w:t>
      </w:r>
    </w:p>
    <w:p w14:paraId="60CB7199" w14:textId="77777777" w:rsidR="00710B4C" w:rsidRDefault="003708FF" w:rsidP="00EC0251">
      <w:pPr>
        <w:spacing w:line="276" w:lineRule="auto"/>
        <w:jc w:val="both"/>
      </w:pPr>
      <w:r w:rsidRPr="003708FF">
        <w:t>All models w</w:t>
      </w:r>
      <w:r>
        <w:t>ere</w:t>
      </w:r>
      <w:r w:rsidRPr="003708FF">
        <w:t xml:space="preserve"> adjusted for</w:t>
      </w:r>
      <w:r w:rsidR="005E5ACB">
        <w:t xml:space="preserve"> positive and negative false alarms,</w:t>
      </w:r>
      <w:r w:rsidRPr="003708FF">
        <w:t xml:space="preserve"> </w:t>
      </w:r>
      <w:r w:rsidR="00136DB3">
        <w:t xml:space="preserve">treatment allocation, </w:t>
      </w:r>
      <w:r w:rsidR="00CB7CDE" w:rsidRPr="003708FF">
        <w:t>medication (citalopram, fluoxetine, sertraline or mirtazapine)</w:t>
      </w:r>
      <w:r w:rsidR="00CB7CDE">
        <w:t xml:space="preserve"> and </w:t>
      </w:r>
      <w:r w:rsidRPr="003708FF">
        <w:t>potential confound</w:t>
      </w:r>
      <w:r w:rsidR="001E64E7">
        <w:t>ers</w:t>
      </w:r>
      <w:r w:rsidR="00972290">
        <w:t xml:space="preserve"> including </w:t>
      </w:r>
      <w:r w:rsidR="001E64E7">
        <w:t xml:space="preserve">baseline </w:t>
      </w:r>
      <w:r w:rsidRPr="003708FF">
        <w:t>depression and anxiety symptom severity (evaluated using the CIS-R, PHQ-9 and GAD-7), number of previous episodes of depression, duration of antidepressant treatment prior to randomisation, age</w:t>
      </w:r>
      <w:r w:rsidR="003C61BC">
        <w:t>, sex,</w:t>
      </w:r>
      <w:r w:rsidR="007959AC">
        <w:t xml:space="preserve"> and</w:t>
      </w:r>
      <w:r w:rsidRPr="003708FF">
        <w:t xml:space="preserve"> education. </w:t>
      </w:r>
    </w:p>
    <w:p w14:paraId="77D1EA26" w14:textId="77777777" w:rsidR="00A06F90" w:rsidRDefault="00A06F90" w:rsidP="00EC0251">
      <w:pPr>
        <w:spacing w:line="276" w:lineRule="auto"/>
        <w:jc w:val="both"/>
        <w:rPr>
          <w:i/>
          <w:iCs/>
        </w:rPr>
      </w:pPr>
    </w:p>
    <w:p w14:paraId="4B109F67" w14:textId="77777777" w:rsidR="00855B38" w:rsidRDefault="00855B38" w:rsidP="00EC0251">
      <w:pPr>
        <w:spacing w:line="276" w:lineRule="auto"/>
        <w:jc w:val="both"/>
        <w:rPr>
          <w:i/>
          <w:iCs/>
        </w:rPr>
      </w:pPr>
      <w:r>
        <w:rPr>
          <w:i/>
          <w:iCs/>
        </w:rPr>
        <w:lastRenderedPageBreak/>
        <w:t>Sensitivity analyses</w:t>
      </w:r>
    </w:p>
    <w:p w14:paraId="138515C1" w14:textId="37B44923" w:rsidR="006878D5" w:rsidRDefault="00855B38" w:rsidP="0041459C">
      <w:pPr>
        <w:spacing w:line="276" w:lineRule="auto"/>
        <w:jc w:val="both"/>
        <w:rPr>
          <w:b/>
          <w:bCs/>
        </w:rPr>
      </w:pPr>
      <w:r>
        <w:t xml:space="preserve">In sensitivity analyses, we tested whether </w:t>
      </w:r>
      <w:r w:rsidR="00142CDD">
        <w:t>finding</w:t>
      </w:r>
      <w:r w:rsidR="00C1523B">
        <w:t>s</w:t>
      </w:r>
      <w:r w:rsidR="00142CDD">
        <w:t xml:space="preserve"> were altered by </w:t>
      </w:r>
      <w:r>
        <w:t xml:space="preserve">limiting the sample to </w:t>
      </w:r>
      <w:r w:rsidR="00577600">
        <w:t>(</w:t>
      </w:r>
      <w:r>
        <w:t xml:space="preserve">i) participants who adhered to study medication or </w:t>
      </w:r>
      <w:r w:rsidR="00577600">
        <w:t>(</w:t>
      </w:r>
      <w:r>
        <w:t xml:space="preserve">ii) those who performed well on the ECAT </w:t>
      </w:r>
      <w:r w:rsidR="00E44624">
        <w:t>(80% accuracy and above</w:t>
      </w:r>
      <w:r w:rsidR="00994C87">
        <w:t>;</w:t>
      </w:r>
      <w:r w:rsidR="005F7D3C">
        <w:t xml:space="preserve"> Ahmed et al.</w:t>
      </w:r>
      <w:r w:rsidR="00994C87">
        <w:t>, 2021</w:t>
      </w:r>
      <w:r w:rsidR="00E44624">
        <w:t>)</w:t>
      </w:r>
      <w:r>
        <w:t xml:space="preserve">. </w:t>
      </w:r>
      <w:r w:rsidR="00E44624">
        <w:t xml:space="preserve">We also </w:t>
      </w:r>
      <w:r w:rsidR="00DB36E5">
        <w:t>investigated whether adjust</w:t>
      </w:r>
      <w:r w:rsidR="00577600">
        <w:t>ing</w:t>
      </w:r>
      <w:r w:rsidR="00DB36E5">
        <w:t xml:space="preserve"> for baseline variables associated with missingness in our outcomes altered our findings</w:t>
      </w:r>
      <w:r w:rsidR="00BF1D4C">
        <w:t xml:space="preserve">. Further analyses </w:t>
      </w:r>
      <w:r w:rsidR="006D6D83">
        <w:t>assessed</w:t>
      </w:r>
      <w:r w:rsidR="00BF1D4C">
        <w:t xml:space="preserve"> potential treatment effect modification by baseline positive and negative hits</w:t>
      </w:r>
      <w:r w:rsidR="00DB36E5">
        <w:t xml:space="preserve"> (</w:t>
      </w:r>
      <w:r w:rsidR="00577600">
        <w:t>S</w:t>
      </w:r>
      <w:r w:rsidR="00DB36E5">
        <w:t xml:space="preserve">upplement). </w:t>
      </w:r>
      <w:r w:rsidR="006878D5">
        <w:rPr>
          <w:b/>
          <w:bCs/>
        </w:rPr>
        <w:br w:type="page"/>
      </w:r>
    </w:p>
    <w:p w14:paraId="7CB19C82" w14:textId="27AC2E9D" w:rsidR="003C77CB" w:rsidRDefault="00042F5F" w:rsidP="00EC0251">
      <w:pPr>
        <w:tabs>
          <w:tab w:val="left" w:pos="5423"/>
        </w:tabs>
        <w:spacing w:line="276" w:lineRule="auto"/>
        <w:jc w:val="both"/>
        <w:rPr>
          <w:b/>
          <w:bCs/>
        </w:rPr>
      </w:pPr>
      <w:r>
        <w:rPr>
          <w:b/>
          <w:bCs/>
        </w:rPr>
        <w:lastRenderedPageBreak/>
        <w:t>RESULTS</w:t>
      </w:r>
      <w:r w:rsidR="008F1C67">
        <w:rPr>
          <w:b/>
          <w:bCs/>
        </w:rPr>
        <w:tab/>
      </w:r>
    </w:p>
    <w:p w14:paraId="44CE27E1" w14:textId="77777777" w:rsidR="001B4472" w:rsidRPr="008B4009" w:rsidRDefault="001B4472" w:rsidP="00EC0251">
      <w:pPr>
        <w:spacing w:line="276" w:lineRule="auto"/>
        <w:jc w:val="both"/>
        <w:rPr>
          <w:b/>
          <w:bCs/>
          <w:i/>
          <w:iCs/>
        </w:rPr>
      </w:pPr>
      <w:r>
        <w:rPr>
          <w:b/>
          <w:bCs/>
        </w:rPr>
        <w:t>Descriptive statistics</w:t>
      </w:r>
    </w:p>
    <w:p w14:paraId="33DCB7EF" w14:textId="77777777" w:rsidR="0018791A" w:rsidRDefault="0018791A" w:rsidP="00EC0251">
      <w:pPr>
        <w:spacing w:line="276" w:lineRule="auto"/>
        <w:jc w:val="both"/>
      </w:pPr>
      <w:r>
        <w:t>A total of 478</w:t>
      </w:r>
      <w:r w:rsidR="00920FDD">
        <w:t xml:space="preserve"> participants were randomised, 238 to maintenance antidepressant treatment and 240 to </w:t>
      </w:r>
      <w:r w:rsidR="00A81CF0">
        <w:t>treatment discontinuation</w:t>
      </w:r>
      <w:r w:rsidR="00920FDD">
        <w:t xml:space="preserve">. </w:t>
      </w:r>
      <w:r w:rsidR="00F72B0A">
        <w:t xml:space="preserve">Forty-one </w:t>
      </w:r>
      <w:r w:rsidR="00920FDD">
        <w:t xml:space="preserve">participants (13 from the </w:t>
      </w:r>
      <w:r w:rsidR="00A81CF0">
        <w:t>maintenance</w:t>
      </w:r>
      <w:r w:rsidR="00920FDD">
        <w:t xml:space="preserve"> group and 28 from the </w:t>
      </w:r>
      <w:r w:rsidR="00A81CF0">
        <w:t xml:space="preserve">discontinuation </w:t>
      </w:r>
      <w:r w:rsidR="00920FDD">
        <w:t>group) did not complete the recall task at 12 and 52 weeks</w:t>
      </w:r>
      <w:r w:rsidR="006C2276">
        <w:t xml:space="preserve">. </w:t>
      </w:r>
      <w:r w:rsidR="006C2276" w:rsidRPr="00236CDF">
        <w:t xml:space="preserve">This </w:t>
      </w:r>
      <w:r w:rsidR="00920FDD" w:rsidRPr="00603FC6">
        <w:t>le</w:t>
      </w:r>
      <w:r w:rsidR="006C2276" w:rsidRPr="000B00E1">
        <w:t>ft</w:t>
      </w:r>
      <w:r w:rsidR="00920FDD" w:rsidRPr="000B00E1">
        <w:t xml:space="preserve"> 437 participants for analyses: 225 in the </w:t>
      </w:r>
      <w:r w:rsidR="00A81CF0">
        <w:t>maintenance</w:t>
      </w:r>
      <w:r w:rsidR="00A81CF0" w:rsidRPr="000B00E1">
        <w:t xml:space="preserve"> </w:t>
      </w:r>
      <w:r w:rsidR="00920FDD" w:rsidRPr="000B00E1">
        <w:t xml:space="preserve">group and 212 in the </w:t>
      </w:r>
      <w:r w:rsidR="00A81CF0">
        <w:t>discontinuation</w:t>
      </w:r>
      <w:r w:rsidR="00A81CF0" w:rsidRPr="000B00E1">
        <w:t xml:space="preserve"> </w:t>
      </w:r>
      <w:r w:rsidR="00920FDD" w:rsidRPr="000B00E1">
        <w:t>group.</w:t>
      </w:r>
      <w:bookmarkStart w:id="3" w:name="_Hlk58270418"/>
    </w:p>
    <w:p w14:paraId="35891375" w14:textId="77777777" w:rsidR="00920FDD" w:rsidRDefault="00920FDD" w:rsidP="00EC0251">
      <w:pPr>
        <w:spacing w:line="276" w:lineRule="auto"/>
        <w:jc w:val="both"/>
      </w:pPr>
      <w:r>
        <w:t xml:space="preserve">Completion of the recall task differed by treatment allocation and was lower in the </w:t>
      </w:r>
      <w:r w:rsidR="00A81CF0">
        <w:t xml:space="preserve">discontinuation </w:t>
      </w:r>
      <w:r w:rsidR="00893B2F">
        <w:t xml:space="preserve">(88%) than </w:t>
      </w:r>
      <w:r w:rsidR="00A81CF0">
        <w:t xml:space="preserve">maintenance </w:t>
      </w:r>
      <w:r w:rsidR="00893B2F">
        <w:t>group (95%)</w:t>
      </w:r>
      <w:r w:rsidR="000B00E1">
        <w:t xml:space="preserve">. </w:t>
      </w:r>
      <w:r>
        <w:t xml:space="preserve">Study site </w:t>
      </w:r>
      <w:r w:rsidR="007F5FA7">
        <w:t xml:space="preserve">and age </w:t>
      </w:r>
      <w:r>
        <w:t>w</w:t>
      </w:r>
      <w:r w:rsidR="007F5FA7">
        <w:t>ere</w:t>
      </w:r>
      <w:r>
        <w:t xml:space="preserve"> also associated with task completion at 52 weeks, with missing data more common for</w:t>
      </w:r>
      <w:r w:rsidR="007F5FA7">
        <w:t xml:space="preserve"> </w:t>
      </w:r>
      <w:r w:rsidR="007F5FA7" w:rsidRPr="00236CDF">
        <w:t>younger</w:t>
      </w:r>
      <w:r w:rsidR="00273667" w:rsidRPr="008B4009">
        <w:t xml:space="preserve"> </w:t>
      </w:r>
      <w:r w:rsidRPr="00273667">
        <w:t>participants</w:t>
      </w:r>
      <w:r>
        <w:t xml:space="preserve"> </w:t>
      </w:r>
      <w:r w:rsidR="000544A6">
        <w:t xml:space="preserve">and those </w:t>
      </w:r>
      <w:r>
        <w:t>recruited from Bristol.</w:t>
      </w:r>
    </w:p>
    <w:bookmarkEnd w:id="3"/>
    <w:p w14:paraId="0FBD50FE" w14:textId="4F12E53A" w:rsidR="005A10EB" w:rsidRDefault="00920FDD" w:rsidP="00EC0251">
      <w:pPr>
        <w:spacing w:line="276" w:lineRule="auto"/>
        <w:jc w:val="both"/>
      </w:pPr>
      <w:r>
        <w:t xml:space="preserve">Demographic and clinical characteristics of the sample are presented in Table 1. </w:t>
      </w:r>
      <w:r w:rsidR="006E15C2">
        <w:t xml:space="preserve">Overall, </w:t>
      </w:r>
      <w:r>
        <w:t>5</w:t>
      </w:r>
      <w:r w:rsidR="009F6602">
        <w:t>4</w:t>
      </w:r>
      <w:r>
        <w:t>%</w:t>
      </w:r>
      <w:r w:rsidR="0094179D">
        <w:t xml:space="preserve"> (240) </w:t>
      </w:r>
      <w:r>
        <w:t>of participants were aged 55-74, 7</w:t>
      </w:r>
      <w:r w:rsidR="00E146CD">
        <w:t>4</w:t>
      </w:r>
      <w:r>
        <w:t>% (326) were female, and 95% (418) were white</w:t>
      </w:r>
      <w:r w:rsidR="006E15C2">
        <w:t>;</w:t>
      </w:r>
      <w:r>
        <w:t xml:space="preserve"> </w:t>
      </w:r>
      <w:r w:rsidR="00893B2F">
        <w:t xml:space="preserve">42% </w:t>
      </w:r>
      <w:r>
        <w:t>(</w:t>
      </w:r>
      <w:r w:rsidR="00893B2F">
        <w:t>188</w:t>
      </w:r>
      <w:r>
        <w:t>)</w:t>
      </w:r>
      <w:r w:rsidR="00893B2F">
        <w:t xml:space="preserve"> of</w:t>
      </w:r>
      <w:r>
        <w:t xml:space="preserve"> participants were recruited from London sites, </w:t>
      </w:r>
      <w:r w:rsidR="00893B2F">
        <w:t xml:space="preserve">22% </w:t>
      </w:r>
      <w:r>
        <w:t>(</w:t>
      </w:r>
      <w:r w:rsidR="00893B2F">
        <w:t>96</w:t>
      </w:r>
      <w:r>
        <w:t xml:space="preserve">) from Bristol, </w:t>
      </w:r>
      <w:r w:rsidR="00893B2F">
        <w:t xml:space="preserve">20% </w:t>
      </w:r>
      <w:r>
        <w:t>(</w:t>
      </w:r>
      <w:r w:rsidR="00893B2F">
        <w:t>88</w:t>
      </w:r>
      <w:r>
        <w:t xml:space="preserve">) from Southampton, and </w:t>
      </w:r>
      <w:r w:rsidR="00893B2F">
        <w:t>16%</w:t>
      </w:r>
      <w:r>
        <w:t xml:space="preserve"> (</w:t>
      </w:r>
      <w:r w:rsidR="00893B2F">
        <w:t>71</w:t>
      </w:r>
      <w:r>
        <w:t xml:space="preserve">) from York. </w:t>
      </w:r>
      <w:r w:rsidR="00354403">
        <w:t xml:space="preserve">Over </w:t>
      </w:r>
      <w:r w:rsidR="0018791A">
        <w:t>47</w:t>
      </w:r>
      <w:r>
        <w:t>% (207)</w:t>
      </w:r>
      <w:r w:rsidR="001E0BF2">
        <w:t xml:space="preserve"> of participants</w:t>
      </w:r>
      <w:r>
        <w:t xml:space="preserve"> were taking citalopram, 34% (149) were taking fluoxetine, 16% (71) were taking sertraline and less than 4% (16) were taking mirtazapine. </w:t>
      </w:r>
    </w:p>
    <w:p w14:paraId="5E511DEB" w14:textId="22F0BD43" w:rsidR="000B00E1" w:rsidRDefault="00921D50" w:rsidP="00EC0251">
      <w:pPr>
        <w:spacing w:line="276" w:lineRule="auto"/>
        <w:jc w:val="both"/>
      </w:pPr>
      <w:r>
        <w:t>The mean scores for depressive and anxiety symptoms</w:t>
      </w:r>
      <w:r w:rsidR="00B84E40">
        <w:t>,</w:t>
      </w:r>
      <w:r>
        <w:t xml:space="preserve"> as assessed by the PHQ-9 and GAD-7</w:t>
      </w:r>
      <w:r w:rsidR="00B84E40">
        <w:t>,</w:t>
      </w:r>
      <w:r>
        <w:t xml:space="preserve"> were 3.83 (SD = 3.5) and 3.00 (SD = 3.0), respectively. </w:t>
      </w:r>
      <w:r w:rsidR="00920FDD">
        <w:t>On the CIS-R, mean depressive and anxiety symptom scores were 3.00 (</w:t>
      </w:r>
      <w:r w:rsidR="00B93780">
        <w:t>s</w:t>
      </w:r>
      <w:r w:rsidR="000544A6">
        <w:t xml:space="preserve">tandard </w:t>
      </w:r>
      <w:r w:rsidR="00B93780">
        <w:t>d</w:t>
      </w:r>
      <w:r w:rsidR="000544A6">
        <w:t>eviation</w:t>
      </w:r>
      <w:r w:rsidR="00B93780">
        <w:t xml:space="preserve"> </w:t>
      </w:r>
      <w:r w:rsidR="000544A6">
        <w:t>[SD]</w:t>
      </w:r>
      <w:r w:rsidR="00920FDD">
        <w:t xml:space="preserve"> = 2.87) and 1.4 (SD = 1.93). The two groups were well-balanced at baseline</w:t>
      </w:r>
      <w:r w:rsidR="000E351C">
        <w:t xml:space="preserve"> (Table 1)</w:t>
      </w:r>
      <w:r w:rsidR="00920FDD" w:rsidRPr="00D93CC1">
        <w:t>.</w:t>
      </w:r>
    </w:p>
    <w:p w14:paraId="68F5A6A5" w14:textId="77777777" w:rsidR="001E0BF2" w:rsidRDefault="000B00E1" w:rsidP="00EC0251">
      <w:pPr>
        <w:spacing w:line="276" w:lineRule="auto"/>
        <w:jc w:val="both"/>
      </w:pPr>
      <w:r>
        <w:t>Performance in the ECAT was good</w:t>
      </w:r>
      <w:r w:rsidR="008243BC">
        <w:t xml:space="preserve"> at baseline </w:t>
      </w:r>
      <w:r w:rsidR="008243BC" w:rsidRPr="00236CDF">
        <w:t>(</w:t>
      </w:r>
      <w:r w:rsidR="008243BC" w:rsidRPr="00603FC6">
        <w:t>median per</w:t>
      </w:r>
      <w:r w:rsidR="008243BC" w:rsidRPr="007F5FA7">
        <w:t>cent correct = 9</w:t>
      </w:r>
      <w:r w:rsidR="002A2F35" w:rsidRPr="008B4009">
        <w:t>2.5</w:t>
      </w:r>
      <w:r w:rsidR="008243BC" w:rsidRPr="00236CDF">
        <w:t xml:space="preserve">%, </w:t>
      </w:r>
      <w:r w:rsidR="001C4B33">
        <w:t>Q1</w:t>
      </w:r>
      <w:r w:rsidR="00E25E7F">
        <w:t xml:space="preserve"> </w:t>
      </w:r>
      <w:r w:rsidR="001C4B33">
        <w:t>-</w:t>
      </w:r>
      <w:r w:rsidR="00E25E7F">
        <w:t xml:space="preserve"> </w:t>
      </w:r>
      <w:r w:rsidR="001C4B33">
        <w:t xml:space="preserve">Q3 = </w:t>
      </w:r>
      <w:r w:rsidR="004C3748">
        <w:t>87.5</w:t>
      </w:r>
      <w:r w:rsidR="00E25E7F">
        <w:t xml:space="preserve"> </w:t>
      </w:r>
      <w:r w:rsidR="004C3748">
        <w:t>-</w:t>
      </w:r>
      <w:r w:rsidR="00E25E7F">
        <w:t xml:space="preserve"> </w:t>
      </w:r>
      <w:r w:rsidR="004C3748">
        <w:t>97.5</w:t>
      </w:r>
      <w:r w:rsidR="008243BC" w:rsidRPr="00603FC6">
        <w:t>)</w:t>
      </w:r>
      <w:r w:rsidR="00882B45">
        <w:t>,</w:t>
      </w:r>
      <w:r w:rsidR="001B6C67">
        <w:t xml:space="preserve"> </w:t>
      </w:r>
      <w:r w:rsidR="002A2F35">
        <w:t>with no differences across groups</w:t>
      </w:r>
      <w:r w:rsidR="008243BC">
        <w:t xml:space="preserve">. </w:t>
      </w:r>
      <w:r w:rsidR="008243BC" w:rsidRPr="00236CDF">
        <w:t xml:space="preserve">However, </w:t>
      </w:r>
      <w:r w:rsidR="00882B45">
        <w:t>14% of</w:t>
      </w:r>
      <w:r w:rsidR="008243BC" w:rsidRPr="00236CDF">
        <w:t xml:space="preserve"> participants</w:t>
      </w:r>
      <w:r w:rsidR="001E0BF2" w:rsidRPr="008B4009">
        <w:t xml:space="preserve"> </w:t>
      </w:r>
      <w:r w:rsidR="004C6332">
        <w:t>did not</w:t>
      </w:r>
      <w:r w:rsidR="007F5FA7" w:rsidRPr="008B4009">
        <w:t xml:space="preserve"> understand </w:t>
      </w:r>
      <w:r w:rsidR="00882B45">
        <w:t>some of</w:t>
      </w:r>
      <w:r w:rsidR="007F5FA7" w:rsidRPr="008B4009">
        <w:t xml:space="preserve"> the words (scored below 80%</w:t>
      </w:r>
      <w:r w:rsidR="00967F19">
        <w:t xml:space="preserve"> at baseline</w:t>
      </w:r>
      <w:r w:rsidR="007F5FA7" w:rsidRPr="008B4009">
        <w:t>)</w:t>
      </w:r>
      <w:r w:rsidR="007F5FA7">
        <w:t xml:space="preserve">, and </w:t>
      </w:r>
      <w:r w:rsidR="007154D5">
        <w:t>4%</w:t>
      </w:r>
      <w:r w:rsidR="007F5FA7">
        <w:t xml:space="preserve"> performed worse than chance</w:t>
      </w:r>
      <w:r w:rsidR="00065A9F">
        <w:t xml:space="preserve"> (Supplement)</w:t>
      </w:r>
      <w:r w:rsidR="007154D5">
        <w:t>.</w:t>
      </w:r>
    </w:p>
    <w:p w14:paraId="330705D2" w14:textId="77777777" w:rsidR="008E6A4F" w:rsidRDefault="008E6A4F" w:rsidP="00EC0251">
      <w:pPr>
        <w:spacing w:line="276" w:lineRule="auto"/>
        <w:jc w:val="both"/>
        <w:rPr>
          <w:b/>
          <w:bCs/>
        </w:rPr>
      </w:pPr>
    </w:p>
    <w:p w14:paraId="2F772920" w14:textId="77777777" w:rsidR="00CD192A" w:rsidRPr="008B4009" w:rsidRDefault="00DA60F2" w:rsidP="00EC0251">
      <w:pPr>
        <w:spacing w:line="276" w:lineRule="auto"/>
        <w:jc w:val="both"/>
        <w:rPr>
          <w:b/>
          <w:bCs/>
        </w:rPr>
      </w:pPr>
      <w:r>
        <w:rPr>
          <w:b/>
          <w:bCs/>
        </w:rPr>
        <w:t>Antidepressant discontinuation</w:t>
      </w:r>
      <w:r w:rsidR="00CD192A" w:rsidRPr="008B4009">
        <w:rPr>
          <w:b/>
          <w:bCs/>
        </w:rPr>
        <w:t xml:space="preserve"> and </w:t>
      </w:r>
      <w:r>
        <w:rPr>
          <w:b/>
          <w:bCs/>
        </w:rPr>
        <w:t>self-referential</w:t>
      </w:r>
      <w:r w:rsidR="00CD192A" w:rsidRPr="008B4009">
        <w:rPr>
          <w:b/>
          <w:bCs/>
        </w:rPr>
        <w:t xml:space="preserve"> recall</w:t>
      </w:r>
    </w:p>
    <w:p w14:paraId="09717051" w14:textId="1B49C666" w:rsidR="003D58DA" w:rsidRDefault="00920FDD" w:rsidP="00EC0251">
      <w:pPr>
        <w:spacing w:line="276" w:lineRule="auto"/>
        <w:jc w:val="both"/>
      </w:pPr>
      <w:r>
        <w:t xml:space="preserve">Participants in both treatment groups made more positive than negative hits </w:t>
      </w:r>
      <w:r w:rsidR="002A09AF">
        <w:t xml:space="preserve">and false alarms </w:t>
      </w:r>
      <w:r>
        <w:t>at all time points</w:t>
      </w:r>
      <w:r w:rsidR="001F14C6">
        <w:t xml:space="preserve">. </w:t>
      </w:r>
      <w:r>
        <w:t>Positive hits</w:t>
      </w:r>
      <w:r w:rsidR="001E4D15">
        <w:t xml:space="preserve"> and false alarms</w:t>
      </w:r>
      <w:r>
        <w:t xml:space="preserve"> increased from baseline to 12 weeks and decreased at 52 weeks</w:t>
      </w:r>
      <w:r w:rsidR="00B35023">
        <w:t>.</w:t>
      </w:r>
      <w:r>
        <w:t xml:space="preserve"> </w:t>
      </w:r>
      <w:r w:rsidR="0018212B">
        <w:t xml:space="preserve">Negative false alarms decreased from baseline to 12 </w:t>
      </w:r>
      <w:r w:rsidR="00EB6617">
        <w:t xml:space="preserve">and 52 </w:t>
      </w:r>
      <w:r w:rsidR="0018212B">
        <w:t xml:space="preserve">weeks, </w:t>
      </w:r>
      <w:r>
        <w:t xml:space="preserve">whilst negative hits did not change over time (Table 2). </w:t>
      </w:r>
    </w:p>
    <w:p w14:paraId="5FEE9609" w14:textId="77777777" w:rsidR="00920FDD" w:rsidRDefault="00920FDD" w:rsidP="00EC0251">
      <w:pPr>
        <w:spacing w:line="276" w:lineRule="auto"/>
        <w:jc w:val="both"/>
      </w:pPr>
      <w:r>
        <w:t xml:space="preserve">There was no evidence </w:t>
      </w:r>
      <w:r w:rsidR="00F60C61">
        <w:t>of</w:t>
      </w:r>
      <w:r>
        <w:t xml:space="preserve"> an association between treatment </w:t>
      </w:r>
      <w:r w:rsidR="00675991">
        <w:t xml:space="preserve">allocation </w:t>
      </w:r>
      <w:r>
        <w:t>and positive hits at 12 weeks (</w:t>
      </w:r>
      <w:r w:rsidR="001F14C6">
        <w:t>unadjusted hits ratio = 1.03, CI = 0.91</w:t>
      </w:r>
      <w:r w:rsidR="00214ACE">
        <w:t>-</w:t>
      </w:r>
      <w:r w:rsidR="001F14C6">
        <w:t xml:space="preserve">1.17, p = 0.59; </w:t>
      </w:r>
      <w:r>
        <w:t>adjusted hits ratio = 1.0</w:t>
      </w:r>
      <w:r w:rsidR="00951118">
        <w:t>0</w:t>
      </w:r>
      <w:r>
        <w:t>, CI = 0.9</w:t>
      </w:r>
      <w:r w:rsidR="00A217C7">
        <w:t>0</w:t>
      </w:r>
      <w:r w:rsidR="00214ACE">
        <w:t>-</w:t>
      </w:r>
      <w:r>
        <w:t>1.1</w:t>
      </w:r>
      <w:r w:rsidR="00951118">
        <w:t>1</w:t>
      </w:r>
      <w:r>
        <w:t>, p = 0.</w:t>
      </w:r>
      <w:r w:rsidR="00951118">
        <w:t>93</w:t>
      </w:r>
      <w:r>
        <w:t>) or 52 weeks (</w:t>
      </w:r>
      <w:r w:rsidR="006738A9">
        <w:t>unadjusted hits ratio = 1.06, CI = 0.93</w:t>
      </w:r>
      <w:r w:rsidR="00214ACE">
        <w:t>-</w:t>
      </w:r>
      <w:r w:rsidR="006738A9">
        <w:t xml:space="preserve">1.21, p = 0.37; </w:t>
      </w:r>
      <w:r>
        <w:t>adjusted hits ratio = 1.0</w:t>
      </w:r>
      <w:r w:rsidR="00951118">
        <w:t>3</w:t>
      </w:r>
      <w:r>
        <w:t>, CI = 0.9</w:t>
      </w:r>
      <w:r w:rsidR="006738A9">
        <w:t>1</w:t>
      </w:r>
      <w:r w:rsidR="00214ACE">
        <w:t>-</w:t>
      </w:r>
      <w:r>
        <w:t>1.1</w:t>
      </w:r>
      <w:r w:rsidR="00951118">
        <w:t>7</w:t>
      </w:r>
      <w:r>
        <w:t>, p = 0.</w:t>
      </w:r>
      <w:r w:rsidR="00951118">
        <w:t>62</w:t>
      </w:r>
      <w:r>
        <w:t>) after randomisation</w:t>
      </w:r>
      <w:r w:rsidR="00BB749D">
        <w:t xml:space="preserve"> (Table 3)</w:t>
      </w:r>
      <w:r>
        <w:t xml:space="preserve">. </w:t>
      </w:r>
      <w:r w:rsidR="003D58DA">
        <w:t>There was also no evidence of an</w:t>
      </w:r>
      <w:r>
        <w:t xml:space="preserve"> association </w:t>
      </w:r>
      <w:r w:rsidR="00675991">
        <w:t xml:space="preserve">between treatment allocation and </w:t>
      </w:r>
      <w:r>
        <w:t xml:space="preserve">negative hits at 12 </w:t>
      </w:r>
      <w:r w:rsidR="000560C3">
        <w:t xml:space="preserve">weeks </w:t>
      </w:r>
      <w:r>
        <w:t>(</w:t>
      </w:r>
      <w:r w:rsidR="00CD6C38">
        <w:t>unadjusted hits ratio = 1.05, CI = 0.91</w:t>
      </w:r>
      <w:r w:rsidR="00214ACE">
        <w:t>-</w:t>
      </w:r>
      <w:r w:rsidR="00CD6C38">
        <w:t>1.20, p = 0.</w:t>
      </w:r>
      <w:r w:rsidR="00C53217">
        <w:t>519</w:t>
      </w:r>
      <w:r w:rsidR="00CD6C38">
        <w:t xml:space="preserve">; </w:t>
      </w:r>
      <w:r>
        <w:t>adjusted hits ratio = 1.0</w:t>
      </w:r>
      <w:r w:rsidR="00951118">
        <w:t>0</w:t>
      </w:r>
      <w:r>
        <w:t>, CI = 0.</w:t>
      </w:r>
      <w:r w:rsidR="00A217C7">
        <w:t>8</w:t>
      </w:r>
      <w:r w:rsidR="00951118">
        <w:t>7</w:t>
      </w:r>
      <w:r w:rsidR="00214ACE">
        <w:t>-</w:t>
      </w:r>
      <w:r>
        <w:t>1.1</w:t>
      </w:r>
      <w:r w:rsidR="00951118">
        <w:t>4</w:t>
      </w:r>
      <w:r>
        <w:t>, p = 0.</w:t>
      </w:r>
      <w:r w:rsidR="00951118">
        <w:t>87</w:t>
      </w:r>
      <w:r>
        <w:t xml:space="preserve">) </w:t>
      </w:r>
      <w:r w:rsidR="00C37B29">
        <w:t>or</w:t>
      </w:r>
      <w:r>
        <w:t xml:space="preserve"> 52 </w:t>
      </w:r>
      <w:r w:rsidR="00675991">
        <w:t xml:space="preserve">weeks </w:t>
      </w:r>
      <w:r>
        <w:t>(</w:t>
      </w:r>
      <w:r w:rsidR="00C53217">
        <w:t>unadjusted hits ratio = 1.0</w:t>
      </w:r>
      <w:r w:rsidR="003A4E88">
        <w:t>5</w:t>
      </w:r>
      <w:r w:rsidR="00C53217">
        <w:t>, CI = 0.90</w:t>
      </w:r>
      <w:r w:rsidR="00214ACE">
        <w:t>-</w:t>
      </w:r>
      <w:r w:rsidR="00C53217">
        <w:t>1.</w:t>
      </w:r>
      <w:r w:rsidR="003A4E88">
        <w:t>24</w:t>
      </w:r>
      <w:r w:rsidR="00C53217">
        <w:t>, p = 0.</w:t>
      </w:r>
      <w:r w:rsidR="003A4E88">
        <w:t>5</w:t>
      </w:r>
      <w:r w:rsidR="00AE3799">
        <w:t>2</w:t>
      </w:r>
      <w:r w:rsidR="003A4E88">
        <w:t xml:space="preserve">; </w:t>
      </w:r>
      <w:r>
        <w:t>adjusted hits ratio = 1.0</w:t>
      </w:r>
      <w:r w:rsidR="008E65BD">
        <w:t>0</w:t>
      </w:r>
      <w:r>
        <w:t>, CI = 0.</w:t>
      </w:r>
      <w:r w:rsidR="00A217C7">
        <w:t>8</w:t>
      </w:r>
      <w:r w:rsidR="008E65BD">
        <w:t>6</w:t>
      </w:r>
      <w:r w:rsidR="00214ACE">
        <w:t>-</w:t>
      </w:r>
      <w:r>
        <w:t>1.</w:t>
      </w:r>
      <w:r w:rsidR="003A4E88">
        <w:t>1</w:t>
      </w:r>
      <w:r w:rsidR="008E65BD">
        <w:t>5</w:t>
      </w:r>
      <w:r>
        <w:t>, p = 0.</w:t>
      </w:r>
      <w:r w:rsidR="008E65BD">
        <w:t>9</w:t>
      </w:r>
      <w:r w:rsidR="00A217C7">
        <w:t>6</w:t>
      </w:r>
      <w:r>
        <w:t>).</w:t>
      </w:r>
    </w:p>
    <w:p w14:paraId="0B0B96FD" w14:textId="172E824A" w:rsidR="00921D50" w:rsidRDefault="004F33AB" w:rsidP="00EC0251">
      <w:pPr>
        <w:spacing w:line="276" w:lineRule="auto"/>
        <w:jc w:val="both"/>
      </w:pPr>
      <w:r>
        <w:t>Next, w</w:t>
      </w:r>
      <w:r w:rsidR="00920FDD">
        <w:t>e investigated the effect of treatment on</w:t>
      </w:r>
      <w:r w:rsidR="003D58DA">
        <w:t xml:space="preserve"> </w:t>
      </w:r>
      <w:r w:rsidR="00345DDC">
        <w:t>recall for positive versus negative hits</w:t>
      </w:r>
      <w:r w:rsidR="00920FDD">
        <w:t xml:space="preserve">. </w:t>
      </w:r>
      <w:r>
        <w:t>There was no evidence for an</w:t>
      </w:r>
      <w:r w:rsidR="00920FDD">
        <w:t xml:space="preserve"> interaction between treatment and word valence at either time point (</w:t>
      </w:r>
      <w:r w:rsidR="00B03CAC">
        <w:t xml:space="preserve">unadjusted hits </w:t>
      </w:r>
      <w:r w:rsidR="006658EF">
        <w:t>at 12 weeks</w:t>
      </w:r>
      <w:r w:rsidR="00B03CAC">
        <w:t>, p = 0.</w:t>
      </w:r>
      <w:r w:rsidR="006658EF">
        <w:t>89</w:t>
      </w:r>
      <w:r w:rsidR="00B03CAC">
        <w:t xml:space="preserve">; </w:t>
      </w:r>
      <w:r w:rsidR="00920FDD">
        <w:t xml:space="preserve">adjusted hits </w:t>
      </w:r>
      <w:r w:rsidR="006658EF">
        <w:t>at 12 weeks</w:t>
      </w:r>
      <w:r w:rsidR="00920FDD">
        <w:t>, p = 0.9</w:t>
      </w:r>
      <w:r w:rsidR="006658EF">
        <w:t>8; unadjusted hits at 52 weeks, p = 0.9</w:t>
      </w:r>
      <w:r w:rsidR="00694375">
        <w:t>4</w:t>
      </w:r>
      <w:r w:rsidR="006658EF">
        <w:t xml:space="preserve">; </w:t>
      </w:r>
      <w:r w:rsidR="00920FDD">
        <w:t xml:space="preserve">adjusted hits </w:t>
      </w:r>
      <w:r w:rsidR="006658EF">
        <w:t>at 52 weeks</w:t>
      </w:r>
      <w:r w:rsidR="00920FDD">
        <w:t>, p = 0.</w:t>
      </w:r>
      <w:r w:rsidR="001505AE">
        <w:t>84</w:t>
      </w:r>
      <w:r w:rsidR="006A6D49">
        <w:t xml:space="preserve">; </w:t>
      </w:r>
      <w:r w:rsidR="00E47166">
        <w:t>Table 4</w:t>
      </w:r>
      <w:r w:rsidR="00920FDD">
        <w:t>).</w:t>
      </w:r>
    </w:p>
    <w:p w14:paraId="6E9D9128" w14:textId="77777777" w:rsidR="00DA2ACE" w:rsidRDefault="002A2E34" w:rsidP="00EC0251">
      <w:pPr>
        <w:spacing w:line="276" w:lineRule="auto"/>
        <w:jc w:val="both"/>
      </w:pPr>
      <w:r>
        <w:lastRenderedPageBreak/>
        <w:t>Finding</w:t>
      </w:r>
      <w:r w:rsidR="00920FDD" w:rsidRPr="00C67499">
        <w:t xml:space="preserve">s were </w:t>
      </w:r>
      <w:r w:rsidR="00920FDD">
        <w:t xml:space="preserve">unaltered </w:t>
      </w:r>
      <w:r w:rsidR="00920FDD" w:rsidRPr="00C67499">
        <w:t xml:space="preserve">when including predictors of missingness </w:t>
      </w:r>
      <w:r w:rsidR="00E0032F">
        <w:t>or</w:t>
      </w:r>
      <w:r w:rsidR="00EE6B8D">
        <w:t xml:space="preserve"> </w:t>
      </w:r>
      <w:r w:rsidR="004D2E61">
        <w:t>after limiting the sample to participants who adhered to study medication or those who performed well on the ECAT</w:t>
      </w:r>
      <w:r w:rsidR="006D5AD3">
        <w:t xml:space="preserve"> </w:t>
      </w:r>
      <w:r w:rsidR="002F64F0">
        <w:t>(Supplement)</w:t>
      </w:r>
      <w:r w:rsidR="00920FDD" w:rsidRPr="00C67499">
        <w:t>.</w:t>
      </w:r>
    </w:p>
    <w:p w14:paraId="362DB747" w14:textId="77777777" w:rsidR="00653E70" w:rsidRPr="00921D50" w:rsidRDefault="00653E70" w:rsidP="00EC0251">
      <w:pPr>
        <w:spacing w:line="276" w:lineRule="auto"/>
        <w:jc w:val="both"/>
        <w:rPr>
          <w:i/>
          <w:iCs/>
        </w:rPr>
      </w:pPr>
    </w:p>
    <w:p w14:paraId="1DA152FA" w14:textId="784D0AAC" w:rsidR="00CD192A" w:rsidRPr="008B4009" w:rsidRDefault="00806708" w:rsidP="00EC0251">
      <w:pPr>
        <w:spacing w:line="276" w:lineRule="auto"/>
        <w:jc w:val="both"/>
        <w:rPr>
          <w:b/>
          <w:bCs/>
        </w:rPr>
      </w:pPr>
      <w:r>
        <w:rPr>
          <w:b/>
          <w:bCs/>
        </w:rPr>
        <w:t>Self-referential r</w:t>
      </w:r>
      <w:r w:rsidR="00DA60F2">
        <w:rPr>
          <w:b/>
          <w:bCs/>
        </w:rPr>
        <w:t>ecall and risk of relapse</w:t>
      </w:r>
    </w:p>
    <w:p w14:paraId="07999A3B" w14:textId="77777777" w:rsidR="000E725C" w:rsidRDefault="003F4C38" w:rsidP="00EC0251">
      <w:pPr>
        <w:spacing w:line="276" w:lineRule="auto"/>
        <w:jc w:val="both"/>
      </w:pPr>
      <w:r>
        <w:rPr>
          <w:bCs/>
        </w:rPr>
        <w:t>Over the</w:t>
      </w:r>
      <w:r w:rsidR="00530594">
        <w:rPr>
          <w:bCs/>
        </w:rPr>
        <w:t xml:space="preserve"> 52-week follow-up</w:t>
      </w:r>
      <w:r>
        <w:rPr>
          <w:bCs/>
        </w:rPr>
        <w:t xml:space="preserve">, </w:t>
      </w:r>
      <w:r w:rsidR="006115CA">
        <w:rPr>
          <w:bCs/>
        </w:rPr>
        <w:t xml:space="preserve">39% of patients in </w:t>
      </w:r>
      <w:r w:rsidR="006115CA" w:rsidRPr="00941F38">
        <w:rPr>
          <w:bCs/>
        </w:rPr>
        <w:t xml:space="preserve">the </w:t>
      </w:r>
      <w:r w:rsidR="0003203A">
        <w:rPr>
          <w:bCs/>
        </w:rPr>
        <w:t>maintenance</w:t>
      </w:r>
      <w:r w:rsidR="0003203A" w:rsidRPr="00941F38">
        <w:rPr>
          <w:bCs/>
        </w:rPr>
        <w:t xml:space="preserve"> </w:t>
      </w:r>
      <w:r w:rsidR="006115CA" w:rsidRPr="00941F38">
        <w:rPr>
          <w:bCs/>
        </w:rPr>
        <w:t xml:space="preserve">group and 56% in the </w:t>
      </w:r>
      <w:r w:rsidR="0003203A">
        <w:rPr>
          <w:bCs/>
        </w:rPr>
        <w:t>discontinuation</w:t>
      </w:r>
      <w:r w:rsidR="0003203A" w:rsidRPr="00941F38">
        <w:rPr>
          <w:bCs/>
        </w:rPr>
        <w:t xml:space="preserve"> </w:t>
      </w:r>
      <w:r w:rsidR="006115CA" w:rsidRPr="00941F38">
        <w:rPr>
          <w:bCs/>
        </w:rPr>
        <w:t>group relapsed</w:t>
      </w:r>
      <w:r w:rsidR="006115CA" w:rsidRPr="00941F38">
        <w:t xml:space="preserve"> (Lewis et al., 202</w:t>
      </w:r>
      <w:r w:rsidR="00AC381D">
        <w:t>1</w:t>
      </w:r>
      <w:r w:rsidR="006115CA" w:rsidRPr="00941F38">
        <w:t>)</w:t>
      </w:r>
      <w:r w:rsidR="00941F38">
        <w:t xml:space="preserve">. Relapse rates were similar across all positive and negative </w:t>
      </w:r>
      <w:r w:rsidR="00103C76">
        <w:t>recall scores.</w:t>
      </w:r>
      <w:r w:rsidR="00E54933">
        <w:t xml:space="preserve"> </w:t>
      </w:r>
    </w:p>
    <w:p w14:paraId="2ABE859A" w14:textId="0C0B060B" w:rsidR="005345AF" w:rsidRDefault="005345AF" w:rsidP="00EC0251">
      <w:pPr>
        <w:spacing w:line="276" w:lineRule="auto"/>
        <w:jc w:val="both"/>
      </w:pPr>
      <w:r w:rsidRPr="00F32822">
        <w:t>There was no evidence of an association between positive word recall 12 weeks</w:t>
      </w:r>
      <w:r w:rsidR="00DF75BB" w:rsidRPr="00F32822">
        <w:t xml:space="preserve"> after randomisation</w:t>
      </w:r>
      <w:r w:rsidRPr="00F32822">
        <w:t xml:space="preserve"> and </w:t>
      </w:r>
      <w:r w:rsidR="00DD2D35" w:rsidRPr="00F32822">
        <w:t xml:space="preserve">subsequent </w:t>
      </w:r>
      <w:r w:rsidRPr="00F32822">
        <w:t>relapse (unadjusted hazard ratio = 0</w:t>
      </w:r>
      <w:r w:rsidR="00DD2D35" w:rsidRPr="001D2482">
        <w:t>.97</w:t>
      </w:r>
      <w:r w:rsidRPr="00F32822">
        <w:t>, CI = 0.</w:t>
      </w:r>
      <w:r w:rsidR="00DD2D35" w:rsidRPr="001D2482">
        <w:t>89</w:t>
      </w:r>
      <w:r w:rsidRPr="00F32822">
        <w:t>-1.</w:t>
      </w:r>
      <w:r w:rsidR="00DD2D35" w:rsidRPr="001D2482">
        <w:t>06</w:t>
      </w:r>
      <w:r w:rsidRPr="00F32822">
        <w:t>, p = 0.5</w:t>
      </w:r>
      <w:r w:rsidR="00DD2D35" w:rsidRPr="001D2482">
        <w:t>5</w:t>
      </w:r>
      <w:r w:rsidRPr="00F32822">
        <w:t xml:space="preserve">; fully adjusted hazard ratio = </w:t>
      </w:r>
      <w:r w:rsidR="00DD2D35" w:rsidRPr="001D2482">
        <w:t>0.99</w:t>
      </w:r>
      <w:r w:rsidRPr="00F32822">
        <w:t>, CI = 0.</w:t>
      </w:r>
      <w:r w:rsidR="00DD2D35" w:rsidRPr="001D2482">
        <w:t>89</w:t>
      </w:r>
      <w:r w:rsidRPr="00F32822">
        <w:t>-1.</w:t>
      </w:r>
      <w:r w:rsidR="00DD2D35" w:rsidRPr="001D2482">
        <w:t>09</w:t>
      </w:r>
      <w:r w:rsidRPr="00F32822">
        <w:t>, p = 0.</w:t>
      </w:r>
      <w:r w:rsidR="00DD2D35" w:rsidRPr="00F32822">
        <w:t>81</w:t>
      </w:r>
      <w:r w:rsidRPr="00F32822">
        <w:t>)</w:t>
      </w:r>
      <w:r w:rsidR="00DB28A0">
        <w:t xml:space="preserve">, and </w:t>
      </w:r>
      <w:r w:rsidRPr="00F32822">
        <w:t>no evidence of an association between negative</w:t>
      </w:r>
      <w:r w:rsidR="00DB28A0">
        <w:t xml:space="preserve"> word</w:t>
      </w:r>
      <w:r w:rsidRPr="00F32822">
        <w:t xml:space="preserve"> recall </w:t>
      </w:r>
      <w:r w:rsidR="0065358F" w:rsidRPr="00F32822">
        <w:t xml:space="preserve">12 weeks </w:t>
      </w:r>
      <w:r w:rsidR="00DB28A0">
        <w:t xml:space="preserve">after randomisation </w:t>
      </w:r>
      <w:r w:rsidRPr="00F32822">
        <w:t xml:space="preserve">and </w:t>
      </w:r>
      <w:r w:rsidR="00DB28A0">
        <w:t xml:space="preserve">subsequent </w:t>
      </w:r>
      <w:r w:rsidRPr="00F32822">
        <w:t>relapse (unadjusted hazard ratio = 0</w:t>
      </w:r>
      <w:r w:rsidR="000760C6" w:rsidRPr="001D2482">
        <w:t>.97</w:t>
      </w:r>
      <w:r w:rsidRPr="00F32822">
        <w:t>, CI = 0.</w:t>
      </w:r>
      <w:r w:rsidR="000760C6" w:rsidRPr="001D2482">
        <w:t>86</w:t>
      </w:r>
      <w:r w:rsidRPr="00F32822">
        <w:t>-1.1</w:t>
      </w:r>
      <w:r w:rsidR="000760C6" w:rsidRPr="001D2482">
        <w:t>0</w:t>
      </w:r>
      <w:r w:rsidRPr="00F32822">
        <w:t>, p = 0.</w:t>
      </w:r>
      <w:r w:rsidR="000760C6" w:rsidRPr="001D2482">
        <w:t>66</w:t>
      </w:r>
      <w:r w:rsidRPr="00F32822">
        <w:t xml:space="preserve">; fully adjusted hazard ratio = </w:t>
      </w:r>
      <w:r w:rsidR="000760C6" w:rsidRPr="001D2482">
        <w:t>0.98</w:t>
      </w:r>
      <w:r w:rsidRPr="00F32822">
        <w:t>, CI = 0.</w:t>
      </w:r>
      <w:r w:rsidR="000760C6" w:rsidRPr="001D2482">
        <w:t>84-</w:t>
      </w:r>
      <w:r w:rsidRPr="00F32822">
        <w:t>1.1</w:t>
      </w:r>
      <w:r w:rsidR="000760C6" w:rsidRPr="001D2482">
        <w:t>4</w:t>
      </w:r>
      <w:r w:rsidRPr="00F32822">
        <w:t>, p = 0.</w:t>
      </w:r>
      <w:r w:rsidR="000760C6" w:rsidRPr="00F32822">
        <w:t>78</w:t>
      </w:r>
      <w:r w:rsidR="00E53C9C">
        <w:t xml:space="preserve">; </w:t>
      </w:r>
      <w:r w:rsidR="00E53C9C" w:rsidRPr="00F32822">
        <w:t>Table 5</w:t>
      </w:r>
      <w:r w:rsidRPr="00F32822">
        <w:t>).</w:t>
      </w:r>
    </w:p>
    <w:p w14:paraId="6A183950" w14:textId="127AD7A6" w:rsidR="007D723E" w:rsidRDefault="00DB28A0" w:rsidP="00EC0251">
      <w:pPr>
        <w:spacing w:line="276" w:lineRule="auto"/>
        <w:jc w:val="both"/>
      </w:pPr>
      <w:r>
        <w:t>We also found</w:t>
      </w:r>
      <w:r w:rsidR="006115CA">
        <w:t xml:space="preserve"> no evidence</w:t>
      </w:r>
      <w:r w:rsidR="00155F59">
        <w:t xml:space="preserve"> of</w:t>
      </w:r>
      <w:r w:rsidR="006115CA">
        <w:t xml:space="preserve"> an association between </w:t>
      </w:r>
      <w:r w:rsidR="002E2452">
        <w:t xml:space="preserve">baseline </w:t>
      </w:r>
      <w:r w:rsidR="00606807">
        <w:t>word recall and relapse,</w:t>
      </w:r>
      <w:r w:rsidR="000E3AAD">
        <w:t xml:space="preserve"> independent of treatment allocation</w:t>
      </w:r>
      <w:r w:rsidR="00E53C9C">
        <w:t xml:space="preserve"> (Table 5)</w:t>
      </w:r>
      <w:r w:rsidR="000E3AAD">
        <w:t>. This was the case for both</w:t>
      </w:r>
      <w:r w:rsidR="00606807">
        <w:t xml:space="preserve"> </w:t>
      </w:r>
      <w:r w:rsidR="006115CA">
        <w:t xml:space="preserve">positive </w:t>
      </w:r>
      <w:r w:rsidR="00E53C9C">
        <w:t xml:space="preserve">recall </w:t>
      </w:r>
      <w:r w:rsidR="002E2452">
        <w:t xml:space="preserve">(unadjusted hazard ratio = </w:t>
      </w:r>
      <w:r w:rsidR="002E2452" w:rsidRPr="0055031C">
        <w:t>1.03</w:t>
      </w:r>
      <w:r w:rsidR="002E2452">
        <w:t xml:space="preserve">, CI = </w:t>
      </w:r>
      <w:r w:rsidR="002E2452" w:rsidRPr="0055031C">
        <w:t>0.95</w:t>
      </w:r>
      <w:r w:rsidR="002E2452">
        <w:t>-</w:t>
      </w:r>
      <w:r w:rsidR="002E2452" w:rsidRPr="0055031C">
        <w:t>1.1</w:t>
      </w:r>
      <w:r w:rsidR="002E2452">
        <w:t xml:space="preserve">0, p = </w:t>
      </w:r>
      <w:r w:rsidR="002E2452" w:rsidRPr="0055031C">
        <w:t>0.5</w:t>
      </w:r>
      <w:r w:rsidR="002E2452">
        <w:t>2; fully adjusted hazard ratio = 1.02, CI = 0.93-1.12, p = 0.</w:t>
      </w:r>
      <w:r w:rsidR="007E2A1B">
        <w:t>74</w:t>
      </w:r>
      <w:r w:rsidR="002E2452">
        <w:t xml:space="preserve">) </w:t>
      </w:r>
      <w:r w:rsidR="000E3AAD">
        <w:t>and</w:t>
      </w:r>
      <w:r w:rsidR="008705C7">
        <w:t xml:space="preserve"> negative</w:t>
      </w:r>
      <w:r w:rsidR="00846343">
        <w:t xml:space="preserve"> </w:t>
      </w:r>
      <w:r w:rsidR="00E53C9C">
        <w:t xml:space="preserve">recall </w:t>
      </w:r>
      <w:r w:rsidR="002E2452">
        <w:t xml:space="preserve">(unadjusted hazard ratio = </w:t>
      </w:r>
      <w:r w:rsidR="002E2452" w:rsidRPr="00F0450B">
        <w:t>1.03</w:t>
      </w:r>
      <w:r w:rsidR="002E2452">
        <w:t xml:space="preserve">, CI = </w:t>
      </w:r>
      <w:r w:rsidR="002E2452" w:rsidRPr="00F0450B">
        <w:t>0.94</w:t>
      </w:r>
      <w:r w:rsidR="002E2452">
        <w:t>-</w:t>
      </w:r>
      <w:r w:rsidR="002E2452" w:rsidRPr="00F0450B">
        <w:t>1.13</w:t>
      </w:r>
      <w:r w:rsidR="002E2452">
        <w:t xml:space="preserve">, p = </w:t>
      </w:r>
      <w:r w:rsidR="002E2452" w:rsidRPr="00F0450B">
        <w:t>0.50</w:t>
      </w:r>
      <w:r w:rsidR="002E2452">
        <w:t>; fully adjusted hazard ratio = 1.0</w:t>
      </w:r>
      <w:r w:rsidR="007E2A1B">
        <w:t>1</w:t>
      </w:r>
      <w:r w:rsidR="002E2452">
        <w:t>, CI = 0.90-1.1</w:t>
      </w:r>
      <w:r w:rsidR="007E2A1B">
        <w:t>3</w:t>
      </w:r>
      <w:r w:rsidR="002E2452">
        <w:t>, p = 0.</w:t>
      </w:r>
      <w:r w:rsidR="007E2A1B">
        <w:t>87</w:t>
      </w:r>
      <w:r w:rsidR="002E2452">
        <w:t>)</w:t>
      </w:r>
      <w:r w:rsidR="007C1D3E">
        <w:t>.</w:t>
      </w:r>
      <w:r w:rsidR="00233FCC">
        <w:t xml:space="preserve"> </w:t>
      </w:r>
      <w:r w:rsidR="00A83893">
        <w:t>H</w:t>
      </w:r>
      <w:r w:rsidR="00007292" w:rsidRPr="00007292">
        <w:t>azard ratio</w:t>
      </w:r>
      <w:r w:rsidR="00A83893">
        <w:t>s</w:t>
      </w:r>
      <w:r w:rsidR="00007292" w:rsidRPr="00007292">
        <w:t xml:space="preserve"> greater than 1 indicate that </w:t>
      </w:r>
      <w:r w:rsidR="008005E8">
        <w:t xml:space="preserve">(positive or negative) </w:t>
      </w:r>
      <w:r w:rsidR="00007292" w:rsidRPr="00007292">
        <w:t>word recall at baseline was positively associated with relapse (bad prognosis).</w:t>
      </w:r>
    </w:p>
    <w:p w14:paraId="5C1B0BAC" w14:textId="7119325D" w:rsidR="002B0072" w:rsidRDefault="00C417C2" w:rsidP="006C29CD">
      <w:pPr>
        <w:spacing w:line="276" w:lineRule="auto"/>
        <w:jc w:val="both"/>
        <w:rPr>
          <w:b/>
          <w:bCs/>
        </w:rPr>
      </w:pPr>
      <w:r>
        <w:t xml:space="preserve">These </w:t>
      </w:r>
      <w:r w:rsidR="001846BB">
        <w:t>findings</w:t>
      </w:r>
      <w:r w:rsidR="000C6168" w:rsidRPr="00C67499">
        <w:t xml:space="preserve"> were </w:t>
      </w:r>
      <w:r w:rsidR="000C6168">
        <w:t xml:space="preserve">unaltered </w:t>
      </w:r>
      <w:r w:rsidR="000C6168" w:rsidRPr="00C67499">
        <w:t xml:space="preserve">when </w:t>
      </w:r>
      <w:r w:rsidR="007D7D76">
        <w:t xml:space="preserve">restricting analyses to participants who </w:t>
      </w:r>
      <w:r w:rsidR="000C6168">
        <w:t>perform</w:t>
      </w:r>
      <w:r w:rsidR="007D7D76">
        <w:t>ed well</w:t>
      </w:r>
      <w:r w:rsidR="000C6168">
        <w:t xml:space="preserve"> </w:t>
      </w:r>
      <w:r w:rsidR="007D7D76">
        <w:t>o</w:t>
      </w:r>
      <w:r w:rsidR="000C6168">
        <w:t xml:space="preserve">n the ECAT </w:t>
      </w:r>
      <w:r w:rsidR="007D7D76">
        <w:t>at baseline</w:t>
      </w:r>
      <w:r w:rsidR="00A969F2">
        <w:t xml:space="preserve"> (Supplement)</w:t>
      </w:r>
      <w:r w:rsidR="000C6168">
        <w:t>.</w:t>
      </w:r>
      <w:r w:rsidR="008511F2">
        <w:t xml:space="preserve"> Further analyses </w:t>
      </w:r>
      <w:r w:rsidR="004415B5">
        <w:t>exploring</w:t>
      </w:r>
      <w:r w:rsidR="008511F2">
        <w:t xml:space="preserve"> </w:t>
      </w:r>
      <w:r w:rsidR="0091282D">
        <w:t xml:space="preserve">the </w:t>
      </w:r>
      <w:r w:rsidR="008049F7">
        <w:t>interaction</w:t>
      </w:r>
      <w:r w:rsidR="0091282D">
        <w:t xml:space="preserve"> between recall at baseline and </w:t>
      </w:r>
      <w:r w:rsidR="008049F7">
        <w:t>treatment effect</w:t>
      </w:r>
      <w:r w:rsidR="006D6D83">
        <w:t>s</w:t>
      </w:r>
      <w:r w:rsidR="008511F2">
        <w:t xml:space="preserve"> are included in the Supplement</w:t>
      </w:r>
      <w:r w:rsidR="00976C0E">
        <w:t xml:space="preserve"> (Table</w:t>
      </w:r>
      <w:r w:rsidR="00C47FF0">
        <w:t>s S4 and S5)</w:t>
      </w:r>
      <w:r w:rsidR="008511F2">
        <w:t>.</w:t>
      </w:r>
      <w:r w:rsidR="002B0072">
        <w:rPr>
          <w:b/>
          <w:bCs/>
        </w:rPr>
        <w:br w:type="page"/>
      </w:r>
    </w:p>
    <w:p w14:paraId="149B9EBA" w14:textId="77777777" w:rsidR="00DA2ACE" w:rsidRPr="001E69CF" w:rsidRDefault="00042F5F" w:rsidP="00EC0251">
      <w:pPr>
        <w:spacing w:line="276" w:lineRule="auto"/>
        <w:rPr>
          <w:b/>
          <w:bCs/>
        </w:rPr>
      </w:pPr>
      <w:r w:rsidRPr="001E69CF">
        <w:rPr>
          <w:b/>
          <w:bCs/>
        </w:rPr>
        <w:lastRenderedPageBreak/>
        <w:t>DISCUSSION</w:t>
      </w:r>
    </w:p>
    <w:p w14:paraId="312505DC" w14:textId="43679B90" w:rsidR="00CD0D75" w:rsidRDefault="001E69CF" w:rsidP="00EC0251">
      <w:pPr>
        <w:spacing w:line="276" w:lineRule="auto"/>
        <w:jc w:val="both"/>
      </w:pPr>
      <w:r w:rsidRPr="00643507">
        <w:t xml:space="preserve">In a large </w:t>
      </w:r>
      <w:r w:rsidR="00FD6613" w:rsidRPr="00643507">
        <w:t>sample of primary care patients, w</w:t>
      </w:r>
      <w:r w:rsidR="00105371" w:rsidRPr="00643507">
        <w:t>e found no evidence</w:t>
      </w:r>
      <w:r w:rsidR="00F21502" w:rsidRPr="00643507">
        <w:t xml:space="preserve"> </w:t>
      </w:r>
      <w:r w:rsidR="000F0C24" w:rsidRPr="008B4009">
        <w:t>that</w:t>
      </w:r>
      <w:r w:rsidR="00F00E68" w:rsidRPr="00986BB1">
        <w:t xml:space="preserve"> </w:t>
      </w:r>
      <w:r w:rsidR="00B16E29" w:rsidRPr="00643507">
        <w:t>discontinuing long-term maintenance</w:t>
      </w:r>
      <w:r w:rsidR="00F21502" w:rsidRPr="00643507">
        <w:t xml:space="preserve"> antidepressant</w:t>
      </w:r>
      <w:r w:rsidR="00B16E29" w:rsidRPr="00643507">
        <w:t xml:space="preserve"> treatment</w:t>
      </w:r>
      <w:r w:rsidR="00F00E68" w:rsidRPr="00643507">
        <w:t xml:space="preserve"> </w:t>
      </w:r>
      <w:r w:rsidR="000F0C24" w:rsidRPr="008B4009">
        <w:t>affect</w:t>
      </w:r>
      <w:r w:rsidR="00643507" w:rsidRPr="008B4009">
        <w:t>ed</w:t>
      </w:r>
      <w:r w:rsidR="00B16E29" w:rsidRPr="00986BB1">
        <w:t xml:space="preserve"> </w:t>
      </w:r>
      <w:r w:rsidR="00DA37B2" w:rsidRPr="00643507">
        <w:t xml:space="preserve">positive </w:t>
      </w:r>
      <w:r w:rsidR="000F0C24" w:rsidRPr="008B4009">
        <w:t>or</w:t>
      </w:r>
      <w:r w:rsidR="00DA37B2" w:rsidRPr="00986BB1">
        <w:t xml:space="preserve"> negative </w:t>
      </w:r>
      <w:r w:rsidR="00082DF8" w:rsidRPr="00643507">
        <w:t xml:space="preserve">self-referential </w:t>
      </w:r>
      <w:r w:rsidR="00B16E29" w:rsidRPr="00643507">
        <w:t>recall</w:t>
      </w:r>
      <w:r w:rsidR="00AC7F9E">
        <w:t xml:space="preserve">. We also found </w:t>
      </w:r>
      <w:r w:rsidR="009C00D0" w:rsidRPr="00643507">
        <w:t xml:space="preserve">no evidence </w:t>
      </w:r>
      <w:r w:rsidR="00B16E29" w:rsidRPr="00643507">
        <w:t xml:space="preserve">that self-referential recall </w:t>
      </w:r>
      <w:r w:rsidR="00796B22">
        <w:t>prior to or following antidepressant discontinuation</w:t>
      </w:r>
      <w:r w:rsidR="00B16E29" w:rsidRPr="00643507">
        <w:t xml:space="preserve"> </w:t>
      </w:r>
      <w:r w:rsidR="00643507" w:rsidRPr="008B4009">
        <w:t>was</w:t>
      </w:r>
      <w:r w:rsidR="00B16E29" w:rsidRPr="00986BB1">
        <w:t xml:space="preserve"> associated with risk of relapse</w:t>
      </w:r>
      <w:r w:rsidR="00327F08">
        <w:t>, independent of treatment</w:t>
      </w:r>
      <w:r w:rsidR="00B16E29" w:rsidRPr="00643507">
        <w:t>.</w:t>
      </w:r>
      <w:r w:rsidR="00F21502" w:rsidRPr="00643507">
        <w:t xml:space="preserve"> </w:t>
      </w:r>
      <w:bookmarkStart w:id="4" w:name="_Hlk116048423"/>
      <w:r w:rsidR="00E94CC3">
        <w:t>Changes in e</w:t>
      </w:r>
      <w:r w:rsidR="002520A3">
        <w:t>motional memory</w:t>
      </w:r>
      <w:r w:rsidR="00B717F4">
        <w:t xml:space="preserve"> </w:t>
      </w:r>
      <w:r w:rsidR="00AC7F9E">
        <w:t xml:space="preserve">therefore </w:t>
      </w:r>
      <w:r w:rsidR="00E94CC3">
        <w:t>do</w:t>
      </w:r>
      <w:r w:rsidR="002520A3">
        <w:t xml:space="preserve"> not</w:t>
      </w:r>
      <w:r w:rsidR="00E94CC3">
        <w:t xml:space="preserve"> appear </w:t>
      </w:r>
      <w:r w:rsidR="00AC7F9E">
        <w:t xml:space="preserve">to be </w:t>
      </w:r>
      <w:r w:rsidR="00AA79E8">
        <w:t xml:space="preserve">a </w:t>
      </w:r>
      <w:r w:rsidR="00A57CD9">
        <w:t xml:space="preserve">valid </w:t>
      </w:r>
      <w:r w:rsidR="002736DD">
        <w:t>marker</w:t>
      </w:r>
      <w:r w:rsidR="00510D36">
        <w:t xml:space="preserve"> </w:t>
      </w:r>
      <w:r w:rsidR="00DB5B34">
        <w:t xml:space="preserve">of </w:t>
      </w:r>
      <w:r w:rsidR="00F908A2">
        <w:rPr>
          <w:color w:val="0070C0"/>
        </w:rPr>
        <w:t>antidepressant discontinuation</w:t>
      </w:r>
      <w:r w:rsidR="00F908A2" w:rsidDel="00F908A2">
        <w:t xml:space="preserve"> </w:t>
      </w:r>
      <w:r w:rsidR="00F435A5">
        <w:t>nor a</w:t>
      </w:r>
      <w:r w:rsidR="00A57CD9">
        <w:t xml:space="preserve"> </w:t>
      </w:r>
      <w:r w:rsidR="00D30878">
        <w:t xml:space="preserve">useful </w:t>
      </w:r>
      <w:r w:rsidR="002736DD">
        <w:t>predictor</w:t>
      </w:r>
      <w:r w:rsidR="00AA79E8">
        <w:t xml:space="preserve"> of </w:t>
      </w:r>
      <w:r w:rsidR="002736DD">
        <w:t xml:space="preserve">depression </w:t>
      </w:r>
      <w:r w:rsidR="00A57CD9">
        <w:t>relapse</w:t>
      </w:r>
      <w:r w:rsidR="00AA79E8">
        <w:t>.</w:t>
      </w:r>
      <w:bookmarkEnd w:id="4"/>
    </w:p>
    <w:p w14:paraId="745E9CEA" w14:textId="77777777" w:rsidR="00D51557" w:rsidRPr="008B4009" w:rsidRDefault="00D51557" w:rsidP="00EC0251">
      <w:pPr>
        <w:spacing w:line="276" w:lineRule="auto"/>
        <w:jc w:val="both"/>
        <w:rPr>
          <w:b/>
          <w:bCs/>
          <w:highlight w:val="yellow"/>
        </w:rPr>
      </w:pPr>
    </w:p>
    <w:p w14:paraId="6CB6AE99" w14:textId="77777777" w:rsidR="0066714F" w:rsidRPr="001702D5" w:rsidRDefault="00190EE8" w:rsidP="00EC0251">
      <w:pPr>
        <w:spacing w:line="276" w:lineRule="auto"/>
        <w:rPr>
          <w:b/>
          <w:bCs/>
        </w:rPr>
      </w:pPr>
      <w:r w:rsidRPr="001702D5">
        <w:rPr>
          <w:b/>
          <w:bCs/>
        </w:rPr>
        <w:t>Integration with existing findings</w:t>
      </w:r>
    </w:p>
    <w:p w14:paraId="37550B82" w14:textId="1C60EC9A" w:rsidR="00CB4555" w:rsidRPr="008B4009" w:rsidRDefault="00F63794" w:rsidP="00EC0251">
      <w:pPr>
        <w:spacing w:line="276" w:lineRule="auto"/>
        <w:jc w:val="both"/>
      </w:pPr>
      <w:r>
        <w:t xml:space="preserve">Our findings </w:t>
      </w:r>
      <w:r w:rsidR="008E5C96">
        <w:t xml:space="preserve">are not consistent with previous studies showing </w:t>
      </w:r>
      <w:r w:rsidR="00667D34">
        <w:t>an association between</w:t>
      </w:r>
      <w:r w:rsidR="00F80C26">
        <w:t xml:space="preserve"> </w:t>
      </w:r>
      <w:r w:rsidR="00FD41A1">
        <w:t xml:space="preserve">antidepressant drug action and </w:t>
      </w:r>
      <w:r w:rsidR="004553FF">
        <w:t>emotional recall (</w:t>
      </w:r>
      <w:r w:rsidR="00225284">
        <w:t>Harmer, Shelley, Cowen, &amp; Goodwin, 2004</w:t>
      </w:r>
      <w:r w:rsidR="00CB4555">
        <w:t xml:space="preserve">; </w:t>
      </w:r>
      <w:r w:rsidR="00AD2633">
        <w:t xml:space="preserve">Harmer et al., 2009; </w:t>
      </w:r>
      <w:r w:rsidR="003517ED" w:rsidRPr="00964323">
        <w:t xml:space="preserve">Arnone, </w:t>
      </w:r>
      <w:proofErr w:type="spellStart"/>
      <w:r w:rsidR="003517ED" w:rsidRPr="00964323">
        <w:t>Horder</w:t>
      </w:r>
      <w:proofErr w:type="spellEnd"/>
      <w:r w:rsidR="003517ED" w:rsidRPr="00964323">
        <w:t>, Cowen,</w:t>
      </w:r>
      <w:r w:rsidR="003517ED">
        <w:t xml:space="preserve"> &amp; </w:t>
      </w:r>
      <w:r w:rsidR="003517ED" w:rsidRPr="00964323">
        <w:t>Harmer</w:t>
      </w:r>
      <w:r w:rsidR="003517ED">
        <w:t xml:space="preserve">, </w:t>
      </w:r>
      <w:r w:rsidR="00CB4555">
        <w:t>2009</w:t>
      </w:r>
      <w:r w:rsidR="004553FF">
        <w:t>)</w:t>
      </w:r>
      <w:r w:rsidR="00667D34">
        <w:t>,</w:t>
      </w:r>
      <w:r w:rsidR="008E5C96">
        <w:t xml:space="preserve"> and they do not support the hypothesis that altered emotional processing</w:t>
      </w:r>
      <w:r w:rsidR="006D4663">
        <w:t>, as assessed by emotional recall,</w:t>
      </w:r>
      <w:r w:rsidR="009A590A">
        <w:t xml:space="preserve"> </w:t>
      </w:r>
      <w:r w:rsidR="00960294">
        <w:t xml:space="preserve">is </w:t>
      </w:r>
      <w:r w:rsidR="009A590A">
        <w:t>a marker of relapse</w:t>
      </w:r>
      <w:r w:rsidR="00BD2D52">
        <w:t xml:space="preserve"> risk</w:t>
      </w:r>
      <w:r w:rsidR="004553FF">
        <w:t xml:space="preserve"> (</w:t>
      </w:r>
      <w:proofErr w:type="spellStart"/>
      <w:r w:rsidR="00225284" w:rsidRPr="008B3ABA">
        <w:t>Bouhuys</w:t>
      </w:r>
      <w:proofErr w:type="spellEnd"/>
      <w:r w:rsidR="00225284">
        <w:t>,</w:t>
      </w:r>
      <w:r w:rsidR="00225284" w:rsidRPr="008B3ABA">
        <w:t xml:space="preserve"> </w:t>
      </w:r>
      <w:proofErr w:type="spellStart"/>
      <w:r w:rsidR="00225284" w:rsidRPr="008B3ABA">
        <w:t>Geerts</w:t>
      </w:r>
      <w:proofErr w:type="spellEnd"/>
      <w:r w:rsidR="00225284">
        <w:t>, &amp;</w:t>
      </w:r>
      <w:r w:rsidR="00225284" w:rsidRPr="008B3ABA">
        <w:t xml:space="preserve"> </w:t>
      </w:r>
      <w:proofErr w:type="spellStart"/>
      <w:r w:rsidR="00225284" w:rsidRPr="008B3ABA">
        <w:t>Gordijn</w:t>
      </w:r>
      <w:proofErr w:type="spellEnd"/>
      <w:r w:rsidR="00225284">
        <w:t>,</w:t>
      </w:r>
      <w:r w:rsidR="00225284" w:rsidRPr="008B3ABA">
        <w:t xml:space="preserve"> </w:t>
      </w:r>
      <w:r w:rsidR="00225284" w:rsidRPr="00AC0825">
        <w:t>1999</w:t>
      </w:r>
      <w:r w:rsidR="004553FF">
        <w:t>)</w:t>
      </w:r>
      <w:r w:rsidR="009A590A">
        <w:t xml:space="preserve">. </w:t>
      </w:r>
      <w:r w:rsidR="00EF52F9">
        <w:t xml:space="preserve">These studies </w:t>
      </w:r>
      <w:r w:rsidR="004D269E">
        <w:t>we</w:t>
      </w:r>
      <w:r w:rsidR="0092385B">
        <w:t>re</w:t>
      </w:r>
      <w:r w:rsidR="000D55A8">
        <w:t xml:space="preserve"> based</w:t>
      </w:r>
      <w:r w:rsidR="00B928E9">
        <w:t xml:space="preserve"> </w:t>
      </w:r>
      <w:r w:rsidR="000D55A8">
        <w:t xml:space="preserve">on </w:t>
      </w:r>
      <w:r w:rsidR="00B928E9">
        <w:t>small samples</w:t>
      </w:r>
      <w:r w:rsidR="00D33484">
        <w:t>,</w:t>
      </w:r>
      <w:r w:rsidR="00A47A4E">
        <w:t xml:space="preserve"> </w:t>
      </w:r>
      <w:r w:rsidR="00D33484">
        <w:t xml:space="preserve">often with healthy individuals </w:t>
      </w:r>
      <w:r w:rsidR="00A47A4E">
        <w:t xml:space="preserve">and </w:t>
      </w:r>
      <w:r w:rsidR="00297054">
        <w:t xml:space="preserve">mostly </w:t>
      </w:r>
      <w:r w:rsidR="00A47A4E" w:rsidRPr="004C19A9">
        <w:t>acute or short-term interventions</w:t>
      </w:r>
      <w:r w:rsidR="00B928E9">
        <w:t>,</w:t>
      </w:r>
      <w:r w:rsidR="00A0305F">
        <w:t xml:space="preserve"> which may </w:t>
      </w:r>
      <w:r w:rsidR="00B611CB">
        <w:t xml:space="preserve">have </w:t>
      </w:r>
      <w:r w:rsidR="00A0305F">
        <w:t>limit</w:t>
      </w:r>
      <w:r w:rsidR="00B611CB">
        <w:t>ed</w:t>
      </w:r>
      <w:r w:rsidR="00A0305F">
        <w:t xml:space="preserve"> </w:t>
      </w:r>
      <w:r w:rsidR="00DD12FA">
        <w:t xml:space="preserve">their </w:t>
      </w:r>
      <w:r w:rsidR="00A0305F">
        <w:t xml:space="preserve">statistical power and </w:t>
      </w:r>
      <w:r w:rsidR="00A47A4E">
        <w:t>generalisability</w:t>
      </w:r>
      <w:r w:rsidR="00476940">
        <w:t xml:space="preserve"> to primary care patients</w:t>
      </w:r>
      <w:r w:rsidR="00A0305F">
        <w:t xml:space="preserve">. </w:t>
      </w:r>
    </w:p>
    <w:p w14:paraId="54A751AB" w14:textId="3A204453" w:rsidR="00285DDD" w:rsidRDefault="00B34FB0" w:rsidP="00EC0251">
      <w:pPr>
        <w:spacing w:line="276" w:lineRule="auto"/>
        <w:jc w:val="both"/>
      </w:pPr>
      <w:r>
        <w:t xml:space="preserve">Previous studies have not consistently supported the </w:t>
      </w:r>
      <w:r w:rsidR="00352487">
        <w:t xml:space="preserve">notion </w:t>
      </w:r>
      <w:r w:rsidR="00C578E0">
        <w:t>of</w:t>
      </w:r>
      <w:r w:rsidR="002D312B">
        <w:t xml:space="preserve"> self-referential</w:t>
      </w:r>
      <w:r w:rsidR="00C578E0">
        <w:t xml:space="preserve"> recall as a marker</w:t>
      </w:r>
      <w:r>
        <w:t xml:space="preserve"> of antidepressant action (</w:t>
      </w:r>
      <w:proofErr w:type="spellStart"/>
      <w:r w:rsidRPr="00CA2650">
        <w:t>Komulainen</w:t>
      </w:r>
      <w:proofErr w:type="spellEnd"/>
      <w:r w:rsidRPr="00CA2650">
        <w:t xml:space="preserve"> et al., 2018; Walsh et al., 2018</w:t>
      </w:r>
      <w:r>
        <w:t xml:space="preserve">). </w:t>
      </w:r>
      <w:r w:rsidR="001449A3">
        <w:t>More recently</w:t>
      </w:r>
      <w:r w:rsidR="001C721A">
        <w:t>, a</w:t>
      </w:r>
      <w:r w:rsidR="00CB4555" w:rsidRPr="001F0D50">
        <w:t xml:space="preserve"> </w:t>
      </w:r>
      <w:r w:rsidR="008A5EAC" w:rsidRPr="00B8015E">
        <w:t xml:space="preserve">large </w:t>
      </w:r>
      <w:r w:rsidR="008A5EAC" w:rsidRPr="001F0D50">
        <w:t>placebo-controlled trial of primary-care patients with depressive symptoms found no evidence that the SSRI sertraline altered positive or negative recall early in treatment</w:t>
      </w:r>
      <w:r w:rsidR="00322A74" w:rsidRPr="001F0D50">
        <w:t xml:space="preserve"> (Ahmed et al., 2021)</w:t>
      </w:r>
      <w:r w:rsidR="00322A74" w:rsidRPr="000E32EE">
        <w:t>. T</w:t>
      </w:r>
      <w:r w:rsidR="00E57204">
        <w:t>ogether</w:t>
      </w:r>
      <w:r w:rsidR="00850DB0">
        <w:t xml:space="preserve"> with the present study</w:t>
      </w:r>
      <w:r w:rsidR="00E57204">
        <w:t xml:space="preserve">, these findings </w:t>
      </w:r>
      <w:r w:rsidR="008A5EAC" w:rsidRPr="000E32EE">
        <w:t>challeng</w:t>
      </w:r>
      <w:r w:rsidR="00322A74" w:rsidRPr="000E32EE">
        <w:t>e</w:t>
      </w:r>
      <w:r w:rsidR="008A5EAC" w:rsidRPr="000E32EE">
        <w:t xml:space="preserve"> </w:t>
      </w:r>
      <w:r w:rsidR="0052440B">
        <w:t xml:space="preserve">the neuropsychological </w:t>
      </w:r>
      <w:r w:rsidR="00943457">
        <w:t>model</w:t>
      </w:r>
      <w:r w:rsidR="000E1EDA">
        <w:t xml:space="preserve"> of antidepressant action</w:t>
      </w:r>
      <w:r w:rsidR="00A06F90">
        <w:t>,</w:t>
      </w:r>
      <w:r w:rsidR="00327F08">
        <w:t xml:space="preserve"> at least in relation to recall of positive and negative words</w:t>
      </w:r>
      <w:r w:rsidR="003A66C3">
        <w:t>;</w:t>
      </w:r>
      <w:r w:rsidR="00CB4555" w:rsidRPr="00B8015E">
        <w:t xml:space="preserve"> </w:t>
      </w:r>
      <w:r w:rsidR="003A66C3">
        <w:t>i</w:t>
      </w:r>
      <w:r w:rsidR="00164711">
        <w:t>t is possible that tasks assessing other emotional and cognitive processes would be more sensitive to the influence of antidepressants.</w:t>
      </w:r>
      <w:r w:rsidR="003A66C3">
        <w:t xml:space="preserve"> </w:t>
      </w:r>
      <w:r w:rsidR="005A7279" w:rsidRPr="00563CC6">
        <w:rPr>
          <w:rFonts w:eastAsia="Times New Roman"/>
          <w:color w:val="0070C0"/>
          <w:u w:val="single"/>
        </w:rPr>
        <w:t>They also highlight the importance of conducting large, high-quality trials that can generalise to primary-care patients</w:t>
      </w:r>
      <w:r w:rsidR="005A7279">
        <w:rPr>
          <w:rFonts w:eastAsia="Times New Roman"/>
          <w:color w:val="0070C0"/>
          <w:u w:val="single"/>
        </w:rPr>
        <w:t>, where most depression is treated,</w:t>
      </w:r>
      <w:r w:rsidR="005A7279" w:rsidRPr="00563CC6">
        <w:rPr>
          <w:rFonts w:eastAsia="Times New Roman"/>
          <w:color w:val="0070C0"/>
          <w:u w:val="single"/>
        </w:rPr>
        <w:t xml:space="preserve"> when investigating the effects of antidepressant treatment on emotional processing</w:t>
      </w:r>
      <w:r w:rsidR="005A7279" w:rsidRPr="00563CC6">
        <w:rPr>
          <w:rFonts w:eastAsia="Times New Roman"/>
          <w:color w:val="0070C0"/>
        </w:rPr>
        <w:t>.</w:t>
      </w:r>
    </w:p>
    <w:p w14:paraId="63982171" w14:textId="77777777" w:rsidR="0091282D" w:rsidRDefault="0091282D" w:rsidP="00EC0251">
      <w:pPr>
        <w:spacing w:line="276" w:lineRule="auto"/>
        <w:jc w:val="both"/>
      </w:pPr>
    </w:p>
    <w:p w14:paraId="5E47DBC4" w14:textId="77777777" w:rsidR="00CD0D75" w:rsidRPr="00163B1D" w:rsidRDefault="00CD0D75" w:rsidP="00EC0251">
      <w:pPr>
        <w:spacing w:line="276" w:lineRule="auto"/>
        <w:rPr>
          <w:b/>
          <w:bCs/>
        </w:rPr>
      </w:pPr>
      <w:r w:rsidRPr="00163B1D">
        <w:rPr>
          <w:b/>
          <w:bCs/>
        </w:rPr>
        <w:t>Strengths and limitations</w:t>
      </w:r>
    </w:p>
    <w:p w14:paraId="05C6E7BE" w14:textId="77777777" w:rsidR="00B8015E" w:rsidRDefault="00CD0D75" w:rsidP="00EC0251">
      <w:pPr>
        <w:spacing w:line="276" w:lineRule="auto"/>
        <w:jc w:val="both"/>
        <w:rPr>
          <w:color w:val="000000"/>
          <w:shd w:val="clear" w:color="auto" w:fill="FFFFFF"/>
        </w:rPr>
      </w:pPr>
      <w:r w:rsidRPr="00163B1D">
        <w:t>The ANTLER trial was the largest individual trial of long-term maintenance antidepressant treatment not funded by the pharmaceutical industry.</w:t>
      </w:r>
      <w:r w:rsidRPr="008B4009">
        <w:t xml:space="preserve"> </w:t>
      </w:r>
      <w:r>
        <w:rPr>
          <w:color w:val="000000"/>
          <w:shd w:val="clear" w:color="auto" w:fill="FFFFFF"/>
        </w:rPr>
        <w:t>While other studies have investigated antidepressant discontinuation following short-term treatment for an acute depressive episode, over 70% of ANTLER participants had been receiving medication for more than 3 years (Lewis et al., 202</w:t>
      </w:r>
      <w:r w:rsidR="00AC381D">
        <w:rPr>
          <w:color w:val="000000"/>
          <w:shd w:val="clear" w:color="auto" w:fill="FFFFFF"/>
        </w:rPr>
        <w:t>1</w:t>
      </w:r>
      <w:r>
        <w:rPr>
          <w:color w:val="000000"/>
          <w:shd w:val="clear" w:color="auto" w:fill="FFFFFF"/>
        </w:rPr>
        <w:t>). We expect our findings to be generalisable to</w:t>
      </w:r>
      <w:r w:rsidRPr="0031587A">
        <w:t xml:space="preserve"> </w:t>
      </w:r>
      <w:r w:rsidRPr="0031587A">
        <w:rPr>
          <w:color w:val="000000"/>
          <w:shd w:val="clear" w:color="auto" w:fill="FFFFFF"/>
        </w:rPr>
        <w:t xml:space="preserve">the population </w:t>
      </w:r>
      <w:r>
        <w:rPr>
          <w:color w:val="000000"/>
          <w:shd w:val="clear" w:color="auto" w:fill="FFFFFF"/>
        </w:rPr>
        <w:t>who currently</w:t>
      </w:r>
      <w:r w:rsidRPr="0031587A">
        <w:rPr>
          <w:color w:val="000000"/>
          <w:shd w:val="clear" w:color="auto" w:fill="FFFFFF"/>
        </w:rPr>
        <w:t xml:space="preserve"> receiv</w:t>
      </w:r>
      <w:r>
        <w:rPr>
          <w:color w:val="000000"/>
          <w:shd w:val="clear" w:color="auto" w:fill="FFFFFF"/>
        </w:rPr>
        <w:t>e</w:t>
      </w:r>
      <w:r w:rsidRPr="0031587A">
        <w:rPr>
          <w:color w:val="000000"/>
          <w:shd w:val="clear" w:color="auto" w:fill="FFFFFF"/>
        </w:rPr>
        <w:t xml:space="preserve"> </w:t>
      </w:r>
      <w:r w:rsidR="008F1C67">
        <w:rPr>
          <w:color w:val="000000"/>
          <w:shd w:val="clear" w:color="auto" w:fill="FFFFFF"/>
        </w:rPr>
        <w:t>maintenance</w:t>
      </w:r>
      <w:r>
        <w:rPr>
          <w:color w:val="000000"/>
          <w:shd w:val="clear" w:color="auto" w:fill="FFFFFF"/>
        </w:rPr>
        <w:t xml:space="preserve"> treatment</w:t>
      </w:r>
      <w:r w:rsidRPr="0031587A">
        <w:rPr>
          <w:color w:val="000000"/>
          <w:shd w:val="clear" w:color="auto" w:fill="FFFFFF"/>
        </w:rPr>
        <w:t xml:space="preserve"> within primary care</w:t>
      </w:r>
      <w:r>
        <w:rPr>
          <w:color w:val="000000"/>
          <w:shd w:val="clear" w:color="auto" w:fill="FFFFFF"/>
        </w:rPr>
        <w:t xml:space="preserve"> and are well enough to consider stopping</w:t>
      </w:r>
      <w:r w:rsidR="000045C3">
        <w:rPr>
          <w:color w:val="000000"/>
          <w:shd w:val="clear" w:color="auto" w:fill="FFFFFF"/>
        </w:rPr>
        <w:t xml:space="preserve">, although they may not translate </w:t>
      </w:r>
      <w:r w:rsidR="003469DA">
        <w:rPr>
          <w:color w:val="000000"/>
          <w:shd w:val="clear" w:color="auto" w:fill="FFFFFF"/>
        </w:rPr>
        <w:t>beyond long-term depression</w:t>
      </w:r>
      <w:r w:rsidR="00A637EA">
        <w:rPr>
          <w:color w:val="000000"/>
          <w:shd w:val="clear" w:color="auto" w:fill="FFFFFF"/>
        </w:rPr>
        <w:t xml:space="preserve"> samples</w:t>
      </w:r>
      <w:r w:rsidRPr="0031587A">
        <w:rPr>
          <w:color w:val="000000"/>
          <w:shd w:val="clear" w:color="auto" w:fill="FFFFFF"/>
        </w:rPr>
        <w:t>.</w:t>
      </w:r>
    </w:p>
    <w:p w14:paraId="3AB508F7" w14:textId="77777777" w:rsidR="00CD0D75" w:rsidRDefault="00CD0D75" w:rsidP="00EC0251">
      <w:pPr>
        <w:spacing w:line="276" w:lineRule="auto"/>
        <w:jc w:val="both"/>
        <w:rPr>
          <w:color w:val="000000"/>
          <w:shd w:val="clear" w:color="auto" w:fill="FFFFFF"/>
        </w:rPr>
      </w:pPr>
      <w:r w:rsidRPr="00DD4158">
        <w:t xml:space="preserve">All participants were primary care patients currently taking </w:t>
      </w:r>
      <w:r>
        <w:t>one of four of the most</w:t>
      </w:r>
      <w:r w:rsidRPr="00163B1D">
        <w:rPr>
          <w:color w:val="000000"/>
          <w:shd w:val="clear" w:color="auto" w:fill="FFFFFF"/>
        </w:rPr>
        <w:t xml:space="preserve"> commonly prescribed antidepressant</w:t>
      </w:r>
      <w:r>
        <w:rPr>
          <w:color w:val="000000"/>
          <w:shd w:val="clear" w:color="auto" w:fill="FFFFFF"/>
        </w:rPr>
        <w:t>s for first-line treatment</w:t>
      </w:r>
      <w:r w:rsidRPr="00163B1D">
        <w:rPr>
          <w:color w:val="000000"/>
          <w:shd w:val="clear" w:color="auto" w:fill="FFFFFF"/>
        </w:rPr>
        <w:t>.</w:t>
      </w:r>
      <w:r>
        <w:rPr>
          <w:color w:val="000000"/>
          <w:shd w:val="clear" w:color="auto" w:fill="FFFFFF"/>
        </w:rPr>
        <w:t xml:space="preserve"> </w:t>
      </w:r>
      <w:r w:rsidRPr="00FF5679">
        <w:rPr>
          <w:color w:val="000000"/>
          <w:shd w:val="clear" w:color="auto" w:fill="FFFFFF"/>
        </w:rPr>
        <w:t>The medications</w:t>
      </w:r>
      <w:r>
        <w:rPr>
          <w:color w:val="000000"/>
          <w:shd w:val="clear" w:color="auto" w:fill="FFFFFF"/>
        </w:rPr>
        <w:t xml:space="preserve"> investigated </w:t>
      </w:r>
      <w:r w:rsidRPr="00FF5679">
        <w:rPr>
          <w:color w:val="000000"/>
          <w:shd w:val="clear" w:color="auto" w:fill="FFFFFF"/>
        </w:rPr>
        <w:t>comprise 75% of all long-term antidepressant prescriptions in England</w:t>
      </w:r>
      <w:r>
        <w:rPr>
          <w:color w:val="000000"/>
          <w:shd w:val="clear" w:color="auto" w:fill="FFFFFF"/>
        </w:rPr>
        <w:t xml:space="preserve"> (Duffy et al., 2019)</w:t>
      </w:r>
      <w:r w:rsidRPr="00FF5679">
        <w:rPr>
          <w:color w:val="000000"/>
          <w:shd w:val="clear" w:color="auto" w:fill="FFFFFF"/>
        </w:rPr>
        <w:t>.</w:t>
      </w:r>
      <w:r>
        <w:rPr>
          <w:color w:val="000000"/>
          <w:shd w:val="clear" w:color="auto" w:fill="FFFFFF"/>
        </w:rPr>
        <w:t xml:space="preserve"> Given that changes in </w:t>
      </w:r>
      <w:r w:rsidRPr="00121EA9">
        <w:rPr>
          <w:color w:val="000000"/>
          <w:shd w:val="clear" w:color="auto" w:fill="FFFFFF"/>
        </w:rPr>
        <w:t xml:space="preserve">emotional processing </w:t>
      </w:r>
      <w:r>
        <w:rPr>
          <w:color w:val="000000"/>
          <w:shd w:val="clear" w:color="auto" w:fill="FFFFFF"/>
        </w:rPr>
        <w:t>are thought to be</w:t>
      </w:r>
      <w:r w:rsidRPr="00121EA9">
        <w:rPr>
          <w:color w:val="000000"/>
          <w:shd w:val="clear" w:color="auto" w:fill="FFFFFF"/>
        </w:rPr>
        <w:t xml:space="preserve"> a common mechanism of action </w:t>
      </w:r>
      <w:r>
        <w:rPr>
          <w:color w:val="000000"/>
          <w:shd w:val="clear" w:color="auto" w:fill="FFFFFF"/>
        </w:rPr>
        <w:t xml:space="preserve">of </w:t>
      </w:r>
      <w:r w:rsidRPr="00121EA9">
        <w:rPr>
          <w:color w:val="000000"/>
          <w:shd w:val="clear" w:color="auto" w:fill="FFFFFF"/>
        </w:rPr>
        <w:t>a</w:t>
      </w:r>
      <w:r>
        <w:rPr>
          <w:color w:val="000000"/>
          <w:shd w:val="clear" w:color="auto" w:fill="FFFFFF"/>
        </w:rPr>
        <w:t>ll a</w:t>
      </w:r>
      <w:r w:rsidRPr="00121EA9">
        <w:rPr>
          <w:color w:val="000000"/>
          <w:shd w:val="clear" w:color="auto" w:fill="FFFFFF"/>
        </w:rPr>
        <w:t>ntidepressant</w:t>
      </w:r>
      <w:r>
        <w:rPr>
          <w:color w:val="000000"/>
          <w:shd w:val="clear" w:color="auto" w:fill="FFFFFF"/>
        </w:rPr>
        <w:t xml:space="preserve"> agents, our findings should </w:t>
      </w:r>
      <w:r w:rsidR="002E6598">
        <w:rPr>
          <w:color w:val="000000"/>
          <w:shd w:val="clear" w:color="auto" w:fill="FFFFFF"/>
        </w:rPr>
        <w:t>apply</w:t>
      </w:r>
      <w:r w:rsidRPr="00725C02">
        <w:rPr>
          <w:color w:val="000000"/>
          <w:shd w:val="clear" w:color="auto" w:fill="FFFFFF"/>
        </w:rPr>
        <w:t xml:space="preserve"> to </w:t>
      </w:r>
      <w:r>
        <w:rPr>
          <w:color w:val="000000"/>
          <w:shd w:val="clear" w:color="auto" w:fill="FFFFFF"/>
        </w:rPr>
        <w:t>other</w:t>
      </w:r>
      <w:r w:rsidRPr="00725C02">
        <w:rPr>
          <w:color w:val="000000"/>
          <w:shd w:val="clear" w:color="auto" w:fill="FFFFFF"/>
        </w:rPr>
        <w:t xml:space="preserve"> classes of antidepressants</w:t>
      </w:r>
      <w:r w:rsidR="00D378A4">
        <w:rPr>
          <w:color w:val="000000"/>
          <w:shd w:val="clear" w:color="auto" w:fill="FFFFFF"/>
        </w:rPr>
        <w:t xml:space="preserve"> (</w:t>
      </w:r>
      <w:r w:rsidR="0063586D" w:rsidRPr="00EB017F">
        <w:t xml:space="preserve">Harmer, </w:t>
      </w:r>
      <w:proofErr w:type="spellStart"/>
      <w:r w:rsidR="0063586D" w:rsidRPr="00EB017F">
        <w:t>Duman</w:t>
      </w:r>
      <w:proofErr w:type="spellEnd"/>
      <w:r w:rsidR="0063586D" w:rsidRPr="00EB017F">
        <w:t xml:space="preserve">, </w:t>
      </w:r>
      <w:r w:rsidR="0063586D">
        <w:t xml:space="preserve">&amp; </w:t>
      </w:r>
      <w:r w:rsidR="0063586D" w:rsidRPr="00EB017F">
        <w:t xml:space="preserve">Cowen, </w:t>
      </w:r>
      <w:r w:rsidR="00D378A4">
        <w:rPr>
          <w:color w:val="000000"/>
          <w:shd w:val="clear" w:color="auto" w:fill="FFFFFF"/>
        </w:rPr>
        <w:t>2017)</w:t>
      </w:r>
      <w:r>
        <w:rPr>
          <w:color w:val="000000"/>
          <w:shd w:val="clear" w:color="auto" w:fill="FFFFFF"/>
        </w:rPr>
        <w:t>.</w:t>
      </w:r>
    </w:p>
    <w:p w14:paraId="4E25B443" w14:textId="77777777" w:rsidR="004F36EE" w:rsidRPr="00A06F90" w:rsidRDefault="00D962BA" w:rsidP="00EC0251">
      <w:pPr>
        <w:spacing w:line="276" w:lineRule="auto"/>
        <w:jc w:val="both"/>
      </w:pPr>
      <w:r>
        <w:lastRenderedPageBreak/>
        <w:t>Our study sample was large</w:t>
      </w:r>
      <w:r w:rsidR="004E52CF">
        <w:t>,</w:t>
      </w:r>
      <w:r>
        <w:t xml:space="preserve"> </w:t>
      </w:r>
      <w:r w:rsidR="00D1717F">
        <w:t xml:space="preserve">pragmatic, </w:t>
      </w:r>
      <w:r>
        <w:t>and participants were randomised</w:t>
      </w:r>
      <w:r w:rsidR="004F36EE">
        <w:t xml:space="preserve">, reducing the risk of </w:t>
      </w:r>
      <w:r w:rsidR="004E52CF">
        <w:t xml:space="preserve">Type II (false negative) errors and </w:t>
      </w:r>
      <w:r w:rsidR="004F36EE">
        <w:t xml:space="preserve">confounding. However, </w:t>
      </w:r>
      <w:r w:rsidR="00D1717F">
        <w:t xml:space="preserve">this </w:t>
      </w:r>
      <w:r w:rsidR="004F36EE">
        <w:t>may have introduced larger measurement errors, potentially making it more difficult to detect small changes in emotional processing compared with experimental research settings. Given that randomisation was not taken into account when investigating the association between recall and risk of relapse, residual confounding cannot be excluded from this part of the analysis.</w:t>
      </w:r>
    </w:p>
    <w:p w14:paraId="17814197" w14:textId="2FBF688D" w:rsidR="00775B51" w:rsidRDefault="00D378A4" w:rsidP="00EC0251">
      <w:pPr>
        <w:spacing w:line="276" w:lineRule="auto"/>
        <w:jc w:val="both"/>
      </w:pPr>
      <w:r>
        <w:t>Participants performed t</w:t>
      </w:r>
      <w:r w:rsidR="00CD0D75" w:rsidRPr="008B4009">
        <w:t>he</w:t>
      </w:r>
      <w:r>
        <w:t xml:space="preserve"> word</w:t>
      </w:r>
      <w:r w:rsidR="00CD0D75" w:rsidRPr="008B4009">
        <w:t xml:space="preserve"> recall task </w:t>
      </w:r>
      <w:r w:rsidR="00CD0D75" w:rsidRPr="00AB5D2B">
        <w:t>three times</w:t>
      </w:r>
      <w:r w:rsidR="00CD0D75">
        <w:t xml:space="preserve"> over the course of the trial</w:t>
      </w:r>
      <w:r w:rsidR="00CD0D75" w:rsidRPr="008B4009">
        <w:t xml:space="preserve">. Although a different set of words was presented at each time point, participants would have expected the free recall test at 12 and 52 weeks, so </w:t>
      </w:r>
      <w:r w:rsidR="00CD0D75">
        <w:t>the recall element of the task</w:t>
      </w:r>
      <w:r w:rsidR="00CD0D75" w:rsidRPr="008B4009">
        <w:t xml:space="preserve"> was only a surprise at baseline</w:t>
      </w:r>
      <w:r w:rsidR="00CD0D75">
        <w:t>. Nevertheless, consistent with previous findings, we did not observe an improvement in recall over time</w:t>
      </w:r>
      <w:r>
        <w:t xml:space="preserve">, suggesting that awareness of the recall test is insufficient to alter emotional memory </w:t>
      </w:r>
      <w:r w:rsidR="00CD0D75" w:rsidRPr="008B4009">
        <w:t>(</w:t>
      </w:r>
      <w:r w:rsidR="00CD0D75">
        <w:t>Lewis et al., 2017; Ahmed et al., 2021</w:t>
      </w:r>
      <w:r w:rsidR="00CD0D75" w:rsidRPr="008B4009">
        <w:t>).</w:t>
      </w:r>
    </w:p>
    <w:p w14:paraId="14BDC89E" w14:textId="77777777" w:rsidR="007E61D4" w:rsidRDefault="00CD0D75" w:rsidP="00EC0251">
      <w:pPr>
        <w:spacing w:line="276" w:lineRule="auto"/>
        <w:jc w:val="both"/>
      </w:pPr>
      <w:r>
        <w:t xml:space="preserve">The task was only administered at baseline and 12 and 52 weeks after randomisation. </w:t>
      </w:r>
      <w:r w:rsidR="0073768F">
        <w:t>At baseline, i</w:t>
      </w:r>
      <w:r w:rsidR="00372A12">
        <w:t>t is likely that e</w:t>
      </w:r>
      <w:r w:rsidR="0059256D">
        <w:t xml:space="preserve">motional processing </w:t>
      </w:r>
      <w:r w:rsidR="00F87773">
        <w:t xml:space="preserve">biases </w:t>
      </w:r>
      <w:r w:rsidR="0059256D">
        <w:t xml:space="preserve">may </w:t>
      </w:r>
      <w:r w:rsidR="00403691">
        <w:t xml:space="preserve">have been </w:t>
      </w:r>
      <w:r w:rsidR="0073768F">
        <w:t>masked by</w:t>
      </w:r>
      <w:r w:rsidR="00BA7C00">
        <w:t xml:space="preserve"> </w:t>
      </w:r>
      <w:r w:rsidR="00DB0CB1">
        <w:t xml:space="preserve">antidepressant treatment. </w:t>
      </w:r>
      <w:r w:rsidR="00440CF2">
        <w:rPr>
          <w:bCs/>
        </w:rPr>
        <w:t xml:space="preserve">Due to tapering, participants in the discontinuation group had been medication-free for four weeks by </w:t>
      </w:r>
      <w:r w:rsidR="000A7362">
        <w:rPr>
          <w:bCs/>
        </w:rPr>
        <w:t xml:space="preserve">the first follow-up. </w:t>
      </w:r>
      <w:r>
        <w:t>Antidepressants are thought to alter emotional processing very early in treatment, so changes in emotional processing might have occurred before the 12</w:t>
      </w:r>
      <w:r w:rsidR="00B8015E">
        <w:t>-</w:t>
      </w:r>
      <w:r>
        <w:t>week follow-up.</w:t>
      </w:r>
      <w:r w:rsidR="007C3849">
        <w:t xml:space="preserve"> This may</w:t>
      </w:r>
      <w:r w:rsidR="00BC0575">
        <w:t xml:space="preserve"> have limited </w:t>
      </w:r>
      <w:r w:rsidR="00CE1189">
        <w:t>our ability to predict relapse.</w:t>
      </w:r>
      <w:r>
        <w:t xml:space="preserve"> However, it is unclear why group differences in self-referential recall would </w:t>
      </w:r>
      <w:r w:rsidR="00512B13">
        <w:t>no longer be present</w:t>
      </w:r>
      <w:r>
        <w:t xml:space="preserve"> by week 12, especially considering that</w:t>
      </w:r>
      <w:r>
        <w:rPr>
          <w:bCs/>
        </w:rPr>
        <w:t xml:space="preserve"> differences in depressive symptoms were highest at this time</w:t>
      </w:r>
      <w:r w:rsidR="00B662B6">
        <w:rPr>
          <w:bCs/>
        </w:rPr>
        <w:t xml:space="preserve"> and that these findings were unaltered after adjusting for adherence to study medication</w:t>
      </w:r>
      <w:r>
        <w:rPr>
          <w:bCs/>
        </w:rPr>
        <w:t xml:space="preserve"> (Lewis et al., 202</w:t>
      </w:r>
      <w:r w:rsidR="00AC381D">
        <w:rPr>
          <w:bCs/>
        </w:rPr>
        <w:t>1</w:t>
      </w:r>
      <w:r>
        <w:rPr>
          <w:bCs/>
        </w:rPr>
        <w:t>)</w:t>
      </w:r>
      <w:r>
        <w:t>.</w:t>
      </w:r>
    </w:p>
    <w:p w14:paraId="4FC602A8" w14:textId="77777777" w:rsidR="00CD0D75" w:rsidRDefault="00CD0D75" w:rsidP="00EC0251">
      <w:pPr>
        <w:spacing w:line="276" w:lineRule="auto"/>
        <w:jc w:val="both"/>
      </w:pPr>
    </w:p>
    <w:p w14:paraId="7A60B5C7" w14:textId="77777777" w:rsidR="00CD0D75" w:rsidRPr="002E4E34" w:rsidRDefault="00CD0D75" w:rsidP="00EC0251">
      <w:pPr>
        <w:spacing w:line="276" w:lineRule="auto"/>
        <w:jc w:val="both"/>
        <w:rPr>
          <w:b/>
          <w:bCs/>
        </w:rPr>
      </w:pPr>
      <w:r>
        <w:rPr>
          <w:b/>
          <w:bCs/>
        </w:rPr>
        <w:t>Conclusion</w:t>
      </w:r>
    </w:p>
    <w:p w14:paraId="547399C3" w14:textId="4CC82A7A" w:rsidR="00547E3D" w:rsidRPr="00B6621E" w:rsidRDefault="007F35CA" w:rsidP="00B6621E">
      <w:pPr>
        <w:spacing w:line="276" w:lineRule="auto"/>
        <w:jc w:val="both"/>
      </w:pPr>
      <w:r>
        <w:t xml:space="preserve">Despite the </w:t>
      </w:r>
      <w:r w:rsidR="00307418">
        <w:t xml:space="preserve">substantial </w:t>
      </w:r>
      <w:r w:rsidR="00974EDD">
        <w:t xml:space="preserve">body of </w:t>
      </w:r>
      <w:r w:rsidR="00307418">
        <w:t>research</w:t>
      </w:r>
      <w:r w:rsidR="00635474">
        <w:t xml:space="preserve"> </w:t>
      </w:r>
      <w:r w:rsidR="00C71A1D">
        <w:t xml:space="preserve">demonstrating associations between </w:t>
      </w:r>
      <w:r w:rsidR="00635474">
        <w:t xml:space="preserve">emotional memory </w:t>
      </w:r>
      <w:r w:rsidR="00C71A1D">
        <w:t xml:space="preserve">and </w:t>
      </w:r>
      <w:r w:rsidR="00635474">
        <w:t xml:space="preserve">antidepressant </w:t>
      </w:r>
      <w:r w:rsidR="005A5098">
        <w:t>agents</w:t>
      </w:r>
      <w:r w:rsidR="00635474">
        <w:t>,</w:t>
      </w:r>
      <w:r>
        <w:t xml:space="preserve"> </w:t>
      </w:r>
      <w:r w:rsidR="00202D75">
        <w:t xml:space="preserve">we did not find </w:t>
      </w:r>
      <w:r w:rsidR="00202D75" w:rsidRPr="00643507">
        <w:t xml:space="preserve">evidence </w:t>
      </w:r>
      <w:r w:rsidR="00202D75" w:rsidRPr="008B4009">
        <w:t>that</w:t>
      </w:r>
      <w:r w:rsidR="00202D75" w:rsidRPr="00986BB1">
        <w:t xml:space="preserve"> </w:t>
      </w:r>
      <w:r w:rsidR="00202D75" w:rsidRPr="00643507">
        <w:t xml:space="preserve">discontinuing long-term maintenance antidepressant treatment </w:t>
      </w:r>
      <w:r w:rsidR="00202D75" w:rsidRPr="008B4009">
        <w:t>affected</w:t>
      </w:r>
      <w:r w:rsidR="00202D75" w:rsidRPr="00986BB1">
        <w:t xml:space="preserve"> </w:t>
      </w:r>
      <w:r w:rsidR="00202D75" w:rsidRPr="00643507">
        <w:t>self-referential recall</w:t>
      </w:r>
      <w:r w:rsidR="00202D75">
        <w:t xml:space="preserve"> or </w:t>
      </w:r>
      <w:r w:rsidR="00202D75" w:rsidRPr="00643507">
        <w:t xml:space="preserve">that self-referential recall </w:t>
      </w:r>
      <w:r w:rsidR="00202D75" w:rsidRPr="008B4009">
        <w:t>was</w:t>
      </w:r>
      <w:r w:rsidR="00202D75" w:rsidRPr="00986BB1">
        <w:t xml:space="preserve"> associated with risk of relapse</w:t>
      </w:r>
      <w:r w:rsidR="00202D75">
        <w:t>. T</w:t>
      </w:r>
      <w:r w:rsidR="00EA29B1">
        <w:t xml:space="preserve">he effects of antidepressant discontinuation on </w:t>
      </w:r>
      <w:r w:rsidR="00202D75">
        <w:t xml:space="preserve">other forms of </w:t>
      </w:r>
      <w:r w:rsidR="00EA29B1">
        <w:t>emotional processing have not been comprehensively addressed.</w:t>
      </w:r>
      <w:r w:rsidR="00B46A91">
        <w:t xml:space="preserve"> </w:t>
      </w:r>
      <w:r w:rsidR="00547E3D">
        <w:rPr>
          <w:b/>
          <w:bCs/>
        </w:rPr>
        <w:br w:type="page"/>
      </w:r>
    </w:p>
    <w:p w14:paraId="71DEAECB" w14:textId="77777777" w:rsidR="00D061D1" w:rsidRDefault="00D061D1" w:rsidP="00B6621E">
      <w:pPr>
        <w:suppressLineNumbers/>
        <w:spacing w:line="276" w:lineRule="auto"/>
        <w:rPr>
          <w:b/>
          <w:bCs/>
        </w:rPr>
      </w:pPr>
      <w:r>
        <w:rPr>
          <w:b/>
          <w:bCs/>
        </w:rPr>
        <w:lastRenderedPageBreak/>
        <w:t>ACKNOWLEDGEMENTS</w:t>
      </w:r>
    </w:p>
    <w:p w14:paraId="06E4A39A" w14:textId="77777777" w:rsidR="007E5D74" w:rsidRDefault="00D061D1" w:rsidP="00B6621E">
      <w:pPr>
        <w:suppressLineNumbers/>
        <w:spacing w:line="276" w:lineRule="auto"/>
        <w:jc w:val="both"/>
      </w:pPr>
      <w:r>
        <w:t xml:space="preserve">We would like to thank all the participants who volunteered to take part in this study, as well as the research team and co-applicants on the ANTLER programme. </w:t>
      </w:r>
    </w:p>
    <w:p w14:paraId="0C64F62F" w14:textId="77777777" w:rsidR="007E5D74" w:rsidRDefault="007E5D74" w:rsidP="00B6621E">
      <w:pPr>
        <w:suppressLineNumbers/>
        <w:spacing w:line="276" w:lineRule="auto"/>
        <w:jc w:val="both"/>
      </w:pPr>
    </w:p>
    <w:p w14:paraId="18451523" w14:textId="77777777" w:rsidR="007E5D74" w:rsidRPr="00A06F90" w:rsidRDefault="007E5D74" w:rsidP="00B6621E">
      <w:pPr>
        <w:suppressLineNumbers/>
        <w:spacing w:line="276" w:lineRule="auto"/>
        <w:jc w:val="both"/>
        <w:rPr>
          <w:b/>
          <w:bCs/>
        </w:rPr>
      </w:pPr>
      <w:r>
        <w:rPr>
          <w:b/>
          <w:bCs/>
        </w:rPr>
        <w:t>FINANCIAL SUPPORT</w:t>
      </w:r>
    </w:p>
    <w:p w14:paraId="53C50AE0" w14:textId="77777777" w:rsidR="00562DA9" w:rsidRPr="002C7C86" w:rsidRDefault="00562DA9" w:rsidP="00562DA9">
      <w:pPr>
        <w:suppressLineNumbers/>
        <w:spacing w:line="276" w:lineRule="auto"/>
        <w:jc w:val="both"/>
      </w:pPr>
      <w:r>
        <w:t>This work was supported</w:t>
      </w:r>
      <w:r w:rsidRPr="00605153">
        <w:t xml:space="preserve"> by the </w:t>
      </w:r>
      <w:r>
        <w:t>National Institute for Health Research (</w:t>
      </w:r>
      <w:r w:rsidRPr="00605153">
        <w:t>HTA Programme 13/115/48</w:t>
      </w:r>
      <w:r>
        <w:t xml:space="preserve">), the Medical Research Council (JRS, Grant No. </w:t>
      </w:r>
      <w:r w:rsidRPr="00B65423">
        <w:t>MR/N013867/1</w:t>
      </w:r>
      <w:r>
        <w:t xml:space="preserve">) and </w:t>
      </w:r>
      <w:r w:rsidRPr="00470626">
        <w:t>the NIHR Biomedical Research Centre at University Hospitals Bristol and Weston NHS Foundation Trust and the University of Bristol</w:t>
      </w:r>
      <w:r>
        <w:t xml:space="preserve"> (NW). </w:t>
      </w:r>
      <w:r w:rsidRPr="00605153">
        <w:t>The views expressed are those of the author</w:t>
      </w:r>
      <w:r>
        <w:t>s</w:t>
      </w:r>
      <w:r w:rsidRPr="00605153">
        <w:t xml:space="preserve"> and not necessarily those of</w:t>
      </w:r>
      <w:r>
        <w:t xml:space="preserve"> the </w:t>
      </w:r>
      <w:r w:rsidRPr="00605153">
        <w:t>NHS, the NIHR or the Department of Health and Social Care.</w:t>
      </w:r>
      <w:r>
        <w:t xml:space="preserve"> </w:t>
      </w:r>
    </w:p>
    <w:p w14:paraId="53241D68" w14:textId="77777777" w:rsidR="00A80BE0" w:rsidRDefault="00A80BE0" w:rsidP="00B6621E">
      <w:pPr>
        <w:suppressLineNumbers/>
        <w:spacing w:line="276" w:lineRule="auto"/>
        <w:jc w:val="both"/>
      </w:pPr>
    </w:p>
    <w:p w14:paraId="2B88EE48" w14:textId="77777777" w:rsidR="00A80BE0" w:rsidRDefault="00A80BE0" w:rsidP="00B6621E">
      <w:pPr>
        <w:suppressLineNumbers/>
        <w:spacing w:line="276" w:lineRule="auto"/>
        <w:jc w:val="both"/>
        <w:rPr>
          <w:b/>
          <w:bCs/>
        </w:rPr>
      </w:pPr>
      <w:r>
        <w:rPr>
          <w:b/>
          <w:bCs/>
        </w:rPr>
        <w:t>CONFLICTS OF INTEREST</w:t>
      </w:r>
    </w:p>
    <w:p w14:paraId="3F2A0F48" w14:textId="77777777" w:rsidR="00905D65" w:rsidRPr="00EA06FE" w:rsidRDefault="00EA06FE" w:rsidP="00B6621E">
      <w:pPr>
        <w:suppressLineNumbers/>
        <w:spacing w:line="276" w:lineRule="auto"/>
        <w:jc w:val="both"/>
      </w:pPr>
      <w:r w:rsidRPr="00A06F90">
        <w:t>Conflicts of Interest: None</w:t>
      </w:r>
      <w:r>
        <w:t>.</w:t>
      </w:r>
      <w:r w:rsidR="00905D65" w:rsidRPr="00A06F90">
        <w:br w:type="page"/>
      </w:r>
    </w:p>
    <w:p w14:paraId="4B990FCD" w14:textId="77777777" w:rsidR="00713D89" w:rsidRDefault="00EC4197" w:rsidP="00564CDA">
      <w:pPr>
        <w:suppressLineNumbers/>
        <w:spacing w:line="276" w:lineRule="auto"/>
        <w:jc w:val="both"/>
        <w:rPr>
          <w:b/>
          <w:bCs/>
        </w:rPr>
      </w:pPr>
      <w:r>
        <w:rPr>
          <w:b/>
          <w:bCs/>
        </w:rPr>
        <w:lastRenderedPageBreak/>
        <w:t>REFERENCES</w:t>
      </w:r>
    </w:p>
    <w:p w14:paraId="4A0012B9" w14:textId="77777777" w:rsidR="000F6718" w:rsidRPr="00361F77" w:rsidRDefault="000F6718" w:rsidP="00564CDA">
      <w:pPr>
        <w:suppressLineNumbers/>
        <w:spacing w:after="110" w:line="276" w:lineRule="auto"/>
        <w:ind w:left="482" w:hanging="482"/>
        <w:jc w:val="both"/>
      </w:pPr>
      <w:r w:rsidRPr="00361F77">
        <w:t xml:space="preserve">Ahmed, N., Bone, J. K., Lewis, G., Freemantle, N., Harmer, C. J., Duffy, L., Lewis, G. (2021). The effect of sertraline on emotional processing: Secondary analyses of the PANDA randomized controlled trial. </w:t>
      </w:r>
      <w:r w:rsidRPr="00361F77">
        <w:rPr>
          <w:i/>
          <w:iCs/>
        </w:rPr>
        <w:t>Psychological Medicine</w:t>
      </w:r>
      <w:r w:rsidRPr="00361F77">
        <w:t>, 1-8.</w:t>
      </w:r>
      <w:r>
        <w:t xml:space="preserve"> </w:t>
      </w:r>
      <w:hyperlink r:id="rId12" w:history="1">
        <w:r w:rsidRPr="00254631">
          <w:rPr>
            <w:rStyle w:val="Hyperlink"/>
          </w:rPr>
          <w:t>https://doi:10.1017/S0033291720004985</w:t>
        </w:r>
      </w:hyperlink>
      <w:r>
        <w:t xml:space="preserve"> </w:t>
      </w:r>
    </w:p>
    <w:p w14:paraId="7FDB2895" w14:textId="0FADC7AC" w:rsidR="000F6718" w:rsidRPr="009F63E1" w:rsidRDefault="000F6718" w:rsidP="00564CDA">
      <w:pPr>
        <w:suppressLineNumbers/>
        <w:spacing w:after="110" w:line="276" w:lineRule="auto"/>
        <w:ind w:left="482" w:hanging="482"/>
        <w:jc w:val="both"/>
        <w:rPr>
          <w:lang w:val="de-DE"/>
        </w:rPr>
      </w:pPr>
      <w:r w:rsidRPr="00964323">
        <w:t xml:space="preserve">Arnone, D., </w:t>
      </w:r>
      <w:proofErr w:type="spellStart"/>
      <w:r w:rsidRPr="00964323">
        <w:t>Horder</w:t>
      </w:r>
      <w:proofErr w:type="spellEnd"/>
      <w:r w:rsidRPr="00964323">
        <w:t>, J., Cowen, P. J.,</w:t>
      </w:r>
      <w:r>
        <w:t xml:space="preserve"> </w:t>
      </w:r>
      <w:r w:rsidRPr="00964323">
        <w:t>Harmer, C. J. (2009). Early effects of mirtazapine on emotional processing.</w:t>
      </w:r>
      <w:r w:rsidRPr="006C0C38">
        <w:rPr>
          <w:i/>
          <w:iCs/>
        </w:rPr>
        <w:t xml:space="preserve"> </w:t>
      </w:r>
      <w:r w:rsidRPr="00601C54">
        <w:rPr>
          <w:i/>
          <w:iCs/>
          <w:lang w:val="de-DE"/>
        </w:rPr>
        <w:t xml:space="preserve">Psychopharmacology, </w:t>
      </w:r>
      <w:r w:rsidRPr="00601C54">
        <w:rPr>
          <w:lang w:val="de-DE"/>
        </w:rPr>
        <w:t xml:space="preserve">203(4), 685-691. </w:t>
      </w:r>
      <w:r w:rsidR="00564CDA">
        <w:rPr>
          <w:lang w:val="de-DE"/>
        </w:rPr>
        <w:fldChar w:fldCharType="begin"/>
      </w:r>
      <w:r w:rsidR="00564CDA">
        <w:rPr>
          <w:lang w:val="de-DE"/>
        </w:rPr>
        <w:instrText xml:space="preserve"> HYPERLINK "</w:instrText>
      </w:r>
      <w:r w:rsidR="00564CDA" w:rsidRPr="00564CDA">
        <w:rPr>
          <w:lang w:val="de-DE"/>
        </w:rPr>
        <w:instrText>https://doi.org/10.1007/s00213-008-1410-6</w:instrText>
      </w:r>
      <w:r w:rsidR="00564CDA">
        <w:rPr>
          <w:lang w:val="de-DE"/>
        </w:rPr>
        <w:instrText xml:space="preserve">" </w:instrText>
      </w:r>
      <w:r w:rsidR="00564CDA">
        <w:rPr>
          <w:lang w:val="de-DE"/>
        </w:rPr>
        <w:fldChar w:fldCharType="separate"/>
      </w:r>
      <w:r w:rsidR="00564CDA" w:rsidRPr="006335FC">
        <w:rPr>
          <w:rStyle w:val="Hyperlink"/>
          <w:lang w:val="de-DE"/>
        </w:rPr>
        <w:t>https://doi.org/10.1007/s00213-008-1410-6</w:t>
      </w:r>
      <w:r w:rsidR="00564CDA">
        <w:rPr>
          <w:lang w:val="de-DE"/>
        </w:rPr>
        <w:fldChar w:fldCharType="end"/>
      </w:r>
      <w:r w:rsidR="00564CDA">
        <w:rPr>
          <w:lang w:val="de-DE"/>
        </w:rPr>
        <w:t xml:space="preserve"> </w:t>
      </w:r>
      <w:r w:rsidRPr="009F63E1">
        <w:rPr>
          <w:lang w:val="de-DE"/>
        </w:rPr>
        <w:t xml:space="preserve"> </w:t>
      </w:r>
    </w:p>
    <w:p w14:paraId="15B0D31E" w14:textId="77777777" w:rsidR="000F6718" w:rsidRDefault="000F6718" w:rsidP="00564CDA">
      <w:pPr>
        <w:suppressLineNumbers/>
        <w:spacing w:after="110" w:line="276" w:lineRule="auto"/>
        <w:ind w:left="482" w:hanging="482"/>
        <w:jc w:val="both"/>
      </w:pPr>
      <w:proofErr w:type="spellStart"/>
      <w:r w:rsidRPr="008B3ABA">
        <w:t>Bouhuys</w:t>
      </w:r>
      <w:proofErr w:type="spellEnd"/>
      <w:r>
        <w:t>,</w:t>
      </w:r>
      <w:r w:rsidRPr="008B3ABA">
        <w:t xml:space="preserve"> A</w:t>
      </w:r>
      <w:r>
        <w:t xml:space="preserve">. </w:t>
      </w:r>
      <w:r w:rsidRPr="008B3ABA">
        <w:t>L</w:t>
      </w:r>
      <w:r>
        <w:t>.</w:t>
      </w:r>
      <w:r w:rsidRPr="008B3ABA">
        <w:t xml:space="preserve">, </w:t>
      </w:r>
      <w:proofErr w:type="spellStart"/>
      <w:r w:rsidRPr="008B3ABA">
        <w:t>Geerts</w:t>
      </w:r>
      <w:proofErr w:type="spellEnd"/>
      <w:r>
        <w:t>,</w:t>
      </w:r>
      <w:r w:rsidRPr="008B3ABA">
        <w:t xml:space="preserve"> E</w:t>
      </w:r>
      <w:r>
        <w:t>.</w:t>
      </w:r>
      <w:r w:rsidRPr="008B3ABA">
        <w:t xml:space="preserve">, </w:t>
      </w:r>
      <w:proofErr w:type="spellStart"/>
      <w:r w:rsidRPr="008B3ABA">
        <w:t>Gordijn</w:t>
      </w:r>
      <w:proofErr w:type="spellEnd"/>
      <w:r>
        <w:t>,</w:t>
      </w:r>
      <w:r w:rsidRPr="008B3ABA">
        <w:t xml:space="preserve"> M</w:t>
      </w:r>
      <w:r>
        <w:t xml:space="preserve">. </w:t>
      </w:r>
      <w:r w:rsidRPr="008B3ABA">
        <w:t xml:space="preserve">C. </w:t>
      </w:r>
      <w:r>
        <w:t>(</w:t>
      </w:r>
      <w:r w:rsidRPr="008B3ABA">
        <w:t>1999</w:t>
      </w:r>
      <w:r>
        <w:t>)</w:t>
      </w:r>
      <w:r w:rsidRPr="008B3ABA">
        <w:t xml:space="preserve">. Depressed patients’ perceptions of facial emotions in depressed and remitted states are associated with relapse: a longitudinal study. </w:t>
      </w:r>
      <w:r w:rsidRPr="008B3ABA">
        <w:rPr>
          <w:i/>
          <w:iCs/>
        </w:rPr>
        <w:t>Journal of Nervous and Mental Disease</w:t>
      </w:r>
      <w:r>
        <w:t>,</w:t>
      </w:r>
      <w:r w:rsidRPr="008B3ABA">
        <w:t xml:space="preserve"> 187, 595</w:t>
      </w:r>
      <w:r>
        <w:t>-</w:t>
      </w:r>
      <w:r w:rsidRPr="008B3ABA">
        <w:t>602.</w:t>
      </w:r>
      <w:r>
        <w:t xml:space="preserve"> </w:t>
      </w:r>
      <w:hyperlink r:id="rId13" w:history="1">
        <w:r w:rsidRPr="00DD6E92">
          <w:rPr>
            <w:rStyle w:val="Hyperlink"/>
          </w:rPr>
          <w:t>https://doi.org/10.1097/00005053-199910000-00002</w:t>
        </w:r>
      </w:hyperlink>
      <w:r>
        <w:t xml:space="preserve"> </w:t>
      </w:r>
    </w:p>
    <w:p w14:paraId="3B9FEA75" w14:textId="77777777" w:rsidR="000F6718" w:rsidRDefault="000F6718" w:rsidP="00564CDA">
      <w:pPr>
        <w:suppressLineNumbers/>
        <w:spacing w:after="110" w:line="276" w:lineRule="auto"/>
        <w:ind w:left="482" w:hanging="482"/>
        <w:jc w:val="both"/>
      </w:pPr>
      <w:r w:rsidRPr="00473F8B">
        <w:t>Duffy, L., Bacon, F., Clarke, C.</w:t>
      </w:r>
      <w:r>
        <w:t xml:space="preserve"> </w:t>
      </w:r>
      <w:r w:rsidRPr="00473F8B">
        <w:t>S.</w:t>
      </w:r>
      <w:r>
        <w:t>,</w:t>
      </w:r>
      <w:r w:rsidRPr="00473F8B">
        <w:t xml:space="preserve"> Donkor, Y., Freemantle, N., </w:t>
      </w:r>
      <w:proofErr w:type="spellStart"/>
      <w:r w:rsidRPr="00473F8B">
        <w:t>Gilbody</w:t>
      </w:r>
      <w:proofErr w:type="spellEnd"/>
      <w:r w:rsidRPr="00473F8B">
        <w:t>, S.,</w:t>
      </w:r>
      <w:r>
        <w:t xml:space="preserve"> …, Lewis, G.</w:t>
      </w:r>
      <w:r w:rsidRPr="00473F8B">
        <w:t xml:space="preserve"> </w:t>
      </w:r>
      <w:r>
        <w:t xml:space="preserve">(2019). </w:t>
      </w:r>
      <w:r w:rsidRPr="00473F8B">
        <w:t xml:space="preserve">A randomised controlled trial assessing the use of citalopram, sertraline, fluoxetine and mirtazapine in preventing relapse in primary care patients who are taking long-term maintenance antidepressants (ANTLER: </w:t>
      </w:r>
      <w:proofErr w:type="spellStart"/>
      <w:r w:rsidRPr="00473F8B">
        <w:t>ANTidepressants</w:t>
      </w:r>
      <w:proofErr w:type="spellEnd"/>
      <w:r w:rsidRPr="00473F8B">
        <w:t xml:space="preserve"> to prevent </w:t>
      </w:r>
      <w:proofErr w:type="spellStart"/>
      <w:r w:rsidRPr="00473F8B">
        <w:t>reLapse</w:t>
      </w:r>
      <w:proofErr w:type="spellEnd"/>
      <w:r w:rsidRPr="00473F8B">
        <w:t xml:space="preserve"> in </w:t>
      </w:r>
      <w:proofErr w:type="spellStart"/>
      <w:r w:rsidRPr="00473F8B">
        <w:t>dEpRession</w:t>
      </w:r>
      <w:proofErr w:type="spellEnd"/>
      <w:r w:rsidRPr="00473F8B">
        <w:t xml:space="preserve">): study protocol for a randomised controlled trial. </w:t>
      </w:r>
      <w:r w:rsidRPr="008B4009">
        <w:rPr>
          <w:i/>
          <w:iCs/>
        </w:rPr>
        <w:t>Trials</w:t>
      </w:r>
      <w:r w:rsidRPr="008B4009">
        <w:t xml:space="preserve"> 20, 319. </w:t>
      </w:r>
      <w:hyperlink r:id="rId14" w:history="1">
        <w:r w:rsidRPr="008B4009">
          <w:rPr>
            <w:rStyle w:val="Hyperlink"/>
          </w:rPr>
          <w:t>https://doi.org/10.1186/s13063-019-3390-8</w:t>
        </w:r>
      </w:hyperlink>
      <w:r w:rsidRPr="008B4009">
        <w:t xml:space="preserve"> </w:t>
      </w:r>
    </w:p>
    <w:p w14:paraId="00F26C11" w14:textId="1C181F55" w:rsidR="00796264" w:rsidRDefault="00796264" w:rsidP="00564CDA">
      <w:pPr>
        <w:suppressLineNumbers/>
        <w:spacing w:after="110" w:line="276" w:lineRule="auto"/>
        <w:ind w:left="482" w:hanging="482"/>
        <w:jc w:val="both"/>
      </w:pPr>
      <w:r w:rsidRPr="00796264">
        <w:t xml:space="preserve">Duffy, L., Clarke, C. S., Lewis, G., Marston, L., Freemantle, N., </w:t>
      </w:r>
      <w:proofErr w:type="spellStart"/>
      <w:r w:rsidRPr="00796264">
        <w:t>Gilbody</w:t>
      </w:r>
      <w:proofErr w:type="spellEnd"/>
      <w:r w:rsidRPr="00796264">
        <w:t xml:space="preserve">, S., ... &amp; </w:t>
      </w:r>
      <w:proofErr w:type="spellStart"/>
      <w:r w:rsidRPr="00796264">
        <w:t>Pervin</w:t>
      </w:r>
      <w:proofErr w:type="spellEnd"/>
      <w:r w:rsidRPr="00796264">
        <w:t xml:space="preserve">, J. (2021). Antidepressant medication to prevent depression relapse in primary care: the ANTLER RCT. Health Technology Assessment, 25(69). </w:t>
      </w:r>
      <w:hyperlink r:id="rId15" w:history="1">
        <w:r w:rsidR="00237141" w:rsidRPr="006335FC">
          <w:rPr>
            <w:rStyle w:val="Hyperlink"/>
          </w:rPr>
          <w:t>https://doi.org/10.3310/hta25690</w:t>
        </w:r>
      </w:hyperlink>
      <w:r w:rsidR="00237141">
        <w:t xml:space="preserve"> </w:t>
      </w:r>
    </w:p>
    <w:p w14:paraId="6F286851" w14:textId="695FA8AF" w:rsidR="000F6718" w:rsidRDefault="000F6718" w:rsidP="00564CDA">
      <w:pPr>
        <w:suppressLineNumbers/>
        <w:spacing w:after="110" w:line="276" w:lineRule="auto"/>
        <w:ind w:left="482" w:hanging="482"/>
        <w:jc w:val="both"/>
      </w:pPr>
      <w:r>
        <w:t xml:space="preserve">Harmer, C. J, Shelley, N. C., Cowen, P. J., Goodwin, G. M. (2004). </w:t>
      </w:r>
      <w:r w:rsidRPr="00A37F25">
        <w:t>Increased positive versus negative affective perception and memory in healthy volunteers following selective serotonin and norepinephrine reuptake inhibition</w:t>
      </w:r>
      <w:r>
        <w:t xml:space="preserve">. </w:t>
      </w:r>
      <w:r>
        <w:rPr>
          <w:i/>
          <w:iCs/>
        </w:rPr>
        <w:t xml:space="preserve">American Journal of Psychiatry, </w:t>
      </w:r>
      <w:r>
        <w:t xml:space="preserve">161(7), 1256-1263. </w:t>
      </w:r>
      <w:hyperlink r:id="rId16" w:history="1">
        <w:r w:rsidR="00564CDA" w:rsidRPr="006335FC">
          <w:rPr>
            <w:rStyle w:val="Hyperlink"/>
          </w:rPr>
          <w:t>https://doi.org/10.1176/appi.ajp.161.7.1256</w:t>
        </w:r>
      </w:hyperlink>
      <w:r w:rsidR="00564CDA">
        <w:t xml:space="preserve"> </w:t>
      </w:r>
    </w:p>
    <w:p w14:paraId="7C36E8B4" w14:textId="6B2CEC65" w:rsidR="000F6718" w:rsidRDefault="000F6718" w:rsidP="00564CDA">
      <w:pPr>
        <w:suppressLineNumbers/>
        <w:spacing w:after="110" w:line="276" w:lineRule="auto"/>
        <w:ind w:left="482" w:hanging="482"/>
        <w:jc w:val="both"/>
      </w:pPr>
      <w:r w:rsidRPr="00EB017F">
        <w:t xml:space="preserve">Harmer, C. J., </w:t>
      </w:r>
      <w:proofErr w:type="spellStart"/>
      <w:r w:rsidRPr="00EB017F">
        <w:t>Duman</w:t>
      </w:r>
      <w:proofErr w:type="spellEnd"/>
      <w:r w:rsidRPr="00EB017F">
        <w:t xml:space="preserve">, R. S., Cowen, P. J. (2017). How do antidepressants work? New perspectives for refining future treatment approaches. </w:t>
      </w:r>
      <w:r w:rsidRPr="00EB017F">
        <w:rPr>
          <w:i/>
          <w:iCs/>
        </w:rPr>
        <w:t>The Lancet Psychiatry</w:t>
      </w:r>
      <w:r w:rsidRPr="00EB017F">
        <w:t>, 4(5), 409</w:t>
      </w:r>
      <w:r>
        <w:t>-</w:t>
      </w:r>
      <w:r w:rsidRPr="00EB017F">
        <w:t xml:space="preserve">418. </w:t>
      </w:r>
      <w:hyperlink r:id="rId17" w:history="1">
        <w:r w:rsidR="00564CDA" w:rsidRPr="006335FC">
          <w:rPr>
            <w:rStyle w:val="Hyperlink"/>
          </w:rPr>
          <w:t>https://doi.org/10.1016/S2215-0366(17)30015-9</w:t>
        </w:r>
      </w:hyperlink>
      <w:r w:rsidR="00564CDA">
        <w:t xml:space="preserve"> </w:t>
      </w:r>
      <w:r>
        <w:t xml:space="preserve"> </w:t>
      </w:r>
    </w:p>
    <w:p w14:paraId="618A41BE" w14:textId="77777777" w:rsidR="000F6718" w:rsidRDefault="000F6718" w:rsidP="00564CDA">
      <w:pPr>
        <w:suppressLineNumbers/>
        <w:spacing w:after="110" w:line="276" w:lineRule="auto"/>
        <w:ind w:left="482" w:hanging="482"/>
        <w:jc w:val="both"/>
      </w:pPr>
      <w:r w:rsidRPr="00F40B64">
        <w:t xml:space="preserve">Harmer, C. J., Goodwin, G. M., Cowen, P. J. (2009). Why do antidepressants take so long to work? A cognitive neuropsychological model of antidepressant drug action. </w:t>
      </w:r>
      <w:r w:rsidRPr="00F40B64">
        <w:rPr>
          <w:i/>
          <w:iCs/>
        </w:rPr>
        <w:t>The British Journal of Psychiatry</w:t>
      </w:r>
      <w:r w:rsidRPr="00F40B64">
        <w:t>, 195(2), 102-108.</w:t>
      </w:r>
      <w:r>
        <w:t xml:space="preserve"> </w:t>
      </w:r>
      <w:hyperlink r:id="rId18" w:history="1">
        <w:r w:rsidRPr="0056764D">
          <w:rPr>
            <w:rStyle w:val="Hyperlink"/>
          </w:rPr>
          <w:t>https://doi.org/10.1192/bjp.bp.108.051193</w:t>
        </w:r>
      </w:hyperlink>
      <w:r w:rsidRPr="0056764D">
        <w:t xml:space="preserve"> </w:t>
      </w:r>
    </w:p>
    <w:p w14:paraId="1008F5B6" w14:textId="20F0F829" w:rsidR="000F6718" w:rsidRDefault="000F6718" w:rsidP="00564CDA">
      <w:pPr>
        <w:suppressLineNumbers/>
        <w:spacing w:after="110" w:line="276" w:lineRule="auto"/>
        <w:ind w:left="482" w:hanging="482"/>
        <w:jc w:val="both"/>
      </w:pPr>
      <w:r w:rsidRPr="001758BA">
        <w:t>Harmer, C. J., O’Sullivan, U., Favaron, E., Massey-Chase, R., Ayres, R., Reinecke, A., ...</w:t>
      </w:r>
      <w:r>
        <w:t>,</w:t>
      </w:r>
      <w:r w:rsidRPr="001758BA">
        <w:t xml:space="preserve"> Cowen, P. J. (2009). Effect of acute antidepressant administration on negative affective bias in depressed patients. </w:t>
      </w:r>
      <w:r w:rsidRPr="001758BA">
        <w:rPr>
          <w:i/>
          <w:iCs/>
        </w:rPr>
        <w:t>American Journal of Psychiatry</w:t>
      </w:r>
      <w:r w:rsidRPr="001758BA">
        <w:t>, 166(10), 1178-1184.</w:t>
      </w:r>
      <w:r>
        <w:t xml:space="preserve"> </w:t>
      </w:r>
      <w:hyperlink r:id="rId19" w:history="1">
        <w:r w:rsidRPr="00DD6E92">
          <w:rPr>
            <w:rStyle w:val="Hyperlink"/>
          </w:rPr>
          <w:t>https://doi.org/10.1176/appi.ajp.2009.09020149</w:t>
        </w:r>
      </w:hyperlink>
      <w:r>
        <w:t xml:space="preserve"> </w:t>
      </w:r>
    </w:p>
    <w:p w14:paraId="576CF8B0" w14:textId="19064C78" w:rsidR="00CB6A47" w:rsidRDefault="00CB6A47" w:rsidP="00564CDA">
      <w:pPr>
        <w:suppressLineNumbers/>
        <w:spacing w:after="110" w:line="276" w:lineRule="auto"/>
        <w:ind w:left="482" w:hanging="482"/>
        <w:jc w:val="both"/>
      </w:pPr>
      <w:r w:rsidRPr="00CB6A47">
        <w:t xml:space="preserve">Hayward, G., Goodwin, G. M., Cowen, P. J., &amp; Harmer, C. J. (2005). Low-dose tryptophan depletion in recovered depressed patients induces changes in cognitive processing without depressive symptoms. </w:t>
      </w:r>
      <w:r w:rsidRPr="006E2D15">
        <w:rPr>
          <w:i/>
          <w:iCs/>
        </w:rPr>
        <w:t xml:space="preserve">Biological </w:t>
      </w:r>
      <w:r w:rsidR="006D01D4" w:rsidRPr="006E2D15">
        <w:rPr>
          <w:i/>
          <w:iCs/>
        </w:rPr>
        <w:t>P</w:t>
      </w:r>
      <w:r w:rsidRPr="006E2D15">
        <w:rPr>
          <w:i/>
          <w:iCs/>
        </w:rPr>
        <w:t>sychiatry</w:t>
      </w:r>
      <w:r w:rsidRPr="00CB6A47">
        <w:t>, 57(5), 517-524.</w:t>
      </w:r>
      <w:r w:rsidR="006D01D4">
        <w:t xml:space="preserve"> </w:t>
      </w:r>
      <w:hyperlink r:id="rId20" w:history="1">
        <w:r w:rsidR="006264B3" w:rsidRPr="006264B3">
          <w:rPr>
            <w:rStyle w:val="Hyperlink"/>
          </w:rPr>
          <w:t>https://doi.org/10.1016/j.biopsych.2004.11.016</w:t>
        </w:r>
      </w:hyperlink>
      <w:r w:rsidR="006D01D4">
        <w:t xml:space="preserve"> </w:t>
      </w:r>
    </w:p>
    <w:p w14:paraId="42C6F8DF" w14:textId="094CB2FB" w:rsidR="0013475E" w:rsidRDefault="0013475E" w:rsidP="00564CDA">
      <w:pPr>
        <w:suppressLineNumbers/>
        <w:spacing w:after="110" w:line="276" w:lineRule="auto"/>
        <w:ind w:left="482" w:hanging="482"/>
        <w:jc w:val="both"/>
      </w:pPr>
      <w:r w:rsidRPr="0013475E">
        <w:t xml:space="preserve">Kendrick, T., </w:t>
      </w:r>
      <w:proofErr w:type="spellStart"/>
      <w:r w:rsidRPr="0013475E">
        <w:t>Dowrick</w:t>
      </w:r>
      <w:proofErr w:type="spellEnd"/>
      <w:r w:rsidRPr="0013475E">
        <w:t xml:space="preserve">, C., McBride, A., Howe, A., Clarke, P., </w:t>
      </w:r>
      <w:proofErr w:type="spellStart"/>
      <w:r w:rsidRPr="0013475E">
        <w:t>Maisey</w:t>
      </w:r>
      <w:proofErr w:type="spellEnd"/>
      <w:r w:rsidRPr="0013475E">
        <w:t>, S., ...</w:t>
      </w:r>
      <w:r>
        <w:t>,</w:t>
      </w:r>
      <w:r w:rsidRPr="0013475E">
        <w:t xml:space="preserve"> Smith, P. W. (2009). Management of depression in UK general practice in relation to scores on depression severity questionnaires: analysis of medical record data. </w:t>
      </w:r>
      <w:r w:rsidRPr="002E4E34">
        <w:rPr>
          <w:i/>
          <w:iCs/>
        </w:rPr>
        <w:t>BM</w:t>
      </w:r>
      <w:r>
        <w:rPr>
          <w:i/>
          <w:iCs/>
        </w:rPr>
        <w:t>J</w:t>
      </w:r>
      <w:r w:rsidRPr="0013475E">
        <w:t>, 338</w:t>
      </w:r>
      <w:r>
        <w:t>, b750</w:t>
      </w:r>
      <w:r w:rsidRPr="0013475E">
        <w:t>.</w:t>
      </w:r>
      <w:r>
        <w:t xml:space="preserve"> </w:t>
      </w:r>
      <w:hyperlink r:id="rId21" w:history="1">
        <w:r w:rsidR="00564CDA" w:rsidRPr="006335FC">
          <w:rPr>
            <w:rStyle w:val="Hyperlink"/>
          </w:rPr>
          <w:t>https://doi.org/10.1136/bmj.b750</w:t>
        </w:r>
      </w:hyperlink>
      <w:r w:rsidR="00564CDA">
        <w:t xml:space="preserve"> </w:t>
      </w:r>
      <w:r>
        <w:t xml:space="preserve"> </w:t>
      </w:r>
    </w:p>
    <w:p w14:paraId="66464DDD" w14:textId="50F99A25" w:rsidR="000F6718" w:rsidRDefault="000F6718" w:rsidP="00564CDA">
      <w:pPr>
        <w:suppressLineNumbers/>
        <w:spacing w:after="110" w:line="276" w:lineRule="auto"/>
        <w:ind w:left="482" w:hanging="482"/>
        <w:jc w:val="both"/>
      </w:pPr>
      <w:proofErr w:type="spellStart"/>
      <w:r w:rsidRPr="00F06522">
        <w:lastRenderedPageBreak/>
        <w:t>Komulainen</w:t>
      </w:r>
      <w:proofErr w:type="spellEnd"/>
      <w:r w:rsidRPr="00F06522">
        <w:t xml:space="preserve">, E., </w:t>
      </w:r>
      <w:proofErr w:type="spellStart"/>
      <w:r w:rsidRPr="00F06522">
        <w:t>Heikkilä</w:t>
      </w:r>
      <w:proofErr w:type="spellEnd"/>
      <w:r w:rsidRPr="00F06522">
        <w:t xml:space="preserve">, R., </w:t>
      </w:r>
      <w:proofErr w:type="spellStart"/>
      <w:r w:rsidRPr="00F06522">
        <w:t>Nummenmaa</w:t>
      </w:r>
      <w:proofErr w:type="spellEnd"/>
      <w:r w:rsidRPr="00F06522">
        <w:t xml:space="preserve">, L., </w:t>
      </w:r>
      <w:proofErr w:type="spellStart"/>
      <w:r w:rsidRPr="00F06522">
        <w:t>Raij</w:t>
      </w:r>
      <w:proofErr w:type="spellEnd"/>
      <w:r w:rsidRPr="00F06522">
        <w:t xml:space="preserve">, T. T., Harmer, C. J., </w:t>
      </w:r>
      <w:proofErr w:type="spellStart"/>
      <w:r w:rsidRPr="00F06522">
        <w:t>Isometsä</w:t>
      </w:r>
      <w:proofErr w:type="spellEnd"/>
      <w:r w:rsidRPr="00F06522">
        <w:t xml:space="preserve">, E., </w:t>
      </w:r>
      <w:proofErr w:type="spellStart"/>
      <w:r w:rsidRPr="00F06522">
        <w:t>Ekelund</w:t>
      </w:r>
      <w:proofErr w:type="spellEnd"/>
      <w:r w:rsidRPr="00F06522">
        <w:t xml:space="preserve">, J. (2018). Short-term escitalopram treatment normalizes aberrant self-referential processing in major depressive disorder. </w:t>
      </w:r>
      <w:r w:rsidRPr="008B4009">
        <w:rPr>
          <w:i/>
          <w:iCs/>
        </w:rPr>
        <w:t>Journal of Affective Disorders</w:t>
      </w:r>
      <w:r w:rsidRPr="00F06522">
        <w:t>, 236, 222-229.</w:t>
      </w:r>
      <w:r w:rsidRPr="00F75E6B">
        <w:t xml:space="preserve"> </w:t>
      </w:r>
      <w:hyperlink r:id="rId22" w:history="1">
        <w:r w:rsidR="00564CDA" w:rsidRPr="006335FC">
          <w:rPr>
            <w:rStyle w:val="Hyperlink"/>
          </w:rPr>
          <w:t>https://doi.org/10.1016/j.jad.2018.04.096</w:t>
        </w:r>
      </w:hyperlink>
      <w:r w:rsidR="00564CDA">
        <w:t xml:space="preserve"> </w:t>
      </w:r>
      <w:r>
        <w:t xml:space="preserve"> </w:t>
      </w:r>
    </w:p>
    <w:p w14:paraId="322602BC" w14:textId="77777777" w:rsidR="000F6718" w:rsidRDefault="000F6718" w:rsidP="00564CDA">
      <w:pPr>
        <w:suppressLineNumbers/>
        <w:spacing w:after="110" w:line="276" w:lineRule="auto"/>
        <w:ind w:left="482" w:hanging="482"/>
        <w:jc w:val="both"/>
      </w:pPr>
      <w:r w:rsidRPr="00CA0D38">
        <w:t xml:space="preserve">Kroenke, K., Spitzer, R. L., Williams, J. B. (2001). The PHQ‐9: validity of a brief depression severity measure. </w:t>
      </w:r>
      <w:r w:rsidRPr="008B4009">
        <w:rPr>
          <w:i/>
          <w:iCs/>
        </w:rPr>
        <w:t>Journal of General Internal Medicine</w:t>
      </w:r>
      <w:r w:rsidRPr="00CA0D38">
        <w:t>, 16(9), 606-613.</w:t>
      </w:r>
    </w:p>
    <w:p w14:paraId="7743ABE7" w14:textId="77777777" w:rsidR="000F6718" w:rsidRDefault="000F6718" w:rsidP="00564CDA">
      <w:pPr>
        <w:suppressLineNumbers/>
        <w:spacing w:after="110" w:line="276" w:lineRule="auto"/>
        <w:ind w:left="482" w:hanging="482"/>
        <w:jc w:val="both"/>
      </w:pPr>
      <w:r w:rsidRPr="00880D9F">
        <w:t>Lewis, G</w:t>
      </w:r>
      <w:r>
        <w:t>.</w:t>
      </w:r>
      <w:r w:rsidRPr="00880D9F">
        <w:t xml:space="preserve">, </w:t>
      </w:r>
      <w:proofErr w:type="spellStart"/>
      <w:r w:rsidRPr="00880D9F">
        <w:t>Kounali</w:t>
      </w:r>
      <w:proofErr w:type="spellEnd"/>
      <w:r w:rsidRPr="00880D9F">
        <w:t xml:space="preserve">, D. Z., Button, K. S., Duffy, L., Wiles, N. J., </w:t>
      </w:r>
      <w:proofErr w:type="spellStart"/>
      <w:r w:rsidRPr="00880D9F">
        <w:t>Munafò</w:t>
      </w:r>
      <w:proofErr w:type="spellEnd"/>
      <w:r w:rsidRPr="00880D9F">
        <w:t>, M. R., …</w:t>
      </w:r>
      <w:r>
        <w:t>,</w:t>
      </w:r>
      <w:r w:rsidRPr="00880D9F">
        <w:t xml:space="preserve"> Lewis, G. (2017). Variation in the recall of socially rewarding information and depressive symptom severity: a prospective cohort study. </w:t>
      </w:r>
      <w:r w:rsidRPr="00880D9F">
        <w:rPr>
          <w:i/>
          <w:iCs/>
        </w:rPr>
        <w:t xml:space="preserve">Acta </w:t>
      </w:r>
      <w:proofErr w:type="spellStart"/>
      <w:r w:rsidRPr="00880D9F">
        <w:rPr>
          <w:i/>
          <w:iCs/>
        </w:rPr>
        <w:t>Psychiatrica</w:t>
      </w:r>
      <w:proofErr w:type="spellEnd"/>
      <w:r w:rsidRPr="00880D9F">
        <w:rPr>
          <w:i/>
          <w:iCs/>
        </w:rPr>
        <w:t xml:space="preserve"> Scandinavica</w:t>
      </w:r>
      <w:r w:rsidRPr="00880D9F">
        <w:t xml:space="preserve">, 135(5), 489–498. </w:t>
      </w:r>
      <w:hyperlink r:id="rId23" w:history="1">
        <w:r w:rsidRPr="00A14AAB">
          <w:rPr>
            <w:rStyle w:val="Hyperlink"/>
          </w:rPr>
          <w:t>https://doi.org/10.1111/acps.12729</w:t>
        </w:r>
      </w:hyperlink>
      <w:r>
        <w:t xml:space="preserve"> </w:t>
      </w:r>
    </w:p>
    <w:p w14:paraId="7A26B34D" w14:textId="77777777" w:rsidR="00C061BB" w:rsidRPr="009F63E1" w:rsidRDefault="00C061BB" w:rsidP="00564CDA">
      <w:pPr>
        <w:suppressLineNumbers/>
        <w:spacing w:after="110" w:line="276" w:lineRule="auto"/>
        <w:ind w:left="482" w:hanging="482"/>
        <w:jc w:val="both"/>
        <w:rPr>
          <w:lang w:val="es-ES"/>
        </w:rPr>
      </w:pPr>
      <w:r w:rsidRPr="00B2332B">
        <w:t xml:space="preserve">Lewis, G., Marston, L., Duffy, L., Freemantle, N., </w:t>
      </w:r>
      <w:proofErr w:type="spellStart"/>
      <w:r w:rsidRPr="00B2332B">
        <w:t>Gilbody</w:t>
      </w:r>
      <w:proofErr w:type="spellEnd"/>
      <w:r w:rsidRPr="00B2332B">
        <w:t>, S., Hunter, R., ...</w:t>
      </w:r>
      <w:r>
        <w:t>,</w:t>
      </w:r>
      <w:r w:rsidRPr="00B2332B">
        <w:t xml:space="preserve"> Lewis, G. (2021). Maintenance or discontinuation of antidepressants in primary care</w:t>
      </w:r>
      <w:r w:rsidRPr="0005574A">
        <w:rPr>
          <w:i/>
          <w:iCs/>
        </w:rPr>
        <w:t>. New England Journal of Medicine</w:t>
      </w:r>
      <w:r w:rsidRPr="00B2332B">
        <w:t>, 385(14), 1257-1267.</w:t>
      </w:r>
      <w:r w:rsidR="00461051">
        <w:t xml:space="preserve"> </w:t>
      </w:r>
      <w:hyperlink r:id="rId24" w:history="1">
        <w:r w:rsidR="0029735D" w:rsidRPr="009F63E1">
          <w:rPr>
            <w:rStyle w:val="Hyperlink"/>
            <w:lang w:val="es-ES"/>
          </w:rPr>
          <w:t>https://doi.org/10.1056/NEJMoa2106356</w:t>
        </w:r>
      </w:hyperlink>
      <w:r w:rsidR="0029735D" w:rsidRPr="009F63E1">
        <w:rPr>
          <w:lang w:val="es-ES"/>
        </w:rPr>
        <w:t xml:space="preserve"> </w:t>
      </w:r>
    </w:p>
    <w:p w14:paraId="39B990E0" w14:textId="77777777" w:rsidR="000F6718" w:rsidRDefault="000F6718" w:rsidP="00564CDA">
      <w:pPr>
        <w:suppressLineNumbers/>
        <w:spacing w:after="110" w:line="276" w:lineRule="auto"/>
        <w:ind w:left="482" w:hanging="482"/>
        <w:jc w:val="both"/>
      </w:pPr>
      <w:r w:rsidRPr="009F63E1">
        <w:rPr>
          <w:lang w:val="es-ES"/>
        </w:rPr>
        <w:t xml:space="preserve">Lewis, G., Pelosi, A. J., Araya, R., Dunn, G. (1992). </w:t>
      </w:r>
      <w:r w:rsidRPr="00430199">
        <w:t xml:space="preserve">Measuring psychiatric disorder in the community: a standardized assessment for use by lay interviewers. </w:t>
      </w:r>
      <w:r w:rsidRPr="00430199">
        <w:rPr>
          <w:i/>
          <w:iCs/>
        </w:rPr>
        <w:t>Psychological Medicine</w:t>
      </w:r>
      <w:r w:rsidRPr="00430199">
        <w:t>, 22, 465–486.</w:t>
      </w:r>
    </w:p>
    <w:p w14:paraId="1EF7BD9D" w14:textId="605F652F" w:rsidR="00A53DEE" w:rsidRPr="009A1344" w:rsidRDefault="003243B7" w:rsidP="00564CDA">
      <w:pPr>
        <w:suppressLineNumbers/>
        <w:spacing w:after="110" w:line="276" w:lineRule="auto"/>
        <w:ind w:left="482" w:hanging="482"/>
        <w:jc w:val="both"/>
      </w:pPr>
      <w:r w:rsidRPr="003243B7">
        <w:t xml:space="preserve">McCrea, R. L., </w:t>
      </w:r>
      <w:proofErr w:type="spellStart"/>
      <w:r w:rsidRPr="003243B7">
        <w:t>Sammon</w:t>
      </w:r>
      <w:proofErr w:type="spellEnd"/>
      <w:r w:rsidRPr="003243B7">
        <w:t xml:space="preserve">, C. J., Nazareth, I., &amp; Petersen, I. (2016). Initiation and duration of selective serotonin reuptake inhibitor prescribing over time: UK cohort study. </w:t>
      </w:r>
      <w:r w:rsidRPr="008650E8">
        <w:rPr>
          <w:i/>
          <w:iCs/>
        </w:rPr>
        <w:t>The British Journal of Psychiatry</w:t>
      </w:r>
      <w:r w:rsidRPr="003243B7">
        <w:t>, 209(5), 421-426.</w:t>
      </w:r>
      <w:r w:rsidR="003439BF">
        <w:t xml:space="preserve"> </w:t>
      </w:r>
      <w:hyperlink r:id="rId25" w:history="1">
        <w:r w:rsidR="00564CDA" w:rsidRPr="006335FC">
          <w:rPr>
            <w:rStyle w:val="Hyperlink"/>
          </w:rPr>
          <w:t>https://doi.org/10.1192/bjp.bp.115.166975</w:t>
        </w:r>
      </w:hyperlink>
      <w:r w:rsidR="00564CDA">
        <w:t xml:space="preserve"> </w:t>
      </w:r>
      <w:r w:rsidR="00237141">
        <w:t xml:space="preserve"> </w:t>
      </w:r>
    </w:p>
    <w:p w14:paraId="2131FA84" w14:textId="77777777" w:rsidR="000F6718" w:rsidRDefault="000F6718" w:rsidP="00564CDA">
      <w:pPr>
        <w:suppressLineNumbers/>
        <w:spacing w:after="110" w:line="276" w:lineRule="auto"/>
        <w:ind w:left="482" w:hanging="482"/>
        <w:jc w:val="both"/>
      </w:pPr>
      <w:r w:rsidRPr="003436A2">
        <w:t xml:space="preserve">Moore, M., Yuen, H. M., Dunn, N., Mullee, M. A., Maskell, J., Kendrick, T. (2009). Explaining the rise in antidepressant prescribing: a descriptive study using the general practice research database. </w:t>
      </w:r>
      <w:r w:rsidRPr="003436A2">
        <w:rPr>
          <w:i/>
          <w:iCs/>
        </w:rPr>
        <w:t>BMJ</w:t>
      </w:r>
      <w:r w:rsidRPr="003436A2">
        <w:t>, 339, b3999.</w:t>
      </w:r>
      <w:r>
        <w:t xml:space="preserve"> </w:t>
      </w:r>
      <w:hyperlink r:id="rId26" w:history="1">
        <w:r w:rsidRPr="00A14AAB">
          <w:rPr>
            <w:rStyle w:val="Hyperlink"/>
          </w:rPr>
          <w:t>https://doi.org/10.1136/bmj.b3999</w:t>
        </w:r>
      </w:hyperlink>
      <w:r>
        <w:t xml:space="preserve"> </w:t>
      </w:r>
    </w:p>
    <w:p w14:paraId="15646290" w14:textId="77777777" w:rsidR="000F6718" w:rsidRDefault="000F6718" w:rsidP="00564CDA">
      <w:pPr>
        <w:suppressLineNumbers/>
        <w:spacing w:after="110" w:line="276" w:lineRule="auto"/>
        <w:ind w:left="482" w:hanging="482"/>
        <w:jc w:val="both"/>
      </w:pPr>
      <w:r w:rsidRPr="00E177E4">
        <w:t>NHS Digital.</w:t>
      </w:r>
      <w:r>
        <w:t xml:space="preserve"> (2019</w:t>
      </w:r>
      <w:r w:rsidR="000A3A3F">
        <w:t>, March 28</w:t>
      </w:r>
      <w:r>
        <w:t>).</w:t>
      </w:r>
      <w:r w:rsidRPr="00E177E4">
        <w:t xml:space="preserve"> Prescription cost analysis: England 2018</w:t>
      </w:r>
      <w:r>
        <w:t>.</w:t>
      </w:r>
      <w:r w:rsidRPr="00E177E4">
        <w:t xml:space="preserve"> </w:t>
      </w:r>
      <w:r w:rsidR="000A3A3F">
        <w:t xml:space="preserve">Retrieved from </w:t>
      </w:r>
      <w:hyperlink r:id="rId27" w:history="1">
        <w:r w:rsidR="000A3A3F" w:rsidRPr="000A3A3F">
          <w:rPr>
            <w:rStyle w:val="Hyperlink"/>
          </w:rPr>
          <w:t>https://digital.nhs.uk/data-and-information/publications/statistical/prescription-cost-analysis/2018</w:t>
        </w:r>
      </w:hyperlink>
      <w:r w:rsidRPr="00E177E4">
        <w:t>.</w:t>
      </w:r>
    </w:p>
    <w:p w14:paraId="4725E22A" w14:textId="24A8C063" w:rsidR="000F6718" w:rsidRDefault="000F6718" w:rsidP="00564CDA">
      <w:pPr>
        <w:suppressLineNumbers/>
        <w:spacing w:after="110" w:line="276" w:lineRule="auto"/>
        <w:ind w:left="482" w:hanging="482"/>
        <w:jc w:val="both"/>
      </w:pPr>
      <w:proofErr w:type="spellStart"/>
      <w:r w:rsidRPr="008B4009">
        <w:rPr>
          <w:lang w:val="fr-FR"/>
        </w:rPr>
        <w:t>Roiser</w:t>
      </w:r>
      <w:proofErr w:type="spellEnd"/>
      <w:r w:rsidRPr="008B4009">
        <w:rPr>
          <w:lang w:val="fr-FR"/>
        </w:rPr>
        <w:t xml:space="preserve">, J. P., Elliott, R., </w:t>
      </w:r>
      <w:proofErr w:type="spellStart"/>
      <w:r w:rsidRPr="008B4009">
        <w:rPr>
          <w:lang w:val="fr-FR"/>
        </w:rPr>
        <w:t>Sahakian</w:t>
      </w:r>
      <w:proofErr w:type="spellEnd"/>
      <w:r w:rsidRPr="008B4009">
        <w:rPr>
          <w:lang w:val="fr-FR"/>
        </w:rPr>
        <w:t xml:space="preserve">, B. J. (2012). </w:t>
      </w:r>
      <w:r w:rsidRPr="00330F4F">
        <w:t xml:space="preserve">Cognitive mechanisms of treatment in depression. </w:t>
      </w:r>
      <w:r w:rsidRPr="008B4009">
        <w:rPr>
          <w:i/>
          <w:iCs/>
        </w:rPr>
        <w:t>Neuropsychopharmacology</w:t>
      </w:r>
      <w:r w:rsidRPr="00330F4F">
        <w:t>, 37(1), 117-136.</w:t>
      </w:r>
      <w:r>
        <w:t xml:space="preserve"> </w:t>
      </w:r>
      <w:hyperlink r:id="rId28" w:history="1">
        <w:r w:rsidR="00564CDA" w:rsidRPr="006335FC">
          <w:rPr>
            <w:rStyle w:val="Hyperlink"/>
          </w:rPr>
          <w:t>https://doi.org/10.1038/npp.2011.183</w:t>
        </w:r>
      </w:hyperlink>
      <w:r w:rsidR="00564CDA">
        <w:t xml:space="preserve"> </w:t>
      </w:r>
      <w:r>
        <w:t xml:space="preserve"> </w:t>
      </w:r>
    </w:p>
    <w:p w14:paraId="13623369" w14:textId="5568F971" w:rsidR="000F6718" w:rsidRDefault="000F6718" w:rsidP="00564CDA">
      <w:pPr>
        <w:suppressLineNumbers/>
        <w:spacing w:after="110" w:line="276" w:lineRule="auto"/>
        <w:ind w:left="482" w:hanging="482"/>
        <w:jc w:val="both"/>
      </w:pPr>
      <w:r w:rsidRPr="009F63E1">
        <w:t xml:space="preserve">Rosenbaum, J. F., Fava, M., Hoog, S. L., </w:t>
      </w:r>
      <w:proofErr w:type="spellStart"/>
      <w:r w:rsidRPr="009F63E1">
        <w:t>Ascroft</w:t>
      </w:r>
      <w:proofErr w:type="spellEnd"/>
      <w:r w:rsidRPr="009F63E1">
        <w:t xml:space="preserve">, R. C., Krebs, W. B. (1998). </w:t>
      </w:r>
      <w:r w:rsidRPr="000039D4">
        <w:t xml:space="preserve">Selective serotonin reuptake inhibitor discontinuation syndrome: a randomized clinical trial. </w:t>
      </w:r>
      <w:r w:rsidRPr="00601C54">
        <w:rPr>
          <w:i/>
          <w:iCs/>
        </w:rPr>
        <w:t>Biological Psychiatry</w:t>
      </w:r>
      <w:r w:rsidRPr="00601C54">
        <w:t xml:space="preserve">, 44(2), 77-87. </w:t>
      </w:r>
      <w:hyperlink r:id="rId29" w:history="1">
        <w:r w:rsidRPr="009F63E1">
          <w:rPr>
            <w:rStyle w:val="Hyperlink"/>
          </w:rPr>
          <w:t>https://doi.org/10.1016/S0006-3223(98)00126-7</w:t>
        </w:r>
      </w:hyperlink>
      <w:r w:rsidRPr="009F63E1">
        <w:t xml:space="preserve"> </w:t>
      </w:r>
    </w:p>
    <w:p w14:paraId="3736393F" w14:textId="20F7992F" w:rsidR="00C8527B" w:rsidRPr="009F63E1" w:rsidRDefault="00C8527B" w:rsidP="00564CDA">
      <w:pPr>
        <w:suppressLineNumbers/>
        <w:spacing w:after="110" w:line="276" w:lineRule="auto"/>
        <w:ind w:left="482" w:hanging="482"/>
        <w:jc w:val="both"/>
      </w:pPr>
      <w:r w:rsidRPr="00C8527B">
        <w:t xml:space="preserve">Smith, K. A., Fairburn, C. G., &amp; Cowen, P. J. (1997). Relapse of depression after rapid depletion of tryptophan. </w:t>
      </w:r>
      <w:r w:rsidRPr="006878D5">
        <w:rPr>
          <w:i/>
          <w:iCs/>
        </w:rPr>
        <w:t>The Lancet</w:t>
      </w:r>
      <w:r w:rsidRPr="00C8527B">
        <w:t>, 349(9056), 915-919.</w:t>
      </w:r>
      <w:r w:rsidR="006878D5">
        <w:t xml:space="preserve"> </w:t>
      </w:r>
      <w:hyperlink r:id="rId30" w:history="1">
        <w:r w:rsidR="006878D5" w:rsidRPr="00F465BC">
          <w:rPr>
            <w:rStyle w:val="Hyperlink"/>
          </w:rPr>
          <w:t>https://doi.org/10.1016/S0140-6736(96)07044-4</w:t>
        </w:r>
      </w:hyperlink>
      <w:r w:rsidR="006878D5">
        <w:t xml:space="preserve"> </w:t>
      </w:r>
    </w:p>
    <w:p w14:paraId="395B07EE" w14:textId="77777777" w:rsidR="000F6718" w:rsidRDefault="000F6718" w:rsidP="00564CDA">
      <w:pPr>
        <w:suppressLineNumbers/>
        <w:spacing w:after="110" w:line="276" w:lineRule="auto"/>
        <w:ind w:left="482" w:hanging="482"/>
        <w:jc w:val="both"/>
      </w:pPr>
      <w:r w:rsidRPr="009F63E1">
        <w:t>Spitzer</w:t>
      </w:r>
      <w:r w:rsidR="00E91A8B" w:rsidRPr="009F63E1">
        <w:t>,</w:t>
      </w:r>
      <w:r w:rsidRPr="009F63E1">
        <w:t xml:space="preserve"> R</w:t>
      </w:r>
      <w:r w:rsidR="00E91A8B" w:rsidRPr="009F63E1">
        <w:t xml:space="preserve">. </w:t>
      </w:r>
      <w:r w:rsidRPr="009F63E1">
        <w:t>L</w:t>
      </w:r>
      <w:r w:rsidR="00E91A8B" w:rsidRPr="009F63E1">
        <w:t>.</w:t>
      </w:r>
      <w:r w:rsidRPr="009F63E1">
        <w:t>, Kroenke</w:t>
      </w:r>
      <w:r w:rsidR="00E91A8B" w:rsidRPr="009F63E1">
        <w:t>,</w:t>
      </w:r>
      <w:r w:rsidRPr="009F63E1">
        <w:t xml:space="preserve"> K</w:t>
      </w:r>
      <w:r w:rsidR="00E91A8B" w:rsidRPr="009F63E1">
        <w:t>.</w:t>
      </w:r>
      <w:r w:rsidRPr="009F63E1">
        <w:t>, Williams</w:t>
      </w:r>
      <w:r w:rsidR="009E17F0" w:rsidRPr="009F63E1">
        <w:t>,</w:t>
      </w:r>
      <w:r w:rsidRPr="009F63E1">
        <w:t xml:space="preserve"> J</w:t>
      </w:r>
      <w:r w:rsidR="009E17F0" w:rsidRPr="009F63E1">
        <w:t xml:space="preserve">. </w:t>
      </w:r>
      <w:r w:rsidRPr="009F63E1">
        <w:t>B</w:t>
      </w:r>
      <w:r w:rsidR="009E17F0" w:rsidRPr="009F63E1">
        <w:t xml:space="preserve">. </w:t>
      </w:r>
      <w:r w:rsidRPr="009F63E1">
        <w:t>W</w:t>
      </w:r>
      <w:r w:rsidR="009E17F0" w:rsidRPr="009F63E1">
        <w:t>.</w:t>
      </w:r>
      <w:r w:rsidRPr="009F63E1">
        <w:t xml:space="preserve">, </w:t>
      </w:r>
      <w:proofErr w:type="spellStart"/>
      <w:r w:rsidRPr="009F63E1">
        <w:t>Löwe</w:t>
      </w:r>
      <w:proofErr w:type="spellEnd"/>
      <w:r w:rsidR="009E17F0" w:rsidRPr="009F63E1">
        <w:t>,</w:t>
      </w:r>
      <w:r w:rsidRPr="009F63E1">
        <w:t xml:space="preserve"> B. (2006). </w:t>
      </w:r>
      <w:r w:rsidRPr="00C36855">
        <w:t xml:space="preserve">A brief measure for assessing generalized anxiety disorder: the GAD-7. </w:t>
      </w:r>
      <w:r w:rsidRPr="008B4009">
        <w:rPr>
          <w:i/>
          <w:iCs/>
        </w:rPr>
        <w:t>Archives of Internal Medicine</w:t>
      </w:r>
      <w:r>
        <w:t>,</w:t>
      </w:r>
      <w:r w:rsidRPr="00C36855">
        <w:t xml:space="preserve"> 166</w:t>
      </w:r>
      <w:r>
        <w:t xml:space="preserve">, </w:t>
      </w:r>
      <w:r w:rsidRPr="00C36855">
        <w:t>1092–7.</w:t>
      </w:r>
      <w:r>
        <w:t xml:space="preserve">  </w:t>
      </w:r>
      <w:hyperlink r:id="rId31" w:history="1">
        <w:r w:rsidRPr="008B2C0B">
          <w:rPr>
            <w:rStyle w:val="Hyperlink"/>
          </w:rPr>
          <w:t>https://doi.org/10.1001/archinte.166.10.1092</w:t>
        </w:r>
      </w:hyperlink>
      <w:r>
        <w:t xml:space="preserve"> </w:t>
      </w:r>
    </w:p>
    <w:p w14:paraId="744C058E" w14:textId="77777777" w:rsidR="000F6718" w:rsidRDefault="000F6718" w:rsidP="00564CDA">
      <w:pPr>
        <w:suppressLineNumbers/>
        <w:spacing w:after="110" w:line="276" w:lineRule="auto"/>
        <w:ind w:left="482" w:hanging="482"/>
        <w:jc w:val="both"/>
      </w:pPr>
      <w:proofErr w:type="spellStart"/>
      <w:r w:rsidRPr="0078744D">
        <w:t>StataCorp</w:t>
      </w:r>
      <w:proofErr w:type="spellEnd"/>
      <w:r w:rsidRPr="0078744D">
        <w:t xml:space="preserve">. (2019). </w:t>
      </w:r>
      <w:r w:rsidRPr="0078744D">
        <w:rPr>
          <w:i/>
          <w:iCs/>
        </w:rPr>
        <w:t>Stata Statistical Software</w:t>
      </w:r>
      <w:r w:rsidRPr="0078744D">
        <w:t xml:space="preserve">: Release 16. College Station, TX: </w:t>
      </w:r>
      <w:proofErr w:type="spellStart"/>
      <w:r w:rsidRPr="0078744D">
        <w:t>StataCorp</w:t>
      </w:r>
      <w:proofErr w:type="spellEnd"/>
      <w:r w:rsidRPr="0078744D">
        <w:t xml:space="preserve"> LLC.</w:t>
      </w:r>
    </w:p>
    <w:p w14:paraId="237E1F75" w14:textId="66B4777F" w:rsidR="006429CE" w:rsidRDefault="006429CE" w:rsidP="00564CDA">
      <w:pPr>
        <w:suppressLineNumbers/>
        <w:spacing w:after="110" w:line="276" w:lineRule="auto"/>
        <w:ind w:left="482" w:hanging="482"/>
        <w:jc w:val="both"/>
      </w:pPr>
      <w:r w:rsidRPr="006429CE">
        <w:t>Tranter, R., Bell, D., Gutting, P., Harmer, C., Healy, D., Anderson, I. M. (2009). The effect of serotonergic and noradrenergic antidepressants on face emotion processing in depressed patients</w:t>
      </w:r>
      <w:r w:rsidRPr="002E4E34">
        <w:rPr>
          <w:i/>
          <w:iCs/>
        </w:rPr>
        <w:t>. Journal of Affective Disorders,</w:t>
      </w:r>
      <w:r w:rsidRPr="006429CE">
        <w:t xml:space="preserve"> 118(1-3), 87-93.</w:t>
      </w:r>
      <w:r>
        <w:t xml:space="preserve"> </w:t>
      </w:r>
      <w:hyperlink r:id="rId32" w:history="1">
        <w:r w:rsidR="00564CDA" w:rsidRPr="006335FC">
          <w:rPr>
            <w:rStyle w:val="Hyperlink"/>
          </w:rPr>
          <w:t>https://doi.org/10.1016/j.jad.2009.01.028</w:t>
        </w:r>
      </w:hyperlink>
      <w:r w:rsidR="00564CDA">
        <w:t xml:space="preserve"> </w:t>
      </w:r>
      <w:r>
        <w:t xml:space="preserve"> </w:t>
      </w:r>
    </w:p>
    <w:p w14:paraId="3459279E" w14:textId="3ED1B553" w:rsidR="00424132" w:rsidRDefault="00424132" w:rsidP="00564CDA">
      <w:pPr>
        <w:suppressLineNumbers/>
        <w:spacing w:after="110" w:line="276" w:lineRule="auto"/>
        <w:ind w:left="482" w:hanging="482"/>
        <w:jc w:val="both"/>
      </w:pPr>
      <w:r w:rsidRPr="006878D5">
        <w:rPr>
          <w:lang w:val="es-ES"/>
        </w:rPr>
        <w:lastRenderedPageBreak/>
        <w:t xml:space="preserve">Van der </w:t>
      </w:r>
      <w:proofErr w:type="spellStart"/>
      <w:r w:rsidRPr="006878D5">
        <w:rPr>
          <w:lang w:val="es-ES"/>
        </w:rPr>
        <w:t>Does</w:t>
      </w:r>
      <w:proofErr w:type="spellEnd"/>
      <w:r w:rsidRPr="006878D5">
        <w:rPr>
          <w:lang w:val="es-ES"/>
        </w:rPr>
        <w:t xml:space="preserve">, A. W. (2001). </w:t>
      </w:r>
      <w:r w:rsidRPr="00424132">
        <w:t xml:space="preserve">The effects of tryptophan depletion on mood and psychiatric symptoms. </w:t>
      </w:r>
      <w:r w:rsidRPr="006878D5">
        <w:rPr>
          <w:i/>
          <w:iCs/>
        </w:rPr>
        <w:t>Journal of Affective Disorders</w:t>
      </w:r>
      <w:r w:rsidRPr="00424132">
        <w:t>, 64(2-3), 107-119.</w:t>
      </w:r>
      <w:r w:rsidR="00FF52BC">
        <w:t xml:space="preserve"> </w:t>
      </w:r>
      <w:hyperlink r:id="rId33" w:history="1">
        <w:r w:rsidR="00FF52BC" w:rsidRPr="00F465BC">
          <w:rPr>
            <w:rStyle w:val="Hyperlink"/>
          </w:rPr>
          <w:t>https://doi.org/10.1016/S0165-0327(00)00209-3</w:t>
        </w:r>
      </w:hyperlink>
      <w:r w:rsidR="00FF52BC">
        <w:t xml:space="preserve"> </w:t>
      </w:r>
    </w:p>
    <w:p w14:paraId="3889A38C" w14:textId="3BD336EF" w:rsidR="000F6718" w:rsidRPr="008B4009" w:rsidRDefault="000F6718" w:rsidP="00564CDA">
      <w:pPr>
        <w:suppressLineNumbers/>
        <w:spacing w:after="110" w:line="276" w:lineRule="auto"/>
        <w:ind w:left="482" w:hanging="482"/>
        <w:jc w:val="both"/>
      </w:pPr>
      <w:r w:rsidRPr="00F75E6B">
        <w:t xml:space="preserve">Walsh, A. E. L., </w:t>
      </w:r>
      <w:proofErr w:type="spellStart"/>
      <w:r w:rsidRPr="00F75E6B">
        <w:t>Huneke</w:t>
      </w:r>
      <w:proofErr w:type="spellEnd"/>
      <w:r w:rsidRPr="00F75E6B">
        <w:t>, N. T. M., Brown, R., Browning, M., Cowen, P. J., Harmer, C. J.</w:t>
      </w:r>
      <w:r>
        <w:t xml:space="preserve"> (2018). </w:t>
      </w:r>
      <w:r w:rsidRPr="001C1B19">
        <w:t>A dissociation of the acute effects of bupropion on positive emotional processing and reward processing in healthy volunteers.</w:t>
      </w:r>
      <w:r>
        <w:t xml:space="preserve"> </w:t>
      </w:r>
      <w:r w:rsidRPr="008B4009">
        <w:rPr>
          <w:i/>
          <w:iCs/>
        </w:rPr>
        <w:t>Frontiers in Psychiatry,</w:t>
      </w:r>
      <w:r w:rsidRPr="00383E6C">
        <w:t xml:space="preserve"> 9, 482</w:t>
      </w:r>
      <w:r w:rsidRPr="008B4009">
        <w:t xml:space="preserve">. </w:t>
      </w:r>
      <w:hyperlink r:id="rId34" w:history="1">
        <w:r w:rsidR="00564CDA" w:rsidRPr="006335FC">
          <w:rPr>
            <w:rStyle w:val="Hyperlink"/>
          </w:rPr>
          <w:t>https://doi.org/10.3389/fpsyt.2018.00482</w:t>
        </w:r>
      </w:hyperlink>
      <w:r w:rsidR="00564CDA">
        <w:t xml:space="preserve"> </w:t>
      </w:r>
      <w:r w:rsidRPr="008B4009">
        <w:t xml:space="preserve"> </w:t>
      </w:r>
      <w:r>
        <w:rPr>
          <w:b/>
          <w:bCs/>
        </w:rPr>
        <w:br w:type="page"/>
      </w:r>
    </w:p>
    <w:p w14:paraId="1353F5BF" w14:textId="7BF6C9CA" w:rsidR="00920FDD" w:rsidRPr="00406870" w:rsidRDefault="00920FDD" w:rsidP="00B6621E">
      <w:pPr>
        <w:suppressLineNumbers/>
        <w:spacing w:line="276" w:lineRule="auto"/>
        <w:jc w:val="both"/>
      </w:pPr>
      <w:r w:rsidRPr="00F9324D">
        <w:rPr>
          <w:b/>
          <w:bCs/>
        </w:rPr>
        <w:lastRenderedPageBreak/>
        <w:t>Table 1.</w:t>
      </w:r>
      <w:r w:rsidRPr="00406870">
        <w:t xml:space="preserve"> Baseline demographic and clinical characteristics by randomised group for the sample who completed the emotional processing task at 12 </w:t>
      </w:r>
      <w:r>
        <w:t>and/</w:t>
      </w:r>
      <w:r w:rsidRPr="00406870">
        <w:t>or 52 weeks</w:t>
      </w:r>
      <w:r w:rsidR="001B3456">
        <w:t xml:space="preserve"> and for the whole trial population</w:t>
      </w:r>
      <w:r w:rsidRPr="00406870">
        <w:t>.</w:t>
      </w:r>
      <w:r>
        <w:t xml:space="preserve"> </w:t>
      </w:r>
    </w:p>
    <w:tbl>
      <w:tblPr>
        <w:tblStyle w:val="PlainTable2"/>
        <w:tblW w:w="9072" w:type="dxa"/>
        <w:tblLayout w:type="fixed"/>
        <w:tblLook w:val="04A0" w:firstRow="1" w:lastRow="0" w:firstColumn="1" w:lastColumn="0" w:noHBand="0" w:noVBand="1"/>
      </w:tblPr>
      <w:tblGrid>
        <w:gridCol w:w="2694"/>
        <w:gridCol w:w="1559"/>
        <w:gridCol w:w="1701"/>
        <w:gridCol w:w="1417"/>
        <w:gridCol w:w="1701"/>
      </w:tblGrid>
      <w:tr w:rsidR="009B5342" w14:paraId="7B00759E" w14:textId="77777777" w:rsidTr="001F3A8E">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2694" w:type="dxa"/>
          </w:tcPr>
          <w:p w14:paraId="17076998" w14:textId="77777777" w:rsidR="001B3456" w:rsidRPr="00986BB1" w:rsidRDefault="001B3456" w:rsidP="00B6621E">
            <w:pPr>
              <w:rPr>
                <w:rFonts w:cstheme="minorHAnsi"/>
              </w:rPr>
            </w:pPr>
          </w:p>
        </w:tc>
        <w:tc>
          <w:tcPr>
            <w:tcW w:w="1559" w:type="dxa"/>
          </w:tcPr>
          <w:p w14:paraId="126AB175" w14:textId="77777777" w:rsidR="001B3456" w:rsidRPr="008B4009" w:rsidRDefault="001B3456" w:rsidP="00B6621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Maintenance</w:t>
            </w:r>
            <w:r w:rsidRPr="008B4009">
              <w:rPr>
                <w:rFonts w:cstheme="minorHAnsi"/>
              </w:rPr>
              <w:br/>
              <w:t>(n = 225)</w:t>
            </w:r>
          </w:p>
        </w:tc>
        <w:tc>
          <w:tcPr>
            <w:tcW w:w="1701" w:type="dxa"/>
          </w:tcPr>
          <w:p w14:paraId="222682B0" w14:textId="77777777" w:rsidR="001B3456" w:rsidRPr="008B4009" w:rsidRDefault="001B3456" w:rsidP="00B6621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Discontinuation</w:t>
            </w:r>
            <w:r w:rsidRPr="008B4009">
              <w:rPr>
                <w:rFonts w:cstheme="minorHAnsi"/>
              </w:rPr>
              <w:br/>
              <w:t>(n = 212)</w:t>
            </w:r>
          </w:p>
        </w:tc>
        <w:tc>
          <w:tcPr>
            <w:tcW w:w="1417" w:type="dxa"/>
          </w:tcPr>
          <w:p w14:paraId="3A7061B8" w14:textId="77777777" w:rsidR="001B3456" w:rsidRPr="008B4009" w:rsidRDefault="007D715A" w:rsidP="00B6621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Total sample</w:t>
            </w:r>
            <w:r w:rsidR="001B3456" w:rsidRPr="008B4009">
              <w:rPr>
                <w:rFonts w:cstheme="minorHAnsi"/>
              </w:rPr>
              <w:br/>
              <w:t>(n = 437)</w:t>
            </w:r>
          </w:p>
        </w:tc>
        <w:tc>
          <w:tcPr>
            <w:tcW w:w="1701" w:type="dxa"/>
          </w:tcPr>
          <w:p w14:paraId="0461AA23" w14:textId="77777777" w:rsidR="001B3456" w:rsidRDefault="001B3456" w:rsidP="00B6621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rPr>
              <w:t>Trial population</w:t>
            </w:r>
          </w:p>
          <w:p w14:paraId="31C8AF79" w14:textId="77777777" w:rsidR="001B3456" w:rsidRPr="008B4009" w:rsidRDefault="001B3456" w:rsidP="00B6621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(n = 47</w:t>
            </w:r>
            <w:r w:rsidR="006A5AFA">
              <w:rPr>
                <w:rFonts w:cstheme="minorHAnsi"/>
              </w:rPr>
              <w:t>8)</w:t>
            </w:r>
            <w:r>
              <w:rPr>
                <w:rFonts w:cstheme="minorHAnsi"/>
              </w:rPr>
              <w:t xml:space="preserve"> </w:t>
            </w:r>
          </w:p>
        </w:tc>
      </w:tr>
      <w:tr w:rsidR="001F3A8E" w14:paraId="1C7A4BEF"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808080" w:themeColor="background1" w:themeShade="80"/>
              <w:right w:val="nil"/>
            </w:tcBorders>
          </w:tcPr>
          <w:p w14:paraId="2E53F7A8" w14:textId="09FF85EE" w:rsidR="001F3A8E" w:rsidRPr="009B5342" w:rsidRDefault="001F3A8E" w:rsidP="00B6621E">
            <w:pPr>
              <w:jc w:val="center"/>
              <w:rPr>
                <w:rFonts w:cstheme="minorHAnsi"/>
                <w:b w:val="0"/>
                <w:bCs w:val="0"/>
              </w:rPr>
            </w:pPr>
          </w:p>
        </w:tc>
        <w:tc>
          <w:tcPr>
            <w:tcW w:w="6378" w:type="dxa"/>
            <w:gridSpan w:val="4"/>
            <w:tcBorders>
              <w:left w:val="nil"/>
              <w:bottom w:val="single" w:sz="4" w:space="0" w:color="808080" w:themeColor="background1" w:themeShade="80"/>
            </w:tcBorders>
          </w:tcPr>
          <w:p w14:paraId="5BAD253C" w14:textId="2AC1A293" w:rsidR="001F3A8E" w:rsidRPr="009B5342" w:rsidRDefault="001F3A8E"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002AB">
              <w:rPr>
                <w:rFonts w:cstheme="minorHAnsi"/>
              </w:rPr>
              <w:t>n(%)</w:t>
            </w:r>
          </w:p>
        </w:tc>
      </w:tr>
      <w:tr w:rsidR="009B5342" w14:paraId="1708A26D"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808080" w:themeColor="background1" w:themeShade="80"/>
              <w:bottom w:val="nil"/>
              <w:right w:val="nil"/>
            </w:tcBorders>
          </w:tcPr>
          <w:p w14:paraId="1ABFE133" w14:textId="77777777" w:rsidR="001B3456" w:rsidRPr="008B4009" w:rsidRDefault="001B3456" w:rsidP="00B6621E">
            <w:pPr>
              <w:rPr>
                <w:rFonts w:cstheme="minorHAnsi"/>
              </w:rPr>
            </w:pPr>
            <w:r w:rsidRPr="00986BB1">
              <w:rPr>
                <w:rFonts w:cstheme="minorHAnsi"/>
              </w:rPr>
              <w:t>Age</w:t>
            </w:r>
          </w:p>
        </w:tc>
        <w:tc>
          <w:tcPr>
            <w:tcW w:w="1559" w:type="dxa"/>
            <w:tcBorders>
              <w:top w:val="single" w:sz="4" w:space="0" w:color="808080" w:themeColor="background1" w:themeShade="80"/>
              <w:left w:val="nil"/>
              <w:bottom w:val="nil"/>
              <w:right w:val="nil"/>
            </w:tcBorders>
          </w:tcPr>
          <w:p w14:paraId="4E2F1F0B"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top w:val="single" w:sz="4" w:space="0" w:color="808080" w:themeColor="background1" w:themeShade="80"/>
              <w:left w:val="nil"/>
              <w:bottom w:val="nil"/>
              <w:right w:val="nil"/>
            </w:tcBorders>
          </w:tcPr>
          <w:p w14:paraId="00C6C7B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tcBorders>
              <w:top w:val="single" w:sz="4" w:space="0" w:color="808080" w:themeColor="background1" w:themeShade="80"/>
              <w:left w:val="nil"/>
              <w:bottom w:val="nil"/>
            </w:tcBorders>
          </w:tcPr>
          <w:p w14:paraId="64E83502"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top w:val="single" w:sz="4" w:space="0" w:color="808080" w:themeColor="background1" w:themeShade="80"/>
              <w:left w:val="nil"/>
              <w:bottom w:val="nil"/>
            </w:tcBorders>
          </w:tcPr>
          <w:p w14:paraId="3B4667CB"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B5342" w14:paraId="62C249C6"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414BF49B" w14:textId="77777777" w:rsidR="001B3456" w:rsidRPr="008B4009" w:rsidRDefault="001B3456" w:rsidP="00B6621E">
            <w:pPr>
              <w:ind w:left="283"/>
              <w:rPr>
                <w:rFonts w:cstheme="minorHAnsi"/>
                <w:b w:val="0"/>
                <w:bCs w:val="0"/>
              </w:rPr>
            </w:pPr>
            <w:r w:rsidRPr="00986BB1">
              <w:rPr>
                <w:rFonts w:cstheme="minorHAnsi"/>
              </w:rPr>
              <w:t>18-34</w:t>
            </w:r>
          </w:p>
        </w:tc>
        <w:tc>
          <w:tcPr>
            <w:tcW w:w="1559" w:type="dxa"/>
            <w:tcBorders>
              <w:top w:val="nil"/>
              <w:left w:val="nil"/>
              <w:bottom w:val="nil"/>
              <w:right w:val="nil"/>
            </w:tcBorders>
          </w:tcPr>
          <w:p w14:paraId="19F3C35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22 (9.</w:t>
            </w:r>
            <w:r>
              <w:rPr>
                <w:rFonts w:cstheme="minorHAnsi"/>
              </w:rPr>
              <w:t>8</w:t>
            </w:r>
            <w:r w:rsidRPr="008B4009">
              <w:rPr>
                <w:rFonts w:cstheme="minorHAnsi"/>
              </w:rPr>
              <w:t>)</w:t>
            </w:r>
          </w:p>
        </w:tc>
        <w:tc>
          <w:tcPr>
            <w:tcW w:w="1701" w:type="dxa"/>
            <w:tcBorders>
              <w:top w:val="nil"/>
              <w:left w:val="nil"/>
              <w:bottom w:val="nil"/>
              <w:right w:val="nil"/>
            </w:tcBorders>
          </w:tcPr>
          <w:p w14:paraId="3798A835"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13 (6.1)</w:t>
            </w:r>
          </w:p>
        </w:tc>
        <w:tc>
          <w:tcPr>
            <w:tcW w:w="1417" w:type="dxa"/>
            <w:tcBorders>
              <w:top w:val="nil"/>
              <w:left w:val="nil"/>
              <w:bottom w:val="nil"/>
            </w:tcBorders>
          </w:tcPr>
          <w:p w14:paraId="7679D26A"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35 (8.0)</w:t>
            </w:r>
          </w:p>
        </w:tc>
        <w:tc>
          <w:tcPr>
            <w:tcW w:w="1701" w:type="dxa"/>
            <w:tcBorders>
              <w:top w:val="nil"/>
              <w:left w:val="nil"/>
              <w:bottom w:val="nil"/>
            </w:tcBorders>
          </w:tcPr>
          <w:p w14:paraId="3A8A328E" w14:textId="77777777" w:rsidR="001B3456" w:rsidRPr="008B4009" w:rsidRDefault="003B702B"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39 (8.2)</w:t>
            </w:r>
          </w:p>
        </w:tc>
      </w:tr>
      <w:tr w:rsidR="009B5342" w14:paraId="25ED727E"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5295291D" w14:textId="77777777" w:rsidR="001B3456" w:rsidRPr="008B4009" w:rsidRDefault="001B3456" w:rsidP="00B6621E">
            <w:pPr>
              <w:ind w:left="283"/>
              <w:rPr>
                <w:rFonts w:cstheme="minorHAnsi"/>
                <w:b w:val="0"/>
                <w:bCs w:val="0"/>
              </w:rPr>
            </w:pPr>
            <w:r w:rsidRPr="00986BB1">
              <w:rPr>
                <w:rFonts w:cstheme="minorHAnsi"/>
              </w:rPr>
              <w:t>35-54</w:t>
            </w:r>
          </w:p>
        </w:tc>
        <w:tc>
          <w:tcPr>
            <w:tcW w:w="1559" w:type="dxa"/>
            <w:tcBorders>
              <w:top w:val="nil"/>
              <w:left w:val="nil"/>
              <w:bottom w:val="nil"/>
              <w:right w:val="nil"/>
            </w:tcBorders>
          </w:tcPr>
          <w:p w14:paraId="3F5724D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81 (36.0)</w:t>
            </w:r>
          </w:p>
        </w:tc>
        <w:tc>
          <w:tcPr>
            <w:tcW w:w="1701" w:type="dxa"/>
            <w:tcBorders>
              <w:top w:val="nil"/>
              <w:left w:val="nil"/>
              <w:bottom w:val="nil"/>
              <w:right w:val="nil"/>
            </w:tcBorders>
          </w:tcPr>
          <w:p w14:paraId="0D2DF84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86 (40.</w:t>
            </w:r>
            <w:r>
              <w:rPr>
                <w:rFonts w:cstheme="minorHAnsi"/>
              </w:rPr>
              <w:t>6</w:t>
            </w:r>
            <w:r w:rsidRPr="008B4009">
              <w:rPr>
                <w:rFonts w:cstheme="minorHAnsi"/>
              </w:rPr>
              <w:t>)</w:t>
            </w:r>
          </w:p>
        </w:tc>
        <w:tc>
          <w:tcPr>
            <w:tcW w:w="1417" w:type="dxa"/>
            <w:tcBorders>
              <w:top w:val="nil"/>
              <w:left w:val="nil"/>
              <w:bottom w:val="nil"/>
            </w:tcBorders>
          </w:tcPr>
          <w:p w14:paraId="379A3B92"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167 (38.2)</w:t>
            </w:r>
          </w:p>
        </w:tc>
        <w:tc>
          <w:tcPr>
            <w:tcW w:w="1701" w:type="dxa"/>
            <w:tcBorders>
              <w:top w:val="nil"/>
              <w:left w:val="nil"/>
              <w:bottom w:val="nil"/>
            </w:tcBorders>
          </w:tcPr>
          <w:p w14:paraId="32EC14F9" w14:textId="77777777" w:rsidR="001B3456" w:rsidRPr="008B4009" w:rsidRDefault="003B702B"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186 (38.9)</w:t>
            </w:r>
          </w:p>
        </w:tc>
      </w:tr>
      <w:tr w:rsidR="009B5342" w14:paraId="13A69652"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214E240B" w14:textId="77777777" w:rsidR="001B3456" w:rsidRPr="008B4009" w:rsidRDefault="001B3456" w:rsidP="00B6621E">
            <w:pPr>
              <w:ind w:left="283"/>
              <w:rPr>
                <w:rFonts w:cstheme="minorHAnsi"/>
                <w:b w:val="0"/>
                <w:bCs w:val="0"/>
              </w:rPr>
            </w:pPr>
            <w:r w:rsidRPr="00986BB1">
              <w:rPr>
                <w:rFonts w:cstheme="minorHAnsi"/>
              </w:rPr>
              <w:t>55-74</w:t>
            </w:r>
          </w:p>
        </w:tc>
        <w:tc>
          <w:tcPr>
            <w:tcW w:w="1559" w:type="dxa"/>
            <w:tcBorders>
              <w:top w:val="nil"/>
              <w:left w:val="nil"/>
              <w:right w:val="nil"/>
            </w:tcBorders>
          </w:tcPr>
          <w:p w14:paraId="4DC96C6C"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122 (54.2)</w:t>
            </w:r>
          </w:p>
        </w:tc>
        <w:tc>
          <w:tcPr>
            <w:tcW w:w="1701" w:type="dxa"/>
            <w:tcBorders>
              <w:top w:val="nil"/>
              <w:left w:val="nil"/>
              <w:right w:val="nil"/>
            </w:tcBorders>
          </w:tcPr>
          <w:p w14:paraId="43514E7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113 (53.3)</w:t>
            </w:r>
          </w:p>
        </w:tc>
        <w:tc>
          <w:tcPr>
            <w:tcW w:w="1417" w:type="dxa"/>
            <w:tcBorders>
              <w:top w:val="nil"/>
              <w:left w:val="nil"/>
            </w:tcBorders>
          </w:tcPr>
          <w:p w14:paraId="213B0B69"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235 (53.</w:t>
            </w:r>
            <w:r>
              <w:rPr>
                <w:rFonts w:cstheme="minorHAnsi"/>
              </w:rPr>
              <w:t>8</w:t>
            </w:r>
            <w:r w:rsidRPr="008B4009">
              <w:rPr>
                <w:rFonts w:cstheme="minorHAnsi"/>
              </w:rPr>
              <w:t>)</w:t>
            </w:r>
          </w:p>
        </w:tc>
        <w:tc>
          <w:tcPr>
            <w:tcW w:w="1701" w:type="dxa"/>
            <w:tcBorders>
              <w:top w:val="nil"/>
              <w:left w:val="nil"/>
            </w:tcBorders>
          </w:tcPr>
          <w:p w14:paraId="7131841F" w14:textId="77777777" w:rsidR="001B3456" w:rsidRPr="008B4009" w:rsidRDefault="003B702B"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25</w:t>
            </w:r>
            <w:r w:rsidR="001911C2">
              <w:rPr>
                <w:rFonts w:cstheme="minorHAnsi"/>
              </w:rPr>
              <w:t>3 (52.9)</w:t>
            </w:r>
          </w:p>
        </w:tc>
      </w:tr>
      <w:tr w:rsidR="009B5342" w14:paraId="07E0DB2E"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Pr>
          <w:p w14:paraId="78E18168" w14:textId="77777777" w:rsidR="001B3456" w:rsidRPr="008B4009" w:rsidRDefault="001B3456" w:rsidP="00B6621E">
            <w:pPr>
              <w:rPr>
                <w:rFonts w:cstheme="minorHAnsi"/>
              </w:rPr>
            </w:pPr>
            <w:r w:rsidRPr="00986BB1">
              <w:rPr>
                <w:rFonts w:cstheme="minorHAnsi"/>
              </w:rPr>
              <w:t>Female</w:t>
            </w:r>
          </w:p>
        </w:tc>
        <w:tc>
          <w:tcPr>
            <w:tcW w:w="1559" w:type="dxa"/>
          </w:tcPr>
          <w:p w14:paraId="7E2E66C4"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160 (71.1)</w:t>
            </w:r>
          </w:p>
        </w:tc>
        <w:tc>
          <w:tcPr>
            <w:tcW w:w="1701" w:type="dxa"/>
          </w:tcPr>
          <w:p w14:paraId="5529744C"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163 (76.</w:t>
            </w:r>
            <w:r>
              <w:rPr>
                <w:rFonts w:cstheme="minorHAnsi"/>
              </w:rPr>
              <w:t>9</w:t>
            </w:r>
            <w:r w:rsidRPr="008B4009">
              <w:rPr>
                <w:rFonts w:cstheme="minorHAnsi"/>
              </w:rPr>
              <w:t>)</w:t>
            </w:r>
          </w:p>
        </w:tc>
        <w:tc>
          <w:tcPr>
            <w:tcW w:w="1417" w:type="dxa"/>
          </w:tcPr>
          <w:p w14:paraId="325F74A2"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323 (73.9)</w:t>
            </w:r>
          </w:p>
        </w:tc>
        <w:tc>
          <w:tcPr>
            <w:tcW w:w="1701" w:type="dxa"/>
          </w:tcPr>
          <w:p w14:paraId="130A2958" w14:textId="77777777" w:rsidR="001B3456" w:rsidRPr="008B4009" w:rsidRDefault="001911C2"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350 (73.2)</w:t>
            </w:r>
          </w:p>
        </w:tc>
      </w:tr>
      <w:tr w:rsidR="009B5342" w14:paraId="1DADB5ED"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nil"/>
              <w:right w:val="nil"/>
            </w:tcBorders>
          </w:tcPr>
          <w:p w14:paraId="58452EC1" w14:textId="77777777" w:rsidR="001B3456" w:rsidRPr="008B4009" w:rsidRDefault="001B3456" w:rsidP="00B6621E">
            <w:pPr>
              <w:rPr>
                <w:rFonts w:cstheme="minorHAnsi"/>
              </w:rPr>
            </w:pPr>
            <w:r w:rsidRPr="00986BB1">
              <w:rPr>
                <w:rFonts w:cstheme="minorHAnsi"/>
              </w:rPr>
              <w:t>Ethnicity</w:t>
            </w:r>
          </w:p>
        </w:tc>
        <w:tc>
          <w:tcPr>
            <w:tcW w:w="1559" w:type="dxa"/>
            <w:tcBorders>
              <w:left w:val="nil"/>
              <w:bottom w:val="nil"/>
              <w:right w:val="nil"/>
            </w:tcBorders>
          </w:tcPr>
          <w:p w14:paraId="711F810B"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right w:val="nil"/>
            </w:tcBorders>
          </w:tcPr>
          <w:p w14:paraId="60A68884"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tcBorders>
              <w:left w:val="nil"/>
              <w:bottom w:val="nil"/>
            </w:tcBorders>
          </w:tcPr>
          <w:p w14:paraId="6FD0242A"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tcBorders>
          </w:tcPr>
          <w:p w14:paraId="1F0854E6"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B5342" w14:paraId="3A9F8E1C"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2C290BAF" w14:textId="77777777" w:rsidR="001B3456" w:rsidRPr="008B4009" w:rsidRDefault="001B3456" w:rsidP="00B6621E">
            <w:pPr>
              <w:ind w:left="283"/>
              <w:rPr>
                <w:rFonts w:cstheme="minorHAnsi"/>
                <w:b w:val="0"/>
                <w:bCs w:val="0"/>
              </w:rPr>
            </w:pPr>
            <w:r w:rsidRPr="00986BB1">
              <w:rPr>
                <w:rFonts w:cstheme="minorHAnsi"/>
              </w:rPr>
              <w:t>White</w:t>
            </w:r>
          </w:p>
        </w:tc>
        <w:tc>
          <w:tcPr>
            <w:tcW w:w="1559" w:type="dxa"/>
            <w:tcBorders>
              <w:top w:val="nil"/>
              <w:left w:val="nil"/>
              <w:bottom w:val="nil"/>
              <w:right w:val="nil"/>
            </w:tcBorders>
          </w:tcPr>
          <w:p w14:paraId="3DB1F019"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209 (92.</w:t>
            </w:r>
            <w:r>
              <w:rPr>
                <w:rFonts w:cstheme="minorHAnsi"/>
              </w:rPr>
              <w:t>9</w:t>
            </w:r>
            <w:r w:rsidRPr="008B4009">
              <w:rPr>
                <w:rFonts w:cstheme="minorHAnsi"/>
              </w:rPr>
              <w:t>)</w:t>
            </w:r>
          </w:p>
        </w:tc>
        <w:tc>
          <w:tcPr>
            <w:tcW w:w="1701" w:type="dxa"/>
            <w:tcBorders>
              <w:top w:val="nil"/>
              <w:left w:val="nil"/>
              <w:bottom w:val="nil"/>
              <w:right w:val="nil"/>
            </w:tcBorders>
          </w:tcPr>
          <w:p w14:paraId="6E54B969"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204 (96.2)</w:t>
            </w:r>
          </w:p>
        </w:tc>
        <w:tc>
          <w:tcPr>
            <w:tcW w:w="1417" w:type="dxa"/>
            <w:tcBorders>
              <w:top w:val="nil"/>
              <w:left w:val="nil"/>
              <w:bottom w:val="nil"/>
            </w:tcBorders>
          </w:tcPr>
          <w:p w14:paraId="4359D22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413 (94.5)</w:t>
            </w:r>
          </w:p>
        </w:tc>
        <w:tc>
          <w:tcPr>
            <w:tcW w:w="1701" w:type="dxa"/>
            <w:tcBorders>
              <w:top w:val="nil"/>
              <w:left w:val="nil"/>
              <w:bottom w:val="nil"/>
            </w:tcBorders>
          </w:tcPr>
          <w:p w14:paraId="67E0EAE0" w14:textId="77777777" w:rsidR="001B3456" w:rsidRPr="008B4009" w:rsidRDefault="007C4B58"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449 (93.9)</w:t>
            </w:r>
          </w:p>
        </w:tc>
      </w:tr>
      <w:tr w:rsidR="009B5342" w14:paraId="1049E66D"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161B8FE2" w14:textId="77777777" w:rsidR="001B3456" w:rsidRPr="008B4009" w:rsidRDefault="001B3456" w:rsidP="00B6621E">
            <w:pPr>
              <w:ind w:left="283"/>
              <w:rPr>
                <w:rFonts w:cstheme="minorHAnsi"/>
                <w:b w:val="0"/>
                <w:bCs w:val="0"/>
              </w:rPr>
            </w:pPr>
            <w:r w:rsidRPr="00986BB1">
              <w:rPr>
                <w:rFonts w:cstheme="minorHAnsi"/>
              </w:rPr>
              <w:t>Ethnic minority</w:t>
            </w:r>
          </w:p>
        </w:tc>
        <w:tc>
          <w:tcPr>
            <w:tcW w:w="1559" w:type="dxa"/>
            <w:tcBorders>
              <w:top w:val="nil"/>
              <w:left w:val="nil"/>
              <w:right w:val="nil"/>
            </w:tcBorders>
          </w:tcPr>
          <w:p w14:paraId="3A6B7E0F"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16 (7.1)</w:t>
            </w:r>
          </w:p>
        </w:tc>
        <w:tc>
          <w:tcPr>
            <w:tcW w:w="1701" w:type="dxa"/>
            <w:tcBorders>
              <w:top w:val="nil"/>
              <w:left w:val="nil"/>
              <w:right w:val="nil"/>
            </w:tcBorders>
          </w:tcPr>
          <w:p w14:paraId="48CFDEB0"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8 (3.</w:t>
            </w:r>
            <w:r>
              <w:rPr>
                <w:rFonts w:cstheme="minorHAnsi"/>
              </w:rPr>
              <w:t>8</w:t>
            </w:r>
            <w:r w:rsidRPr="008B4009">
              <w:rPr>
                <w:rFonts w:cstheme="minorHAnsi"/>
              </w:rPr>
              <w:t>)</w:t>
            </w:r>
          </w:p>
        </w:tc>
        <w:tc>
          <w:tcPr>
            <w:tcW w:w="1417" w:type="dxa"/>
            <w:tcBorders>
              <w:top w:val="nil"/>
              <w:left w:val="nil"/>
            </w:tcBorders>
          </w:tcPr>
          <w:p w14:paraId="699EEC96"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24 (5.</w:t>
            </w:r>
            <w:r>
              <w:rPr>
                <w:rFonts w:cstheme="minorHAnsi"/>
              </w:rPr>
              <w:t>5</w:t>
            </w:r>
            <w:r w:rsidRPr="008B4009">
              <w:rPr>
                <w:rFonts w:cstheme="minorHAnsi"/>
              </w:rPr>
              <w:t>)</w:t>
            </w:r>
          </w:p>
        </w:tc>
        <w:tc>
          <w:tcPr>
            <w:tcW w:w="1701" w:type="dxa"/>
            <w:tcBorders>
              <w:top w:val="nil"/>
              <w:left w:val="nil"/>
            </w:tcBorders>
          </w:tcPr>
          <w:p w14:paraId="10E730DA" w14:textId="77777777" w:rsidR="001B3456" w:rsidRPr="008B4009" w:rsidRDefault="007C4B58"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 (6.1)</w:t>
            </w:r>
          </w:p>
        </w:tc>
      </w:tr>
      <w:tr w:rsidR="009B5342" w14:paraId="199A886A"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nil"/>
              <w:right w:val="nil"/>
            </w:tcBorders>
          </w:tcPr>
          <w:p w14:paraId="7E19A528" w14:textId="77777777" w:rsidR="001B3456" w:rsidRPr="008B4009" w:rsidRDefault="001B3456" w:rsidP="00B6621E">
            <w:pPr>
              <w:rPr>
                <w:rFonts w:cstheme="minorHAnsi"/>
              </w:rPr>
            </w:pPr>
            <w:r w:rsidRPr="00986BB1">
              <w:rPr>
                <w:rFonts w:cstheme="minorHAnsi"/>
              </w:rPr>
              <w:t>Marital status</w:t>
            </w:r>
          </w:p>
        </w:tc>
        <w:tc>
          <w:tcPr>
            <w:tcW w:w="1559" w:type="dxa"/>
            <w:tcBorders>
              <w:left w:val="nil"/>
              <w:bottom w:val="nil"/>
              <w:right w:val="nil"/>
            </w:tcBorders>
          </w:tcPr>
          <w:p w14:paraId="38E1ED43"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left w:val="nil"/>
              <w:bottom w:val="nil"/>
              <w:right w:val="nil"/>
            </w:tcBorders>
          </w:tcPr>
          <w:p w14:paraId="4E57F563"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tcBorders>
              <w:left w:val="nil"/>
              <w:bottom w:val="nil"/>
            </w:tcBorders>
          </w:tcPr>
          <w:p w14:paraId="1F6DACD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left w:val="nil"/>
              <w:bottom w:val="nil"/>
            </w:tcBorders>
          </w:tcPr>
          <w:p w14:paraId="4D8C475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B5342" w14:paraId="1D973E29"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587004E0" w14:textId="77777777" w:rsidR="001B3456" w:rsidRPr="008B4009" w:rsidRDefault="001B3456" w:rsidP="00B6621E">
            <w:pPr>
              <w:ind w:left="283"/>
              <w:rPr>
                <w:rFonts w:cstheme="minorHAnsi"/>
                <w:b w:val="0"/>
                <w:bCs w:val="0"/>
              </w:rPr>
            </w:pPr>
            <w:r w:rsidRPr="00986BB1">
              <w:rPr>
                <w:rFonts w:cstheme="minorHAnsi"/>
              </w:rPr>
              <w:t xml:space="preserve">Married </w:t>
            </w:r>
          </w:p>
        </w:tc>
        <w:tc>
          <w:tcPr>
            <w:tcW w:w="1559" w:type="dxa"/>
            <w:tcBorders>
              <w:top w:val="nil"/>
              <w:left w:val="nil"/>
              <w:bottom w:val="nil"/>
              <w:right w:val="nil"/>
            </w:tcBorders>
          </w:tcPr>
          <w:p w14:paraId="5C77F252"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139 (61.</w:t>
            </w:r>
            <w:r>
              <w:rPr>
                <w:rFonts w:cstheme="minorHAnsi"/>
              </w:rPr>
              <w:t>8</w:t>
            </w:r>
            <w:r w:rsidRPr="008B4009">
              <w:rPr>
                <w:rFonts w:cstheme="minorHAnsi"/>
              </w:rPr>
              <w:t>)</w:t>
            </w:r>
          </w:p>
        </w:tc>
        <w:tc>
          <w:tcPr>
            <w:tcW w:w="1701" w:type="dxa"/>
            <w:tcBorders>
              <w:top w:val="nil"/>
              <w:left w:val="nil"/>
              <w:bottom w:val="nil"/>
              <w:right w:val="nil"/>
            </w:tcBorders>
          </w:tcPr>
          <w:p w14:paraId="009811AE"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142 (6</w:t>
            </w:r>
            <w:r>
              <w:rPr>
                <w:rFonts w:cstheme="minorHAnsi"/>
              </w:rPr>
              <w:t>7.9</w:t>
            </w:r>
            <w:r w:rsidRPr="008B4009">
              <w:rPr>
                <w:rFonts w:cstheme="minorHAnsi"/>
              </w:rPr>
              <w:t>)</w:t>
            </w:r>
          </w:p>
        </w:tc>
        <w:tc>
          <w:tcPr>
            <w:tcW w:w="1417" w:type="dxa"/>
            <w:tcBorders>
              <w:top w:val="nil"/>
              <w:left w:val="nil"/>
              <w:bottom w:val="nil"/>
            </w:tcBorders>
          </w:tcPr>
          <w:p w14:paraId="64EAE42D"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281 (64.3)</w:t>
            </w:r>
          </w:p>
        </w:tc>
        <w:tc>
          <w:tcPr>
            <w:tcW w:w="1701" w:type="dxa"/>
            <w:tcBorders>
              <w:top w:val="nil"/>
              <w:left w:val="nil"/>
              <w:bottom w:val="nil"/>
            </w:tcBorders>
          </w:tcPr>
          <w:p w14:paraId="22407362" w14:textId="77777777" w:rsidR="001B3456" w:rsidRPr="008B4009" w:rsidRDefault="00AA0997"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307 (64.2)</w:t>
            </w:r>
          </w:p>
        </w:tc>
      </w:tr>
      <w:tr w:rsidR="009B5342" w14:paraId="07E38D99"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4E387047" w14:textId="77777777" w:rsidR="001B3456" w:rsidRPr="008B4009" w:rsidRDefault="001B3456" w:rsidP="00B6621E">
            <w:pPr>
              <w:ind w:left="283"/>
              <w:rPr>
                <w:rFonts w:cstheme="minorHAnsi"/>
                <w:b w:val="0"/>
                <w:bCs w:val="0"/>
              </w:rPr>
            </w:pPr>
            <w:r w:rsidRPr="00986BB1">
              <w:rPr>
                <w:rFonts w:cstheme="minorHAnsi"/>
              </w:rPr>
              <w:t>Single</w:t>
            </w:r>
          </w:p>
        </w:tc>
        <w:tc>
          <w:tcPr>
            <w:tcW w:w="1559" w:type="dxa"/>
            <w:tcBorders>
              <w:top w:val="nil"/>
              <w:left w:val="nil"/>
              <w:bottom w:val="nil"/>
              <w:right w:val="nil"/>
            </w:tcBorders>
          </w:tcPr>
          <w:p w14:paraId="6638354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33 (14.</w:t>
            </w:r>
            <w:r>
              <w:rPr>
                <w:rFonts w:cstheme="minorHAnsi"/>
              </w:rPr>
              <w:t>7</w:t>
            </w:r>
            <w:r w:rsidRPr="008B4009">
              <w:rPr>
                <w:rFonts w:cstheme="minorHAnsi"/>
              </w:rPr>
              <w:t>)</w:t>
            </w:r>
          </w:p>
        </w:tc>
        <w:tc>
          <w:tcPr>
            <w:tcW w:w="1701" w:type="dxa"/>
            <w:tcBorders>
              <w:top w:val="nil"/>
              <w:left w:val="nil"/>
              <w:bottom w:val="nil"/>
              <w:right w:val="nil"/>
            </w:tcBorders>
          </w:tcPr>
          <w:p w14:paraId="1560A45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26 (12.</w:t>
            </w:r>
            <w:r>
              <w:rPr>
                <w:rFonts w:cstheme="minorHAnsi"/>
              </w:rPr>
              <w:t>3</w:t>
            </w:r>
            <w:r w:rsidRPr="008B4009">
              <w:rPr>
                <w:rFonts w:cstheme="minorHAnsi"/>
              </w:rPr>
              <w:t>)</w:t>
            </w:r>
          </w:p>
        </w:tc>
        <w:tc>
          <w:tcPr>
            <w:tcW w:w="1417" w:type="dxa"/>
            <w:tcBorders>
              <w:top w:val="nil"/>
              <w:left w:val="nil"/>
              <w:bottom w:val="nil"/>
            </w:tcBorders>
          </w:tcPr>
          <w:p w14:paraId="378D2BEB"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59 (13.5)</w:t>
            </w:r>
          </w:p>
        </w:tc>
        <w:tc>
          <w:tcPr>
            <w:tcW w:w="1701" w:type="dxa"/>
            <w:tcBorders>
              <w:top w:val="nil"/>
              <w:left w:val="nil"/>
              <w:bottom w:val="nil"/>
            </w:tcBorders>
          </w:tcPr>
          <w:p w14:paraId="3DDAA472" w14:textId="77777777" w:rsidR="001B3456" w:rsidRPr="008B4009" w:rsidRDefault="00AA0997"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61 (12.8)</w:t>
            </w:r>
          </w:p>
        </w:tc>
      </w:tr>
      <w:tr w:rsidR="009B5342" w14:paraId="21A43EE9"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3FBBD470" w14:textId="77777777" w:rsidR="001B3456" w:rsidRPr="008B4009" w:rsidRDefault="001B3456" w:rsidP="00B6621E">
            <w:pPr>
              <w:ind w:left="283"/>
              <w:rPr>
                <w:rFonts w:cstheme="minorHAnsi"/>
                <w:b w:val="0"/>
                <w:bCs w:val="0"/>
              </w:rPr>
            </w:pPr>
            <w:r w:rsidRPr="00986BB1">
              <w:rPr>
                <w:rFonts w:cstheme="minorHAnsi"/>
              </w:rPr>
              <w:t>Separated o</w:t>
            </w:r>
            <w:r w:rsidR="007D715A">
              <w:rPr>
                <w:rFonts w:cstheme="minorHAnsi"/>
              </w:rPr>
              <w:t xml:space="preserve">r </w:t>
            </w:r>
            <w:r w:rsidRPr="00986BB1">
              <w:rPr>
                <w:rFonts w:cstheme="minorHAnsi"/>
              </w:rPr>
              <w:t>divorced</w:t>
            </w:r>
          </w:p>
        </w:tc>
        <w:tc>
          <w:tcPr>
            <w:tcW w:w="1559" w:type="dxa"/>
            <w:tcBorders>
              <w:top w:val="nil"/>
              <w:left w:val="nil"/>
              <w:bottom w:val="nil"/>
              <w:right w:val="nil"/>
            </w:tcBorders>
          </w:tcPr>
          <w:p w14:paraId="23D1ACD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36 (16.0)</w:t>
            </w:r>
          </w:p>
        </w:tc>
        <w:tc>
          <w:tcPr>
            <w:tcW w:w="1701" w:type="dxa"/>
            <w:tcBorders>
              <w:top w:val="nil"/>
              <w:left w:val="nil"/>
              <w:bottom w:val="nil"/>
              <w:right w:val="nil"/>
            </w:tcBorders>
          </w:tcPr>
          <w:p w14:paraId="3DDFCFDA"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28 (13.2)</w:t>
            </w:r>
          </w:p>
        </w:tc>
        <w:tc>
          <w:tcPr>
            <w:tcW w:w="1417" w:type="dxa"/>
            <w:tcBorders>
              <w:top w:val="nil"/>
              <w:left w:val="nil"/>
              <w:bottom w:val="nil"/>
            </w:tcBorders>
          </w:tcPr>
          <w:p w14:paraId="4E35B6AF"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64 (14.</w:t>
            </w:r>
            <w:r>
              <w:rPr>
                <w:rFonts w:cstheme="minorHAnsi"/>
              </w:rPr>
              <w:t>7</w:t>
            </w:r>
            <w:r w:rsidRPr="008B4009">
              <w:rPr>
                <w:rFonts w:cstheme="minorHAnsi"/>
              </w:rPr>
              <w:t>)</w:t>
            </w:r>
          </w:p>
        </w:tc>
        <w:tc>
          <w:tcPr>
            <w:tcW w:w="1701" w:type="dxa"/>
            <w:tcBorders>
              <w:top w:val="nil"/>
              <w:left w:val="nil"/>
              <w:bottom w:val="nil"/>
            </w:tcBorders>
          </w:tcPr>
          <w:p w14:paraId="7DAE4544" w14:textId="77777777" w:rsidR="001B3456" w:rsidRPr="008B4009" w:rsidRDefault="00AA0997"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72 (15.1)</w:t>
            </w:r>
          </w:p>
        </w:tc>
      </w:tr>
      <w:tr w:rsidR="009B5342" w14:paraId="03637E65"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350E3834" w14:textId="77777777" w:rsidR="001B3456" w:rsidRPr="008B4009" w:rsidRDefault="001B3456" w:rsidP="00B6621E">
            <w:pPr>
              <w:ind w:left="283"/>
              <w:rPr>
                <w:rFonts w:cstheme="minorHAnsi"/>
                <w:b w:val="0"/>
                <w:bCs w:val="0"/>
              </w:rPr>
            </w:pPr>
            <w:r w:rsidRPr="00986BB1">
              <w:rPr>
                <w:rFonts w:cstheme="minorHAnsi"/>
              </w:rPr>
              <w:t>Widowed</w:t>
            </w:r>
          </w:p>
        </w:tc>
        <w:tc>
          <w:tcPr>
            <w:tcW w:w="1559" w:type="dxa"/>
            <w:tcBorders>
              <w:top w:val="nil"/>
              <w:left w:val="nil"/>
              <w:right w:val="nil"/>
            </w:tcBorders>
          </w:tcPr>
          <w:p w14:paraId="7D8EE845"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17 (7.</w:t>
            </w:r>
            <w:r>
              <w:rPr>
                <w:rFonts w:cstheme="minorHAnsi"/>
              </w:rPr>
              <w:t>6</w:t>
            </w:r>
            <w:r w:rsidRPr="008B4009">
              <w:rPr>
                <w:rFonts w:cstheme="minorHAnsi"/>
              </w:rPr>
              <w:t>)</w:t>
            </w:r>
          </w:p>
        </w:tc>
        <w:tc>
          <w:tcPr>
            <w:tcW w:w="1701" w:type="dxa"/>
            <w:tcBorders>
              <w:top w:val="nil"/>
              <w:left w:val="nil"/>
              <w:right w:val="nil"/>
            </w:tcBorders>
          </w:tcPr>
          <w:p w14:paraId="6E71A6E9"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16 (7.</w:t>
            </w:r>
            <w:r>
              <w:rPr>
                <w:rFonts w:cstheme="minorHAnsi"/>
              </w:rPr>
              <w:t>6</w:t>
            </w:r>
            <w:r w:rsidRPr="008B4009">
              <w:rPr>
                <w:rFonts w:cstheme="minorHAnsi"/>
              </w:rPr>
              <w:t>)</w:t>
            </w:r>
          </w:p>
        </w:tc>
        <w:tc>
          <w:tcPr>
            <w:tcW w:w="1417" w:type="dxa"/>
            <w:tcBorders>
              <w:top w:val="nil"/>
              <w:left w:val="nil"/>
            </w:tcBorders>
          </w:tcPr>
          <w:p w14:paraId="191D1EA0"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33 (7.</w:t>
            </w:r>
            <w:r>
              <w:rPr>
                <w:rFonts w:cstheme="minorHAnsi"/>
              </w:rPr>
              <w:t>6</w:t>
            </w:r>
            <w:r w:rsidRPr="008B4009">
              <w:rPr>
                <w:rFonts w:cstheme="minorHAnsi"/>
              </w:rPr>
              <w:t>)</w:t>
            </w:r>
          </w:p>
        </w:tc>
        <w:tc>
          <w:tcPr>
            <w:tcW w:w="1701" w:type="dxa"/>
            <w:tcBorders>
              <w:top w:val="nil"/>
              <w:left w:val="nil"/>
            </w:tcBorders>
          </w:tcPr>
          <w:p w14:paraId="0D2C9BD9" w14:textId="77777777" w:rsidR="001B3456" w:rsidRPr="008B4009" w:rsidRDefault="00085FAF"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 (8.0)</w:t>
            </w:r>
          </w:p>
        </w:tc>
      </w:tr>
      <w:tr w:rsidR="009B5342" w14:paraId="67E11C94"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nil"/>
              <w:right w:val="nil"/>
            </w:tcBorders>
          </w:tcPr>
          <w:p w14:paraId="1AF4A2C3" w14:textId="77777777" w:rsidR="001B3456" w:rsidRPr="008B4009" w:rsidRDefault="001B3456" w:rsidP="00B6621E">
            <w:pPr>
              <w:rPr>
                <w:rFonts w:cstheme="minorHAnsi"/>
              </w:rPr>
            </w:pPr>
            <w:r w:rsidRPr="00986BB1">
              <w:rPr>
                <w:rFonts w:cstheme="minorHAnsi"/>
              </w:rPr>
              <w:t>Employment status</w:t>
            </w:r>
          </w:p>
        </w:tc>
        <w:tc>
          <w:tcPr>
            <w:tcW w:w="1559" w:type="dxa"/>
            <w:tcBorders>
              <w:left w:val="nil"/>
              <w:bottom w:val="nil"/>
              <w:right w:val="nil"/>
            </w:tcBorders>
          </w:tcPr>
          <w:p w14:paraId="3614E3EA"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right w:val="nil"/>
            </w:tcBorders>
          </w:tcPr>
          <w:p w14:paraId="5A78500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tcBorders>
              <w:left w:val="nil"/>
              <w:bottom w:val="nil"/>
            </w:tcBorders>
          </w:tcPr>
          <w:p w14:paraId="54A27248"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tcBorders>
          </w:tcPr>
          <w:p w14:paraId="77072346"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B5342" w14:paraId="7786774C"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42124630" w14:textId="77777777" w:rsidR="001B3456" w:rsidRPr="008B4009" w:rsidRDefault="001B3456" w:rsidP="00B6621E">
            <w:pPr>
              <w:ind w:left="283"/>
              <w:rPr>
                <w:rFonts w:cstheme="minorHAnsi"/>
                <w:b w:val="0"/>
                <w:bCs w:val="0"/>
              </w:rPr>
            </w:pPr>
            <w:r w:rsidRPr="00986BB1">
              <w:rPr>
                <w:rFonts w:cstheme="minorHAnsi"/>
              </w:rPr>
              <w:t>Employed</w:t>
            </w:r>
          </w:p>
        </w:tc>
        <w:tc>
          <w:tcPr>
            <w:tcW w:w="1559" w:type="dxa"/>
            <w:tcBorders>
              <w:top w:val="nil"/>
              <w:left w:val="nil"/>
              <w:bottom w:val="nil"/>
              <w:right w:val="nil"/>
            </w:tcBorders>
          </w:tcPr>
          <w:p w14:paraId="521B72E8" w14:textId="628E8783"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133 (59.1)</w:t>
            </w:r>
          </w:p>
        </w:tc>
        <w:tc>
          <w:tcPr>
            <w:tcW w:w="1701" w:type="dxa"/>
            <w:tcBorders>
              <w:top w:val="nil"/>
              <w:left w:val="nil"/>
              <w:bottom w:val="nil"/>
              <w:right w:val="nil"/>
            </w:tcBorders>
          </w:tcPr>
          <w:p w14:paraId="0214157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135 (63.</w:t>
            </w:r>
            <w:r>
              <w:rPr>
                <w:rFonts w:cstheme="minorHAnsi"/>
              </w:rPr>
              <w:t>7</w:t>
            </w:r>
            <w:r w:rsidRPr="008B4009">
              <w:rPr>
                <w:rFonts w:cstheme="minorHAnsi"/>
              </w:rPr>
              <w:t>)</w:t>
            </w:r>
          </w:p>
        </w:tc>
        <w:tc>
          <w:tcPr>
            <w:tcW w:w="1417" w:type="dxa"/>
            <w:tcBorders>
              <w:top w:val="nil"/>
              <w:left w:val="nil"/>
              <w:bottom w:val="nil"/>
            </w:tcBorders>
          </w:tcPr>
          <w:p w14:paraId="578807EA"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268 (61.3)</w:t>
            </w:r>
          </w:p>
        </w:tc>
        <w:tc>
          <w:tcPr>
            <w:tcW w:w="1701" w:type="dxa"/>
            <w:tcBorders>
              <w:top w:val="nil"/>
              <w:left w:val="nil"/>
              <w:bottom w:val="nil"/>
            </w:tcBorders>
          </w:tcPr>
          <w:p w14:paraId="18A470C2" w14:textId="77777777" w:rsidR="001B3456" w:rsidRPr="008B4009" w:rsidRDefault="00085FAF"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292 (61.1)</w:t>
            </w:r>
          </w:p>
        </w:tc>
      </w:tr>
      <w:tr w:rsidR="009B5342" w14:paraId="689709F2"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7C9BA0FB" w14:textId="77777777" w:rsidR="001B3456" w:rsidRPr="008B4009" w:rsidRDefault="001B3456" w:rsidP="00B6621E">
            <w:pPr>
              <w:ind w:left="283"/>
              <w:rPr>
                <w:rFonts w:cstheme="minorHAnsi"/>
                <w:b w:val="0"/>
                <w:bCs w:val="0"/>
              </w:rPr>
            </w:pPr>
            <w:r w:rsidRPr="00986BB1">
              <w:rPr>
                <w:rFonts w:cstheme="minorHAnsi"/>
              </w:rPr>
              <w:t>Retired</w:t>
            </w:r>
          </w:p>
        </w:tc>
        <w:tc>
          <w:tcPr>
            <w:tcW w:w="1559" w:type="dxa"/>
            <w:tcBorders>
              <w:top w:val="nil"/>
              <w:left w:val="nil"/>
              <w:bottom w:val="nil"/>
              <w:right w:val="nil"/>
            </w:tcBorders>
          </w:tcPr>
          <w:p w14:paraId="797BBF7B"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67 (29.</w:t>
            </w:r>
            <w:r>
              <w:rPr>
                <w:rFonts w:cstheme="minorHAnsi"/>
              </w:rPr>
              <w:t>8</w:t>
            </w:r>
            <w:r w:rsidRPr="008B4009">
              <w:rPr>
                <w:rFonts w:cstheme="minorHAnsi"/>
              </w:rPr>
              <w:t>)</w:t>
            </w:r>
          </w:p>
        </w:tc>
        <w:tc>
          <w:tcPr>
            <w:tcW w:w="1701" w:type="dxa"/>
            <w:tcBorders>
              <w:top w:val="nil"/>
              <w:left w:val="nil"/>
              <w:bottom w:val="nil"/>
              <w:right w:val="nil"/>
            </w:tcBorders>
          </w:tcPr>
          <w:p w14:paraId="1B6DCD18"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58 (27.</w:t>
            </w:r>
            <w:r>
              <w:rPr>
                <w:rFonts w:cstheme="minorHAnsi"/>
              </w:rPr>
              <w:t>4</w:t>
            </w:r>
            <w:r w:rsidRPr="008B4009">
              <w:rPr>
                <w:rFonts w:cstheme="minorHAnsi"/>
              </w:rPr>
              <w:t>)</w:t>
            </w:r>
          </w:p>
        </w:tc>
        <w:tc>
          <w:tcPr>
            <w:tcW w:w="1417" w:type="dxa"/>
            <w:tcBorders>
              <w:top w:val="nil"/>
              <w:left w:val="nil"/>
              <w:bottom w:val="nil"/>
            </w:tcBorders>
          </w:tcPr>
          <w:p w14:paraId="5E61CB7D"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125 (28.6)</w:t>
            </w:r>
          </w:p>
        </w:tc>
        <w:tc>
          <w:tcPr>
            <w:tcW w:w="1701" w:type="dxa"/>
            <w:tcBorders>
              <w:top w:val="nil"/>
              <w:left w:val="nil"/>
              <w:bottom w:val="nil"/>
            </w:tcBorders>
          </w:tcPr>
          <w:p w14:paraId="68C855F8" w14:textId="77777777" w:rsidR="001B3456" w:rsidRPr="008B4009" w:rsidRDefault="00085FAF"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139 (29.1)</w:t>
            </w:r>
          </w:p>
        </w:tc>
      </w:tr>
      <w:tr w:rsidR="009B5342" w14:paraId="62C75FE3"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0565769D" w14:textId="77777777" w:rsidR="001B3456" w:rsidRPr="008B4009" w:rsidRDefault="001B3456" w:rsidP="00B6621E">
            <w:pPr>
              <w:ind w:left="283"/>
              <w:rPr>
                <w:rFonts w:cstheme="minorHAnsi"/>
                <w:b w:val="0"/>
                <w:bCs w:val="0"/>
              </w:rPr>
            </w:pPr>
            <w:r w:rsidRPr="00986BB1">
              <w:rPr>
                <w:rFonts w:cstheme="minorHAnsi"/>
              </w:rPr>
              <w:t>Other</w:t>
            </w:r>
          </w:p>
        </w:tc>
        <w:tc>
          <w:tcPr>
            <w:tcW w:w="1559" w:type="dxa"/>
            <w:tcBorders>
              <w:top w:val="nil"/>
              <w:left w:val="nil"/>
              <w:right w:val="nil"/>
            </w:tcBorders>
          </w:tcPr>
          <w:p w14:paraId="20841584"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25 (11.1)</w:t>
            </w:r>
          </w:p>
        </w:tc>
        <w:tc>
          <w:tcPr>
            <w:tcW w:w="1701" w:type="dxa"/>
            <w:tcBorders>
              <w:top w:val="nil"/>
              <w:left w:val="nil"/>
              <w:right w:val="nil"/>
            </w:tcBorders>
          </w:tcPr>
          <w:p w14:paraId="063A3070"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19 (</w:t>
            </w:r>
            <w:r>
              <w:rPr>
                <w:rFonts w:cstheme="minorHAnsi"/>
              </w:rPr>
              <w:t>9.0</w:t>
            </w:r>
            <w:r w:rsidRPr="008B4009">
              <w:rPr>
                <w:rFonts w:cstheme="minorHAnsi"/>
              </w:rPr>
              <w:t>)</w:t>
            </w:r>
          </w:p>
        </w:tc>
        <w:tc>
          <w:tcPr>
            <w:tcW w:w="1417" w:type="dxa"/>
            <w:tcBorders>
              <w:top w:val="nil"/>
              <w:left w:val="nil"/>
            </w:tcBorders>
          </w:tcPr>
          <w:p w14:paraId="0160F71B"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44 (10.</w:t>
            </w:r>
            <w:r>
              <w:rPr>
                <w:rFonts w:cstheme="minorHAnsi"/>
              </w:rPr>
              <w:t>1</w:t>
            </w:r>
            <w:r w:rsidRPr="008B4009">
              <w:rPr>
                <w:rFonts w:cstheme="minorHAnsi"/>
              </w:rPr>
              <w:t>)</w:t>
            </w:r>
          </w:p>
        </w:tc>
        <w:tc>
          <w:tcPr>
            <w:tcW w:w="1701" w:type="dxa"/>
            <w:tcBorders>
              <w:top w:val="nil"/>
              <w:left w:val="nil"/>
            </w:tcBorders>
          </w:tcPr>
          <w:p w14:paraId="7FF4860B" w14:textId="77777777" w:rsidR="001B3456" w:rsidRPr="008B4009" w:rsidRDefault="00085FAF"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47 (9.8)</w:t>
            </w:r>
          </w:p>
        </w:tc>
      </w:tr>
      <w:tr w:rsidR="009B5342" w14:paraId="7EC24BD1"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nil"/>
              <w:right w:val="nil"/>
            </w:tcBorders>
          </w:tcPr>
          <w:p w14:paraId="15B671A4" w14:textId="77777777" w:rsidR="001B3456" w:rsidRPr="008B4009" w:rsidRDefault="008A7D23" w:rsidP="00B6621E">
            <w:pPr>
              <w:rPr>
                <w:rFonts w:cstheme="minorHAnsi"/>
              </w:rPr>
            </w:pPr>
            <w:r>
              <w:rPr>
                <w:rFonts w:cstheme="minorHAnsi"/>
              </w:rPr>
              <w:t>E</w:t>
            </w:r>
            <w:r w:rsidR="001B3456" w:rsidRPr="00986BB1">
              <w:rPr>
                <w:rFonts w:cstheme="minorHAnsi"/>
              </w:rPr>
              <w:t>ducational qualification</w:t>
            </w:r>
          </w:p>
        </w:tc>
        <w:tc>
          <w:tcPr>
            <w:tcW w:w="1559" w:type="dxa"/>
            <w:tcBorders>
              <w:left w:val="nil"/>
              <w:bottom w:val="nil"/>
              <w:right w:val="nil"/>
            </w:tcBorders>
          </w:tcPr>
          <w:p w14:paraId="133262D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right w:val="nil"/>
            </w:tcBorders>
          </w:tcPr>
          <w:p w14:paraId="0F05B549"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tcBorders>
              <w:left w:val="nil"/>
              <w:bottom w:val="nil"/>
            </w:tcBorders>
          </w:tcPr>
          <w:p w14:paraId="69085E5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tcBorders>
          </w:tcPr>
          <w:p w14:paraId="011787D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B5342" w14:paraId="0BDC8CF3"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7EE38A88" w14:textId="77777777" w:rsidR="001B3456" w:rsidRPr="008B4009" w:rsidRDefault="001B3456" w:rsidP="00B6621E">
            <w:pPr>
              <w:ind w:left="227"/>
              <w:rPr>
                <w:rFonts w:cstheme="minorHAnsi"/>
                <w:b w:val="0"/>
                <w:bCs w:val="0"/>
              </w:rPr>
            </w:pPr>
            <w:r w:rsidRPr="00986BB1">
              <w:rPr>
                <w:rFonts w:cstheme="minorHAnsi"/>
              </w:rPr>
              <w:t>Diploma or higher</w:t>
            </w:r>
          </w:p>
        </w:tc>
        <w:tc>
          <w:tcPr>
            <w:tcW w:w="1559" w:type="dxa"/>
            <w:tcBorders>
              <w:top w:val="nil"/>
              <w:left w:val="nil"/>
              <w:bottom w:val="nil"/>
              <w:right w:val="nil"/>
            </w:tcBorders>
          </w:tcPr>
          <w:p w14:paraId="7A4687A7"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118 (52.4)</w:t>
            </w:r>
          </w:p>
        </w:tc>
        <w:tc>
          <w:tcPr>
            <w:tcW w:w="1701" w:type="dxa"/>
            <w:tcBorders>
              <w:top w:val="nil"/>
              <w:left w:val="nil"/>
              <w:bottom w:val="nil"/>
              <w:right w:val="nil"/>
            </w:tcBorders>
          </w:tcPr>
          <w:p w14:paraId="7ECF026E"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132 (62.</w:t>
            </w:r>
            <w:r>
              <w:rPr>
                <w:rFonts w:cstheme="minorHAnsi"/>
              </w:rPr>
              <w:t>3</w:t>
            </w:r>
            <w:r w:rsidRPr="008B4009">
              <w:rPr>
                <w:rFonts w:cstheme="minorHAnsi"/>
              </w:rPr>
              <w:t>)</w:t>
            </w:r>
          </w:p>
        </w:tc>
        <w:tc>
          <w:tcPr>
            <w:tcW w:w="1417" w:type="dxa"/>
            <w:tcBorders>
              <w:top w:val="nil"/>
              <w:left w:val="nil"/>
              <w:bottom w:val="nil"/>
            </w:tcBorders>
          </w:tcPr>
          <w:p w14:paraId="669D446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250 (57.2)</w:t>
            </w:r>
          </w:p>
        </w:tc>
        <w:tc>
          <w:tcPr>
            <w:tcW w:w="1701" w:type="dxa"/>
            <w:tcBorders>
              <w:top w:val="nil"/>
              <w:left w:val="nil"/>
              <w:bottom w:val="nil"/>
            </w:tcBorders>
          </w:tcPr>
          <w:p w14:paraId="3A55E26F" w14:textId="77777777" w:rsidR="001B3456" w:rsidRPr="008B4009" w:rsidRDefault="00BF64E9"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269 (56.3)</w:t>
            </w:r>
          </w:p>
        </w:tc>
      </w:tr>
      <w:tr w:rsidR="009B5342" w14:paraId="67397F59"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27180AD7" w14:textId="77777777" w:rsidR="001B3456" w:rsidRPr="008B4009" w:rsidRDefault="001B3456" w:rsidP="00B6621E">
            <w:pPr>
              <w:ind w:left="227"/>
              <w:rPr>
                <w:rFonts w:cstheme="minorHAnsi"/>
                <w:b w:val="0"/>
                <w:bCs w:val="0"/>
              </w:rPr>
            </w:pPr>
            <w:r w:rsidRPr="00986BB1">
              <w:rPr>
                <w:rFonts w:cstheme="minorHAnsi"/>
              </w:rPr>
              <w:t>A-level or equivalent</w:t>
            </w:r>
          </w:p>
        </w:tc>
        <w:tc>
          <w:tcPr>
            <w:tcW w:w="1559" w:type="dxa"/>
            <w:tcBorders>
              <w:top w:val="nil"/>
              <w:left w:val="nil"/>
              <w:bottom w:val="nil"/>
              <w:right w:val="nil"/>
            </w:tcBorders>
          </w:tcPr>
          <w:p w14:paraId="6064954C"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33 (14.</w:t>
            </w:r>
            <w:r>
              <w:rPr>
                <w:rFonts w:cstheme="minorHAnsi"/>
              </w:rPr>
              <w:t>7</w:t>
            </w:r>
            <w:r w:rsidRPr="008B4009">
              <w:rPr>
                <w:rFonts w:cstheme="minorHAnsi"/>
              </w:rPr>
              <w:t>)</w:t>
            </w:r>
          </w:p>
        </w:tc>
        <w:tc>
          <w:tcPr>
            <w:tcW w:w="1701" w:type="dxa"/>
            <w:tcBorders>
              <w:top w:val="nil"/>
              <w:left w:val="nil"/>
              <w:bottom w:val="nil"/>
              <w:right w:val="nil"/>
            </w:tcBorders>
          </w:tcPr>
          <w:p w14:paraId="0DC0717C"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23 (10.</w:t>
            </w:r>
            <w:r>
              <w:rPr>
                <w:rFonts w:cstheme="minorHAnsi"/>
              </w:rPr>
              <w:t>9</w:t>
            </w:r>
            <w:r w:rsidRPr="008B4009">
              <w:rPr>
                <w:rFonts w:cstheme="minorHAnsi"/>
              </w:rPr>
              <w:t>)</w:t>
            </w:r>
          </w:p>
        </w:tc>
        <w:tc>
          <w:tcPr>
            <w:tcW w:w="1417" w:type="dxa"/>
            <w:tcBorders>
              <w:top w:val="nil"/>
              <w:left w:val="nil"/>
              <w:bottom w:val="nil"/>
            </w:tcBorders>
          </w:tcPr>
          <w:p w14:paraId="2ACE529A"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56 (12.8)</w:t>
            </w:r>
          </w:p>
        </w:tc>
        <w:tc>
          <w:tcPr>
            <w:tcW w:w="1701" w:type="dxa"/>
            <w:tcBorders>
              <w:top w:val="nil"/>
              <w:left w:val="nil"/>
              <w:bottom w:val="nil"/>
            </w:tcBorders>
          </w:tcPr>
          <w:p w14:paraId="4843AC65" w14:textId="77777777" w:rsidR="001B3456" w:rsidRPr="008B4009" w:rsidRDefault="00BF64E9"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58 (12.1)</w:t>
            </w:r>
          </w:p>
        </w:tc>
      </w:tr>
      <w:tr w:rsidR="009B5342" w14:paraId="31669BA9"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23D75F50" w14:textId="77777777" w:rsidR="001B3456" w:rsidRPr="008B4009" w:rsidRDefault="001B3456" w:rsidP="00B6621E">
            <w:pPr>
              <w:ind w:left="227"/>
              <w:rPr>
                <w:rFonts w:cstheme="minorHAnsi"/>
                <w:b w:val="0"/>
                <w:bCs w:val="0"/>
              </w:rPr>
            </w:pPr>
            <w:r w:rsidRPr="00986BB1">
              <w:rPr>
                <w:rFonts w:cstheme="minorHAnsi"/>
              </w:rPr>
              <w:t xml:space="preserve">GCSE or </w:t>
            </w:r>
            <w:r w:rsidRPr="008B4009">
              <w:rPr>
                <w:rFonts w:cstheme="minorHAnsi"/>
              </w:rPr>
              <w:t>equivalent</w:t>
            </w:r>
          </w:p>
        </w:tc>
        <w:tc>
          <w:tcPr>
            <w:tcW w:w="1559" w:type="dxa"/>
            <w:tcBorders>
              <w:top w:val="nil"/>
              <w:left w:val="nil"/>
              <w:bottom w:val="nil"/>
              <w:right w:val="nil"/>
            </w:tcBorders>
          </w:tcPr>
          <w:p w14:paraId="18703BB5"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50 (22.2)</w:t>
            </w:r>
          </w:p>
        </w:tc>
        <w:tc>
          <w:tcPr>
            <w:tcW w:w="1701" w:type="dxa"/>
            <w:tcBorders>
              <w:top w:val="nil"/>
              <w:left w:val="nil"/>
              <w:bottom w:val="nil"/>
              <w:right w:val="nil"/>
            </w:tcBorders>
          </w:tcPr>
          <w:p w14:paraId="24AF58B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38 (17.9)</w:t>
            </w:r>
          </w:p>
        </w:tc>
        <w:tc>
          <w:tcPr>
            <w:tcW w:w="1417" w:type="dxa"/>
            <w:tcBorders>
              <w:top w:val="nil"/>
              <w:left w:val="nil"/>
              <w:bottom w:val="nil"/>
            </w:tcBorders>
          </w:tcPr>
          <w:p w14:paraId="75EAFC4E"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88 (20.1)</w:t>
            </w:r>
          </w:p>
        </w:tc>
        <w:tc>
          <w:tcPr>
            <w:tcW w:w="1701" w:type="dxa"/>
            <w:tcBorders>
              <w:top w:val="nil"/>
              <w:left w:val="nil"/>
              <w:bottom w:val="nil"/>
            </w:tcBorders>
          </w:tcPr>
          <w:p w14:paraId="52DE3365" w14:textId="77777777" w:rsidR="001B3456" w:rsidRPr="008B4009" w:rsidRDefault="00BF64E9"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99 (20.7)</w:t>
            </w:r>
          </w:p>
        </w:tc>
      </w:tr>
      <w:tr w:rsidR="009B5342" w14:paraId="4F761243"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486E606F" w14:textId="77777777" w:rsidR="001B3456" w:rsidRPr="008B4009" w:rsidRDefault="001B3456" w:rsidP="00B6621E">
            <w:pPr>
              <w:ind w:left="227"/>
              <w:rPr>
                <w:rFonts w:cstheme="minorHAnsi"/>
                <w:b w:val="0"/>
                <w:bCs w:val="0"/>
              </w:rPr>
            </w:pPr>
            <w:r w:rsidRPr="00986BB1">
              <w:rPr>
                <w:rFonts w:cstheme="minorHAnsi"/>
              </w:rPr>
              <w:t>No formal</w:t>
            </w:r>
            <w:r w:rsidR="006E1378">
              <w:rPr>
                <w:rFonts w:cstheme="minorHAnsi"/>
              </w:rPr>
              <w:t xml:space="preserve"> </w:t>
            </w:r>
            <w:r w:rsidRPr="00986BB1">
              <w:rPr>
                <w:rFonts w:cstheme="minorHAnsi"/>
              </w:rPr>
              <w:t>qualification</w:t>
            </w:r>
          </w:p>
        </w:tc>
        <w:tc>
          <w:tcPr>
            <w:tcW w:w="1559" w:type="dxa"/>
            <w:tcBorders>
              <w:top w:val="nil"/>
              <w:left w:val="nil"/>
              <w:right w:val="nil"/>
            </w:tcBorders>
          </w:tcPr>
          <w:p w14:paraId="4D766B7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23 (10.2)</w:t>
            </w:r>
          </w:p>
        </w:tc>
        <w:tc>
          <w:tcPr>
            <w:tcW w:w="1701" w:type="dxa"/>
            <w:tcBorders>
              <w:top w:val="nil"/>
              <w:left w:val="nil"/>
              <w:right w:val="nil"/>
            </w:tcBorders>
          </w:tcPr>
          <w:p w14:paraId="5304EE8C"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18 (8.</w:t>
            </w:r>
            <w:r>
              <w:rPr>
                <w:rFonts w:cstheme="minorHAnsi"/>
              </w:rPr>
              <w:t>5</w:t>
            </w:r>
            <w:r w:rsidRPr="008B4009">
              <w:rPr>
                <w:rFonts w:cstheme="minorHAnsi"/>
              </w:rPr>
              <w:t>)</w:t>
            </w:r>
          </w:p>
        </w:tc>
        <w:tc>
          <w:tcPr>
            <w:tcW w:w="1417" w:type="dxa"/>
            <w:tcBorders>
              <w:top w:val="nil"/>
              <w:left w:val="nil"/>
            </w:tcBorders>
          </w:tcPr>
          <w:p w14:paraId="7F404D8B"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41 (9.</w:t>
            </w:r>
            <w:r>
              <w:rPr>
                <w:rFonts w:cstheme="minorHAnsi"/>
              </w:rPr>
              <w:t>4</w:t>
            </w:r>
            <w:r w:rsidRPr="008B4009">
              <w:rPr>
                <w:rFonts w:cstheme="minorHAnsi"/>
              </w:rPr>
              <w:t>)</w:t>
            </w:r>
          </w:p>
        </w:tc>
        <w:tc>
          <w:tcPr>
            <w:tcW w:w="1701" w:type="dxa"/>
            <w:tcBorders>
              <w:top w:val="nil"/>
              <w:left w:val="nil"/>
            </w:tcBorders>
          </w:tcPr>
          <w:p w14:paraId="60EBC1C8" w14:textId="77777777" w:rsidR="001B3456" w:rsidRPr="008B4009" w:rsidRDefault="00D41808"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46 (9.6)</w:t>
            </w:r>
          </w:p>
        </w:tc>
      </w:tr>
      <w:tr w:rsidR="009B5342" w14:paraId="7AD23384"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nil"/>
              <w:right w:val="nil"/>
            </w:tcBorders>
          </w:tcPr>
          <w:p w14:paraId="7FA770CC" w14:textId="77777777" w:rsidR="001B3456" w:rsidRPr="008B4009" w:rsidRDefault="001B3456" w:rsidP="00B6621E">
            <w:pPr>
              <w:rPr>
                <w:rFonts w:cstheme="minorHAnsi"/>
              </w:rPr>
            </w:pPr>
            <w:r w:rsidRPr="00986BB1">
              <w:rPr>
                <w:rFonts w:cstheme="minorHAnsi"/>
              </w:rPr>
              <w:t>Site</w:t>
            </w:r>
          </w:p>
        </w:tc>
        <w:tc>
          <w:tcPr>
            <w:tcW w:w="1559" w:type="dxa"/>
            <w:tcBorders>
              <w:left w:val="nil"/>
              <w:bottom w:val="nil"/>
              <w:right w:val="nil"/>
            </w:tcBorders>
          </w:tcPr>
          <w:p w14:paraId="559F47DB"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left w:val="nil"/>
              <w:bottom w:val="nil"/>
              <w:right w:val="nil"/>
            </w:tcBorders>
          </w:tcPr>
          <w:p w14:paraId="5A947F3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tcBorders>
              <w:left w:val="nil"/>
              <w:bottom w:val="nil"/>
            </w:tcBorders>
          </w:tcPr>
          <w:p w14:paraId="0DE22978"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left w:val="nil"/>
              <w:bottom w:val="nil"/>
            </w:tcBorders>
          </w:tcPr>
          <w:p w14:paraId="385DA00F"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B5342" w14:paraId="274E860B"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6D0F4783" w14:textId="77777777" w:rsidR="001B3456" w:rsidRPr="008B4009" w:rsidRDefault="001B3456" w:rsidP="00B6621E">
            <w:pPr>
              <w:ind w:left="283"/>
              <w:rPr>
                <w:rFonts w:cstheme="minorHAnsi"/>
                <w:b w:val="0"/>
                <w:bCs w:val="0"/>
              </w:rPr>
            </w:pPr>
            <w:r w:rsidRPr="00986BB1">
              <w:rPr>
                <w:rFonts w:cstheme="minorHAnsi"/>
              </w:rPr>
              <w:t>London</w:t>
            </w:r>
          </w:p>
        </w:tc>
        <w:tc>
          <w:tcPr>
            <w:tcW w:w="1559" w:type="dxa"/>
            <w:tcBorders>
              <w:top w:val="nil"/>
              <w:left w:val="nil"/>
              <w:bottom w:val="nil"/>
              <w:right w:val="nil"/>
            </w:tcBorders>
          </w:tcPr>
          <w:p w14:paraId="7E375077"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97 (43.1)</w:t>
            </w:r>
          </w:p>
        </w:tc>
        <w:tc>
          <w:tcPr>
            <w:tcW w:w="1701" w:type="dxa"/>
            <w:tcBorders>
              <w:top w:val="nil"/>
              <w:left w:val="nil"/>
              <w:bottom w:val="nil"/>
              <w:right w:val="nil"/>
            </w:tcBorders>
          </w:tcPr>
          <w:p w14:paraId="2B16EA6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87 (41.0)</w:t>
            </w:r>
          </w:p>
        </w:tc>
        <w:tc>
          <w:tcPr>
            <w:tcW w:w="1417" w:type="dxa"/>
            <w:tcBorders>
              <w:top w:val="nil"/>
              <w:left w:val="nil"/>
              <w:bottom w:val="nil"/>
            </w:tcBorders>
          </w:tcPr>
          <w:p w14:paraId="292A5C8A"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184 (42.1)</w:t>
            </w:r>
          </w:p>
        </w:tc>
        <w:tc>
          <w:tcPr>
            <w:tcW w:w="1701" w:type="dxa"/>
            <w:tcBorders>
              <w:top w:val="nil"/>
              <w:left w:val="nil"/>
              <w:bottom w:val="nil"/>
            </w:tcBorders>
          </w:tcPr>
          <w:p w14:paraId="592CD0AE" w14:textId="77777777" w:rsidR="001B3456" w:rsidRPr="008B4009" w:rsidRDefault="0073620C"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199 (41.6)</w:t>
            </w:r>
          </w:p>
        </w:tc>
      </w:tr>
      <w:tr w:rsidR="009B5342" w14:paraId="4D92E10D"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0A791DE1" w14:textId="77777777" w:rsidR="001B3456" w:rsidRPr="008B4009" w:rsidRDefault="001B3456" w:rsidP="00B6621E">
            <w:pPr>
              <w:ind w:left="283"/>
              <w:rPr>
                <w:rFonts w:cstheme="minorHAnsi"/>
                <w:b w:val="0"/>
                <w:bCs w:val="0"/>
              </w:rPr>
            </w:pPr>
            <w:r w:rsidRPr="00986BB1">
              <w:rPr>
                <w:rFonts w:cstheme="minorHAnsi"/>
              </w:rPr>
              <w:t>Bristol</w:t>
            </w:r>
          </w:p>
        </w:tc>
        <w:tc>
          <w:tcPr>
            <w:tcW w:w="1559" w:type="dxa"/>
            <w:tcBorders>
              <w:top w:val="nil"/>
              <w:left w:val="nil"/>
              <w:bottom w:val="nil"/>
              <w:right w:val="nil"/>
            </w:tcBorders>
          </w:tcPr>
          <w:p w14:paraId="637BF7F5"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47 (20.</w:t>
            </w:r>
            <w:r>
              <w:rPr>
                <w:rFonts w:cstheme="minorHAnsi"/>
              </w:rPr>
              <w:t>9</w:t>
            </w:r>
            <w:r w:rsidRPr="008B4009">
              <w:rPr>
                <w:rFonts w:cstheme="minorHAnsi"/>
              </w:rPr>
              <w:t>)</w:t>
            </w:r>
          </w:p>
        </w:tc>
        <w:tc>
          <w:tcPr>
            <w:tcW w:w="1701" w:type="dxa"/>
            <w:tcBorders>
              <w:top w:val="nil"/>
              <w:left w:val="nil"/>
              <w:bottom w:val="nil"/>
              <w:right w:val="nil"/>
            </w:tcBorders>
          </w:tcPr>
          <w:p w14:paraId="25E46D30"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49 (23.1)</w:t>
            </w:r>
          </w:p>
        </w:tc>
        <w:tc>
          <w:tcPr>
            <w:tcW w:w="1417" w:type="dxa"/>
            <w:tcBorders>
              <w:top w:val="nil"/>
              <w:left w:val="nil"/>
              <w:bottom w:val="nil"/>
            </w:tcBorders>
          </w:tcPr>
          <w:p w14:paraId="473D9597"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96 (2</w:t>
            </w:r>
            <w:r>
              <w:rPr>
                <w:rFonts w:cstheme="minorHAnsi"/>
              </w:rPr>
              <w:t>2.0</w:t>
            </w:r>
            <w:r w:rsidRPr="008B4009">
              <w:rPr>
                <w:rFonts w:cstheme="minorHAnsi"/>
              </w:rPr>
              <w:t>)</w:t>
            </w:r>
          </w:p>
        </w:tc>
        <w:tc>
          <w:tcPr>
            <w:tcW w:w="1701" w:type="dxa"/>
            <w:tcBorders>
              <w:top w:val="nil"/>
              <w:left w:val="nil"/>
              <w:bottom w:val="nil"/>
            </w:tcBorders>
          </w:tcPr>
          <w:p w14:paraId="20A0A2D1" w14:textId="77777777" w:rsidR="001B3456" w:rsidRPr="008B4009" w:rsidRDefault="0073620C"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102 (21.3)</w:t>
            </w:r>
          </w:p>
        </w:tc>
      </w:tr>
      <w:tr w:rsidR="009B5342" w14:paraId="4CFA0CB4"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16D0813F" w14:textId="77777777" w:rsidR="001B3456" w:rsidRPr="008B4009" w:rsidRDefault="001B3456" w:rsidP="00B6621E">
            <w:pPr>
              <w:ind w:left="283"/>
              <w:rPr>
                <w:rFonts w:cstheme="minorHAnsi"/>
                <w:b w:val="0"/>
                <w:bCs w:val="0"/>
              </w:rPr>
            </w:pPr>
            <w:r w:rsidRPr="00986BB1">
              <w:rPr>
                <w:rFonts w:cstheme="minorHAnsi"/>
              </w:rPr>
              <w:t>Southampton</w:t>
            </w:r>
          </w:p>
        </w:tc>
        <w:tc>
          <w:tcPr>
            <w:tcW w:w="1559" w:type="dxa"/>
            <w:tcBorders>
              <w:top w:val="nil"/>
              <w:left w:val="nil"/>
              <w:bottom w:val="nil"/>
              <w:right w:val="nil"/>
            </w:tcBorders>
          </w:tcPr>
          <w:p w14:paraId="57FB1957"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44 (19.</w:t>
            </w:r>
            <w:r>
              <w:rPr>
                <w:rFonts w:cstheme="minorHAnsi"/>
              </w:rPr>
              <w:t>6</w:t>
            </w:r>
            <w:r w:rsidRPr="008B4009">
              <w:rPr>
                <w:rFonts w:cstheme="minorHAnsi"/>
              </w:rPr>
              <w:t>)</w:t>
            </w:r>
          </w:p>
        </w:tc>
        <w:tc>
          <w:tcPr>
            <w:tcW w:w="1701" w:type="dxa"/>
            <w:tcBorders>
              <w:top w:val="nil"/>
              <w:left w:val="nil"/>
              <w:bottom w:val="nil"/>
              <w:right w:val="nil"/>
            </w:tcBorders>
          </w:tcPr>
          <w:p w14:paraId="5707F512"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43 (20.</w:t>
            </w:r>
            <w:r>
              <w:rPr>
                <w:rFonts w:cstheme="minorHAnsi"/>
              </w:rPr>
              <w:t>3</w:t>
            </w:r>
            <w:r w:rsidRPr="008B4009">
              <w:rPr>
                <w:rFonts w:cstheme="minorHAnsi"/>
              </w:rPr>
              <w:t>)</w:t>
            </w:r>
          </w:p>
        </w:tc>
        <w:tc>
          <w:tcPr>
            <w:tcW w:w="1417" w:type="dxa"/>
            <w:tcBorders>
              <w:top w:val="nil"/>
              <w:left w:val="nil"/>
              <w:bottom w:val="nil"/>
            </w:tcBorders>
          </w:tcPr>
          <w:p w14:paraId="6751A4E7"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87 (19.9)</w:t>
            </w:r>
          </w:p>
        </w:tc>
        <w:tc>
          <w:tcPr>
            <w:tcW w:w="1701" w:type="dxa"/>
            <w:tcBorders>
              <w:top w:val="nil"/>
              <w:left w:val="nil"/>
              <w:bottom w:val="nil"/>
            </w:tcBorders>
          </w:tcPr>
          <w:p w14:paraId="42302B4D" w14:textId="77777777" w:rsidR="001B3456" w:rsidRPr="008B4009" w:rsidRDefault="0073620C"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96 (20.1)</w:t>
            </w:r>
          </w:p>
        </w:tc>
      </w:tr>
      <w:tr w:rsidR="009B5342" w14:paraId="7F4C42D0"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2FC6262A" w14:textId="77777777" w:rsidR="001B3456" w:rsidRPr="008B4009" w:rsidRDefault="001B3456" w:rsidP="00B6621E">
            <w:pPr>
              <w:ind w:left="283"/>
              <w:rPr>
                <w:rFonts w:cstheme="minorHAnsi"/>
                <w:b w:val="0"/>
                <w:bCs w:val="0"/>
              </w:rPr>
            </w:pPr>
            <w:r w:rsidRPr="00986BB1">
              <w:rPr>
                <w:rFonts w:cstheme="minorHAnsi"/>
              </w:rPr>
              <w:t>York</w:t>
            </w:r>
          </w:p>
        </w:tc>
        <w:tc>
          <w:tcPr>
            <w:tcW w:w="1559" w:type="dxa"/>
            <w:tcBorders>
              <w:top w:val="nil"/>
              <w:left w:val="nil"/>
              <w:right w:val="nil"/>
            </w:tcBorders>
          </w:tcPr>
          <w:p w14:paraId="5FB2EBC1"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37 (16.4)</w:t>
            </w:r>
          </w:p>
        </w:tc>
        <w:tc>
          <w:tcPr>
            <w:tcW w:w="1701" w:type="dxa"/>
            <w:tcBorders>
              <w:top w:val="nil"/>
              <w:left w:val="nil"/>
              <w:right w:val="nil"/>
            </w:tcBorders>
          </w:tcPr>
          <w:p w14:paraId="6E0B246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33 (15.</w:t>
            </w:r>
            <w:r>
              <w:rPr>
                <w:rFonts w:cstheme="minorHAnsi"/>
              </w:rPr>
              <w:t>6</w:t>
            </w:r>
            <w:r w:rsidRPr="008B4009">
              <w:rPr>
                <w:rFonts w:cstheme="minorHAnsi"/>
              </w:rPr>
              <w:t>)</w:t>
            </w:r>
          </w:p>
        </w:tc>
        <w:tc>
          <w:tcPr>
            <w:tcW w:w="1417" w:type="dxa"/>
            <w:tcBorders>
              <w:top w:val="nil"/>
              <w:left w:val="nil"/>
            </w:tcBorders>
          </w:tcPr>
          <w:p w14:paraId="3C815738"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70 (16.0)</w:t>
            </w:r>
          </w:p>
        </w:tc>
        <w:tc>
          <w:tcPr>
            <w:tcW w:w="1701" w:type="dxa"/>
            <w:tcBorders>
              <w:top w:val="nil"/>
              <w:left w:val="nil"/>
            </w:tcBorders>
          </w:tcPr>
          <w:p w14:paraId="48FBCF4B" w14:textId="77777777" w:rsidR="001B3456" w:rsidRPr="008B4009" w:rsidRDefault="0073620C"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81 (17.0)</w:t>
            </w:r>
          </w:p>
        </w:tc>
      </w:tr>
      <w:tr w:rsidR="009B5342" w14:paraId="7FAA2CC7"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nil"/>
              <w:right w:val="nil"/>
            </w:tcBorders>
          </w:tcPr>
          <w:p w14:paraId="2BAC2C36" w14:textId="77777777" w:rsidR="001B3456" w:rsidRPr="008B4009" w:rsidRDefault="001B3456" w:rsidP="00B6621E">
            <w:pPr>
              <w:rPr>
                <w:rFonts w:cstheme="minorHAnsi"/>
              </w:rPr>
            </w:pPr>
            <w:r w:rsidRPr="00986BB1">
              <w:rPr>
                <w:rFonts w:cstheme="minorHAnsi"/>
              </w:rPr>
              <w:t>Antidepressant</w:t>
            </w:r>
          </w:p>
        </w:tc>
        <w:tc>
          <w:tcPr>
            <w:tcW w:w="1559" w:type="dxa"/>
            <w:tcBorders>
              <w:left w:val="nil"/>
              <w:bottom w:val="nil"/>
              <w:right w:val="nil"/>
            </w:tcBorders>
          </w:tcPr>
          <w:p w14:paraId="0728D6D5"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right w:val="nil"/>
            </w:tcBorders>
          </w:tcPr>
          <w:p w14:paraId="44C65A3B"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417" w:type="dxa"/>
            <w:tcBorders>
              <w:left w:val="nil"/>
              <w:bottom w:val="nil"/>
            </w:tcBorders>
          </w:tcPr>
          <w:p w14:paraId="088073C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1701" w:type="dxa"/>
            <w:tcBorders>
              <w:left w:val="nil"/>
              <w:bottom w:val="nil"/>
            </w:tcBorders>
          </w:tcPr>
          <w:p w14:paraId="42E5A9A6"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9B5342" w14:paraId="07BA9EEB"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3E84C894" w14:textId="77777777" w:rsidR="001B3456" w:rsidRPr="008B4009" w:rsidRDefault="001B3456" w:rsidP="00B6621E">
            <w:pPr>
              <w:ind w:left="283"/>
              <w:rPr>
                <w:rFonts w:cstheme="minorHAnsi"/>
                <w:b w:val="0"/>
                <w:bCs w:val="0"/>
              </w:rPr>
            </w:pPr>
            <w:r w:rsidRPr="00986BB1">
              <w:rPr>
                <w:rFonts w:cstheme="minorHAnsi"/>
              </w:rPr>
              <w:t>Sertraline</w:t>
            </w:r>
          </w:p>
        </w:tc>
        <w:tc>
          <w:tcPr>
            <w:tcW w:w="1559" w:type="dxa"/>
            <w:tcBorders>
              <w:top w:val="nil"/>
              <w:left w:val="nil"/>
              <w:bottom w:val="nil"/>
              <w:right w:val="nil"/>
            </w:tcBorders>
          </w:tcPr>
          <w:p w14:paraId="070F9A07"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38 (16.</w:t>
            </w:r>
            <w:r>
              <w:rPr>
                <w:rFonts w:cstheme="minorHAnsi"/>
              </w:rPr>
              <w:t>9</w:t>
            </w:r>
            <w:r w:rsidRPr="008B4009">
              <w:rPr>
                <w:rFonts w:cstheme="minorHAnsi"/>
              </w:rPr>
              <w:t>)</w:t>
            </w:r>
          </w:p>
        </w:tc>
        <w:tc>
          <w:tcPr>
            <w:tcW w:w="1701" w:type="dxa"/>
            <w:tcBorders>
              <w:top w:val="nil"/>
              <w:left w:val="nil"/>
              <w:bottom w:val="nil"/>
              <w:right w:val="nil"/>
            </w:tcBorders>
          </w:tcPr>
          <w:p w14:paraId="7C94C439"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32 (15.</w:t>
            </w:r>
            <w:r>
              <w:rPr>
                <w:rFonts w:cstheme="minorHAnsi"/>
              </w:rPr>
              <w:t>1</w:t>
            </w:r>
            <w:r w:rsidRPr="008B4009">
              <w:rPr>
                <w:rFonts w:cstheme="minorHAnsi"/>
              </w:rPr>
              <w:t>)</w:t>
            </w:r>
          </w:p>
        </w:tc>
        <w:tc>
          <w:tcPr>
            <w:tcW w:w="1417" w:type="dxa"/>
            <w:tcBorders>
              <w:top w:val="nil"/>
              <w:left w:val="nil"/>
              <w:bottom w:val="nil"/>
            </w:tcBorders>
          </w:tcPr>
          <w:p w14:paraId="7238BC0F"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70 (16.0)</w:t>
            </w:r>
          </w:p>
        </w:tc>
        <w:tc>
          <w:tcPr>
            <w:tcW w:w="1701" w:type="dxa"/>
            <w:tcBorders>
              <w:top w:val="nil"/>
              <w:left w:val="nil"/>
              <w:bottom w:val="nil"/>
            </w:tcBorders>
          </w:tcPr>
          <w:p w14:paraId="0593874F" w14:textId="77777777" w:rsidR="001B3456" w:rsidRPr="008B4009" w:rsidRDefault="005C2C0B"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78 (16.3)</w:t>
            </w:r>
          </w:p>
        </w:tc>
      </w:tr>
      <w:tr w:rsidR="009B5342" w14:paraId="632D9D97"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1D6F6036" w14:textId="77777777" w:rsidR="001B3456" w:rsidRPr="008B4009" w:rsidRDefault="001B3456" w:rsidP="00B6621E">
            <w:pPr>
              <w:ind w:left="283"/>
              <w:rPr>
                <w:rFonts w:cstheme="minorHAnsi"/>
                <w:b w:val="0"/>
                <w:bCs w:val="0"/>
              </w:rPr>
            </w:pPr>
            <w:r w:rsidRPr="00986BB1">
              <w:rPr>
                <w:rFonts w:cstheme="minorHAnsi"/>
              </w:rPr>
              <w:t>Citalopram</w:t>
            </w:r>
          </w:p>
        </w:tc>
        <w:tc>
          <w:tcPr>
            <w:tcW w:w="1559" w:type="dxa"/>
            <w:tcBorders>
              <w:top w:val="nil"/>
              <w:left w:val="nil"/>
              <w:bottom w:val="nil"/>
              <w:right w:val="nil"/>
            </w:tcBorders>
          </w:tcPr>
          <w:p w14:paraId="54CAABFE"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106 (47.1)</w:t>
            </w:r>
          </w:p>
        </w:tc>
        <w:tc>
          <w:tcPr>
            <w:tcW w:w="1701" w:type="dxa"/>
            <w:tcBorders>
              <w:top w:val="nil"/>
              <w:left w:val="nil"/>
              <w:bottom w:val="nil"/>
              <w:right w:val="nil"/>
            </w:tcBorders>
          </w:tcPr>
          <w:p w14:paraId="7E3507D6"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99 (46.7)</w:t>
            </w:r>
          </w:p>
        </w:tc>
        <w:tc>
          <w:tcPr>
            <w:tcW w:w="1417" w:type="dxa"/>
            <w:tcBorders>
              <w:top w:val="nil"/>
              <w:left w:val="nil"/>
              <w:bottom w:val="nil"/>
            </w:tcBorders>
          </w:tcPr>
          <w:p w14:paraId="537A9168"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205 (46.9)</w:t>
            </w:r>
          </w:p>
        </w:tc>
        <w:tc>
          <w:tcPr>
            <w:tcW w:w="1701" w:type="dxa"/>
            <w:tcBorders>
              <w:top w:val="nil"/>
              <w:left w:val="nil"/>
              <w:bottom w:val="nil"/>
            </w:tcBorders>
          </w:tcPr>
          <w:p w14:paraId="20291594" w14:textId="77777777" w:rsidR="001B3456" w:rsidRPr="008B4009" w:rsidRDefault="005C2C0B"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223 (46.7)</w:t>
            </w:r>
          </w:p>
        </w:tc>
      </w:tr>
      <w:tr w:rsidR="009B5342" w14:paraId="63E318AD"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right w:val="nil"/>
            </w:tcBorders>
          </w:tcPr>
          <w:p w14:paraId="680386FD" w14:textId="77777777" w:rsidR="001B3456" w:rsidRPr="008B4009" w:rsidRDefault="001B3456" w:rsidP="00B6621E">
            <w:pPr>
              <w:ind w:left="283"/>
              <w:rPr>
                <w:rFonts w:cstheme="minorHAnsi"/>
                <w:b w:val="0"/>
                <w:bCs w:val="0"/>
              </w:rPr>
            </w:pPr>
            <w:r w:rsidRPr="00986BB1">
              <w:rPr>
                <w:rFonts w:cstheme="minorHAnsi"/>
              </w:rPr>
              <w:t>Fluoxetine</w:t>
            </w:r>
          </w:p>
        </w:tc>
        <w:tc>
          <w:tcPr>
            <w:tcW w:w="1559" w:type="dxa"/>
            <w:tcBorders>
              <w:top w:val="nil"/>
              <w:left w:val="nil"/>
              <w:bottom w:val="nil"/>
              <w:right w:val="nil"/>
            </w:tcBorders>
          </w:tcPr>
          <w:p w14:paraId="6A5E8FA5"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73 (32.4)</w:t>
            </w:r>
          </w:p>
        </w:tc>
        <w:tc>
          <w:tcPr>
            <w:tcW w:w="1701" w:type="dxa"/>
            <w:tcBorders>
              <w:top w:val="nil"/>
              <w:left w:val="nil"/>
              <w:bottom w:val="nil"/>
              <w:right w:val="nil"/>
            </w:tcBorders>
          </w:tcPr>
          <w:p w14:paraId="48B990D2"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73 (34.4)</w:t>
            </w:r>
          </w:p>
        </w:tc>
        <w:tc>
          <w:tcPr>
            <w:tcW w:w="1417" w:type="dxa"/>
            <w:tcBorders>
              <w:top w:val="nil"/>
              <w:left w:val="nil"/>
              <w:bottom w:val="nil"/>
            </w:tcBorders>
          </w:tcPr>
          <w:p w14:paraId="11F5A700"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146 (33.4)</w:t>
            </w:r>
          </w:p>
        </w:tc>
        <w:tc>
          <w:tcPr>
            <w:tcW w:w="1701" w:type="dxa"/>
            <w:tcBorders>
              <w:top w:val="nil"/>
              <w:left w:val="nil"/>
              <w:bottom w:val="nil"/>
            </w:tcBorders>
          </w:tcPr>
          <w:p w14:paraId="18147542" w14:textId="77777777" w:rsidR="001B3456" w:rsidRPr="008B4009" w:rsidRDefault="005C2C0B"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160 (33.5)</w:t>
            </w:r>
          </w:p>
        </w:tc>
      </w:tr>
      <w:tr w:rsidR="009B5342" w14:paraId="0660EC0A"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right w:val="nil"/>
            </w:tcBorders>
          </w:tcPr>
          <w:p w14:paraId="1A368B6D" w14:textId="77777777" w:rsidR="001B3456" w:rsidRPr="008B4009" w:rsidRDefault="001B3456" w:rsidP="00B6621E">
            <w:pPr>
              <w:ind w:left="283"/>
              <w:rPr>
                <w:rFonts w:cstheme="minorHAnsi"/>
                <w:b w:val="0"/>
                <w:bCs w:val="0"/>
              </w:rPr>
            </w:pPr>
            <w:r w:rsidRPr="00986BB1">
              <w:rPr>
                <w:rFonts w:cstheme="minorHAnsi"/>
              </w:rPr>
              <w:t>Mirtazapine</w:t>
            </w:r>
          </w:p>
        </w:tc>
        <w:tc>
          <w:tcPr>
            <w:tcW w:w="1559" w:type="dxa"/>
            <w:tcBorders>
              <w:top w:val="nil"/>
              <w:left w:val="nil"/>
              <w:right w:val="nil"/>
            </w:tcBorders>
          </w:tcPr>
          <w:p w14:paraId="398FA1A0"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8 (3.</w:t>
            </w:r>
            <w:r>
              <w:rPr>
                <w:rFonts w:cstheme="minorHAnsi"/>
              </w:rPr>
              <w:t>6</w:t>
            </w:r>
            <w:r w:rsidRPr="008B4009">
              <w:rPr>
                <w:rFonts w:cstheme="minorHAnsi"/>
              </w:rPr>
              <w:t>)</w:t>
            </w:r>
          </w:p>
        </w:tc>
        <w:tc>
          <w:tcPr>
            <w:tcW w:w="1701" w:type="dxa"/>
            <w:tcBorders>
              <w:top w:val="nil"/>
              <w:left w:val="nil"/>
              <w:right w:val="nil"/>
            </w:tcBorders>
          </w:tcPr>
          <w:p w14:paraId="56384679"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8 (3.</w:t>
            </w:r>
            <w:r>
              <w:rPr>
                <w:rFonts w:cstheme="minorHAnsi"/>
              </w:rPr>
              <w:t>8</w:t>
            </w:r>
            <w:r w:rsidRPr="008B4009">
              <w:rPr>
                <w:rFonts w:cstheme="minorHAnsi"/>
              </w:rPr>
              <w:t>)</w:t>
            </w:r>
          </w:p>
        </w:tc>
        <w:tc>
          <w:tcPr>
            <w:tcW w:w="1417" w:type="dxa"/>
            <w:tcBorders>
              <w:top w:val="nil"/>
              <w:left w:val="nil"/>
            </w:tcBorders>
          </w:tcPr>
          <w:p w14:paraId="47F47782"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16 (3.</w:t>
            </w:r>
            <w:r>
              <w:rPr>
                <w:rFonts w:cstheme="minorHAnsi"/>
              </w:rPr>
              <w:t>7</w:t>
            </w:r>
            <w:r w:rsidRPr="008B4009">
              <w:rPr>
                <w:rFonts w:cstheme="minorHAnsi"/>
              </w:rPr>
              <w:t>)</w:t>
            </w:r>
          </w:p>
        </w:tc>
        <w:tc>
          <w:tcPr>
            <w:tcW w:w="1701" w:type="dxa"/>
            <w:tcBorders>
              <w:top w:val="nil"/>
              <w:left w:val="nil"/>
            </w:tcBorders>
          </w:tcPr>
          <w:p w14:paraId="0899911E" w14:textId="77777777" w:rsidR="001B3456" w:rsidRPr="008B4009" w:rsidRDefault="005C2C0B"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 (3.6)</w:t>
            </w:r>
          </w:p>
        </w:tc>
      </w:tr>
      <w:tr w:rsidR="009B5342" w14:paraId="4E59B2B9"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bottom w:val="single" w:sz="4" w:space="0" w:color="808080" w:themeColor="background1" w:themeShade="80"/>
              <w:right w:val="nil"/>
            </w:tcBorders>
          </w:tcPr>
          <w:p w14:paraId="4F4C01B1" w14:textId="7F15F6F5" w:rsidR="001B3456" w:rsidRPr="008B4009" w:rsidRDefault="001B3456" w:rsidP="00B6621E">
            <w:pPr>
              <w:rPr>
                <w:rFonts w:cstheme="minorHAnsi"/>
              </w:rPr>
            </w:pPr>
            <w:r w:rsidRPr="00986BB1">
              <w:rPr>
                <w:rFonts w:cstheme="minorHAnsi"/>
              </w:rPr>
              <w:t>CIS-R score above median</w:t>
            </w:r>
          </w:p>
        </w:tc>
        <w:tc>
          <w:tcPr>
            <w:tcW w:w="1559" w:type="dxa"/>
            <w:tcBorders>
              <w:left w:val="nil"/>
              <w:bottom w:val="single" w:sz="4" w:space="0" w:color="808080" w:themeColor="background1" w:themeShade="80"/>
              <w:right w:val="nil"/>
            </w:tcBorders>
            <w:vAlign w:val="center"/>
          </w:tcPr>
          <w:p w14:paraId="31E9B6C6"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109 (48.4)</w:t>
            </w:r>
          </w:p>
        </w:tc>
        <w:tc>
          <w:tcPr>
            <w:tcW w:w="1701" w:type="dxa"/>
            <w:tcBorders>
              <w:left w:val="nil"/>
              <w:bottom w:val="single" w:sz="4" w:space="0" w:color="808080" w:themeColor="background1" w:themeShade="80"/>
              <w:right w:val="nil"/>
            </w:tcBorders>
            <w:vAlign w:val="center"/>
          </w:tcPr>
          <w:p w14:paraId="6E158AB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96 (45.</w:t>
            </w:r>
            <w:r>
              <w:rPr>
                <w:rFonts w:cstheme="minorHAnsi"/>
              </w:rPr>
              <w:t>3</w:t>
            </w:r>
            <w:r w:rsidRPr="008B4009">
              <w:rPr>
                <w:rFonts w:cstheme="minorHAnsi"/>
              </w:rPr>
              <w:t>)</w:t>
            </w:r>
          </w:p>
        </w:tc>
        <w:tc>
          <w:tcPr>
            <w:tcW w:w="1417" w:type="dxa"/>
            <w:tcBorders>
              <w:left w:val="nil"/>
              <w:bottom w:val="single" w:sz="4" w:space="0" w:color="808080" w:themeColor="background1" w:themeShade="80"/>
            </w:tcBorders>
            <w:vAlign w:val="center"/>
          </w:tcPr>
          <w:p w14:paraId="4B78796F"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205 (46.9)</w:t>
            </w:r>
          </w:p>
        </w:tc>
        <w:tc>
          <w:tcPr>
            <w:tcW w:w="1701" w:type="dxa"/>
            <w:tcBorders>
              <w:left w:val="nil"/>
              <w:bottom w:val="single" w:sz="4" w:space="0" w:color="808080" w:themeColor="background1" w:themeShade="80"/>
            </w:tcBorders>
            <w:vAlign w:val="center"/>
          </w:tcPr>
          <w:p w14:paraId="67D76C11" w14:textId="77777777" w:rsidR="001B3456" w:rsidRPr="008B4009" w:rsidRDefault="002E2A6B"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227 (47.5)</w:t>
            </w:r>
          </w:p>
        </w:tc>
      </w:tr>
      <w:tr w:rsidR="00910BD8" w14:paraId="39643CD2"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808080" w:themeColor="background1" w:themeShade="80"/>
              <w:bottom w:val="single" w:sz="4" w:space="0" w:color="808080" w:themeColor="background1" w:themeShade="80"/>
              <w:right w:val="nil"/>
            </w:tcBorders>
          </w:tcPr>
          <w:p w14:paraId="622A4849" w14:textId="77777777" w:rsidR="001B3456" w:rsidRPr="008B4009" w:rsidRDefault="001B3456" w:rsidP="00B6621E">
            <w:pPr>
              <w:rPr>
                <w:rFonts w:cstheme="minorHAnsi"/>
              </w:rPr>
            </w:pPr>
            <w:r w:rsidRPr="00986BB1">
              <w:rPr>
                <w:rFonts w:cstheme="minorHAnsi"/>
              </w:rPr>
              <w:t>3</w:t>
            </w:r>
            <w:r w:rsidRPr="008B4009">
              <w:rPr>
                <w:rFonts w:cstheme="minorHAnsi"/>
              </w:rPr>
              <w:t xml:space="preserve"> or more previous episodes of depression</w:t>
            </w:r>
          </w:p>
        </w:tc>
        <w:tc>
          <w:tcPr>
            <w:tcW w:w="1559" w:type="dxa"/>
            <w:tcBorders>
              <w:top w:val="single" w:sz="4" w:space="0" w:color="808080" w:themeColor="background1" w:themeShade="80"/>
              <w:left w:val="nil"/>
              <w:bottom w:val="single" w:sz="4" w:space="0" w:color="808080" w:themeColor="background1" w:themeShade="80"/>
              <w:right w:val="nil"/>
            </w:tcBorders>
            <w:vAlign w:val="center"/>
          </w:tcPr>
          <w:p w14:paraId="0B23F3A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184 (81.</w:t>
            </w:r>
            <w:r>
              <w:rPr>
                <w:rFonts w:cstheme="minorHAnsi"/>
              </w:rPr>
              <w:t>8</w:t>
            </w:r>
            <w:r w:rsidRPr="008B4009">
              <w:rPr>
                <w:rFonts w:cstheme="minorHAnsi"/>
              </w:rPr>
              <w:t>)</w:t>
            </w:r>
          </w:p>
        </w:tc>
        <w:tc>
          <w:tcPr>
            <w:tcW w:w="1701" w:type="dxa"/>
            <w:tcBorders>
              <w:top w:val="single" w:sz="4" w:space="0" w:color="808080" w:themeColor="background1" w:themeShade="80"/>
              <w:left w:val="nil"/>
              <w:bottom w:val="single" w:sz="4" w:space="0" w:color="808080" w:themeColor="background1" w:themeShade="80"/>
              <w:right w:val="nil"/>
            </w:tcBorders>
            <w:vAlign w:val="center"/>
          </w:tcPr>
          <w:p w14:paraId="7D4662E4"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165 (77.8)</w:t>
            </w:r>
          </w:p>
        </w:tc>
        <w:tc>
          <w:tcPr>
            <w:tcW w:w="1417" w:type="dxa"/>
            <w:tcBorders>
              <w:top w:val="single" w:sz="4" w:space="0" w:color="808080" w:themeColor="background1" w:themeShade="80"/>
              <w:left w:val="nil"/>
              <w:bottom w:val="single" w:sz="4" w:space="0" w:color="808080" w:themeColor="background1" w:themeShade="80"/>
            </w:tcBorders>
            <w:vAlign w:val="center"/>
          </w:tcPr>
          <w:p w14:paraId="104CCB4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349 (79.</w:t>
            </w:r>
            <w:r>
              <w:rPr>
                <w:rFonts w:cstheme="minorHAnsi"/>
              </w:rPr>
              <w:t>9</w:t>
            </w:r>
            <w:r w:rsidRPr="008B4009">
              <w:rPr>
                <w:rFonts w:cstheme="minorHAnsi"/>
              </w:rPr>
              <w:t>)</w:t>
            </w:r>
          </w:p>
        </w:tc>
        <w:tc>
          <w:tcPr>
            <w:tcW w:w="1701" w:type="dxa"/>
            <w:tcBorders>
              <w:top w:val="single" w:sz="4" w:space="0" w:color="808080" w:themeColor="background1" w:themeShade="80"/>
              <w:left w:val="nil"/>
              <w:bottom w:val="single" w:sz="4" w:space="0" w:color="808080" w:themeColor="background1" w:themeShade="80"/>
            </w:tcBorders>
            <w:vAlign w:val="center"/>
          </w:tcPr>
          <w:p w14:paraId="6D1E2AFE" w14:textId="77777777" w:rsidR="001B3456" w:rsidRPr="008B4009" w:rsidRDefault="003B023E"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376 (78.7)</w:t>
            </w:r>
          </w:p>
        </w:tc>
      </w:tr>
      <w:tr w:rsidR="001F3A8E" w14:paraId="7963CF55" w14:textId="77777777" w:rsidTr="007F6680">
        <w:trPr>
          <w:trHeight w:val="295"/>
        </w:trPr>
        <w:tc>
          <w:tcPr>
            <w:cnfStyle w:val="001000000000" w:firstRow="0" w:lastRow="0" w:firstColumn="1" w:lastColumn="0" w:oddVBand="0" w:evenVBand="0" w:oddHBand="0" w:evenHBand="0" w:firstRowFirstColumn="0" w:firstRowLastColumn="0" w:lastRowFirstColumn="0" w:lastRowLastColumn="0"/>
            <w:tcW w:w="4253" w:type="dxa"/>
            <w:gridSpan w:val="2"/>
            <w:tcBorders>
              <w:top w:val="single" w:sz="4" w:space="0" w:color="808080" w:themeColor="background1" w:themeShade="80"/>
              <w:bottom w:val="nil"/>
            </w:tcBorders>
          </w:tcPr>
          <w:p w14:paraId="640B9600" w14:textId="6DF73DF0" w:rsidR="001F3A8E" w:rsidRPr="008B4009" w:rsidRDefault="001F3A8E" w:rsidP="00B6621E">
            <w:pPr>
              <w:rPr>
                <w:rFonts w:cstheme="minorHAnsi"/>
              </w:rPr>
            </w:pPr>
            <w:r w:rsidRPr="00986BB1">
              <w:rPr>
                <w:rFonts w:cstheme="minorHAnsi"/>
              </w:rPr>
              <w:t xml:space="preserve">Time taking </w:t>
            </w:r>
            <w:r w:rsidRPr="008B4009">
              <w:rPr>
                <w:rFonts w:cstheme="minorHAnsi"/>
              </w:rPr>
              <w:t>antidep</w:t>
            </w:r>
            <w:r>
              <w:rPr>
                <w:rFonts w:cstheme="minorHAnsi"/>
              </w:rPr>
              <w:t>ressants</w:t>
            </w:r>
          </w:p>
        </w:tc>
        <w:tc>
          <w:tcPr>
            <w:tcW w:w="1701" w:type="dxa"/>
            <w:tcBorders>
              <w:top w:val="single" w:sz="4" w:space="0" w:color="808080" w:themeColor="background1" w:themeShade="80"/>
              <w:bottom w:val="nil"/>
            </w:tcBorders>
          </w:tcPr>
          <w:p w14:paraId="2B86712B" w14:textId="77777777" w:rsidR="001F3A8E" w:rsidRPr="008B4009" w:rsidRDefault="001F3A8E"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417" w:type="dxa"/>
            <w:tcBorders>
              <w:top w:val="single" w:sz="4" w:space="0" w:color="808080" w:themeColor="background1" w:themeShade="80"/>
              <w:bottom w:val="nil"/>
            </w:tcBorders>
          </w:tcPr>
          <w:p w14:paraId="5FB03910" w14:textId="77777777" w:rsidR="001F3A8E" w:rsidRPr="008B4009" w:rsidRDefault="001F3A8E"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1701" w:type="dxa"/>
            <w:tcBorders>
              <w:top w:val="single" w:sz="4" w:space="0" w:color="808080" w:themeColor="background1" w:themeShade="80"/>
              <w:bottom w:val="nil"/>
            </w:tcBorders>
          </w:tcPr>
          <w:p w14:paraId="068A0EBB" w14:textId="77777777" w:rsidR="001F3A8E" w:rsidRPr="008B4009" w:rsidRDefault="001F3A8E"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9B5342" w14:paraId="1830B0B7"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0515E0F3" w14:textId="77777777" w:rsidR="001B3456" w:rsidRPr="008B4009" w:rsidRDefault="001B3456" w:rsidP="00B6621E">
            <w:pPr>
              <w:ind w:left="283"/>
              <w:rPr>
                <w:rFonts w:cstheme="minorHAnsi"/>
                <w:b w:val="0"/>
                <w:bCs w:val="0"/>
              </w:rPr>
            </w:pPr>
            <w:r w:rsidRPr="00986BB1">
              <w:rPr>
                <w:rFonts w:cstheme="minorHAnsi"/>
              </w:rPr>
              <w:t>9 months to a year</w:t>
            </w:r>
          </w:p>
        </w:tc>
        <w:tc>
          <w:tcPr>
            <w:tcW w:w="1559" w:type="dxa"/>
            <w:tcBorders>
              <w:top w:val="nil"/>
              <w:bottom w:val="nil"/>
            </w:tcBorders>
          </w:tcPr>
          <w:p w14:paraId="33638180"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12 (5.3)</w:t>
            </w:r>
          </w:p>
        </w:tc>
        <w:tc>
          <w:tcPr>
            <w:tcW w:w="1701" w:type="dxa"/>
            <w:tcBorders>
              <w:top w:val="nil"/>
              <w:bottom w:val="nil"/>
            </w:tcBorders>
          </w:tcPr>
          <w:p w14:paraId="0B6BE053"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13 (6.1)</w:t>
            </w:r>
          </w:p>
        </w:tc>
        <w:tc>
          <w:tcPr>
            <w:tcW w:w="1417" w:type="dxa"/>
            <w:tcBorders>
              <w:top w:val="nil"/>
              <w:bottom w:val="nil"/>
            </w:tcBorders>
          </w:tcPr>
          <w:p w14:paraId="448974F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25 (5.7)</w:t>
            </w:r>
          </w:p>
        </w:tc>
        <w:tc>
          <w:tcPr>
            <w:tcW w:w="1701" w:type="dxa"/>
            <w:tcBorders>
              <w:top w:val="nil"/>
              <w:bottom w:val="nil"/>
            </w:tcBorders>
          </w:tcPr>
          <w:p w14:paraId="68582281" w14:textId="77777777" w:rsidR="001B3456" w:rsidRPr="008B4009" w:rsidRDefault="00436320"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 (6.3)</w:t>
            </w:r>
          </w:p>
        </w:tc>
      </w:tr>
      <w:tr w:rsidR="009B5342" w14:paraId="2A6F744E"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1EF82E01" w14:textId="77777777" w:rsidR="001B3456" w:rsidRPr="008B4009" w:rsidRDefault="001B3456" w:rsidP="00B6621E">
            <w:pPr>
              <w:ind w:left="283"/>
              <w:rPr>
                <w:rFonts w:cstheme="minorHAnsi"/>
                <w:b w:val="0"/>
                <w:bCs w:val="0"/>
              </w:rPr>
            </w:pPr>
            <w:r w:rsidRPr="00986BB1">
              <w:rPr>
                <w:rFonts w:cstheme="minorHAnsi"/>
              </w:rPr>
              <w:t>1 to 2 years</w:t>
            </w:r>
          </w:p>
        </w:tc>
        <w:tc>
          <w:tcPr>
            <w:tcW w:w="1559" w:type="dxa"/>
            <w:tcBorders>
              <w:top w:val="nil"/>
              <w:bottom w:val="nil"/>
            </w:tcBorders>
          </w:tcPr>
          <w:p w14:paraId="3209A7D1"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53 (23.</w:t>
            </w:r>
            <w:r>
              <w:rPr>
                <w:rFonts w:cstheme="minorHAnsi"/>
              </w:rPr>
              <w:t>6</w:t>
            </w:r>
            <w:r w:rsidRPr="008B4009">
              <w:rPr>
                <w:rFonts w:cstheme="minorHAnsi"/>
              </w:rPr>
              <w:t>)</w:t>
            </w:r>
          </w:p>
        </w:tc>
        <w:tc>
          <w:tcPr>
            <w:tcW w:w="1701" w:type="dxa"/>
            <w:tcBorders>
              <w:top w:val="nil"/>
              <w:bottom w:val="nil"/>
            </w:tcBorders>
          </w:tcPr>
          <w:p w14:paraId="3777D365"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48 (22.6)</w:t>
            </w:r>
          </w:p>
        </w:tc>
        <w:tc>
          <w:tcPr>
            <w:tcW w:w="1417" w:type="dxa"/>
            <w:tcBorders>
              <w:top w:val="nil"/>
              <w:bottom w:val="nil"/>
            </w:tcBorders>
          </w:tcPr>
          <w:p w14:paraId="0AF594B3"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101 (23.1)</w:t>
            </w:r>
          </w:p>
        </w:tc>
        <w:tc>
          <w:tcPr>
            <w:tcW w:w="1701" w:type="dxa"/>
            <w:tcBorders>
              <w:top w:val="nil"/>
              <w:bottom w:val="nil"/>
            </w:tcBorders>
          </w:tcPr>
          <w:p w14:paraId="0A5643B0" w14:textId="77777777" w:rsidR="001B3456" w:rsidRPr="008B4009" w:rsidRDefault="00436320"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109 (22.8)</w:t>
            </w:r>
          </w:p>
        </w:tc>
      </w:tr>
      <w:tr w:rsidR="009B5342" w14:paraId="0EEFA123"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10CDA51D" w14:textId="77777777" w:rsidR="001B3456" w:rsidRPr="008B4009" w:rsidRDefault="001B3456" w:rsidP="00B6621E">
            <w:pPr>
              <w:ind w:left="283"/>
              <w:rPr>
                <w:rFonts w:cstheme="minorHAnsi"/>
                <w:b w:val="0"/>
                <w:bCs w:val="0"/>
              </w:rPr>
            </w:pPr>
            <w:r w:rsidRPr="00986BB1">
              <w:rPr>
                <w:rFonts w:cstheme="minorHAnsi"/>
              </w:rPr>
              <w:t>3 to 5 years</w:t>
            </w:r>
          </w:p>
        </w:tc>
        <w:tc>
          <w:tcPr>
            <w:tcW w:w="1559" w:type="dxa"/>
            <w:tcBorders>
              <w:top w:val="nil"/>
              <w:bottom w:val="nil"/>
            </w:tcBorders>
          </w:tcPr>
          <w:p w14:paraId="3C43F5AB"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75 (33.3)</w:t>
            </w:r>
          </w:p>
        </w:tc>
        <w:tc>
          <w:tcPr>
            <w:tcW w:w="1701" w:type="dxa"/>
            <w:tcBorders>
              <w:top w:val="nil"/>
              <w:bottom w:val="nil"/>
            </w:tcBorders>
          </w:tcPr>
          <w:p w14:paraId="16347A70"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70 (33.0)</w:t>
            </w:r>
          </w:p>
        </w:tc>
        <w:tc>
          <w:tcPr>
            <w:tcW w:w="1417" w:type="dxa"/>
            <w:tcBorders>
              <w:top w:val="nil"/>
              <w:bottom w:val="nil"/>
            </w:tcBorders>
          </w:tcPr>
          <w:p w14:paraId="7649E1F1"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145 (33.</w:t>
            </w:r>
            <w:r>
              <w:rPr>
                <w:rFonts w:cstheme="minorHAnsi"/>
              </w:rPr>
              <w:t>2</w:t>
            </w:r>
            <w:r w:rsidRPr="008B4009">
              <w:rPr>
                <w:rFonts w:cstheme="minorHAnsi"/>
              </w:rPr>
              <w:t>)</w:t>
            </w:r>
          </w:p>
        </w:tc>
        <w:tc>
          <w:tcPr>
            <w:tcW w:w="1701" w:type="dxa"/>
            <w:tcBorders>
              <w:top w:val="nil"/>
              <w:bottom w:val="nil"/>
            </w:tcBorders>
          </w:tcPr>
          <w:p w14:paraId="0B6DD0CB" w14:textId="77777777" w:rsidR="001B3456" w:rsidRPr="008B4009" w:rsidRDefault="00436320"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160 (33.5)</w:t>
            </w:r>
          </w:p>
        </w:tc>
      </w:tr>
      <w:tr w:rsidR="009B5342" w14:paraId="70F957C5"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Borders>
              <w:top w:val="nil"/>
              <w:bottom w:val="nil"/>
            </w:tcBorders>
          </w:tcPr>
          <w:p w14:paraId="1A0587B2" w14:textId="77777777" w:rsidR="001B3456" w:rsidRPr="008B4009" w:rsidRDefault="001B3456" w:rsidP="00B6621E">
            <w:pPr>
              <w:ind w:left="283"/>
              <w:rPr>
                <w:rFonts w:cstheme="minorHAnsi"/>
                <w:b w:val="0"/>
                <w:bCs w:val="0"/>
              </w:rPr>
            </w:pPr>
            <w:r w:rsidRPr="00986BB1">
              <w:rPr>
                <w:rFonts w:cstheme="minorHAnsi"/>
              </w:rPr>
              <w:t>6 to 10 years</w:t>
            </w:r>
          </w:p>
        </w:tc>
        <w:tc>
          <w:tcPr>
            <w:tcW w:w="1559" w:type="dxa"/>
            <w:tcBorders>
              <w:top w:val="nil"/>
              <w:bottom w:val="nil"/>
            </w:tcBorders>
          </w:tcPr>
          <w:p w14:paraId="6133722E"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45 (20.0)</w:t>
            </w:r>
          </w:p>
        </w:tc>
        <w:tc>
          <w:tcPr>
            <w:tcW w:w="1701" w:type="dxa"/>
            <w:tcBorders>
              <w:top w:val="nil"/>
              <w:bottom w:val="nil"/>
            </w:tcBorders>
          </w:tcPr>
          <w:p w14:paraId="0DB04999"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43 (20.</w:t>
            </w:r>
            <w:r>
              <w:rPr>
                <w:rFonts w:cstheme="minorHAnsi"/>
              </w:rPr>
              <w:t>3</w:t>
            </w:r>
            <w:r w:rsidRPr="008B4009">
              <w:rPr>
                <w:rFonts w:cstheme="minorHAnsi"/>
              </w:rPr>
              <w:t>)</w:t>
            </w:r>
          </w:p>
        </w:tc>
        <w:tc>
          <w:tcPr>
            <w:tcW w:w="1417" w:type="dxa"/>
            <w:tcBorders>
              <w:top w:val="nil"/>
              <w:bottom w:val="nil"/>
            </w:tcBorders>
          </w:tcPr>
          <w:p w14:paraId="3F0421DD" w14:textId="77777777" w:rsidR="001B3456" w:rsidRPr="008B4009" w:rsidRDefault="001B3456"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88 (20.1)</w:t>
            </w:r>
          </w:p>
        </w:tc>
        <w:tc>
          <w:tcPr>
            <w:tcW w:w="1701" w:type="dxa"/>
            <w:tcBorders>
              <w:top w:val="nil"/>
              <w:bottom w:val="nil"/>
            </w:tcBorders>
          </w:tcPr>
          <w:p w14:paraId="1C93E65E" w14:textId="77777777" w:rsidR="001B3456" w:rsidRPr="008B4009" w:rsidRDefault="00436320" w:rsidP="00B6621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96 (20.1)</w:t>
            </w:r>
          </w:p>
        </w:tc>
      </w:tr>
      <w:tr w:rsidR="009B5342" w14:paraId="2434EB1D" w14:textId="77777777" w:rsidTr="006878D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0" w:type="dxa"/>
            <w:tcBorders>
              <w:top w:val="nil"/>
            </w:tcBorders>
          </w:tcPr>
          <w:p w14:paraId="28A9268A" w14:textId="77777777" w:rsidR="001B3456" w:rsidRPr="008B4009" w:rsidRDefault="001B3456" w:rsidP="00B6621E">
            <w:pPr>
              <w:ind w:left="283"/>
              <w:rPr>
                <w:rFonts w:cstheme="minorHAnsi"/>
                <w:b w:val="0"/>
                <w:bCs w:val="0"/>
              </w:rPr>
            </w:pPr>
            <w:r w:rsidRPr="00986BB1">
              <w:rPr>
                <w:rFonts w:cstheme="minorHAnsi"/>
              </w:rPr>
              <w:t>11 or more years</w:t>
            </w:r>
          </w:p>
        </w:tc>
        <w:tc>
          <w:tcPr>
            <w:tcW w:w="0" w:type="dxa"/>
            <w:tcBorders>
              <w:top w:val="nil"/>
            </w:tcBorders>
          </w:tcPr>
          <w:p w14:paraId="7C384D47"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40 (17.</w:t>
            </w:r>
            <w:r>
              <w:rPr>
                <w:rFonts w:cstheme="minorHAnsi"/>
              </w:rPr>
              <w:t>8</w:t>
            </w:r>
            <w:r w:rsidRPr="008B4009">
              <w:rPr>
                <w:rFonts w:cstheme="minorHAnsi"/>
              </w:rPr>
              <w:t>)</w:t>
            </w:r>
          </w:p>
        </w:tc>
        <w:tc>
          <w:tcPr>
            <w:tcW w:w="0" w:type="dxa"/>
            <w:tcBorders>
              <w:top w:val="nil"/>
            </w:tcBorders>
          </w:tcPr>
          <w:p w14:paraId="16F99222"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37 (17.</w:t>
            </w:r>
            <w:r>
              <w:rPr>
                <w:rFonts w:cstheme="minorHAnsi"/>
              </w:rPr>
              <w:t>5</w:t>
            </w:r>
            <w:r w:rsidRPr="008B4009">
              <w:rPr>
                <w:rFonts w:cstheme="minorHAnsi"/>
              </w:rPr>
              <w:t>)</w:t>
            </w:r>
          </w:p>
        </w:tc>
        <w:tc>
          <w:tcPr>
            <w:tcW w:w="0" w:type="dxa"/>
            <w:tcBorders>
              <w:top w:val="nil"/>
            </w:tcBorders>
          </w:tcPr>
          <w:p w14:paraId="7F67E735" w14:textId="77777777" w:rsidR="001B3456" w:rsidRPr="008B4009" w:rsidRDefault="001B3456"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77 (17.6)</w:t>
            </w:r>
          </w:p>
        </w:tc>
        <w:tc>
          <w:tcPr>
            <w:tcW w:w="0" w:type="dxa"/>
            <w:tcBorders>
              <w:top w:val="nil"/>
            </w:tcBorders>
          </w:tcPr>
          <w:p w14:paraId="501DD9AF" w14:textId="77777777" w:rsidR="001B3456" w:rsidRPr="008B4009" w:rsidRDefault="00436320" w:rsidP="00B6621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82 (17.2)</w:t>
            </w:r>
          </w:p>
        </w:tc>
      </w:tr>
      <w:tr w:rsidR="006F2E15" w14:paraId="4DF22E2A"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9072" w:type="dxa"/>
            <w:gridSpan w:val="5"/>
          </w:tcPr>
          <w:p w14:paraId="1D2C7787" w14:textId="77777777" w:rsidR="006F2E15" w:rsidRDefault="006F2E15" w:rsidP="006F2E15">
            <w:pPr>
              <w:jc w:val="center"/>
              <w:rPr>
                <w:rFonts w:cstheme="minorHAnsi"/>
              </w:rPr>
            </w:pPr>
            <w:r w:rsidRPr="008B4009">
              <w:rPr>
                <w:rFonts w:cstheme="minorHAnsi"/>
              </w:rPr>
              <w:lastRenderedPageBreak/>
              <w:t>Mean (SD)</w:t>
            </w:r>
          </w:p>
        </w:tc>
      </w:tr>
      <w:tr w:rsidR="006F2E15" w14:paraId="6754AFCF" w14:textId="77777777" w:rsidTr="001F3A8E">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694" w:type="dxa"/>
          </w:tcPr>
          <w:p w14:paraId="5EE1DCF8" w14:textId="77777777" w:rsidR="006F2E15" w:rsidRPr="008B4009" w:rsidRDefault="006F2E15" w:rsidP="006F2E15">
            <w:pPr>
              <w:rPr>
                <w:rFonts w:cstheme="minorHAnsi"/>
              </w:rPr>
            </w:pPr>
            <w:r w:rsidRPr="00986BB1">
              <w:rPr>
                <w:rFonts w:cstheme="minorHAnsi"/>
              </w:rPr>
              <w:t>Age</w:t>
            </w:r>
            <w:r>
              <w:rPr>
                <w:rFonts w:cstheme="minorHAnsi"/>
              </w:rPr>
              <w:t xml:space="preserve"> (years)</w:t>
            </w:r>
            <w:r w:rsidRPr="00986BB1">
              <w:rPr>
                <w:rFonts w:cstheme="minorHAnsi"/>
              </w:rPr>
              <w:t xml:space="preserve"> that first became aware of having depression</w:t>
            </w:r>
          </w:p>
        </w:tc>
        <w:tc>
          <w:tcPr>
            <w:tcW w:w="1559" w:type="dxa"/>
            <w:vAlign w:val="center"/>
          </w:tcPr>
          <w:p w14:paraId="19E6FC86"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32.9 (15.9)</w:t>
            </w:r>
          </w:p>
        </w:tc>
        <w:tc>
          <w:tcPr>
            <w:tcW w:w="1701" w:type="dxa"/>
            <w:vAlign w:val="center"/>
          </w:tcPr>
          <w:p w14:paraId="4D725FC5"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31.5 (13.9)</w:t>
            </w:r>
          </w:p>
        </w:tc>
        <w:tc>
          <w:tcPr>
            <w:tcW w:w="1417" w:type="dxa"/>
            <w:vAlign w:val="center"/>
          </w:tcPr>
          <w:p w14:paraId="37D0E029"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32.</w:t>
            </w:r>
            <w:r>
              <w:rPr>
                <w:rFonts w:cstheme="minorHAnsi"/>
              </w:rPr>
              <w:t>3</w:t>
            </w:r>
            <w:r w:rsidRPr="008B4009">
              <w:rPr>
                <w:rFonts w:cstheme="minorHAnsi"/>
              </w:rPr>
              <w:t xml:space="preserve"> (1</w:t>
            </w:r>
            <w:r>
              <w:rPr>
                <w:rFonts w:cstheme="minorHAnsi"/>
              </w:rPr>
              <w:t>5.0</w:t>
            </w:r>
            <w:r w:rsidRPr="008B4009">
              <w:rPr>
                <w:rFonts w:cstheme="minorHAnsi"/>
              </w:rPr>
              <w:t>)</w:t>
            </w:r>
          </w:p>
        </w:tc>
        <w:tc>
          <w:tcPr>
            <w:tcW w:w="1701" w:type="dxa"/>
            <w:vAlign w:val="center"/>
          </w:tcPr>
          <w:p w14:paraId="63344555"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32.4 (15.2)</w:t>
            </w:r>
          </w:p>
        </w:tc>
      </w:tr>
      <w:tr w:rsidR="006F2E15" w14:paraId="3AB5FA0C" w14:textId="77777777" w:rsidTr="001F3A8E">
        <w:trPr>
          <w:trHeight w:val="295"/>
        </w:trPr>
        <w:tc>
          <w:tcPr>
            <w:cnfStyle w:val="001000000000" w:firstRow="0" w:lastRow="0" w:firstColumn="1" w:lastColumn="0" w:oddVBand="0" w:evenVBand="0" w:oddHBand="0" w:evenHBand="0" w:firstRowFirstColumn="0" w:firstRowLastColumn="0" w:lastRowFirstColumn="0" w:lastRowLastColumn="0"/>
            <w:tcW w:w="2694" w:type="dxa"/>
          </w:tcPr>
          <w:p w14:paraId="36E9818D" w14:textId="77777777" w:rsidR="006F2E15" w:rsidRPr="008B4009" w:rsidRDefault="006F2E15" w:rsidP="006F2E15">
            <w:pPr>
              <w:rPr>
                <w:rFonts w:cstheme="minorHAnsi"/>
              </w:rPr>
            </w:pPr>
            <w:r w:rsidRPr="00986BB1">
              <w:rPr>
                <w:rFonts w:cstheme="minorHAnsi"/>
              </w:rPr>
              <w:t>CIS-R depressive symptoms</w:t>
            </w:r>
          </w:p>
        </w:tc>
        <w:tc>
          <w:tcPr>
            <w:tcW w:w="1559" w:type="dxa"/>
            <w:vAlign w:val="center"/>
          </w:tcPr>
          <w:p w14:paraId="371BC089" w14:textId="77777777" w:rsidR="006F2E15" w:rsidRPr="008B4009" w:rsidRDefault="006F2E15" w:rsidP="006F2E1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3.20 (2.9)</w:t>
            </w:r>
          </w:p>
        </w:tc>
        <w:tc>
          <w:tcPr>
            <w:tcW w:w="1701" w:type="dxa"/>
            <w:vAlign w:val="center"/>
          </w:tcPr>
          <w:p w14:paraId="3EB61818" w14:textId="77777777" w:rsidR="006F2E15" w:rsidRPr="008B4009" w:rsidRDefault="006F2E15" w:rsidP="006F2E1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2.79 (2.</w:t>
            </w:r>
            <w:r>
              <w:rPr>
                <w:rFonts w:cstheme="minorHAnsi"/>
              </w:rPr>
              <w:t>8</w:t>
            </w:r>
            <w:r w:rsidRPr="008B4009">
              <w:rPr>
                <w:rFonts w:cstheme="minorHAnsi"/>
              </w:rPr>
              <w:t>)</w:t>
            </w:r>
          </w:p>
        </w:tc>
        <w:tc>
          <w:tcPr>
            <w:tcW w:w="1417" w:type="dxa"/>
            <w:vAlign w:val="center"/>
          </w:tcPr>
          <w:p w14:paraId="6AC71FC4" w14:textId="77777777" w:rsidR="006F2E15" w:rsidRPr="008B4009" w:rsidRDefault="006F2E15" w:rsidP="006F2E1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8B4009">
              <w:rPr>
                <w:rFonts w:cstheme="minorHAnsi"/>
              </w:rPr>
              <w:t>3.00 (2.</w:t>
            </w:r>
            <w:r>
              <w:rPr>
                <w:rFonts w:cstheme="minorHAnsi"/>
              </w:rPr>
              <w:t>9</w:t>
            </w:r>
            <w:r w:rsidRPr="008B4009">
              <w:rPr>
                <w:rFonts w:cstheme="minorHAnsi"/>
              </w:rPr>
              <w:t>)</w:t>
            </w:r>
          </w:p>
        </w:tc>
        <w:tc>
          <w:tcPr>
            <w:tcW w:w="1701" w:type="dxa"/>
            <w:vAlign w:val="center"/>
          </w:tcPr>
          <w:p w14:paraId="741A943E" w14:textId="77777777" w:rsidR="006F2E15" w:rsidRPr="008B4009" w:rsidRDefault="006F2E15" w:rsidP="006F2E15">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3.05 (2.9)</w:t>
            </w:r>
          </w:p>
        </w:tc>
      </w:tr>
      <w:tr w:rsidR="006F2E15" w14:paraId="4ED910D5" w14:textId="77777777" w:rsidTr="001F3A8E">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694" w:type="dxa"/>
          </w:tcPr>
          <w:p w14:paraId="72466B02" w14:textId="77777777" w:rsidR="006F2E15" w:rsidRPr="008B4009" w:rsidRDefault="006F2E15" w:rsidP="006F2E15">
            <w:pPr>
              <w:rPr>
                <w:rFonts w:cstheme="minorHAnsi"/>
              </w:rPr>
            </w:pPr>
            <w:r w:rsidRPr="00986BB1">
              <w:rPr>
                <w:rFonts w:cstheme="minorHAnsi"/>
              </w:rPr>
              <w:t>CIS-R anxiety symptoms</w:t>
            </w:r>
          </w:p>
        </w:tc>
        <w:tc>
          <w:tcPr>
            <w:tcW w:w="1559" w:type="dxa"/>
            <w:vAlign w:val="center"/>
          </w:tcPr>
          <w:p w14:paraId="128424F7"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1.50 (</w:t>
            </w:r>
            <w:r>
              <w:rPr>
                <w:rFonts w:cstheme="minorHAnsi"/>
              </w:rPr>
              <w:t>2.0</w:t>
            </w:r>
            <w:r w:rsidRPr="008B4009">
              <w:rPr>
                <w:rFonts w:cstheme="minorHAnsi"/>
              </w:rPr>
              <w:t>)</w:t>
            </w:r>
          </w:p>
        </w:tc>
        <w:tc>
          <w:tcPr>
            <w:tcW w:w="1701" w:type="dxa"/>
            <w:vAlign w:val="center"/>
          </w:tcPr>
          <w:p w14:paraId="728AC74F"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1.29 (1.9)</w:t>
            </w:r>
          </w:p>
        </w:tc>
        <w:tc>
          <w:tcPr>
            <w:tcW w:w="1417" w:type="dxa"/>
            <w:vAlign w:val="center"/>
          </w:tcPr>
          <w:p w14:paraId="510D08A6"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sidRPr="008B4009">
              <w:rPr>
                <w:rFonts w:cstheme="minorHAnsi"/>
              </w:rPr>
              <w:t>1.40 (1.9)</w:t>
            </w:r>
          </w:p>
        </w:tc>
        <w:tc>
          <w:tcPr>
            <w:tcW w:w="1701" w:type="dxa"/>
            <w:vAlign w:val="center"/>
          </w:tcPr>
          <w:p w14:paraId="7C11B852" w14:textId="77777777" w:rsidR="006F2E15" w:rsidRPr="008B4009" w:rsidRDefault="006F2E15" w:rsidP="006F2E15">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1.43 (2.0)</w:t>
            </w:r>
          </w:p>
        </w:tc>
      </w:tr>
      <w:tr w:rsidR="005D581F" w14:paraId="27FDA520" w14:textId="77777777" w:rsidTr="001F3A8E">
        <w:trPr>
          <w:trHeight w:val="162"/>
        </w:trPr>
        <w:tc>
          <w:tcPr>
            <w:cnfStyle w:val="001000000000" w:firstRow="0" w:lastRow="0" w:firstColumn="1" w:lastColumn="0" w:oddVBand="0" w:evenVBand="0" w:oddHBand="0" w:evenHBand="0" w:firstRowFirstColumn="0" w:firstRowLastColumn="0" w:lastRowFirstColumn="0" w:lastRowLastColumn="0"/>
            <w:tcW w:w="2694" w:type="dxa"/>
          </w:tcPr>
          <w:p w14:paraId="1506D0AC" w14:textId="2A47DEED" w:rsidR="005D581F" w:rsidRPr="00986BB1" w:rsidRDefault="005D581F" w:rsidP="005D581F">
            <w:pPr>
              <w:rPr>
                <w:rFonts w:cstheme="minorHAnsi"/>
              </w:rPr>
            </w:pPr>
            <w:r>
              <w:rPr>
                <w:rFonts w:cstheme="minorHAnsi"/>
              </w:rPr>
              <w:t>PHQ-9</w:t>
            </w:r>
            <w:r w:rsidR="00230165">
              <w:rPr>
                <w:rFonts w:cstheme="minorHAnsi"/>
              </w:rPr>
              <w:t xml:space="preserve"> total</w:t>
            </w:r>
            <w:r>
              <w:rPr>
                <w:rFonts w:cstheme="minorHAnsi"/>
              </w:rPr>
              <w:t xml:space="preserve"> score</w:t>
            </w:r>
          </w:p>
        </w:tc>
        <w:tc>
          <w:tcPr>
            <w:tcW w:w="1559" w:type="dxa"/>
            <w:vAlign w:val="center"/>
          </w:tcPr>
          <w:p w14:paraId="41802349" w14:textId="508F8AF8" w:rsidR="005D581F" w:rsidRPr="008B4009" w:rsidRDefault="005D581F" w:rsidP="005D58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3.81 (3.5)</w:t>
            </w:r>
          </w:p>
        </w:tc>
        <w:tc>
          <w:tcPr>
            <w:tcW w:w="1701" w:type="dxa"/>
            <w:vAlign w:val="center"/>
          </w:tcPr>
          <w:p w14:paraId="6BD68853" w14:textId="5155DD4D" w:rsidR="005D581F" w:rsidRPr="008B4009" w:rsidRDefault="005D581F" w:rsidP="005D58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3.84 (3.6)</w:t>
            </w:r>
          </w:p>
        </w:tc>
        <w:tc>
          <w:tcPr>
            <w:tcW w:w="1417" w:type="dxa"/>
            <w:vAlign w:val="center"/>
          </w:tcPr>
          <w:p w14:paraId="2038CC12" w14:textId="16D9DE74" w:rsidR="005D581F" w:rsidRPr="008B4009" w:rsidRDefault="005D581F" w:rsidP="005D58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3.83 (3.5)</w:t>
            </w:r>
          </w:p>
        </w:tc>
        <w:tc>
          <w:tcPr>
            <w:tcW w:w="1701" w:type="dxa"/>
            <w:vAlign w:val="center"/>
          </w:tcPr>
          <w:p w14:paraId="3DF98204" w14:textId="5F379AD4" w:rsidR="005D581F" w:rsidRDefault="001215D5" w:rsidP="005D581F">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3.83 (3.5)</w:t>
            </w:r>
          </w:p>
        </w:tc>
      </w:tr>
      <w:tr w:rsidR="005D581F" w14:paraId="15FBE09C" w14:textId="77777777" w:rsidTr="001F3A8E">
        <w:trPr>
          <w:cnfStyle w:val="000000100000" w:firstRow="0" w:lastRow="0" w:firstColumn="0" w:lastColumn="0" w:oddVBand="0" w:evenVBand="0" w:oddHBand="1" w:evenHBand="0" w:firstRowFirstColumn="0" w:firstRowLastColumn="0" w:lastRowFirstColumn="0" w:lastRowLastColumn="0"/>
          <w:trHeight w:val="162"/>
        </w:trPr>
        <w:tc>
          <w:tcPr>
            <w:cnfStyle w:val="001000000000" w:firstRow="0" w:lastRow="0" w:firstColumn="1" w:lastColumn="0" w:oddVBand="0" w:evenVBand="0" w:oddHBand="0" w:evenHBand="0" w:firstRowFirstColumn="0" w:firstRowLastColumn="0" w:lastRowFirstColumn="0" w:lastRowLastColumn="0"/>
            <w:tcW w:w="2694" w:type="dxa"/>
          </w:tcPr>
          <w:p w14:paraId="148713BD" w14:textId="6F408828" w:rsidR="005D581F" w:rsidRPr="00986BB1" w:rsidRDefault="005D581F" w:rsidP="005D581F">
            <w:pPr>
              <w:rPr>
                <w:rFonts w:cstheme="minorHAnsi"/>
              </w:rPr>
            </w:pPr>
            <w:r>
              <w:rPr>
                <w:rFonts w:cstheme="minorHAnsi"/>
              </w:rPr>
              <w:t>GAD-7</w:t>
            </w:r>
            <w:r w:rsidR="00230165">
              <w:rPr>
                <w:rFonts w:cstheme="minorHAnsi"/>
              </w:rPr>
              <w:t xml:space="preserve"> total</w:t>
            </w:r>
            <w:r>
              <w:rPr>
                <w:rFonts w:cstheme="minorHAnsi"/>
              </w:rPr>
              <w:t xml:space="preserve"> score</w:t>
            </w:r>
          </w:p>
        </w:tc>
        <w:tc>
          <w:tcPr>
            <w:tcW w:w="1559" w:type="dxa"/>
            <w:vAlign w:val="center"/>
          </w:tcPr>
          <w:p w14:paraId="1D0CE8F1" w14:textId="11E25CD0" w:rsidR="005D581F" w:rsidRPr="008B4009" w:rsidRDefault="007517D1" w:rsidP="005D581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3.19 (3.0)</w:t>
            </w:r>
          </w:p>
        </w:tc>
        <w:tc>
          <w:tcPr>
            <w:tcW w:w="1701" w:type="dxa"/>
            <w:vAlign w:val="center"/>
          </w:tcPr>
          <w:p w14:paraId="135130A2" w14:textId="6554DD8B" w:rsidR="005D581F" w:rsidRPr="008B4009" w:rsidRDefault="007517D1" w:rsidP="005D581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2.79 (</w:t>
            </w:r>
            <w:r w:rsidR="00F13C81">
              <w:rPr>
                <w:rFonts w:cstheme="minorHAnsi"/>
              </w:rPr>
              <w:t>3.0)</w:t>
            </w:r>
          </w:p>
        </w:tc>
        <w:tc>
          <w:tcPr>
            <w:tcW w:w="1417" w:type="dxa"/>
            <w:vAlign w:val="center"/>
          </w:tcPr>
          <w:p w14:paraId="2CC36A7B" w14:textId="037CB3E4" w:rsidR="005D581F" w:rsidRPr="008B4009" w:rsidRDefault="00F13C81" w:rsidP="005D581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3.00 (3.0) </w:t>
            </w:r>
          </w:p>
        </w:tc>
        <w:tc>
          <w:tcPr>
            <w:tcW w:w="1701" w:type="dxa"/>
            <w:vAlign w:val="center"/>
          </w:tcPr>
          <w:p w14:paraId="5FD8A9ED" w14:textId="61899474" w:rsidR="005D581F" w:rsidRDefault="00F13C81" w:rsidP="005D581F">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 (3.0)</w:t>
            </w:r>
          </w:p>
        </w:tc>
      </w:tr>
    </w:tbl>
    <w:p w14:paraId="50714560" w14:textId="77777777" w:rsidR="001F3A8E" w:rsidRDefault="001F3A8E" w:rsidP="00B6621E">
      <w:pPr>
        <w:suppressLineNumbers/>
        <w:spacing w:line="276" w:lineRule="auto"/>
        <w:jc w:val="both"/>
      </w:pPr>
    </w:p>
    <w:p w14:paraId="78679CB5" w14:textId="54079C51" w:rsidR="00755D52" w:rsidRDefault="00E7341B" w:rsidP="00B6621E">
      <w:pPr>
        <w:suppressLineNumbers/>
        <w:spacing w:line="276" w:lineRule="auto"/>
        <w:jc w:val="both"/>
      </w:pPr>
      <w:r>
        <w:t xml:space="preserve">Note. </w:t>
      </w:r>
      <w:r w:rsidRPr="00406870">
        <w:t>CIS-R</w:t>
      </w:r>
      <w:r>
        <w:t>,</w:t>
      </w:r>
      <w:r w:rsidRPr="00406870">
        <w:t xml:space="preserve"> </w:t>
      </w:r>
      <w:r>
        <w:t>R</w:t>
      </w:r>
      <w:r w:rsidRPr="00406870">
        <w:t>evised Clinical Interview Schedule</w:t>
      </w:r>
      <w:r w:rsidR="006F2E15">
        <w:t xml:space="preserve">; PHQ-9, </w:t>
      </w:r>
      <w:r w:rsidR="006F2E15" w:rsidRPr="006F2E15">
        <w:t>Patient Health Questionnaire 9-item version</w:t>
      </w:r>
      <w:r w:rsidR="006F2E15">
        <w:t xml:space="preserve">; GAD-7, </w:t>
      </w:r>
      <w:r w:rsidR="006F2E15" w:rsidRPr="006F2E15">
        <w:t>Generalized Anxiety Disorder 7-item version</w:t>
      </w:r>
      <w:r>
        <w:t xml:space="preserve">. Missing data for n = 1 participant in the </w:t>
      </w:r>
      <w:r w:rsidR="002005D5">
        <w:t xml:space="preserve">maintenance </w:t>
      </w:r>
      <w:r>
        <w:t xml:space="preserve">group on highest educational qualification and n = 1 participant in the </w:t>
      </w:r>
      <w:r w:rsidR="002005D5">
        <w:t xml:space="preserve">discontinuation </w:t>
      </w:r>
      <w:r>
        <w:t>group on highest educational qualification, time taking antidepressants and age that first became aware of having depression.</w:t>
      </w:r>
    </w:p>
    <w:p w14:paraId="39F3CA15" w14:textId="77777777" w:rsidR="00920FDD" w:rsidRDefault="00920FDD" w:rsidP="00B6621E">
      <w:pPr>
        <w:suppressLineNumbers/>
        <w:spacing w:line="276" w:lineRule="auto"/>
      </w:pPr>
      <w:bookmarkStart w:id="5" w:name="_Hlk56433519"/>
    </w:p>
    <w:p w14:paraId="589C6B0F" w14:textId="77777777" w:rsidR="00E20463" w:rsidRDefault="00E20463" w:rsidP="00B6621E">
      <w:pPr>
        <w:suppressLineNumbers/>
        <w:rPr>
          <w:b/>
          <w:bCs/>
        </w:rPr>
      </w:pPr>
      <w:r>
        <w:rPr>
          <w:b/>
          <w:bCs/>
        </w:rPr>
        <w:br w:type="page"/>
      </w:r>
    </w:p>
    <w:p w14:paraId="03C3F9B7" w14:textId="77777777" w:rsidR="00920FDD" w:rsidRDefault="00920FDD" w:rsidP="00B6621E">
      <w:pPr>
        <w:suppressLineNumbers/>
        <w:spacing w:line="276" w:lineRule="auto"/>
      </w:pPr>
      <w:r>
        <w:rPr>
          <w:b/>
          <w:bCs/>
        </w:rPr>
        <w:lastRenderedPageBreak/>
        <w:t xml:space="preserve">Table 2. </w:t>
      </w:r>
      <w:r>
        <w:t xml:space="preserve">Positive and negative word recall </w:t>
      </w:r>
      <w:r w:rsidR="00E20463">
        <w:t xml:space="preserve">(hits and false alarms) </w:t>
      </w:r>
      <w:r>
        <w:t>according to treatment allocation.</w:t>
      </w:r>
    </w:p>
    <w:tbl>
      <w:tblPr>
        <w:tblStyle w:val="PlainTable2"/>
        <w:tblW w:w="0" w:type="auto"/>
        <w:jc w:val="center"/>
        <w:tblLook w:val="04A0" w:firstRow="1" w:lastRow="0" w:firstColumn="1" w:lastColumn="0" w:noHBand="0" w:noVBand="1"/>
      </w:tblPr>
      <w:tblGrid>
        <w:gridCol w:w="2678"/>
        <w:gridCol w:w="551"/>
        <w:gridCol w:w="1571"/>
        <w:gridCol w:w="708"/>
        <w:gridCol w:w="1722"/>
      </w:tblGrid>
      <w:tr w:rsidR="00920FDD" w14:paraId="2867C520" w14:textId="77777777" w:rsidTr="004753E7">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Pr>
          <w:p w14:paraId="104F9E1A" w14:textId="77777777" w:rsidR="00920FDD" w:rsidRDefault="00920FDD" w:rsidP="00B6621E">
            <w:pPr>
              <w:spacing w:line="276" w:lineRule="auto"/>
              <w:jc w:val="center"/>
            </w:pPr>
          </w:p>
        </w:tc>
        <w:tc>
          <w:tcPr>
            <w:tcW w:w="2122" w:type="dxa"/>
            <w:gridSpan w:val="2"/>
            <w:vAlign w:val="center"/>
          </w:tcPr>
          <w:p w14:paraId="5970FCE6" w14:textId="77777777" w:rsidR="00920FDD" w:rsidRPr="004C2126" w:rsidRDefault="002005D5" w:rsidP="00B6621E">
            <w:pPr>
              <w:spacing w:line="276" w:lineRule="auto"/>
              <w:jc w:val="center"/>
              <w:cnfStyle w:val="100000000000" w:firstRow="1" w:lastRow="0" w:firstColumn="0" w:lastColumn="0" w:oddVBand="0" w:evenVBand="0" w:oddHBand="0" w:evenHBand="0" w:firstRowFirstColumn="0" w:firstRowLastColumn="0" w:lastRowFirstColumn="0" w:lastRowLastColumn="0"/>
            </w:pPr>
            <w:r>
              <w:t>Maintenance</w:t>
            </w:r>
          </w:p>
        </w:tc>
        <w:tc>
          <w:tcPr>
            <w:tcW w:w="2430" w:type="dxa"/>
            <w:gridSpan w:val="2"/>
            <w:vAlign w:val="center"/>
          </w:tcPr>
          <w:p w14:paraId="5EA2D8E5" w14:textId="77777777" w:rsidR="00920FDD" w:rsidRDefault="002005D5" w:rsidP="00B6621E">
            <w:pPr>
              <w:spacing w:line="276" w:lineRule="auto"/>
              <w:jc w:val="center"/>
              <w:cnfStyle w:val="100000000000" w:firstRow="1" w:lastRow="0" w:firstColumn="0" w:lastColumn="0" w:oddVBand="0" w:evenVBand="0" w:oddHBand="0" w:evenHBand="0" w:firstRowFirstColumn="0" w:firstRowLastColumn="0" w:lastRowFirstColumn="0" w:lastRowLastColumn="0"/>
            </w:pPr>
            <w:r>
              <w:t>Discontinuation</w:t>
            </w:r>
          </w:p>
        </w:tc>
      </w:tr>
      <w:tr w:rsidR="00920FDD" w14:paraId="2771FA4E"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Pr>
          <w:p w14:paraId="300220BC" w14:textId="77777777" w:rsidR="00920FDD" w:rsidRDefault="00920FDD" w:rsidP="00B6621E">
            <w:pPr>
              <w:spacing w:line="276" w:lineRule="auto"/>
              <w:jc w:val="center"/>
            </w:pPr>
          </w:p>
        </w:tc>
        <w:tc>
          <w:tcPr>
            <w:tcW w:w="551" w:type="dxa"/>
            <w:vAlign w:val="center"/>
          </w:tcPr>
          <w:p w14:paraId="5CAEAA68" w14:textId="77777777" w:rsidR="00920FDD" w:rsidRPr="00E43B69"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E43B69">
              <w:rPr>
                <w:b/>
                <w:bCs/>
              </w:rPr>
              <w:t>n</w:t>
            </w:r>
          </w:p>
        </w:tc>
        <w:tc>
          <w:tcPr>
            <w:tcW w:w="0" w:type="dxa"/>
            <w:vAlign w:val="center"/>
          </w:tcPr>
          <w:p w14:paraId="33CC3704" w14:textId="77777777" w:rsidR="00920FDD" w:rsidRPr="00E43B69"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E43B69">
              <w:rPr>
                <w:b/>
                <w:bCs/>
              </w:rPr>
              <w:t>Mean (SD)</w:t>
            </w:r>
          </w:p>
        </w:tc>
        <w:tc>
          <w:tcPr>
            <w:tcW w:w="708" w:type="dxa"/>
            <w:vAlign w:val="center"/>
          </w:tcPr>
          <w:p w14:paraId="3C67691F" w14:textId="77777777" w:rsidR="00920FDD" w:rsidRPr="00E43B69"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E43B69">
              <w:rPr>
                <w:b/>
                <w:bCs/>
              </w:rPr>
              <w:t>n</w:t>
            </w:r>
          </w:p>
        </w:tc>
        <w:tc>
          <w:tcPr>
            <w:tcW w:w="1722" w:type="dxa"/>
            <w:vAlign w:val="center"/>
          </w:tcPr>
          <w:p w14:paraId="6638ADD7" w14:textId="77777777" w:rsidR="00920FDD" w:rsidRPr="00E43B69"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E43B69">
              <w:rPr>
                <w:b/>
                <w:bCs/>
              </w:rPr>
              <w:t>Mean (SD)</w:t>
            </w:r>
          </w:p>
        </w:tc>
      </w:tr>
      <w:tr w:rsidR="00920FDD" w14:paraId="0C2F799F"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single" w:sz="4" w:space="0" w:color="7F7F7F" w:themeColor="text1" w:themeTint="80"/>
              <w:bottom w:val="nil"/>
              <w:right w:val="nil"/>
            </w:tcBorders>
            <w:vAlign w:val="bottom"/>
          </w:tcPr>
          <w:p w14:paraId="5A9C5D13" w14:textId="77777777" w:rsidR="00920FDD" w:rsidRDefault="00920FDD" w:rsidP="00B6621E">
            <w:pPr>
              <w:spacing w:line="276" w:lineRule="auto"/>
            </w:pPr>
            <w:r>
              <w:t>Positive hits</w:t>
            </w:r>
          </w:p>
        </w:tc>
        <w:tc>
          <w:tcPr>
            <w:tcW w:w="551" w:type="dxa"/>
            <w:tcBorders>
              <w:top w:val="single" w:sz="4" w:space="0" w:color="7F7F7F" w:themeColor="text1" w:themeTint="80"/>
              <w:left w:val="nil"/>
              <w:bottom w:val="nil"/>
              <w:right w:val="nil"/>
            </w:tcBorders>
          </w:tcPr>
          <w:p w14:paraId="3BAB7A78"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7F7F7F" w:themeColor="text1" w:themeTint="80"/>
              <w:left w:val="nil"/>
              <w:bottom w:val="nil"/>
              <w:right w:val="nil"/>
            </w:tcBorders>
          </w:tcPr>
          <w:p w14:paraId="3C861BE5"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7F7F7F" w:themeColor="text1" w:themeTint="80"/>
              <w:left w:val="nil"/>
              <w:bottom w:val="nil"/>
              <w:right w:val="nil"/>
            </w:tcBorders>
          </w:tcPr>
          <w:p w14:paraId="7FE8F2E9"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722" w:type="dxa"/>
            <w:tcBorders>
              <w:top w:val="single" w:sz="4" w:space="0" w:color="7F7F7F" w:themeColor="text1" w:themeTint="80"/>
              <w:left w:val="nil"/>
              <w:bottom w:val="nil"/>
            </w:tcBorders>
          </w:tcPr>
          <w:p w14:paraId="26BBC2DE"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920FDD" w14:paraId="47ED1CB0"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nil"/>
              <w:right w:val="nil"/>
            </w:tcBorders>
          </w:tcPr>
          <w:p w14:paraId="14597A5E" w14:textId="77777777" w:rsidR="00920FDD" w:rsidRPr="004C2126" w:rsidRDefault="00920FDD" w:rsidP="00B6621E">
            <w:pPr>
              <w:spacing w:line="276" w:lineRule="auto"/>
              <w:ind w:left="283"/>
              <w:rPr>
                <w:b w:val="0"/>
                <w:bCs w:val="0"/>
              </w:rPr>
            </w:pPr>
            <w:r>
              <w:rPr>
                <w:b w:val="0"/>
                <w:bCs w:val="0"/>
              </w:rPr>
              <w:t>Baseline</w:t>
            </w:r>
          </w:p>
        </w:tc>
        <w:tc>
          <w:tcPr>
            <w:tcW w:w="551" w:type="dxa"/>
            <w:tcBorders>
              <w:top w:val="nil"/>
              <w:left w:val="nil"/>
              <w:bottom w:val="nil"/>
              <w:right w:val="nil"/>
            </w:tcBorders>
          </w:tcPr>
          <w:p w14:paraId="47B82511"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224</w:t>
            </w:r>
          </w:p>
        </w:tc>
        <w:tc>
          <w:tcPr>
            <w:tcW w:w="0" w:type="dxa"/>
            <w:tcBorders>
              <w:top w:val="nil"/>
              <w:left w:val="nil"/>
              <w:bottom w:val="nil"/>
              <w:right w:val="nil"/>
            </w:tcBorders>
          </w:tcPr>
          <w:p w14:paraId="7E72CA80"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3.00 (1.71)</w:t>
            </w:r>
          </w:p>
        </w:tc>
        <w:tc>
          <w:tcPr>
            <w:tcW w:w="708" w:type="dxa"/>
            <w:tcBorders>
              <w:top w:val="nil"/>
              <w:left w:val="nil"/>
              <w:bottom w:val="nil"/>
              <w:right w:val="nil"/>
            </w:tcBorders>
          </w:tcPr>
          <w:p w14:paraId="14CF7BBA"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211</w:t>
            </w:r>
          </w:p>
        </w:tc>
        <w:tc>
          <w:tcPr>
            <w:tcW w:w="1722" w:type="dxa"/>
            <w:tcBorders>
              <w:top w:val="nil"/>
              <w:left w:val="nil"/>
              <w:bottom w:val="nil"/>
            </w:tcBorders>
          </w:tcPr>
          <w:p w14:paraId="76CA3F58"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3.22 (1.78)</w:t>
            </w:r>
          </w:p>
        </w:tc>
      </w:tr>
      <w:tr w:rsidR="00920FDD" w14:paraId="7E1A2160"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nil"/>
              <w:right w:val="nil"/>
            </w:tcBorders>
          </w:tcPr>
          <w:p w14:paraId="6E726061" w14:textId="77777777" w:rsidR="00920FDD" w:rsidRPr="004C2126" w:rsidRDefault="00920FDD" w:rsidP="00B6621E">
            <w:pPr>
              <w:spacing w:line="276" w:lineRule="auto"/>
              <w:ind w:left="283"/>
              <w:rPr>
                <w:b w:val="0"/>
                <w:bCs w:val="0"/>
              </w:rPr>
            </w:pPr>
            <w:r>
              <w:rPr>
                <w:b w:val="0"/>
                <w:bCs w:val="0"/>
              </w:rPr>
              <w:t>12 weeks</w:t>
            </w:r>
          </w:p>
        </w:tc>
        <w:tc>
          <w:tcPr>
            <w:tcW w:w="551" w:type="dxa"/>
            <w:tcBorders>
              <w:top w:val="nil"/>
              <w:left w:val="nil"/>
              <w:bottom w:val="nil"/>
              <w:right w:val="nil"/>
            </w:tcBorders>
          </w:tcPr>
          <w:p w14:paraId="34E85E47"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221</w:t>
            </w:r>
          </w:p>
        </w:tc>
        <w:tc>
          <w:tcPr>
            <w:tcW w:w="0" w:type="dxa"/>
            <w:tcBorders>
              <w:top w:val="nil"/>
              <w:left w:val="nil"/>
              <w:bottom w:val="nil"/>
              <w:right w:val="nil"/>
            </w:tcBorders>
          </w:tcPr>
          <w:p w14:paraId="51759924"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3.13 (1.97)</w:t>
            </w:r>
          </w:p>
        </w:tc>
        <w:tc>
          <w:tcPr>
            <w:tcW w:w="708" w:type="dxa"/>
            <w:tcBorders>
              <w:top w:val="nil"/>
              <w:left w:val="nil"/>
              <w:bottom w:val="nil"/>
              <w:right w:val="nil"/>
            </w:tcBorders>
          </w:tcPr>
          <w:p w14:paraId="2780E1A1"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212</w:t>
            </w:r>
          </w:p>
        </w:tc>
        <w:tc>
          <w:tcPr>
            <w:tcW w:w="1722" w:type="dxa"/>
            <w:tcBorders>
              <w:top w:val="nil"/>
              <w:left w:val="nil"/>
              <w:bottom w:val="nil"/>
            </w:tcBorders>
          </w:tcPr>
          <w:p w14:paraId="165CB861"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3.24 (2.23)</w:t>
            </w:r>
          </w:p>
        </w:tc>
      </w:tr>
      <w:tr w:rsidR="00920FDD" w14:paraId="68274EE8"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right w:val="nil"/>
            </w:tcBorders>
          </w:tcPr>
          <w:p w14:paraId="4B7F4C4C" w14:textId="77777777" w:rsidR="00920FDD" w:rsidRPr="004C2126" w:rsidRDefault="00920FDD" w:rsidP="00B6621E">
            <w:pPr>
              <w:spacing w:line="276" w:lineRule="auto"/>
              <w:ind w:left="283"/>
              <w:rPr>
                <w:b w:val="0"/>
                <w:bCs w:val="0"/>
              </w:rPr>
            </w:pPr>
            <w:r>
              <w:rPr>
                <w:b w:val="0"/>
                <w:bCs w:val="0"/>
              </w:rPr>
              <w:t>52 weeks</w:t>
            </w:r>
          </w:p>
        </w:tc>
        <w:tc>
          <w:tcPr>
            <w:tcW w:w="551" w:type="dxa"/>
            <w:tcBorders>
              <w:top w:val="nil"/>
              <w:left w:val="nil"/>
              <w:right w:val="nil"/>
            </w:tcBorders>
          </w:tcPr>
          <w:p w14:paraId="6D9ED327"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203</w:t>
            </w:r>
          </w:p>
        </w:tc>
        <w:tc>
          <w:tcPr>
            <w:tcW w:w="0" w:type="dxa"/>
            <w:tcBorders>
              <w:top w:val="nil"/>
              <w:left w:val="nil"/>
              <w:right w:val="nil"/>
            </w:tcBorders>
          </w:tcPr>
          <w:p w14:paraId="01176D51"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2.55 (1.59)</w:t>
            </w:r>
          </w:p>
        </w:tc>
        <w:tc>
          <w:tcPr>
            <w:tcW w:w="708" w:type="dxa"/>
            <w:tcBorders>
              <w:top w:val="nil"/>
              <w:left w:val="nil"/>
              <w:right w:val="nil"/>
            </w:tcBorders>
          </w:tcPr>
          <w:p w14:paraId="7AC9707F"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172</w:t>
            </w:r>
          </w:p>
        </w:tc>
        <w:tc>
          <w:tcPr>
            <w:tcW w:w="1722" w:type="dxa"/>
            <w:tcBorders>
              <w:top w:val="nil"/>
              <w:left w:val="nil"/>
            </w:tcBorders>
          </w:tcPr>
          <w:p w14:paraId="1CEDC18F"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2.72 (1.84)</w:t>
            </w:r>
          </w:p>
        </w:tc>
      </w:tr>
      <w:tr w:rsidR="00920FDD" w14:paraId="4AD9B2BE"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single" w:sz="4" w:space="0" w:color="7F7F7F" w:themeColor="text1" w:themeTint="80"/>
              <w:bottom w:val="nil"/>
              <w:right w:val="nil"/>
            </w:tcBorders>
            <w:vAlign w:val="bottom"/>
          </w:tcPr>
          <w:p w14:paraId="470B10D1" w14:textId="77777777" w:rsidR="00920FDD" w:rsidRPr="004C2126" w:rsidRDefault="00920FDD" w:rsidP="00B6621E">
            <w:pPr>
              <w:spacing w:line="276" w:lineRule="auto"/>
            </w:pPr>
            <w:r>
              <w:t>Negative hits</w:t>
            </w:r>
          </w:p>
        </w:tc>
        <w:tc>
          <w:tcPr>
            <w:tcW w:w="551" w:type="dxa"/>
            <w:tcBorders>
              <w:top w:val="single" w:sz="4" w:space="0" w:color="7F7F7F" w:themeColor="text1" w:themeTint="80"/>
              <w:left w:val="nil"/>
              <w:bottom w:val="nil"/>
              <w:right w:val="nil"/>
            </w:tcBorders>
          </w:tcPr>
          <w:p w14:paraId="0E910968"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7F7F7F" w:themeColor="text1" w:themeTint="80"/>
              <w:left w:val="nil"/>
              <w:bottom w:val="nil"/>
              <w:right w:val="nil"/>
            </w:tcBorders>
          </w:tcPr>
          <w:p w14:paraId="6D228856"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7F7F7F" w:themeColor="text1" w:themeTint="80"/>
              <w:left w:val="nil"/>
              <w:bottom w:val="nil"/>
              <w:right w:val="nil"/>
            </w:tcBorders>
          </w:tcPr>
          <w:p w14:paraId="60D535DD"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722" w:type="dxa"/>
            <w:tcBorders>
              <w:top w:val="single" w:sz="4" w:space="0" w:color="7F7F7F" w:themeColor="text1" w:themeTint="80"/>
              <w:left w:val="nil"/>
              <w:bottom w:val="nil"/>
            </w:tcBorders>
          </w:tcPr>
          <w:p w14:paraId="6E804B67"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920FDD" w14:paraId="47D31415"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nil"/>
              <w:right w:val="nil"/>
            </w:tcBorders>
          </w:tcPr>
          <w:p w14:paraId="1CAAF479" w14:textId="77777777" w:rsidR="00920FDD" w:rsidRDefault="00920FDD" w:rsidP="00B6621E">
            <w:pPr>
              <w:spacing w:line="276" w:lineRule="auto"/>
              <w:ind w:left="283"/>
              <w:rPr>
                <w:b w:val="0"/>
                <w:bCs w:val="0"/>
              </w:rPr>
            </w:pPr>
            <w:r>
              <w:rPr>
                <w:b w:val="0"/>
                <w:bCs w:val="0"/>
              </w:rPr>
              <w:t>Baseline</w:t>
            </w:r>
          </w:p>
        </w:tc>
        <w:tc>
          <w:tcPr>
            <w:tcW w:w="551" w:type="dxa"/>
            <w:tcBorders>
              <w:top w:val="nil"/>
              <w:left w:val="nil"/>
              <w:bottom w:val="nil"/>
              <w:right w:val="nil"/>
            </w:tcBorders>
          </w:tcPr>
          <w:p w14:paraId="65718A71"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224</w:t>
            </w:r>
          </w:p>
        </w:tc>
        <w:tc>
          <w:tcPr>
            <w:tcW w:w="0" w:type="dxa"/>
            <w:tcBorders>
              <w:top w:val="nil"/>
              <w:left w:val="nil"/>
              <w:bottom w:val="nil"/>
              <w:right w:val="nil"/>
            </w:tcBorders>
          </w:tcPr>
          <w:p w14:paraId="4FD8EBA3"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1.87 (1.43)</w:t>
            </w:r>
          </w:p>
        </w:tc>
        <w:tc>
          <w:tcPr>
            <w:tcW w:w="708" w:type="dxa"/>
            <w:tcBorders>
              <w:top w:val="nil"/>
              <w:left w:val="nil"/>
              <w:bottom w:val="nil"/>
              <w:right w:val="nil"/>
            </w:tcBorders>
          </w:tcPr>
          <w:p w14:paraId="4FD4BD35"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211</w:t>
            </w:r>
          </w:p>
        </w:tc>
        <w:tc>
          <w:tcPr>
            <w:tcW w:w="1722" w:type="dxa"/>
            <w:tcBorders>
              <w:top w:val="nil"/>
              <w:left w:val="nil"/>
              <w:bottom w:val="nil"/>
            </w:tcBorders>
          </w:tcPr>
          <w:p w14:paraId="2F6B70CC"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2.03 (1.38)</w:t>
            </w:r>
          </w:p>
        </w:tc>
      </w:tr>
      <w:tr w:rsidR="00920FDD" w14:paraId="5228CCA6"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nil"/>
              <w:right w:val="nil"/>
            </w:tcBorders>
          </w:tcPr>
          <w:p w14:paraId="07B63888" w14:textId="77777777" w:rsidR="00920FDD" w:rsidRDefault="00920FDD" w:rsidP="00B6621E">
            <w:pPr>
              <w:spacing w:line="276" w:lineRule="auto"/>
              <w:ind w:left="283"/>
              <w:rPr>
                <w:b w:val="0"/>
                <w:bCs w:val="0"/>
              </w:rPr>
            </w:pPr>
            <w:r>
              <w:rPr>
                <w:b w:val="0"/>
                <w:bCs w:val="0"/>
              </w:rPr>
              <w:t>12 weeks</w:t>
            </w:r>
          </w:p>
        </w:tc>
        <w:tc>
          <w:tcPr>
            <w:tcW w:w="551" w:type="dxa"/>
            <w:tcBorders>
              <w:top w:val="nil"/>
              <w:left w:val="nil"/>
              <w:bottom w:val="nil"/>
              <w:right w:val="nil"/>
            </w:tcBorders>
          </w:tcPr>
          <w:p w14:paraId="74A37725"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221</w:t>
            </w:r>
          </w:p>
        </w:tc>
        <w:tc>
          <w:tcPr>
            <w:tcW w:w="0" w:type="dxa"/>
            <w:tcBorders>
              <w:top w:val="nil"/>
              <w:left w:val="nil"/>
              <w:bottom w:val="nil"/>
              <w:right w:val="nil"/>
            </w:tcBorders>
          </w:tcPr>
          <w:p w14:paraId="3E1EBA0E"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1.99 (1.43)</w:t>
            </w:r>
          </w:p>
        </w:tc>
        <w:tc>
          <w:tcPr>
            <w:tcW w:w="708" w:type="dxa"/>
            <w:tcBorders>
              <w:top w:val="nil"/>
              <w:left w:val="nil"/>
              <w:bottom w:val="nil"/>
              <w:right w:val="nil"/>
            </w:tcBorders>
          </w:tcPr>
          <w:p w14:paraId="3BD48F6A"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212</w:t>
            </w:r>
          </w:p>
        </w:tc>
        <w:tc>
          <w:tcPr>
            <w:tcW w:w="1722" w:type="dxa"/>
            <w:tcBorders>
              <w:top w:val="nil"/>
              <w:left w:val="nil"/>
              <w:bottom w:val="nil"/>
            </w:tcBorders>
          </w:tcPr>
          <w:p w14:paraId="648EB7A9" w14:textId="77777777" w:rsidR="00920FDD" w:rsidRDefault="00920FDD"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2.08 (1.63)</w:t>
            </w:r>
          </w:p>
        </w:tc>
      </w:tr>
      <w:tr w:rsidR="00920FDD" w14:paraId="597DFD9A"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single" w:sz="4" w:space="0" w:color="808080" w:themeColor="background1" w:themeShade="80"/>
              <w:right w:val="nil"/>
            </w:tcBorders>
          </w:tcPr>
          <w:p w14:paraId="023FD89F" w14:textId="77777777" w:rsidR="00920FDD" w:rsidRDefault="00920FDD" w:rsidP="00B6621E">
            <w:pPr>
              <w:spacing w:line="276" w:lineRule="auto"/>
              <w:ind w:left="283"/>
              <w:rPr>
                <w:b w:val="0"/>
                <w:bCs w:val="0"/>
              </w:rPr>
            </w:pPr>
            <w:r>
              <w:rPr>
                <w:b w:val="0"/>
                <w:bCs w:val="0"/>
              </w:rPr>
              <w:t>52 weeks</w:t>
            </w:r>
          </w:p>
        </w:tc>
        <w:tc>
          <w:tcPr>
            <w:tcW w:w="551" w:type="dxa"/>
            <w:tcBorders>
              <w:top w:val="nil"/>
              <w:left w:val="nil"/>
              <w:bottom w:val="single" w:sz="4" w:space="0" w:color="808080" w:themeColor="background1" w:themeShade="80"/>
              <w:right w:val="nil"/>
            </w:tcBorders>
          </w:tcPr>
          <w:p w14:paraId="6665F6D8"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203</w:t>
            </w:r>
          </w:p>
        </w:tc>
        <w:tc>
          <w:tcPr>
            <w:tcW w:w="1571" w:type="dxa"/>
            <w:tcBorders>
              <w:top w:val="nil"/>
              <w:left w:val="nil"/>
              <w:bottom w:val="single" w:sz="4" w:space="0" w:color="808080" w:themeColor="background1" w:themeShade="80"/>
              <w:right w:val="nil"/>
            </w:tcBorders>
          </w:tcPr>
          <w:p w14:paraId="70BBA751"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1.99 (1.59)</w:t>
            </w:r>
          </w:p>
        </w:tc>
        <w:tc>
          <w:tcPr>
            <w:tcW w:w="708" w:type="dxa"/>
            <w:tcBorders>
              <w:top w:val="nil"/>
              <w:left w:val="nil"/>
              <w:bottom w:val="single" w:sz="4" w:space="0" w:color="808080" w:themeColor="background1" w:themeShade="80"/>
              <w:right w:val="nil"/>
            </w:tcBorders>
          </w:tcPr>
          <w:p w14:paraId="6A0EC004"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172</w:t>
            </w:r>
          </w:p>
        </w:tc>
        <w:tc>
          <w:tcPr>
            <w:tcW w:w="1722" w:type="dxa"/>
            <w:tcBorders>
              <w:top w:val="nil"/>
              <w:left w:val="nil"/>
              <w:bottom w:val="single" w:sz="4" w:space="0" w:color="808080" w:themeColor="background1" w:themeShade="80"/>
            </w:tcBorders>
          </w:tcPr>
          <w:p w14:paraId="52E94161" w14:textId="77777777" w:rsidR="00920FDD" w:rsidRDefault="00920FDD"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2.10 (1.62)</w:t>
            </w:r>
          </w:p>
        </w:tc>
      </w:tr>
      <w:tr w:rsidR="005B0191" w14:paraId="65E8852D"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single" w:sz="4" w:space="0" w:color="808080" w:themeColor="background1" w:themeShade="80"/>
              <w:bottom w:val="nil"/>
              <w:right w:val="nil"/>
            </w:tcBorders>
            <w:vAlign w:val="bottom"/>
          </w:tcPr>
          <w:p w14:paraId="5176F534" w14:textId="77777777" w:rsidR="005B0191" w:rsidRDefault="005B0191" w:rsidP="00B6621E">
            <w:pPr>
              <w:spacing w:line="276" w:lineRule="auto"/>
            </w:pPr>
            <w:r>
              <w:t>Positive false alarms</w:t>
            </w:r>
          </w:p>
        </w:tc>
        <w:tc>
          <w:tcPr>
            <w:tcW w:w="551" w:type="dxa"/>
            <w:tcBorders>
              <w:top w:val="single" w:sz="4" w:space="0" w:color="808080" w:themeColor="background1" w:themeShade="80"/>
              <w:left w:val="nil"/>
              <w:bottom w:val="nil"/>
              <w:right w:val="nil"/>
            </w:tcBorders>
          </w:tcPr>
          <w:p w14:paraId="5BA9BA2F" w14:textId="77777777" w:rsidR="005B0191" w:rsidRDefault="005B019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571" w:type="dxa"/>
            <w:tcBorders>
              <w:top w:val="single" w:sz="4" w:space="0" w:color="808080" w:themeColor="background1" w:themeShade="80"/>
              <w:left w:val="nil"/>
              <w:bottom w:val="nil"/>
              <w:right w:val="nil"/>
            </w:tcBorders>
          </w:tcPr>
          <w:p w14:paraId="1958854D" w14:textId="77777777" w:rsidR="005B0191" w:rsidRDefault="005B019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808080" w:themeColor="background1" w:themeShade="80"/>
              <w:left w:val="nil"/>
              <w:bottom w:val="nil"/>
              <w:right w:val="nil"/>
            </w:tcBorders>
          </w:tcPr>
          <w:p w14:paraId="73FEA7D9" w14:textId="77777777" w:rsidR="005B0191" w:rsidRDefault="005B019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722" w:type="dxa"/>
            <w:tcBorders>
              <w:top w:val="single" w:sz="4" w:space="0" w:color="808080" w:themeColor="background1" w:themeShade="80"/>
              <w:left w:val="nil"/>
              <w:bottom w:val="nil"/>
            </w:tcBorders>
          </w:tcPr>
          <w:p w14:paraId="0B7A179C" w14:textId="77777777" w:rsidR="005B0191" w:rsidRDefault="005B019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5B0191" w14:paraId="5A67705E"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nil"/>
              <w:right w:val="nil"/>
            </w:tcBorders>
          </w:tcPr>
          <w:p w14:paraId="2449F075" w14:textId="77777777" w:rsidR="005B0191" w:rsidRDefault="005B0191" w:rsidP="00B6621E">
            <w:pPr>
              <w:spacing w:line="276" w:lineRule="auto"/>
              <w:ind w:left="283"/>
            </w:pPr>
            <w:r>
              <w:rPr>
                <w:b w:val="0"/>
                <w:bCs w:val="0"/>
              </w:rPr>
              <w:t>Baseline</w:t>
            </w:r>
          </w:p>
        </w:tc>
        <w:tc>
          <w:tcPr>
            <w:tcW w:w="551" w:type="dxa"/>
            <w:tcBorders>
              <w:top w:val="nil"/>
              <w:left w:val="nil"/>
              <w:bottom w:val="nil"/>
              <w:right w:val="nil"/>
            </w:tcBorders>
          </w:tcPr>
          <w:p w14:paraId="439A7B91" w14:textId="77777777" w:rsidR="005B0191" w:rsidRDefault="005B0191"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224</w:t>
            </w:r>
          </w:p>
        </w:tc>
        <w:tc>
          <w:tcPr>
            <w:tcW w:w="1571" w:type="dxa"/>
            <w:tcBorders>
              <w:top w:val="nil"/>
              <w:left w:val="nil"/>
              <w:bottom w:val="nil"/>
              <w:right w:val="nil"/>
            </w:tcBorders>
          </w:tcPr>
          <w:p w14:paraId="188332F5" w14:textId="77777777" w:rsidR="005B0191" w:rsidRDefault="007F1291"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5B0191">
              <w:t>.</w:t>
            </w:r>
            <w:r>
              <w:t>8</w:t>
            </w:r>
            <w:r w:rsidR="008510D4">
              <w:t>9</w:t>
            </w:r>
            <w:r w:rsidR="005B0191">
              <w:t xml:space="preserve"> (1.71)</w:t>
            </w:r>
          </w:p>
        </w:tc>
        <w:tc>
          <w:tcPr>
            <w:tcW w:w="708" w:type="dxa"/>
            <w:tcBorders>
              <w:top w:val="nil"/>
              <w:left w:val="nil"/>
              <w:bottom w:val="nil"/>
              <w:right w:val="nil"/>
            </w:tcBorders>
          </w:tcPr>
          <w:p w14:paraId="7C46AD34" w14:textId="77777777" w:rsidR="005B0191" w:rsidRDefault="005B0191"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211</w:t>
            </w:r>
          </w:p>
        </w:tc>
        <w:tc>
          <w:tcPr>
            <w:tcW w:w="1722" w:type="dxa"/>
            <w:tcBorders>
              <w:top w:val="nil"/>
              <w:left w:val="nil"/>
              <w:bottom w:val="nil"/>
            </w:tcBorders>
          </w:tcPr>
          <w:p w14:paraId="3E6F99AE" w14:textId="77777777" w:rsidR="005B0191" w:rsidRDefault="008510D4"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1.87</w:t>
            </w:r>
            <w:r w:rsidR="005B0191">
              <w:t xml:space="preserve"> (1.7</w:t>
            </w:r>
            <w:r>
              <w:t>0</w:t>
            </w:r>
            <w:r w:rsidR="005B0191">
              <w:t>)</w:t>
            </w:r>
          </w:p>
        </w:tc>
      </w:tr>
      <w:tr w:rsidR="005B0191" w14:paraId="0F392737"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right w:val="nil"/>
            </w:tcBorders>
          </w:tcPr>
          <w:p w14:paraId="4D4E9CEA" w14:textId="77777777" w:rsidR="005B0191" w:rsidRDefault="005B0191" w:rsidP="00B6621E">
            <w:pPr>
              <w:spacing w:line="276" w:lineRule="auto"/>
              <w:ind w:left="283"/>
            </w:pPr>
            <w:r>
              <w:rPr>
                <w:b w:val="0"/>
                <w:bCs w:val="0"/>
              </w:rPr>
              <w:t>12 weeks</w:t>
            </w:r>
          </w:p>
        </w:tc>
        <w:tc>
          <w:tcPr>
            <w:tcW w:w="551" w:type="dxa"/>
            <w:tcBorders>
              <w:top w:val="nil"/>
              <w:left w:val="nil"/>
              <w:right w:val="nil"/>
            </w:tcBorders>
          </w:tcPr>
          <w:p w14:paraId="5BE6A3E2" w14:textId="77777777" w:rsidR="005B0191" w:rsidRDefault="005B019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221</w:t>
            </w:r>
          </w:p>
        </w:tc>
        <w:tc>
          <w:tcPr>
            <w:tcW w:w="0" w:type="dxa"/>
            <w:tcBorders>
              <w:top w:val="nil"/>
              <w:left w:val="nil"/>
              <w:right w:val="nil"/>
            </w:tcBorders>
          </w:tcPr>
          <w:p w14:paraId="3A29FE00" w14:textId="77777777" w:rsidR="005B0191" w:rsidRDefault="008510D4"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w:t>
            </w:r>
            <w:r w:rsidR="005B0191">
              <w:t>.1</w:t>
            </w:r>
            <w:r>
              <w:t>1</w:t>
            </w:r>
            <w:r w:rsidR="005B0191">
              <w:t xml:space="preserve"> (1.</w:t>
            </w:r>
            <w:r>
              <w:t>85</w:t>
            </w:r>
            <w:r w:rsidR="005B0191">
              <w:t>)</w:t>
            </w:r>
          </w:p>
        </w:tc>
        <w:tc>
          <w:tcPr>
            <w:tcW w:w="708" w:type="dxa"/>
            <w:tcBorders>
              <w:top w:val="nil"/>
              <w:left w:val="nil"/>
              <w:right w:val="nil"/>
            </w:tcBorders>
          </w:tcPr>
          <w:p w14:paraId="78022B3A" w14:textId="77777777" w:rsidR="005B0191" w:rsidRDefault="005B019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212</w:t>
            </w:r>
          </w:p>
        </w:tc>
        <w:tc>
          <w:tcPr>
            <w:tcW w:w="1722" w:type="dxa"/>
            <w:tcBorders>
              <w:top w:val="nil"/>
              <w:left w:val="nil"/>
            </w:tcBorders>
          </w:tcPr>
          <w:p w14:paraId="06413920" w14:textId="77777777" w:rsidR="005B0191" w:rsidRDefault="008510D4"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1</w:t>
            </w:r>
            <w:r w:rsidR="005B0191">
              <w:t>.</w:t>
            </w:r>
            <w:r>
              <w:t>92</w:t>
            </w:r>
            <w:r w:rsidR="005B0191">
              <w:t xml:space="preserve"> (</w:t>
            </w:r>
            <w:r w:rsidR="00F02BB6">
              <w:t>1</w:t>
            </w:r>
            <w:r w:rsidR="005B0191">
              <w:t>.</w:t>
            </w:r>
            <w:r w:rsidR="00F02BB6">
              <w:t>75</w:t>
            </w:r>
            <w:r w:rsidR="005B0191">
              <w:t>)</w:t>
            </w:r>
          </w:p>
        </w:tc>
      </w:tr>
      <w:tr w:rsidR="005B0191" w14:paraId="3A4F2438"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single" w:sz="4" w:space="0" w:color="808080" w:themeColor="background1" w:themeShade="80"/>
              <w:right w:val="nil"/>
            </w:tcBorders>
          </w:tcPr>
          <w:p w14:paraId="1EA2315D" w14:textId="77777777" w:rsidR="005B0191" w:rsidRDefault="005B0191" w:rsidP="00B6621E">
            <w:pPr>
              <w:spacing w:line="276" w:lineRule="auto"/>
              <w:ind w:left="283"/>
            </w:pPr>
            <w:r>
              <w:rPr>
                <w:b w:val="0"/>
                <w:bCs w:val="0"/>
              </w:rPr>
              <w:t>52 weeks</w:t>
            </w:r>
          </w:p>
        </w:tc>
        <w:tc>
          <w:tcPr>
            <w:tcW w:w="551" w:type="dxa"/>
            <w:tcBorders>
              <w:top w:val="nil"/>
              <w:left w:val="nil"/>
              <w:bottom w:val="single" w:sz="4" w:space="0" w:color="808080" w:themeColor="background1" w:themeShade="80"/>
              <w:right w:val="nil"/>
            </w:tcBorders>
          </w:tcPr>
          <w:p w14:paraId="4F4C8218" w14:textId="77777777" w:rsidR="005B0191" w:rsidRDefault="005B0191"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203</w:t>
            </w:r>
          </w:p>
        </w:tc>
        <w:tc>
          <w:tcPr>
            <w:tcW w:w="0" w:type="dxa"/>
            <w:tcBorders>
              <w:top w:val="nil"/>
              <w:left w:val="nil"/>
              <w:bottom w:val="single" w:sz="4" w:space="0" w:color="808080" w:themeColor="background1" w:themeShade="80"/>
              <w:right w:val="nil"/>
            </w:tcBorders>
          </w:tcPr>
          <w:p w14:paraId="4527AD3B" w14:textId="77777777" w:rsidR="005B0191" w:rsidRDefault="00F02BB6"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5B0191">
              <w:t>.</w:t>
            </w:r>
            <w:r>
              <w:t>85</w:t>
            </w:r>
            <w:r w:rsidR="005B0191">
              <w:t xml:space="preserve"> (1.</w:t>
            </w:r>
            <w:r>
              <w:t>67</w:t>
            </w:r>
            <w:r w:rsidR="005B0191">
              <w:t>)</w:t>
            </w:r>
          </w:p>
        </w:tc>
        <w:tc>
          <w:tcPr>
            <w:tcW w:w="708" w:type="dxa"/>
            <w:tcBorders>
              <w:top w:val="nil"/>
              <w:left w:val="nil"/>
              <w:bottom w:val="single" w:sz="4" w:space="0" w:color="808080" w:themeColor="background1" w:themeShade="80"/>
              <w:right w:val="nil"/>
            </w:tcBorders>
          </w:tcPr>
          <w:p w14:paraId="1E2D9A76" w14:textId="77777777" w:rsidR="005B0191" w:rsidRDefault="005B0191"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172</w:t>
            </w:r>
          </w:p>
        </w:tc>
        <w:tc>
          <w:tcPr>
            <w:tcW w:w="1722" w:type="dxa"/>
            <w:tcBorders>
              <w:top w:val="nil"/>
              <w:left w:val="nil"/>
              <w:bottom w:val="single" w:sz="4" w:space="0" w:color="808080" w:themeColor="background1" w:themeShade="80"/>
            </w:tcBorders>
          </w:tcPr>
          <w:p w14:paraId="568B552B" w14:textId="77777777" w:rsidR="005B0191" w:rsidRDefault="00F02BB6"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5B0191">
              <w:t>.</w:t>
            </w:r>
            <w:r>
              <w:t>90</w:t>
            </w:r>
            <w:r w:rsidR="005B0191">
              <w:t xml:space="preserve"> (1.</w:t>
            </w:r>
            <w:r>
              <w:t>77</w:t>
            </w:r>
            <w:r w:rsidR="005B0191">
              <w:t>)</w:t>
            </w:r>
          </w:p>
        </w:tc>
      </w:tr>
      <w:tr w:rsidR="00D577A0" w14:paraId="7011AEC7"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single" w:sz="4" w:space="0" w:color="808080" w:themeColor="background1" w:themeShade="80"/>
              <w:bottom w:val="nil"/>
              <w:right w:val="nil"/>
            </w:tcBorders>
            <w:vAlign w:val="bottom"/>
          </w:tcPr>
          <w:p w14:paraId="092D4AC5" w14:textId="77777777" w:rsidR="00D577A0" w:rsidRDefault="00D577A0" w:rsidP="00B6621E">
            <w:pPr>
              <w:spacing w:line="276" w:lineRule="auto"/>
            </w:pPr>
            <w:r>
              <w:t>Negative false alarms</w:t>
            </w:r>
          </w:p>
        </w:tc>
        <w:tc>
          <w:tcPr>
            <w:tcW w:w="551" w:type="dxa"/>
            <w:tcBorders>
              <w:top w:val="single" w:sz="4" w:space="0" w:color="808080" w:themeColor="background1" w:themeShade="80"/>
              <w:left w:val="nil"/>
              <w:bottom w:val="nil"/>
              <w:right w:val="nil"/>
            </w:tcBorders>
          </w:tcPr>
          <w:p w14:paraId="299A138D" w14:textId="77777777" w:rsidR="00D577A0" w:rsidRDefault="00D577A0"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0" w:type="dxa"/>
            <w:tcBorders>
              <w:top w:val="single" w:sz="4" w:space="0" w:color="808080" w:themeColor="background1" w:themeShade="80"/>
              <w:left w:val="nil"/>
              <w:bottom w:val="nil"/>
              <w:right w:val="nil"/>
            </w:tcBorders>
          </w:tcPr>
          <w:p w14:paraId="16ECD39A" w14:textId="77777777" w:rsidR="00D577A0" w:rsidRDefault="00D577A0"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708" w:type="dxa"/>
            <w:tcBorders>
              <w:top w:val="single" w:sz="4" w:space="0" w:color="808080" w:themeColor="background1" w:themeShade="80"/>
              <w:left w:val="nil"/>
              <w:bottom w:val="nil"/>
              <w:right w:val="nil"/>
            </w:tcBorders>
          </w:tcPr>
          <w:p w14:paraId="167E8A72" w14:textId="77777777" w:rsidR="00D577A0" w:rsidRDefault="00D577A0"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c>
          <w:tcPr>
            <w:tcW w:w="1722" w:type="dxa"/>
            <w:tcBorders>
              <w:top w:val="single" w:sz="4" w:space="0" w:color="808080" w:themeColor="background1" w:themeShade="80"/>
              <w:left w:val="nil"/>
              <w:bottom w:val="nil"/>
            </w:tcBorders>
          </w:tcPr>
          <w:p w14:paraId="0F92068B" w14:textId="77777777" w:rsidR="00D577A0" w:rsidRDefault="00D577A0" w:rsidP="00B6621E">
            <w:pPr>
              <w:spacing w:line="276" w:lineRule="auto"/>
              <w:jc w:val="center"/>
              <w:cnfStyle w:val="000000000000" w:firstRow="0" w:lastRow="0" w:firstColumn="0" w:lastColumn="0" w:oddVBand="0" w:evenVBand="0" w:oddHBand="0" w:evenHBand="0" w:firstRowFirstColumn="0" w:firstRowLastColumn="0" w:lastRowFirstColumn="0" w:lastRowLastColumn="0"/>
            </w:pPr>
          </w:p>
        </w:tc>
      </w:tr>
      <w:tr w:rsidR="00D577A0" w14:paraId="608B0DAC"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bottom w:val="nil"/>
              <w:right w:val="nil"/>
            </w:tcBorders>
          </w:tcPr>
          <w:p w14:paraId="716AEF8B" w14:textId="77777777" w:rsidR="00D577A0" w:rsidRDefault="00D577A0" w:rsidP="00B6621E">
            <w:pPr>
              <w:spacing w:line="276" w:lineRule="auto"/>
              <w:ind w:left="283"/>
            </w:pPr>
            <w:r>
              <w:rPr>
                <w:b w:val="0"/>
                <w:bCs w:val="0"/>
              </w:rPr>
              <w:t>Baseline</w:t>
            </w:r>
          </w:p>
        </w:tc>
        <w:tc>
          <w:tcPr>
            <w:tcW w:w="551" w:type="dxa"/>
            <w:tcBorders>
              <w:top w:val="nil"/>
              <w:left w:val="nil"/>
              <w:bottom w:val="nil"/>
              <w:right w:val="nil"/>
            </w:tcBorders>
          </w:tcPr>
          <w:p w14:paraId="2E748D06" w14:textId="77777777" w:rsidR="00D577A0" w:rsidRDefault="00D577A0"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224</w:t>
            </w:r>
          </w:p>
        </w:tc>
        <w:tc>
          <w:tcPr>
            <w:tcW w:w="0" w:type="dxa"/>
            <w:tcBorders>
              <w:top w:val="nil"/>
              <w:left w:val="nil"/>
              <w:bottom w:val="nil"/>
              <w:right w:val="nil"/>
            </w:tcBorders>
          </w:tcPr>
          <w:p w14:paraId="4852FDD0" w14:textId="77777777" w:rsidR="00D577A0" w:rsidRDefault="00E324C2"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D577A0">
              <w:t>.</w:t>
            </w:r>
            <w:r>
              <w:t>12</w:t>
            </w:r>
            <w:r w:rsidR="00D577A0">
              <w:t xml:space="preserve"> (1.</w:t>
            </w:r>
            <w:r>
              <w:t>25</w:t>
            </w:r>
            <w:r w:rsidR="00D577A0">
              <w:t>)</w:t>
            </w:r>
          </w:p>
        </w:tc>
        <w:tc>
          <w:tcPr>
            <w:tcW w:w="708" w:type="dxa"/>
            <w:tcBorders>
              <w:top w:val="nil"/>
              <w:left w:val="nil"/>
              <w:bottom w:val="nil"/>
              <w:right w:val="nil"/>
            </w:tcBorders>
          </w:tcPr>
          <w:p w14:paraId="32DFFE36" w14:textId="77777777" w:rsidR="00D577A0" w:rsidRDefault="00D577A0"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211</w:t>
            </w:r>
          </w:p>
        </w:tc>
        <w:tc>
          <w:tcPr>
            <w:tcW w:w="1722" w:type="dxa"/>
            <w:tcBorders>
              <w:top w:val="nil"/>
              <w:left w:val="nil"/>
              <w:bottom w:val="nil"/>
            </w:tcBorders>
          </w:tcPr>
          <w:p w14:paraId="56283BCD" w14:textId="77777777" w:rsidR="00D577A0" w:rsidRDefault="00E324C2"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w:t>
            </w:r>
            <w:r w:rsidR="00D577A0">
              <w:t>.</w:t>
            </w:r>
            <w:r>
              <w:t>11</w:t>
            </w:r>
            <w:r w:rsidR="00D577A0">
              <w:t xml:space="preserve"> (1.</w:t>
            </w:r>
            <w:r>
              <w:t>40</w:t>
            </w:r>
            <w:r w:rsidR="00D577A0">
              <w:t>)</w:t>
            </w:r>
          </w:p>
        </w:tc>
      </w:tr>
      <w:tr w:rsidR="00D577A0" w14:paraId="4D67029E" w14:textId="77777777" w:rsidTr="004753E7">
        <w:trPr>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right w:val="nil"/>
            </w:tcBorders>
          </w:tcPr>
          <w:p w14:paraId="51987665" w14:textId="77777777" w:rsidR="00D577A0" w:rsidRDefault="00D577A0" w:rsidP="00B6621E">
            <w:pPr>
              <w:spacing w:line="276" w:lineRule="auto"/>
              <w:ind w:left="283"/>
            </w:pPr>
            <w:r>
              <w:rPr>
                <w:b w:val="0"/>
                <w:bCs w:val="0"/>
              </w:rPr>
              <w:t>12 weeks</w:t>
            </w:r>
          </w:p>
        </w:tc>
        <w:tc>
          <w:tcPr>
            <w:tcW w:w="551" w:type="dxa"/>
            <w:tcBorders>
              <w:top w:val="nil"/>
              <w:left w:val="nil"/>
              <w:right w:val="nil"/>
            </w:tcBorders>
          </w:tcPr>
          <w:p w14:paraId="6102E4A5" w14:textId="77777777" w:rsidR="00D577A0" w:rsidRDefault="00D577A0"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221</w:t>
            </w:r>
          </w:p>
        </w:tc>
        <w:tc>
          <w:tcPr>
            <w:tcW w:w="0" w:type="dxa"/>
            <w:tcBorders>
              <w:top w:val="nil"/>
              <w:left w:val="nil"/>
              <w:right w:val="nil"/>
            </w:tcBorders>
          </w:tcPr>
          <w:p w14:paraId="470A739E" w14:textId="77777777" w:rsidR="00D577A0" w:rsidRDefault="0088763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0</w:t>
            </w:r>
            <w:r w:rsidR="00D577A0">
              <w:t>.</w:t>
            </w:r>
            <w:r>
              <w:t>98</w:t>
            </w:r>
            <w:r w:rsidR="00D577A0">
              <w:t xml:space="preserve"> (1.</w:t>
            </w:r>
            <w:r>
              <w:t>25</w:t>
            </w:r>
            <w:r w:rsidR="00D577A0">
              <w:t>)</w:t>
            </w:r>
          </w:p>
        </w:tc>
        <w:tc>
          <w:tcPr>
            <w:tcW w:w="708" w:type="dxa"/>
            <w:tcBorders>
              <w:top w:val="nil"/>
              <w:left w:val="nil"/>
              <w:right w:val="nil"/>
            </w:tcBorders>
          </w:tcPr>
          <w:p w14:paraId="770260E4" w14:textId="77777777" w:rsidR="00D577A0" w:rsidRDefault="00D577A0"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212</w:t>
            </w:r>
          </w:p>
        </w:tc>
        <w:tc>
          <w:tcPr>
            <w:tcW w:w="1722" w:type="dxa"/>
            <w:tcBorders>
              <w:top w:val="nil"/>
              <w:left w:val="nil"/>
            </w:tcBorders>
          </w:tcPr>
          <w:p w14:paraId="314C0BA2" w14:textId="77777777" w:rsidR="00D577A0" w:rsidRDefault="00887631" w:rsidP="00B6621E">
            <w:pPr>
              <w:spacing w:line="276" w:lineRule="auto"/>
              <w:jc w:val="center"/>
              <w:cnfStyle w:val="000000000000" w:firstRow="0" w:lastRow="0" w:firstColumn="0" w:lastColumn="0" w:oddVBand="0" w:evenVBand="0" w:oddHBand="0" w:evenHBand="0" w:firstRowFirstColumn="0" w:firstRowLastColumn="0" w:lastRowFirstColumn="0" w:lastRowLastColumn="0"/>
            </w:pPr>
            <w:r>
              <w:t>0</w:t>
            </w:r>
            <w:r w:rsidR="00D577A0">
              <w:t>.</w:t>
            </w:r>
            <w:r>
              <w:t>96</w:t>
            </w:r>
            <w:r w:rsidR="00D577A0">
              <w:t xml:space="preserve"> (</w:t>
            </w:r>
            <w:r>
              <w:t>1</w:t>
            </w:r>
            <w:r w:rsidR="00D577A0">
              <w:t>.</w:t>
            </w:r>
            <w:r>
              <w:t>09</w:t>
            </w:r>
            <w:r w:rsidR="00D577A0">
              <w:t>)</w:t>
            </w:r>
          </w:p>
        </w:tc>
      </w:tr>
      <w:tr w:rsidR="00D577A0" w14:paraId="7C26B499" w14:textId="77777777" w:rsidTr="004753E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678" w:type="dxa"/>
            <w:tcBorders>
              <w:top w:val="nil"/>
              <w:right w:val="nil"/>
            </w:tcBorders>
          </w:tcPr>
          <w:p w14:paraId="03DC4D28" w14:textId="77777777" w:rsidR="00D577A0" w:rsidRDefault="00D577A0" w:rsidP="00B6621E">
            <w:pPr>
              <w:spacing w:line="276" w:lineRule="auto"/>
              <w:ind w:left="283"/>
            </w:pPr>
            <w:r>
              <w:rPr>
                <w:b w:val="0"/>
                <w:bCs w:val="0"/>
              </w:rPr>
              <w:t>52 weeks</w:t>
            </w:r>
          </w:p>
        </w:tc>
        <w:tc>
          <w:tcPr>
            <w:tcW w:w="551" w:type="dxa"/>
            <w:tcBorders>
              <w:top w:val="nil"/>
              <w:left w:val="nil"/>
              <w:right w:val="nil"/>
            </w:tcBorders>
          </w:tcPr>
          <w:p w14:paraId="35889E45" w14:textId="77777777" w:rsidR="00D577A0" w:rsidRDefault="00D577A0"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203</w:t>
            </w:r>
          </w:p>
        </w:tc>
        <w:tc>
          <w:tcPr>
            <w:tcW w:w="0" w:type="dxa"/>
            <w:tcBorders>
              <w:top w:val="nil"/>
              <w:left w:val="nil"/>
              <w:right w:val="nil"/>
            </w:tcBorders>
          </w:tcPr>
          <w:p w14:paraId="552C9362" w14:textId="77777777" w:rsidR="00D577A0" w:rsidRDefault="004A5993"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1.02</w:t>
            </w:r>
            <w:r w:rsidR="00D577A0">
              <w:t xml:space="preserve"> (1.</w:t>
            </w:r>
            <w:r w:rsidR="00082FF3">
              <w:t>28</w:t>
            </w:r>
            <w:r w:rsidR="00D577A0">
              <w:t>)</w:t>
            </w:r>
          </w:p>
        </w:tc>
        <w:tc>
          <w:tcPr>
            <w:tcW w:w="708" w:type="dxa"/>
            <w:tcBorders>
              <w:top w:val="nil"/>
              <w:left w:val="nil"/>
              <w:right w:val="nil"/>
            </w:tcBorders>
          </w:tcPr>
          <w:p w14:paraId="2A1EFA08" w14:textId="77777777" w:rsidR="00D577A0" w:rsidRDefault="00D577A0"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172</w:t>
            </w:r>
          </w:p>
        </w:tc>
        <w:tc>
          <w:tcPr>
            <w:tcW w:w="1722" w:type="dxa"/>
            <w:tcBorders>
              <w:top w:val="nil"/>
              <w:left w:val="nil"/>
            </w:tcBorders>
          </w:tcPr>
          <w:p w14:paraId="016AE02C" w14:textId="77777777" w:rsidR="00D577A0" w:rsidRDefault="00082FF3" w:rsidP="00B6621E">
            <w:pPr>
              <w:spacing w:line="276" w:lineRule="auto"/>
              <w:jc w:val="center"/>
              <w:cnfStyle w:val="000000100000" w:firstRow="0" w:lastRow="0" w:firstColumn="0" w:lastColumn="0" w:oddVBand="0" w:evenVBand="0" w:oddHBand="1" w:evenHBand="0" w:firstRowFirstColumn="0" w:firstRowLastColumn="0" w:lastRowFirstColumn="0" w:lastRowLastColumn="0"/>
            </w:pPr>
            <w:r>
              <w:t>0.93</w:t>
            </w:r>
            <w:r w:rsidR="00D577A0">
              <w:t xml:space="preserve"> (1.</w:t>
            </w:r>
            <w:r>
              <w:t>08</w:t>
            </w:r>
            <w:r w:rsidR="00D577A0">
              <w:t>)</w:t>
            </w:r>
          </w:p>
        </w:tc>
      </w:tr>
    </w:tbl>
    <w:p w14:paraId="73EB4FC2" w14:textId="3D7D901D" w:rsidR="00920FDD" w:rsidRDefault="00E4531F" w:rsidP="00B6621E">
      <w:pPr>
        <w:suppressLineNumbers/>
        <w:spacing w:line="276" w:lineRule="auto"/>
      </w:pPr>
      <w:r>
        <w:br/>
      </w:r>
      <w:r w:rsidR="00920FDD">
        <w:t>Note. SD, standard deviation.</w:t>
      </w:r>
      <w:bookmarkStart w:id="6" w:name="_Hlk56446790"/>
      <w:bookmarkEnd w:id="5"/>
      <w:r w:rsidR="002F6E1E">
        <w:t xml:space="preserve"> Hits were words accurately recalled from the word categorisation task. False alarms were words not presented in the word categorisation task and falsely recalled.</w:t>
      </w:r>
    </w:p>
    <w:p w14:paraId="2B0CFF3D" w14:textId="77777777" w:rsidR="009476EB" w:rsidRDefault="009476EB" w:rsidP="00B6621E">
      <w:pPr>
        <w:suppressLineNumbers/>
        <w:rPr>
          <w:b/>
          <w:bCs/>
        </w:rPr>
      </w:pPr>
      <w:r>
        <w:rPr>
          <w:b/>
          <w:bCs/>
        </w:rPr>
        <w:br w:type="page"/>
      </w:r>
    </w:p>
    <w:p w14:paraId="673DA9CD" w14:textId="2FB76E3E" w:rsidR="00920FDD" w:rsidRPr="0065532D" w:rsidRDefault="00920FDD" w:rsidP="00B6621E">
      <w:pPr>
        <w:suppressLineNumbers/>
        <w:spacing w:line="276" w:lineRule="auto"/>
        <w:jc w:val="both"/>
        <w:rPr>
          <w:b/>
          <w:bCs/>
        </w:rPr>
      </w:pPr>
      <w:r>
        <w:rPr>
          <w:b/>
          <w:bCs/>
        </w:rPr>
        <w:lastRenderedPageBreak/>
        <w:t xml:space="preserve">Table 3. </w:t>
      </w:r>
      <w:r w:rsidR="008A0F4C">
        <w:t xml:space="preserve">Ratio </w:t>
      </w:r>
      <w:r>
        <w:t>of</w:t>
      </w:r>
      <w:r w:rsidR="008A0F4C">
        <w:t xml:space="preserve"> positive </w:t>
      </w:r>
      <w:r w:rsidR="006C2FD6">
        <w:t>or</w:t>
      </w:r>
      <w:r w:rsidR="008A0F4C">
        <w:t xml:space="preserve"> negative hits in the </w:t>
      </w:r>
      <w:r>
        <w:t>antidepressant discontinuation</w:t>
      </w:r>
      <w:r w:rsidR="002005D5">
        <w:t xml:space="preserve"> group</w:t>
      </w:r>
      <w:r>
        <w:t xml:space="preserve">, </w:t>
      </w:r>
      <w:r w:rsidR="008A0F4C">
        <w:t xml:space="preserve">relative to </w:t>
      </w:r>
      <w:r>
        <w:t>long-term</w:t>
      </w:r>
      <w:r w:rsidR="008A0F4C">
        <w:t xml:space="preserve"> maintenance</w:t>
      </w:r>
      <w:r>
        <w:t xml:space="preserve"> treatment</w:t>
      </w:r>
      <w:r w:rsidR="008A0F4C">
        <w:t>, 12 and 52 weeks after randomisation</w:t>
      </w:r>
      <w:r>
        <w:t>.</w:t>
      </w:r>
    </w:p>
    <w:tbl>
      <w:tblPr>
        <w:tblStyle w:val="PlainTable2"/>
        <w:tblW w:w="9035" w:type="dxa"/>
        <w:tblLook w:val="04A0" w:firstRow="1" w:lastRow="0" w:firstColumn="1" w:lastColumn="0" w:noHBand="0" w:noVBand="1"/>
      </w:tblPr>
      <w:tblGrid>
        <w:gridCol w:w="1272"/>
        <w:gridCol w:w="551"/>
        <w:gridCol w:w="1474"/>
        <w:gridCol w:w="890"/>
        <w:gridCol w:w="66"/>
        <w:gridCol w:w="1365"/>
        <w:gridCol w:w="551"/>
        <w:gridCol w:w="1531"/>
        <w:gridCol w:w="1335"/>
      </w:tblGrid>
      <w:tr w:rsidR="00A06F90" w:rsidRPr="00274745" w14:paraId="7B2918A3" w14:textId="77777777" w:rsidTr="003A6B4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53" w:type="dxa"/>
            <w:gridSpan w:val="5"/>
            <w:vAlign w:val="center"/>
          </w:tcPr>
          <w:p w14:paraId="43A7FA16" w14:textId="77777777" w:rsidR="00562B47" w:rsidRPr="00274745" w:rsidRDefault="00562B47" w:rsidP="009476EB">
            <w:pPr>
              <w:spacing w:line="276" w:lineRule="auto"/>
              <w:jc w:val="center"/>
            </w:pPr>
            <w:r>
              <w:t>Positive hits</w:t>
            </w:r>
          </w:p>
        </w:tc>
        <w:tc>
          <w:tcPr>
            <w:tcW w:w="4782" w:type="dxa"/>
            <w:gridSpan w:val="4"/>
          </w:tcPr>
          <w:p w14:paraId="1E31E4F4" w14:textId="77777777" w:rsidR="00562B47" w:rsidRPr="00274745" w:rsidRDefault="00562B47" w:rsidP="009476EB">
            <w:pPr>
              <w:spacing w:line="276" w:lineRule="auto"/>
              <w:jc w:val="center"/>
              <w:cnfStyle w:val="100000000000" w:firstRow="1" w:lastRow="0" w:firstColumn="0" w:lastColumn="0" w:oddVBand="0" w:evenVBand="0" w:oddHBand="0" w:evenHBand="0" w:firstRowFirstColumn="0" w:firstRowLastColumn="0" w:lastRowFirstColumn="0" w:lastRowLastColumn="0"/>
            </w:pPr>
            <w:r>
              <w:t>Negative hits</w:t>
            </w:r>
          </w:p>
        </w:tc>
      </w:tr>
      <w:tr w:rsidR="00EE7759" w:rsidRPr="00274745" w14:paraId="1A67BB44" w14:textId="77777777" w:rsidTr="003A6B40">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272" w:type="dxa"/>
            <w:vAlign w:val="center"/>
          </w:tcPr>
          <w:p w14:paraId="72A327AA" w14:textId="77777777" w:rsidR="00562B47" w:rsidRPr="00274745" w:rsidRDefault="00562B47" w:rsidP="009476EB">
            <w:pPr>
              <w:spacing w:line="276" w:lineRule="auto"/>
              <w:jc w:val="center"/>
            </w:pPr>
            <w:r w:rsidRPr="00274745">
              <w:t>Model</w:t>
            </w:r>
          </w:p>
        </w:tc>
        <w:tc>
          <w:tcPr>
            <w:tcW w:w="551" w:type="dxa"/>
            <w:vAlign w:val="center"/>
          </w:tcPr>
          <w:p w14:paraId="783587BC"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n</w:t>
            </w:r>
          </w:p>
        </w:tc>
        <w:tc>
          <w:tcPr>
            <w:tcW w:w="1474" w:type="dxa"/>
            <w:vAlign w:val="center"/>
          </w:tcPr>
          <w:p w14:paraId="38A5358D"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Hits ratio</w:t>
            </w:r>
            <w:r>
              <w:rPr>
                <w:b/>
                <w:bCs/>
              </w:rPr>
              <w:br/>
            </w:r>
            <w:r w:rsidRPr="00274745">
              <w:rPr>
                <w:b/>
                <w:bCs/>
              </w:rPr>
              <w:t>(95% CI)</w:t>
            </w:r>
          </w:p>
        </w:tc>
        <w:tc>
          <w:tcPr>
            <w:tcW w:w="890" w:type="dxa"/>
            <w:vAlign w:val="center"/>
          </w:tcPr>
          <w:p w14:paraId="35043E9C"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p value</w:t>
            </w:r>
          </w:p>
        </w:tc>
        <w:tc>
          <w:tcPr>
            <w:tcW w:w="1431" w:type="dxa"/>
            <w:gridSpan w:val="2"/>
            <w:vAlign w:val="center"/>
          </w:tcPr>
          <w:p w14:paraId="7EE2BF15"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Model</w:t>
            </w:r>
          </w:p>
        </w:tc>
        <w:tc>
          <w:tcPr>
            <w:tcW w:w="551" w:type="dxa"/>
            <w:vAlign w:val="center"/>
          </w:tcPr>
          <w:p w14:paraId="5BC995B8"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n</w:t>
            </w:r>
          </w:p>
        </w:tc>
        <w:tc>
          <w:tcPr>
            <w:tcW w:w="1531" w:type="dxa"/>
            <w:vAlign w:val="center"/>
          </w:tcPr>
          <w:p w14:paraId="5F818EE1"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Hits ratio</w:t>
            </w:r>
          </w:p>
          <w:p w14:paraId="0853422E"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(95% CI)</w:t>
            </w:r>
          </w:p>
        </w:tc>
        <w:tc>
          <w:tcPr>
            <w:tcW w:w="1335" w:type="dxa"/>
            <w:vAlign w:val="center"/>
          </w:tcPr>
          <w:p w14:paraId="7D1E9C86"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p value</w:t>
            </w:r>
          </w:p>
        </w:tc>
      </w:tr>
      <w:tr w:rsidR="00562B47" w:rsidRPr="00274745" w14:paraId="2EAED285" w14:textId="77777777" w:rsidTr="003A6B40">
        <w:trPr>
          <w:cantSplit/>
          <w:trHeight w:val="340"/>
        </w:trPr>
        <w:tc>
          <w:tcPr>
            <w:cnfStyle w:val="001000000000" w:firstRow="0" w:lastRow="0" w:firstColumn="1" w:lastColumn="0" w:oddVBand="0" w:evenVBand="0" w:oddHBand="0" w:evenHBand="0" w:firstRowFirstColumn="0" w:firstRowLastColumn="0" w:lastRowFirstColumn="0" w:lastRowLastColumn="0"/>
            <w:tcW w:w="9035" w:type="dxa"/>
            <w:gridSpan w:val="9"/>
            <w:tcBorders>
              <w:top w:val="single" w:sz="4" w:space="0" w:color="7F7F7F" w:themeColor="text1" w:themeTint="80"/>
              <w:bottom w:val="nil"/>
            </w:tcBorders>
            <w:vAlign w:val="center"/>
          </w:tcPr>
          <w:p w14:paraId="1887D97A" w14:textId="77777777" w:rsidR="00562B47" w:rsidRPr="00274745" w:rsidRDefault="00562B47" w:rsidP="009476EB">
            <w:pPr>
              <w:spacing w:line="276" w:lineRule="auto"/>
              <w:jc w:val="center"/>
            </w:pPr>
            <w:r w:rsidRPr="00274745">
              <w:t>12 weeks</w:t>
            </w:r>
          </w:p>
        </w:tc>
      </w:tr>
      <w:tr w:rsidR="00E72112" w:rsidRPr="00274745" w14:paraId="454B5164" w14:textId="77777777" w:rsidTr="003A6B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2" w:type="dxa"/>
            <w:tcBorders>
              <w:bottom w:val="nil"/>
              <w:right w:val="nil"/>
            </w:tcBorders>
            <w:vAlign w:val="center"/>
          </w:tcPr>
          <w:p w14:paraId="03CF10D0" w14:textId="77777777" w:rsidR="00562B47" w:rsidRPr="00274745" w:rsidRDefault="00562B47" w:rsidP="009476EB">
            <w:pPr>
              <w:spacing w:line="276" w:lineRule="auto"/>
            </w:pPr>
            <w:r w:rsidRPr="00274745">
              <w:t>Unadjusted</w:t>
            </w:r>
          </w:p>
        </w:tc>
        <w:tc>
          <w:tcPr>
            <w:tcW w:w="551" w:type="dxa"/>
            <w:tcBorders>
              <w:left w:val="nil"/>
              <w:bottom w:val="nil"/>
              <w:right w:val="nil"/>
            </w:tcBorders>
            <w:vAlign w:val="center"/>
          </w:tcPr>
          <w:p w14:paraId="39C49C88"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433</w:t>
            </w:r>
          </w:p>
        </w:tc>
        <w:tc>
          <w:tcPr>
            <w:tcW w:w="1474" w:type="dxa"/>
            <w:tcBorders>
              <w:left w:val="nil"/>
              <w:bottom w:val="nil"/>
              <w:right w:val="nil"/>
            </w:tcBorders>
            <w:vAlign w:val="center"/>
          </w:tcPr>
          <w:p w14:paraId="46B5E440"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1.03</w:t>
            </w:r>
          </w:p>
          <w:p w14:paraId="4B0232BB"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(0.91 to 1.17)</w:t>
            </w:r>
          </w:p>
        </w:tc>
        <w:tc>
          <w:tcPr>
            <w:tcW w:w="890" w:type="dxa"/>
            <w:tcBorders>
              <w:left w:val="nil"/>
              <w:bottom w:val="nil"/>
            </w:tcBorders>
            <w:vAlign w:val="center"/>
          </w:tcPr>
          <w:p w14:paraId="2E6114B7"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t>59</w:t>
            </w:r>
          </w:p>
        </w:tc>
        <w:tc>
          <w:tcPr>
            <w:tcW w:w="1431" w:type="dxa"/>
            <w:gridSpan w:val="2"/>
            <w:tcBorders>
              <w:bottom w:val="nil"/>
              <w:right w:val="nil"/>
            </w:tcBorders>
            <w:vAlign w:val="center"/>
          </w:tcPr>
          <w:p w14:paraId="5D646FB8" w14:textId="77777777" w:rsidR="00562B47" w:rsidRPr="00274745" w:rsidRDefault="00562B47" w:rsidP="009476EB">
            <w:pPr>
              <w:spacing w:line="276" w:lineRule="auto"/>
              <w:cnfStyle w:val="000000100000" w:firstRow="0" w:lastRow="0" w:firstColumn="0" w:lastColumn="0" w:oddVBand="0" w:evenVBand="0" w:oddHBand="1" w:evenHBand="0" w:firstRowFirstColumn="0" w:firstRowLastColumn="0" w:lastRowFirstColumn="0" w:lastRowLastColumn="0"/>
              <w:rPr>
                <w:b/>
                <w:bCs/>
              </w:rPr>
            </w:pPr>
            <w:r w:rsidRPr="00274745">
              <w:rPr>
                <w:b/>
                <w:bCs/>
              </w:rPr>
              <w:t>Unadjusted</w:t>
            </w:r>
          </w:p>
        </w:tc>
        <w:tc>
          <w:tcPr>
            <w:tcW w:w="551" w:type="dxa"/>
            <w:tcBorders>
              <w:left w:val="nil"/>
              <w:bottom w:val="nil"/>
              <w:right w:val="nil"/>
            </w:tcBorders>
            <w:vAlign w:val="center"/>
          </w:tcPr>
          <w:p w14:paraId="711ECB5E"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433</w:t>
            </w:r>
          </w:p>
        </w:tc>
        <w:tc>
          <w:tcPr>
            <w:tcW w:w="1531" w:type="dxa"/>
            <w:tcBorders>
              <w:left w:val="nil"/>
              <w:bottom w:val="nil"/>
              <w:right w:val="nil"/>
            </w:tcBorders>
            <w:vAlign w:val="center"/>
          </w:tcPr>
          <w:p w14:paraId="456CDA12"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5548FF">
              <w:t xml:space="preserve">1.05 </w:t>
            </w:r>
            <w:r w:rsidRPr="005548FF">
              <w:br/>
              <w:t>(0.91 to 1.20)</w:t>
            </w:r>
          </w:p>
        </w:tc>
        <w:tc>
          <w:tcPr>
            <w:tcW w:w="1335" w:type="dxa"/>
            <w:tcBorders>
              <w:left w:val="nil"/>
              <w:bottom w:val="nil"/>
            </w:tcBorders>
            <w:vAlign w:val="center"/>
          </w:tcPr>
          <w:p w14:paraId="7BF6C75E"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t>5</w:t>
            </w:r>
            <w:r w:rsidR="003F5F0A">
              <w:t>2</w:t>
            </w:r>
          </w:p>
        </w:tc>
      </w:tr>
      <w:tr w:rsidR="00E72112" w:rsidRPr="00274745" w14:paraId="398A4AFB" w14:textId="77777777" w:rsidTr="003A6B40">
        <w:trPr>
          <w:cantSplit/>
        </w:trPr>
        <w:tc>
          <w:tcPr>
            <w:cnfStyle w:val="001000000000" w:firstRow="0" w:lastRow="0" w:firstColumn="1" w:lastColumn="0" w:oddVBand="0" w:evenVBand="0" w:oddHBand="0" w:evenHBand="0" w:firstRowFirstColumn="0" w:firstRowLastColumn="0" w:lastRowFirstColumn="0" w:lastRowLastColumn="0"/>
            <w:tcW w:w="1272" w:type="dxa"/>
            <w:tcBorders>
              <w:top w:val="nil"/>
              <w:bottom w:val="single" w:sz="4" w:space="0" w:color="7F7F7F"/>
              <w:right w:val="nil"/>
            </w:tcBorders>
            <w:vAlign w:val="center"/>
          </w:tcPr>
          <w:p w14:paraId="757E470F" w14:textId="77777777" w:rsidR="00562B47" w:rsidRPr="00274745" w:rsidRDefault="00562B47" w:rsidP="009476EB">
            <w:pPr>
              <w:spacing w:line="276" w:lineRule="auto"/>
              <w:rPr>
                <w:vertAlign w:val="superscript"/>
              </w:rPr>
            </w:pPr>
            <w:r w:rsidRPr="00274745">
              <w:t>Adjusted*</w:t>
            </w:r>
          </w:p>
        </w:tc>
        <w:tc>
          <w:tcPr>
            <w:tcW w:w="551" w:type="dxa"/>
            <w:tcBorders>
              <w:top w:val="nil"/>
              <w:left w:val="nil"/>
              <w:bottom w:val="single" w:sz="4" w:space="0" w:color="7F7F7F"/>
              <w:right w:val="nil"/>
            </w:tcBorders>
            <w:vAlign w:val="center"/>
          </w:tcPr>
          <w:p w14:paraId="08791392"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43</w:t>
            </w:r>
            <w:r>
              <w:t>0</w:t>
            </w:r>
          </w:p>
        </w:tc>
        <w:tc>
          <w:tcPr>
            <w:tcW w:w="1474" w:type="dxa"/>
            <w:tcBorders>
              <w:top w:val="nil"/>
              <w:left w:val="nil"/>
              <w:bottom w:val="single" w:sz="4" w:space="0" w:color="7F7F7F"/>
              <w:right w:val="nil"/>
            </w:tcBorders>
            <w:vAlign w:val="center"/>
          </w:tcPr>
          <w:p w14:paraId="27F08B1A"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t>1.0</w:t>
            </w:r>
            <w:r w:rsidR="00753693">
              <w:t>0</w:t>
            </w:r>
          </w:p>
          <w:p w14:paraId="52152DB9"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(0.9</w:t>
            </w:r>
            <w:r>
              <w:t xml:space="preserve">0 </w:t>
            </w:r>
            <w:r w:rsidRPr="00274745">
              <w:t>to 1.</w:t>
            </w:r>
            <w:r>
              <w:t>1</w:t>
            </w:r>
            <w:r w:rsidR="00534B5B">
              <w:t>1</w:t>
            </w:r>
            <w:r w:rsidRPr="00274745">
              <w:t>)</w:t>
            </w:r>
          </w:p>
        </w:tc>
        <w:tc>
          <w:tcPr>
            <w:tcW w:w="890" w:type="dxa"/>
            <w:tcBorders>
              <w:top w:val="nil"/>
              <w:left w:val="nil"/>
              <w:bottom w:val="single" w:sz="4" w:space="0" w:color="7F7F7F"/>
            </w:tcBorders>
            <w:vAlign w:val="center"/>
          </w:tcPr>
          <w:p w14:paraId="118804C7"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0.</w:t>
            </w:r>
            <w:r w:rsidR="007424E4">
              <w:t>9</w:t>
            </w:r>
            <w:r w:rsidR="00AA3512">
              <w:t>3</w:t>
            </w:r>
          </w:p>
        </w:tc>
        <w:tc>
          <w:tcPr>
            <w:tcW w:w="1431" w:type="dxa"/>
            <w:gridSpan w:val="2"/>
            <w:tcBorders>
              <w:top w:val="nil"/>
              <w:bottom w:val="single" w:sz="4" w:space="0" w:color="7F7F7F"/>
              <w:right w:val="nil"/>
            </w:tcBorders>
            <w:vAlign w:val="center"/>
          </w:tcPr>
          <w:p w14:paraId="2A2BEF5B" w14:textId="77777777" w:rsidR="00562B47" w:rsidRPr="00274745" w:rsidRDefault="00562B47" w:rsidP="009476E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274745">
              <w:rPr>
                <w:b/>
                <w:bCs/>
              </w:rPr>
              <w:t>Adjusted*</w:t>
            </w:r>
          </w:p>
        </w:tc>
        <w:tc>
          <w:tcPr>
            <w:tcW w:w="551" w:type="dxa"/>
            <w:tcBorders>
              <w:top w:val="nil"/>
              <w:left w:val="nil"/>
              <w:bottom w:val="single" w:sz="4" w:space="0" w:color="7F7F7F"/>
              <w:right w:val="nil"/>
            </w:tcBorders>
            <w:vAlign w:val="center"/>
          </w:tcPr>
          <w:p w14:paraId="728A3E36"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43</w:t>
            </w:r>
            <w:r w:rsidR="0056553C">
              <w:t>0</w:t>
            </w:r>
          </w:p>
        </w:tc>
        <w:tc>
          <w:tcPr>
            <w:tcW w:w="1531" w:type="dxa"/>
            <w:tcBorders>
              <w:top w:val="nil"/>
              <w:left w:val="nil"/>
              <w:bottom w:val="single" w:sz="4" w:space="0" w:color="7F7F7F"/>
              <w:right w:val="nil"/>
            </w:tcBorders>
            <w:vAlign w:val="center"/>
          </w:tcPr>
          <w:p w14:paraId="3C819ABF"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5548FF">
              <w:t>1.0</w:t>
            </w:r>
            <w:r w:rsidR="0056553C">
              <w:t>0</w:t>
            </w:r>
            <w:r w:rsidRPr="005548FF">
              <w:br/>
              <w:t>(0</w:t>
            </w:r>
            <w:r>
              <w:t>.8</w:t>
            </w:r>
            <w:r w:rsidR="00AE2E5B">
              <w:t>7</w:t>
            </w:r>
            <w:r w:rsidRPr="005548FF">
              <w:t xml:space="preserve"> to 1.1</w:t>
            </w:r>
            <w:r w:rsidR="00AE2E5B">
              <w:t>4</w:t>
            </w:r>
            <w:r w:rsidRPr="005548FF">
              <w:t>)</w:t>
            </w:r>
          </w:p>
        </w:tc>
        <w:tc>
          <w:tcPr>
            <w:tcW w:w="1335" w:type="dxa"/>
            <w:tcBorders>
              <w:top w:val="nil"/>
              <w:left w:val="nil"/>
              <w:bottom w:val="single" w:sz="4" w:space="0" w:color="7F7F7F"/>
            </w:tcBorders>
            <w:vAlign w:val="center"/>
          </w:tcPr>
          <w:p w14:paraId="531A786A"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0.</w:t>
            </w:r>
            <w:r w:rsidR="00AE2E5B">
              <w:t>87</w:t>
            </w:r>
          </w:p>
        </w:tc>
      </w:tr>
      <w:tr w:rsidR="00562B47" w:rsidRPr="00274745" w14:paraId="76BBC76B" w14:textId="77777777" w:rsidTr="003A6B40">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9035" w:type="dxa"/>
            <w:gridSpan w:val="9"/>
            <w:tcBorders>
              <w:top w:val="single" w:sz="4" w:space="0" w:color="7F7F7F"/>
              <w:bottom w:val="single" w:sz="4" w:space="0" w:color="7F7F7F"/>
            </w:tcBorders>
            <w:vAlign w:val="center"/>
          </w:tcPr>
          <w:p w14:paraId="096B5C2C" w14:textId="77777777" w:rsidR="00562B47" w:rsidRPr="00274745" w:rsidRDefault="00562B47" w:rsidP="009476EB">
            <w:pPr>
              <w:spacing w:line="276" w:lineRule="auto"/>
              <w:jc w:val="center"/>
            </w:pPr>
            <w:r w:rsidRPr="00274745">
              <w:t>52 weeks</w:t>
            </w:r>
          </w:p>
        </w:tc>
      </w:tr>
      <w:tr w:rsidR="00E72112" w:rsidRPr="00274745" w14:paraId="3CEC8057" w14:textId="77777777" w:rsidTr="003A6B40">
        <w:trPr>
          <w:cantSplit/>
        </w:trPr>
        <w:tc>
          <w:tcPr>
            <w:cnfStyle w:val="001000000000" w:firstRow="0" w:lastRow="0" w:firstColumn="1" w:lastColumn="0" w:oddVBand="0" w:evenVBand="0" w:oddHBand="0" w:evenHBand="0" w:firstRowFirstColumn="0" w:firstRowLastColumn="0" w:lastRowFirstColumn="0" w:lastRowLastColumn="0"/>
            <w:tcW w:w="1272" w:type="dxa"/>
            <w:tcBorders>
              <w:top w:val="single" w:sz="4" w:space="0" w:color="7F7F7F"/>
              <w:bottom w:val="nil"/>
              <w:right w:val="nil"/>
            </w:tcBorders>
            <w:vAlign w:val="center"/>
          </w:tcPr>
          <w:p w14:paraId="1CDE3FFF" w14:textId="77777777" w:rsidR="00562B47" w:rsidRPr="00274745" w:rsidRDefault="00562B47" w:rsidP="009476EB">
            <w:pPr>
              <w:spacing w:line="276" w:lineRule="auto"/>
            </w:pPr>
            <w:r w:rsidRPr="00274745">
              <w:t>Unadjusted</w:t>
            </w:r>
          </w:p>
        </w:tc>
        <w:tc>
          <w:tcPr>
            <w:tcW w:w="551" w:type="dxa"/>
            <w:tcBorders>
              <w:top w:val="single" w:sz="4" w:space="0" w:color="7F7F7F"/>
              <w:left w:val="nil"/>
              <w:bottom w:val="nil"/>
              <w:right w:val="nil"/>
            </w:tcBorders>
            <w:vAlign w:val="center"/>
          </w:tcPr>
          <w:p w14:paraId="1549D150"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375</w:t>
            </w:r>
          </w:p>
        </w:tc>
        <w:tc>
          <w:tcPr>
            <w:tcW w:w="1474" w:type="dxa"/>
            <w:tcBorders>
              <w:top w:val="single" w:sz="4" w:space="0" w:color="7F7F7F"/>
              <w:left w:val="nil"/>
              <w:bottom w:val="nil"/>
              <w:right w:val="nil"/>
            </w:tcBorders>
            <w:vAlign w:val="center"/>
          </w:tcPr>
          <w:p w14:paraId="4BEF9BF7"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1.06</w:t>
            </w:r>
          </w:p>
          <w:p w14:paraId="423F2B85"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(0.9</w:t>
            </w:r>
            <w:r>
              <w:t>3</w:t>
            </w:r>
            <w:r w:rsidRPr="00274745">
              <w:t xml:space="preserve"> to 1.</w:t>
            </w:r>
            <w:r>
              <w:t>2</w:t>
            </w:r>
            <w:r w:rsidRPr="00274745">
              <w:t>1)</w:t>
            </w:r>
          </w:p>
        </w:tc>
        <w:tc>
          <w:tcPr>
            <w:tcW w:w="890" w:type="dxa"/>
            <w:tcBorders>
              <w:top w:val="single" w:sz="4" w:space="0" w:color="7F7F7F"/>
              <w:left w:val="nil"/>
              <w:bottom w:val="nil"/>
            </w:tcBorders>
            <w:vAlign w:val="center"/>
          </w:tcPr>
          <w:p w14:paraId="0C757086"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F62C6F">
              <w:t>0.37</w:t>
            </w:r>
          </w:p>
        </w:tc>
        <w:tc>
          <w:tcPr>
            <w:tcW w:w="1431" w:type="dxa"/>
            <w:gridSpan w:val="2"/>
            <w:tcBorders>
              <w:top w:val="single" w:sz="4" w:space="0" w:color="7F7F7F"/>
              <w:bottom w:val="nil"/>
              <w:right w:val="nil"/>
            </w:tcBorders>
            <w:vAlign w:val="center"/>
          </w:tcPr>
          <w:p w14:paraId="106A8B0A" w14:textId="77777777" w:rsidR="00562B47" w:rsidRPr="00274745" w:rsidRDefault="00562B47" w:rsidP="009476EB">
            <w:pPr>
              <w:spacing w:line="276" w:lineRule="auto"/>
              <w:cnfStyle w:val="000000000000" w:firstRow="0" w:lastRow="0" w:firstColumn="0" w:lastColumn="0" w:oddVBand="0" w:evenVBand="0" w:oddHBand="0" w:evenHBand="0" w:firstRowFirstColumn="0" w:firstRowLastColumn="0" w:lastRowFirstColumn="0" w:lastRowLastColumn="0"/>
              <w:rPr>
                <w:b/>
                <w:bCs/>
              </w:rPr>
            </w:pPr>
            <w:r w:rsidRPr="00274745">
              <w:rPr>
                <w:b/>
                <w:bCs/>
              </w:rPr>
              <w:t>Unadjusted</w:t>
            </w:r>
          </w:p>
        </w:tc>
        <w:tc>
          <w:tcPr>
            <w:tcW w:w="551" w:type="dxa"/>
            <w:tcBorders>
              <w:top w:val="single" w:sz="4" w:space="0" w:color="7F7F7F"/>
              <w:left w:val="nil"/>
              <w:bottom w:val="nil"/>
              <w:right w:val="nil"/>
            </w:tcBorders>
            <w:vAlign w:val="center"/>
          </w:tcPr>
          <w:p w14:paraId="6264C79C"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375</w:t>
            </w:r>
          </w:p>
        </w:tc>
        <w:tc>
          <w:tcPr>
            <w:tcW w:w="1531" w:type="dxa"/>
            <w:tcBorders>
              <w:top w:val="single" w:sz="4" w:space="0" w:color="7F7F7F"/>
              <w:left w:val="nil"/>
              <w:bottom w:val="nil"/>
              <w:right w:val="nil"/>
            </w:tcBorders>
            <w:vAlign w:val="center"/>
          </w:tcPr>
          <w:p w14:paraId="4F4AA8BA"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B42EFB">
              <w:t xml:space="preserve">1.05 </w:t>
            </w:r>
            <w:r w:rsidRPr="00B42EFB">
              <w:br/>
              <w:t>(0.90 to 1.24)</w:t>
            </w:r>
          </w:p>
        </w:tc>
        <w:tc>
          <w:tcPr>
            <w:tcW w:w="1335" w:type="dxa"/>
            <w:tcBorders>
              <w:top w:val="single" w:sz="4" w:space="0" w:color="7F7F7F"/>
              <w:left w:val="nil"/>
              <w:bottom w:val="nil"/>
            </w:tcBorders>
            <w:vAlign w:val="center"/>
          </w:tcPr>
          <w:p w14:paraId="7E37C77A" w14:textId="77777777" w:rsidR="00562B47" w:rsidRPr="00274745" w:rsidRDefault="00562B47" w:rsidP="009476EB">
            <w:pPr>
              <w:spacing w:line="276" w:lineRule="auto"/>
              <w:jc w:val="center"/>
              <w:cnfStyle w:val="000000000000" w:firstRow="0" w:lastRow="0" w:firstColumn="0" w:lastColumn="0" w:oddVBand="0" w:evenVBand="0" w:oddHBand="0" w:evenHBand="0" w:firstRowFirstColumn="0" w:firstRowLastColumn="0" w:lastRowFirstColumn="0" w:lastRowLastColumn="0"/>
            </w:pPr>
            <w:r w:rsidRPr="00B42EFB">
              <w:t>0.5</w:t>
            </w:r>
            <w:r w:rsidR="003F5F0A">
              <w:t>2</w:t>
            </w:r>
          </w:p>
        </w:tc>
      </w:tr>
      <w:tr w:rsidR="00E72112" w:rsidRPr="00274745" w14:paraId="4F9C0CED" w14:textId="77777777" w:rsidTr="003A6B4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72" w:type="dxa"/>
            <w:tcBorders>
              <w:top w:val="nil"/>
              <w:right w:val="nil"/>
            </w:tcBorders>
            <w:vAlign w:val="center"/>
          </w:tcPr>
          <w:p w14:paraId="58046E88" w14:textId="77777777" w:rsidR="00562B47" w:rsidRPr="00274745" w:rsidRDefault="00562B47" w:rsidP="009476EB">
            <w:pPr>
              <w:spacing w:line="276" w:lineRule="auto"/>
            </w:pPr>
            <w:r w:rsidRPr="00274745">
              <w:t>Adjusted*</w:t>
            </w:r>
          </w:p>
        </w:tc>
        <w:tc>
          <w:tcPr>
            <w:tcW w:w="551" w:type="dxa"/>
            <w:tcBorders>
              <w:top w:val="nil"/>
              <w:left w:val="nil"/>
              <w:right w:val="nil"/>
            </w:tcBorders>
            <w:vAlign w:val="center"/>
          </w:tcPr>
          <w:p w14:paraId="3D114AF2"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3</w:t>
            </w:r>
            <w:r w:rsidR="003A25B4">
              <w:t>68</w:t>
            </w:r>
          </w:p>
        </w:tc>
        <w:tc>
          <w:tcPr>
            <w:tcW w:w="1474" w:type="dxa"/>
            <w:tcBorders>
              <w:top w:val="nil"/>
              <w:left w:val="nil"/>
              <w:right w:val="nil"/>
            </w:tcBorders>
            <w:vAlign w:val="center"/>
          </w:tcPr>
          <w:p w14:paraId="5B750333"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F62C6F">
              <w:t>1.0</w:t>
            </w:r>
            <w:r w:rsidR="00F74C16">
              <w:t>3</w:t>
            </w:r>
            <w:r w:rsidRPr="00F62C6F">
              <w:br/>
              <w:t>(0.91 to 1.1</w:t>
            </w:r>
            <w:r w:rsidR="00F74C16">
              <w:t>7</w:t>
            </w:r>
            <w:r w:rsidRPr="00F62C6F">
              <w:t>)</w:t>
            </w:r>
          </w:p>
        </w:tc>
        <w:tc>
          <w:tcPr>
            <w:tcW w:w="890" w:type="dxa"/>
            <w:tcBorders>
              <w:top w:val="nil"/>
              <w:left w:val="nil"/>
            </w:tcBorders>
            <w:vAlign w:val="center"/>
          </w:tcPr>
          <w:p w14:paraId="33089AD6"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F62C6F">
              <w:t>0.</w:t>
            </w:r>
            <w:r w:rsidR="00F74C16">
              <w:t>6</w:t>
            </w:r>
            <w:r w:rsidR="003A25B4">
              <w:t>2</w:t>
            </w:r>
          </w:p>
        </w:tc>
        <w:tc>
          <w:tcPr>
            <w:tcW w:w="1431" w:type="dxa"/>
            <w:gridSpan w:val="2"/>
            <w:tcBorders>
              <w:top w:val="nil"/>
              <w:right w:val="nil"/>
            </w:tcBorders>
            <w:vAlign w:val="center"/>
          </w:tcPr>
          <w:p w14:paraId="6C28DF61" w14:textId="77777777" w:rsidR="00562B47" w:rsidRPr="00274745" w:rsidRDefault="00562B47" w:rsidP="009476EB">
            <w:pPr>
              <w:spacing w:line="276" w:lineRule="auto"/>
              <w:cnfStyle w:val="000000100000" w:firstRow="0" w:lastRow="0" w:firstColumn="0" w:lastColumn="0" w:oddVBand="0" w:evenVBand="0" w:oddHBand="1" w:evenHBand="0" w:firstRowFirstColumn="0" w:firstRowLastColumn="0" w:lastRowFirstColumn="0" w:lastRowLastColumn="0"/>
              <w:rPr>
                <w:b/>
                <w:bCs/>
              </w:rPr>
            </w:pPr>
            <w:r w:rsidRPr="00274745">
              <w:rPr>
                <w:b/>
                <w:bCs/>
              </w:rPr>
              <w:t>Adjusted*</w:t>
            </w:r>
          </w:p>
        </w:tc>
        <w:tc>
          <w:tcPr>
            <w:tcW w:w="551" w:type="dxa"/>
            <w:tcBorders>
              <w:top w:val="nil"/>
              <w:left w:val="nil"/>
              <w:right w:val="nil"/>
            </w:tcBorders>
            <w:vAlign w:val="center"/>
          </w:tcPr>
          <w:p w14:paraId="770E6BB2"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3</w:t>
            </w:r>
            <w:r w:rsidR="00E72112">
              <w:t>68</w:t>
            </w:r>
          </w:p>
        </w:tc>
        <w:tc>
          <w:tcPr>
            <w:tcW w:w="1531" w:type="dxa"/>
            <w:tcBorders>
              <w:top w:val="nil"/>
              <w:left w:val="nil"/>
              <w:right w:val="nil"/>
            </w:tcBorders>
            <w:vAlign w:val="center"/>
          </w:tcPr>
          <w:p w14:paraId="7F467562" w14:textId="77777777" w:rsidR="00562B47" w:rsidRPr="00274745" w:rsidRDefault="00290874"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t>1.00</w:t>
            </w:r>
            <w:r w:rsidR="00562B47" w:rsidRPr="00B42EFB">
              <w:br/>
              <w:t>(0.</w:t>
            </w:r>
            <w:r w:rsidR="00562B47">
              <w:t>8</w:t>
            </w:r>
            <w:r>
              <w:t>6</w:t>
            </w:r>
            <w:r w:rsidR="00562B47" w:rsidRPr="00B42EFB">
              <w:t xml:space="preserve"> to 1.</w:t>
            </w:r>
            <w:r w:rsidR="00562B47">
              <w:t>1</w:t>
            </w:r>
            <w:r>
              <w:t>5</w:t>
            </w:r>
            <w:r w:rsidR="00562B47" w:rsidRPr="00B42EFB">
              <w:t>)</w:t>
            </w:r>
          </w:p>
        </w:tc>
        <w:tc>
          <w:tcPr>
            <w:tcW w:w="1335" w:type="dxa"/>
            <w:tcBorders>
              <w:top w:val="nil"/>
              <w:left w:val="nil"/>
            </w:tcBorders>
            <w:vAlign w:val="center"/>
          </w:tcPr>
          <w:p w14:paraId="4D123C31" w14:textId="77777777" w:rsidR="00562B47" w:rsidRPr="00274745" w:rsidRDefault="00562B47" w:rsidP="009476E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rsidR="00E72112">
              <w:t>96</w:t>
            </w:r>
          </w:p>
        </w:tc>
      </w:tr>
    </w:tbl>
    <w:p w14:paraId="215D392B" w14:textId="785EED24" w:rsidR="00130DE3" w:rsidRDefault="00E4531F" w:rsidP="00B6621E">
      <w:pPr>
        <w:suppressLineNumbers/>
        <w:spacing w:line="276" w:lineRule="auto"/>
        <w:jc w:val="both"/>
        <w:rPr>
          <w:b/>
          <w:bCs/>
        </w:rPr>
      </w:pPr>
      <w:r>
        <w:br/>
      </w:r>
      <w:r w:rsidR="00C8353A">
        <w:t xml:space="preserve">Note. CI, confidence interval. </w:t>
      </w:r>
      <w:r w:rsidR="00920FDD">
        <w:t xml:space="preserve">*Positive hits adjusted for </w:t>
      </w:r>
      <w:r w:rsidR="000E325A">
        <w:t xml:space="preserve">negative hits, </w:t>
      </w:r>
      <w:r w:rsidR="00920FDD">
        <w:t>baseline positive hits</w:t>
      </w:r>
      <w:r w:rsidR="008A2D30">
        <w:t>, positive and negative false alarms,</w:t>
      </w:r>
      <w:r w:rsidR="00920FDD">
        <w:t xml:space="preserve"> and </w:t>
      </w:r>
      <w:r w:rsidR="00AD4EF0">
        <w:t xml:space="preserve">stratification </w:t>
      </w:r>
      <w:r w:rsidR="00920FDD">
        <w:t xml:space="preserve">variables </w:t>
      </w:r>
      <w:r w:rsidR="00920FDD" w:rsidRPr="00401231">
        <w:t>(</w:t>
      </w:r>
      <w:r w:rsidR="00920FDD">
        <w:t xml:space="preserve">symptom </w:t>
      </w:r>
      <w:r w:rsidR="00920FDD" w:rsidRPr="00401231">
        <w:t xml:space="preserve">severity at baseline, assessed using the CIS-R, medication and study </w:t>
      </w:r>
      <w:r w:rsidR="00920FDD">
        <w:t>centre</w:t>
      </w:r>
      <w:r w:rsidR="00920FDD" w:rsidRPr="00401231">
        <w:t>).</w:t>
      </w:r>
      <w:r w:rsidR="00920FDD">
        <w:t xml:space="preserve"> Negative hits adjusted for </w:t>
      </w:r>
      <w:r w:rsidR="000E325A">
        <w:t xml:space="preserve">positive hits, </w:t>
      </w:r>
      <w:r w:rsidR="00920FDD">
        <w:t>baseline negative hits</w:t>
      </w:r>
      <w:r w:rsidR="008A2D30">
        <w:t>,</w:t>
      </w:r>
      <w:r w:rsidR="00DA6E58">
        <w:t xml:space="preserve"> </w:t>
      </w:r>
      <w:r w:rsidR="008A2D30">
        <w:t>positive and negative false alarms</w:t>
      </w:r>
      <w:r w:rsidR="00E61450">
        <w:t>,</w:t>
      </w:r>
      <w:r w:rsidR="00920FDD">
        <w:t xml:space="preserve"> and </w:t>
      </w:r>
      <w:r w:rsidR="00AD4EF0">
        <w:t xml:space="preserve">stratification </w:t>
      </w:r>
      <w:r w:rsidR="00920FDD">
        <w:t>variables. Results unaltered after adjusting for predictors of missingness.</w:t>
      </w:r>
      <w:r w:rsidR="00130DE3">
        <w:rPr>
          <w:b/>
          <w:bCs/>
        </w:rPr>
        <w:br w:type="page"/>
      </w:r>
    </w:p>
    <w:p w14:paraId="3D1A9FBA" w14:textId="0595CF7C" w:rsidR="00E4531F" w:rsidRPr="00E4531F" w:rsidRDefault="00365F1B" w:rsidP="00B6621E">
      <w:pPr>
        <w:suppressLineNumbers/>
        <w:spacing w:line="276" w:lineRule="auto"/>
        <w:jc w:val="both"/>
      </w:pPr>
      <w:r w:rsidRPr="00795898">
        <w:rPr>
          <w:b/>
          <w:bCs/>
        </w:rPr>
        <w:lastRenderedPageBreak/>
        <w:t xml:space="preserve">Table 4. </w:t>
      </w:r>
      <w:r w:rsidRPr="005516EC">
        <w:t>Ratio of total hits in the antidepressant discontinuation</w:t>
      </w:r>
      <w:r w:rsidR="002005D5">
        <w:t xml:space="preserve"> group</w:t>
      </w:r>
      <w:r w:rsidRPr="005516EC">
        <w:t>, relative to long-term maintenance treatment, 12 and 52 weeks after randomisation.</w:t>
      </w:r>
    </w:p>
    <w:tbl>
      <w:tblPr>
        <w:tblStyle w:val="PlainTable2"/>
        <w:tblW w:w="9133" w:type="dxa"/>
        <w:tblLook w:val="04A0" w:firstRow="1" w:lastRow="0" w:firstColumn="1" w:lastColumn="0" w:noHBand="0" w:noVBand="1"/>
      </w:tblPr>
      <w:tblGrid>
        <w:gridCol w:w="1429"/>
        <w:gridCol w:w="551"/>
        <w:gridCol w:w="1474"/>
        <w:gridCol w:w="1335"/>
        <w:gridCol w:w="1429"/>
        <w:gridCol w:w="551"/>
        <w:gridCol w:w="1474"/>
        <w:gridCol w:w="829"/>
        <w:gridCol w:w="61"/>
      </w:tblGrid>
      <w:tr w:rsidR="00810CA0" w:rsidRPr="00274745" w14:paraId="43D76999" w14:textId="77777777" w:rsidTr="000E6C87">
        <w:trPr>
          <w:gridAfter w:val="1"/>
          <w:cnfStyle w:val="100000000000" w:firstRow="1" w:lastRow="0" w:firstColumn="0" w:lastColumn="0" w:oddVBand="0" w:evenVBand="0" w:oddHBand="0" w:evenHBand="0" w:firstRowFirstColumn="0" w:firstRowLastColumn="0" w:lastRowFirstColumn="0" w:lastRowLastColumn="0"/>
          <w:wAfter w:w="61" w:type="dxa"/>
        </w:trPr>
        <w:tc>
          <w:tcPr>
            <w:cnfStyle w:val="001000000000" w:firstRow="0" w:lastRow="0" w:firstColumn="1" w:lastColumn="0" w:oddVBand="0" w:evenVBand="0" w:oddHBand="0" w:evenHBand="0" w:firstRowFirstColumn="0" w:firstRowLastColumn="0" w:lastRowFirstColumn="0" w:lastRowLastColumn="0"/>
            <w:tcW w:w="4789" w:type="dxa"/>
            <w:gridSpan w:val="4"/>
            <w:vAlign w:val="center"/>
          </w:tcPr>
          <w:p w14:paraId="1A2CDE8B" w14:textId="77777777" w:rsidR="00810CA0" w:rsidRPr="00274745" w:rsidRDefault="00810CA0" w:rsidP="000E6C87">
            <w:pPr>
              <w:spacing w:line="276" w:lineRule="auto"/>
              <w:jc w:val="center"/>
            </w:pPr>
            <w:r>
              <w:t>Effect of treatment allocation</w:t>
            </w:r>
          </w:p>
        </w:tc>
        <w:tc>
          <w:tcPr>
            <w:tcW w:w="4283" w:type="dxa"/>
            <w:gridSpan w:val="4"/>
          </w:tcPr>
          <w:p w14:paraId="46624AAB" w14:textId="77777777" w:rsidR="00810CA0" w:rsidRPr="00274745" w:rsidRDefault="00810CA0" w:rsidP="000E6C87">
            <w:pPr>
              <w:spacing w:line="276" w:lineRule="auto"/>
              <w:jc w:val="center"/>
              <w:cnfStyle w:val="100000000000" w:firstRow="1" w:lastRow="0" w:firstColumn="0" w:lastColumn="0" w:oddVBand="0" w:evenVBand="0" w:oddHBand="0" w:evenHBand="0" w:firstRowFirstColumn="0" w:firstRowLastColumn="0" w:lastRowFirstColumn="0" w:lastRowLastColumn="0"/>
            </w:pPr>
            <w:r>
              <w:t xml:space="preserve">Interaction between </w:t>
            </w:r>
            <w:r>
              <w:br/>
              <w:t>treatment allocation and word valence</w:t>
            </w:r>
          </w:p>
        </w:tc>
      </w:tr>
      <w:tr w:rsidR="00810CA0" w:rsidRPr="00274745" w14:paraId="6ED3CBDA" w14:textId="77777777" w:rsidTr="000E6C87">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29" w:type="dxa"/>
            <w:vAlign w:val="center"/>
          </w:tcPr>
          <w:p w14:paraId="39FAE681" w14:textId="77777777" w:rsidR="00810CA0" w:rsidRPr="00274745" w:rsidRDefault="00810CA0" w:rsidP="000E6C87">
            <w:pPr>
              <w:spacing w:line="276" w:lineRule="auto"/>
              <w:jc w:val="center"/>
            </w:pPr>
            <w:r w:rsidRPr="00274745">
              <w:t>Model</w:t>
            </w:r>
          </w:p>
        </w:tc>
        <w:tc>
          <w:tcPr>
            <w:tcW w:w="551" w:type="dxa"/>
            <w:vAlign w:val="center"/>
          </w:tcPr>
          <w:p w14:paraId="6969A71F"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n</w:t>
            </w:r>
          </w:p>
        </w:tc>
        <w:tc>
          <w:tcPr>
            <w:tcW w:w="1474" w:type="dxa"/>
            <w:vAlign w:val="center"/>
          </w:tcPr>
          <w:p w14:paraId="153D3C50"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Hits ratio</w:t>
            </w:r>
            <w:r>
              <w:rPr>
                <w:b/>
                <w:bCs/>
              </w:rPr>
              <w:br/>
            </w:r>
            <w:r w:rsidRPr="00274745">
              <w:rPr>
                <w:b/>
                <w:bCs/>
              </w:rPr>
              <w:t>(95% CI)</w:t>
            </w:r>
          </w:p>
        </w:tc>
        <w:tc>
          <w:tcPr>
            <w:tcW w:w="1335" w:type="dxa"/>
            <w:vAlign w:val="center"/>
          </w:tcPr>
          <w:p w14:paraId="693F79B0"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p value</w:t>
            </w:r>
          </w:p>
        </w:tc>
        <w:tc>
          <w:tcPr>
            <w:tcW w:w="1429" w:type="dxa"/>
            <w:vAlign w:val="center"/>
          </w:tcPr>
          <w:p w14:paraId="432C50B8"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Model</w:t>
            </w:r>
          </w:p>
        </w:tc>
        <w:tc>
          <w:tcPr>
            <w:tcW w:w="551" w:type="dxa"/>
            <w:vAlign w:val="center"/>
          </w:tcPr>
          <w:p w14:paraId="16217F62"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n</w:t>
            </w:r>
          </w:p>
        </w:tc>
        <w:tc>
          <w:tcPr>
            <w:tcW w:w="1474" w:type="dxa"/>
            <w:vAlign w:val="center"/>
          </w:tcPr>
          <w:p w14:paraId="1E209298"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Hits ratio</w:t>
            </w:r>
          </w:p>
          <w:p w14:paraId="62A48957"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(95% CI)</w:t>
            </w:r>
          </w:p>
        </w:tc>
        <w:tc>
          <w:tcPr>
            <w:tcW w:w="890" w:type="dxa"/>
            <w:gridSpan w:val="2"/>
            <w:vAlign w:val="center"/>
          </w:tcPr>
          <w:p w14:paraId="5D35AA51"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p value</w:t>
            </w:r>
          </w:p>
        </w:tc>
      </w:tr>
      <w:tr w:rsidR="00810CA0" w:rsidRPr="00274745" w14:paraId="143C6B0C" w14:textId="77777777" w:rsidTr="000E6C87">
        <w:trPr>
          <w:gridAfter w:val="8"/>
          <w:wAfter w:w="7704" w:type="dxa"/>
          <w:trHeight w:val="340"/>
        </w:trPr>
        <w:tc>
          <w:tcPr>
            <w:cnfStyle w:val="001000000000" w:firstRow="0" w:lastRow="0" w:firstColumn="1" w:lastColumn="0" w:oddVBand="0" w:evenVBand="0" w:oddHBand="0" w:evenHBand="0" w:firstRowFirstColumn="0" w:firstRowLastColumn="0" w:lastRowFirstColumn="0" w:lastRowLastColumn="0"/>
            <w:tcW w:w="1429" w:type="dxa"/>
            <w:tcBorders>
              <w:top w:val="single" w:sz="4" w:space="0" w:color="7F7F7F" w:themeColor="text1" w:themeTint="80"/>
              <w:bottom w:val="nil"/>
            </w:tcBorders>
            <w:vAlign w:val="center"/>
          </w:tcPr>
          <w:p w14:paraId="4E404FA6" w14:textId="77777777" w:rsidR="00810CA0" w:rsidRPr="00274745" w:rsidRDefault="00810CA0" w:rsidP="000E6C87">
            <w:pPr>
              <w:spacing w:line="276" w:lineRule="auto"/>
              <w:jc w:val="center"/>
            </w:pPr>
            <w:r w:rsidRPr="00274745">
              <w:t>12 weeks</w:t>
            </w:r>
          </w:p>
        </w:tc>
      </w:tr>
      <w:tr w:rsidR="00810CA0" w:rsidRPr="00274745" w14:paraId="4287BECA" w14:textId="77777777" w:rsidTr="000E6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Borders>
              <w:bottom w:val="nil"/>
              <w:right w:val="nil"/>
            </w:tcBorders>
            <w:vAlign w:val="center"/>
          </w:tcPr>
          <w:p w14:paraId="6CE379BB" w14:textId="77777777" w:rsidR="00810CA0" w:rsidRPr="00274745" w:rsidRDefault="00810CA0" w:rsidP="000E6C87">
            <w:pPr>
              <w:spacing w:line="276" w:lineRule="auto"/>
            </w:pPr>
            <w:r w:rsidRPr="00274745">
              <w:t>Unadjusted</w:t>
            </w:r>
          </w:p>
        </w:tc>
        <w:tc>
          <w:tcPr>
            <w:tcW w:w="551" w:type="dxa"/>
            <w:tcBorders>
              <w:left w:val="nil"/>
              <w:bottom w:val="nil"/>
              <w:right w:val="nil"/>
            </w:tcBorders>
            <w:vAlign w:val="center"/>
          </w:tcPr>
          <w:p w14:paraId="6DC1FAFC"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433</w:t>
            </w:r>
          </w:p>
        </w:tc>
        <w:tc>
          <w:tcPr>
            <w:tcW w:w="1474" w:type="dxa"/>
            <w:tcBorders>
              <w:left w:val="nil"/>
              <w:bottom w:val="nil"/>
              <w:right w:val="nil"/>
            </w:tcBorders>
            <w:vAlign w:val="center"/>
          </w:tcPr>
          <w:p w14:paraId="45C67FB8" w14:textId="77777777" w:rsidR="00810CA0" w:rsidRPr="00683DEE"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683DEE">
              <w:t>1.03</w:t>
            </w:r>
          </w:p>
          <w:p w14:paraId="6B1E9E84" w14:textId="77777777" w:rsidR="00810CA0" w:rsidRPr="00683DEE"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683DEE">
              <w:t>(0.93 to 1.15)</w:t>
            </w:r>
          </w:p>
        </w:tc>
        <w:tc>
          <w:tcPr>
            <w:tcW w:w="1335" w:type="dxa"/>
            <w:tcBorders>
              <w:left w:val="nil"/>
              <w:bottom w:val="nil"/>
            </w:tcBorders>
            <w:vAlign w:val="center"/>
          </w:tcPr>
          <w:p w14:paraId="10B424A5"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t>56</w:t>
            </w:r>
          </w:p>
        </w:tc>
        <w:tc>
          <w:tcPr>
            <w:tcW w:w="1429" w:type="dxa"/>
            <w:tcBorders>
              <w:bottom w:val="nil"/>
              <w:right w:val="nil"/>
            </w:tcBorders>
            <w:vAlign w:val="center"/>
          </w:tcPr>
          <w:p w14:paraId="69EE76A0" w14:textId="77777777" w:rsidR="00810CA0" w:rsidRPr="00274745" w:rsidRDefault="00810CA0" w:rsidP="000E6C87">
            <w:pPr>
              <w:spacing w:line="276" w:lineRule="auto"/>
              <w:cnfStyle w:val="000000100000" w:firstRow="0" w:lastRow="0" w:firstColumn="0" w:lastColumn="0" w:oddVBand="0" w:evenVBand="0" w:oddHBand="1" w:evenHBand="0" w:firstRowFirstColumn="0" w:firstRowLastColumn="0" w:lastRowFirstColumn="0" w:lastRowLastColumn="0"/>
              <w:rPr>
                <w:b/>
                <w:bCs/>
              </w:rPr>
            </w:pPr>
            <w:r w:rsidRPr="00274745">
              <w:rPr>
                <w:b/>
                <w:bCs/>
              </w:rPr>
              <w:t>Unadjusted</w:t>
            </w:r>
          </w:p>
        </w:tc>
        <w:tc>
          <w:tcPr>
            <w:tcW w:w="551" w:type="dxa"/>
            <w:tcBorders>
              <w:left w:val="nil"/>
              <w:bottom w:val="nil"/>
              <w:right w:val="nil"/>
            </w:tcBorders>
            <w:vAlign w:val="center"/>
          </w:tcPr>
          <w:p w14:paraId="7C49CA2A"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433</w:t>
            </w:r>
          </w:p>
        </w:tc>
        <w:tc>
          <w:tcPr>
            <w:tcW w:w="1474" w:type="dxa"/>
            <w:tcBorders>
              <w:left w:val="nil"/>
              <w:bottom w:val="nil"/>
              <w:right w:val="nil"/>
            </w:tcBorders>
            <w:vAlign w:val="center"/>
          </w:tcPr>
          <w:p w14:paraId="35DD98A2"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5548FF">
              <w:t>1.0</w:t>
            </w:r>
            <w:r>
              <w:t>1</w:t>
            </w:r>
            <w:r w:rsidRPr="005548FF">
              <w:t xml:space="preserve"> </w:t>
            </w:r>
            <w:r w:rsidRPr="005548FF">
              <w:br/>
              <w:t>(0.</w:t>
            </w:r>
            <w:r>
              <w:t>85</w:t>
            </w:r>
            <w:r w:rsidRPr="005548FF">
              <w:t xml:space="preserve"> to 1.20)</w:t>
            </w:r>
          </w:p>
        </w:tc>
        <w:tc>
          <w:tcPr>
            <w:tcW w:w="890" w:type="dxa"/>
            <w:gridSpan w:val="2"/>
            <w:tcBorders>
              <w:left w:val="nil"/>
              <w:bottom w:val="nil"/>
            </w:tcBorders>
            <w:vAlign w:val="center"/>
          </w:tcPr>
          <w:p w14:paraId="11353D92"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t>89</w:t>
            </w:r>
          </w:p>
        </w:tc>
      </w:tr>
      <w:tr w:rsidR="00810CA0" w:rsidRPr="00274745" w14:paraId="121C94EE" w14:textId="77777777" w:rsidTr="000E6C87">
        <w:tc>
          <w:tcPr>
            <w:cnfStyle w:val="001000000000" w:firstRow="0" w:lastRow="0" w:firstColumn="1" w:lastColumn="0" w:oddVBand="0" w:evenVBand="0" w:oddHBand="0" w:evenHBand="0" w:firstRowFirstColumn="0" w:firstRowLastColumn="0" w:lastRowFirstColumn="0" w:lastRowLastColumn="0"/>
            <w:tcW w:w="1429" w:type="dxa"/>
            <w:tcBorders>
              <w:top w:val="nil"/>
              <w:bottom w:val="single" w:sz="4" w:space="0" w:color="7F7F7F"/>
              <w:right w:val="nil"/>
            </w:tcBorders>
            <w:vAlign w:val="center"/>
          </w:tcPr>
          <w:p w14:paraId="6CAF206D" w14:textId="77777777" w:rsidR="00810CA0" w:rsidRPr="00274745" w:rsidRDefault="00810CA0" w:rsidP="000E6C87">
            <w:pPr>
              <w:spacing w:line="276" w:lineRule="auto"/>
              <w:rPr>
                <w:vertAlign w:val="superscript"/>
              </w:rPr>
            </w:pPr>
            <w:r w:rsidRPr="00274745">
              <w:t>Adjusted*</w:t>
            </w:r>
          </w:p>
        </w:tc>
        <w:tc>
          <w:tcPr>
            <w:tcW w:w="551" w:type="dxa"/>
            <w:tcBorders>
              <w:top w:val="nil"/>
              <w:left w:val="nil"/>
              <w:bottom w:val="single" w:sz="4" w:space="0" w:color="7F7F7F"/>
              <w:right w:val="nil"/>
            </w:tcBorders>
            <w:vAlign w:val="center"/>
          </w:tcPr>
          <w:p w14:paraId="157BD5A9"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43</w:t>
            </w:r>
            <w:r>
              <w:t>0</w:t>
            </w:r>
          </w:p>
        </w:tc>
        <w:tc>
          <w:tcPr>
            <w:tcW w:w="1474" w:type="dxa"/>
            <w:tcBorders>
              <w:top w:val="nil"/>
              <w:left w:val="nil"/>
              <w:bottom w:val="single" w:sz="4" w:space="0" w:color="7F7F7F"/>
              <w:right w:val="nil"/>
            </w:tcBorders>
            <w:vAlign w:val="center"/>
          </w:tcPr>
          <w:p w14:paraId="4AC062C6" w14:textId="77777777" w:rsidR="00810CA0" w:rsidRPr="00683DEE"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683DEE">
              <w:t>1.00</w:t>
            </w:r>
          </w:p>
          <w:p w14:paraId="519A307A" w14:textId="77777777" w:rsidR="00810CA0" w:rsidRPr="00683DEE"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683DEE">
              <w:t>(0.9</w:t>
            </w:r>
            <w:r>
              <w:t>1</w:t>
            </w:r>
            <w:r w:rsidRPr="00683DEE">
              <w:t xml:space="preserve"> to 1.0</w:t>
            </w:r>
            <w:r>
              <w:t>9</w:t>
            </w:r>
            <w:r w:rsidRPr="00683DEE">
              <w:t>)</w:t>
            </w:r>
          </w:p>
        </w:tc>
        <w:tc>
          <w:tcPr>
            <w:tcW w:w="1335" w:type="dxa"/>
            <w:tcBorders>
              <w:top w:val="nil"/>
              <w:left w:val="nil"/>
              <w:bottom w:val="single" w:sz="4" w:space="0" w:color="7F7F7F"/>
            </w:tcBorders>
            <w:vAlign w:val="center"/>
          </w:tcPr>
          <w:p w14:paraId="23429D67"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0.</w:t>
            </w:r>
            <w:r>
              <w:t>92</w:t>
            </w:r>
          </w:p>
        </w:tc>
        <w:tc>
          <w:tcPr>
            <w:tcW w:w="1429" w:type="dxa"/>
            <w:tcBorders>
              <w:top w:val="nil"/>
              <w:bottom w:val="single" w:sz="4" w:space="0" w:color="7F7F7F"/>
              <w:right w:val="nil"/>
            </w:tcBorders>
            <w:vAlign w:val="center"/>
          </w:tcPr>
          <w:p w14:paraId="4D9D2D2B" w14:textId="77777777" w:rsidR="00810CA0" w:rsidRPr="00274745" w:rsidRDefault="00810CA0" w:rsidP="000E6C87">
            <w:pPr>
              <w:spacing w:line="276" w:lineRule="auto"/>
              <w:cnfStyle w:val="000000000000" w:firstRow="0" w:lastRow="0" w:firstColumn="0" w:lastColumn="0" w:oddVBand="0" w:evenVBand="0" w:oddHBand="0" w:evenHBand="0" w:firstRowFirstColumn="0" w:firstRowLastColumn="0" w:lastRowFirstColumn="0" w:lastRowLastColumn="0"/>
              <w:rPr>
                <w:b/>
                <w:bCs/>
              </w:rPr>
            </w:pPr>
            <w:r w:rsidRPr="00274745">
              <w:rPr>
                <w:b/>
                <w:bCs/>
              </w:rPr>
              <w:t>Adjusted*</w:t>
            </w:r>
          </w:p>
        </w:tc>
        <w:tc>
          <w:tcPr>
            <w:tcW w:w="551" w:type="dxa"/>
            <w:tcBorders>
              <w:top w:val="nil"/>
              <w:left w:val="nil"/>
              <w:bottom w:val="single" w:sz="4" w:space="0" w:color="7F7F7F"/>
              <w:right w:val="nil"/>
            </w:tcBorders>
            <w:vAlign w:val="center"/>
          </w:tcPr>
          <w:p w14:paraId="21DA9FAB"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43</w:t>
            </w:r>
            <w:r>
              <w:t>0</w:t>
            </w:r>
          </w:p>
        </w:tc>
        <w:tc>
          <w:tcPr>
            <w:tcW w:w="1474" w:type="dxa"/>
            <w:tcBorders>
              <w:top w:val="nil"/>
              <w:left w:val="nil"/>
              <w:bottom w:val="single" w:sz="4" w:space="0" w:color="7F7F7F"/>
              <w:right w:val="nil"/>
            </w:tcBorders>
            <w:vAlign w:val="center"/>
          </w:tcPr>
          <w:p w14:paraId="5B2C1CD1"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5548FF">
              <w:t>1.0</w:t>
            </w:r>
            <w:r>
              <w:t>0</w:t>
            </w:r>
            <w:r w:rsidRPr="005548FF">
              <w:br/>
              <w:t>(0.</w:t>
            </w:r>
            <w:r>
              <w:t>84</w:t>
            </w:r>
            <w:r w:rsidRPr="005548FF">
              <w:t xml:space="preserve"> to 1.1</w:t>
            </w:r>
            <w:r>
              <w:t>8</w:t>
            </w:r>
            <w:r w:rsidRPr="005548FF">
              <w:t>)</w:t>
            </w:r>
          </w:p>
        </w:tc>
        <w:tc>
          <w:tcPr>
            <w:tcW w:w="890" w:type="dxa"/>
            <w:gridSpan w:val="2"/>
            <w:tcBorders>
              <w:top w:val="nil"/>
              <w:left w:val="nil"/>
              <w:bottom w:val="single" w:sz="4" w:space="0" w:color="7F7F7F"/>
            </w:tcBorders>
            <w:vAlign w:val="center"/>
          </w:tcPr>
          <w:p w14:paraId="465A5285"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0.</w:t>
            </w:r>
            <w:r>
              <w:t>98</w:t>
            </w:r>
          </w:p>
        </w:tc>
      </w:tr>
      <w:tr w:rsidR="00810CA0" w:rsidRPr="00274745" w14:paraId="6A30243B" w14:textId="77777777" w:rsidTr="000E6C87">
        <w:trPr>
          <w:gridAfter w:val="8"/>
          <w:cnfStyle w:val="000000100000" w:firstRow="0" w:lastRow="0" w:firstColumn="0" w:lastColumn="0" w:oddVBand="0" w:evenVBand="0" w:oddHBand="1" w:evenHBand="0" w:firstRowFirstColumn="0" w:firstRowLastColumn="0" w:lastRowFirstColumn="0" w:lastRowLastColumn="0"/>
          <w:wAfter w:w="7704" w:type="dxa"/>
          <w:trHeight w:val="340"/>
        </w:trPr>
        <w:tc>
          <w:tcPr>
            <w:cnfStyle w:val="001000000000" w:firstRow="0" w:lastRow="0" w:firstColumn="1" w:lastColumn="0" w:oddVBand="0" w:evenVBand="0" w:oddHBand="0" w:evenHBand="0" w:firstRowFirstColumn="0" w:firstRowLastColumn="0" w:lastRowFirstColumn="0" w:lastRowLastColumn="0"/>
            <w:tcW w:w="1429" w:type="dxa"/>
            <w:tcBorders>
              <w:top w:val="single" w:sz="4" w:space="0" w:color="7F7F7F"/>
              <w:bottom w:val="single" w:sz="4" w:space="0" w:color="7F7F7F"/>
            </w:tcBorders>
            <w:vAlign w:val="center"/>
          </w:tcPr>
          <w:p w14:paraId="6D8A356A" w14:textId="77777777" w:rsidR="00810CA0" w:rsidRPr="00274745" w:rsidRDefault="00810CA0" w:rsidP="000E6C87">
            <w:pPr>
              <w:spacing w:line="276" w:lineRule="auto"/>
              <w:jc w:val="center"/>
            </w:pPr>
            <w:r w:rsidRPr="00274745">
              <w:t>52 weeks</w:t>
            </w:r>
          </w:p>
        </w:tc>
      </w:tr>
      <w:tr w:rsidR="00810CA0" w:rsidRPr="00274745" w14:paraId="07F1BD8B" w14:textId="77777777" w:rsidTr="000E6C87">
        <w:tc>
          <w:tcPr>
            <w:cnfStyle w:val="001000000000" w:firstRow="0" w:lastRow="0" w:firstColumn="1" w:lastColumn="0" w:oddVBand="0" w:evenVBand="0" w:oddHBand="0" w:evenHBand="0" w:firstRowFirstColumn="0" w:firstRowLastColumn="0" w:lastRowFirstColumn="0" w:lastRowLastColumn="0"/>
            <w:tcW w:w="1429" w:type="dxa"/>
            <w:tcBorders>
              <w:top w:val="single" w:sz="4" w:space="0" w:color="7F7F7F"/>
              <w:bottom w:val="nil"/>
              <w:right w:val="nil"/>
            </w:tcBorders>
            <w:vAlign w:val="center"/>
          </w:tcPr>
          <w:p w14:paraId="53EAEE08" w14:textId="77777777" w:rsidR="00810CA0" w:rsidRPr="00274745" w:rsidRDefault="00810CA0" w:rsidP="000E6C87">
            <w:pPr>
              <w:spacing w:line="276" w:lineRule="auto"/>
            </w:pPr>
            <w:r w:rsidRPr="00274745">
              <w:t>Unadjusted</w:t>
            </w:r>
          </w:p>
        </w:tc>
        <w:tc>
          <w:tcPr>
            <w:tcW w:w="551" w:type="dxa"/>
            <w:tcBorders>
              <w:top w:val="single" w:sz="4" w:space="0" w:color="7F7F7F"/>
              <w:left w:val="nil"/>
              <w:bottom w:val="nil"/>
              <w:right w:val="nil"/>
            </w:tcBorders>
            <w:vAlign w:val="center"/>
          </w:tcPr>
          <w:p w14:paraId="76BA99BF"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375</w:t>
            </w:r>
          </w:p>
        </w:tc>
        <w:tc>
          <w:tcPr>
            <w:tcW w:w="1474" w:type="dxa"/>
            <w:tcBorders>
              <w:top w:val="single" w:sz="4" w:space="0" w:color="7F7F7F"/>
              <w:left w:val="nil"/>
              <w:bottom w:val="nil"/>
              <w:right w:val="nil"/>
            </w:tcBorders>
            <w:vAlign w:val="center"/>
          </w:tcPr>
          <w:p w14:paraId="6FA9235A" w14:textId="77777777" w:rsidR="00810CA0" w:rsidRPr="00683DEE"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683DEE">
              <w:t>1.06</w:t>
            </w:r>
          </w:p>
          <w:p w14:paraId="46BE3459" w14:textId="77777777" w:rsidR="00810CA0" w:rsidRPr="00683DEE"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683DEE">
              <w:t>(0.94 to 1.18)</w:t>
            </w:r>
          </w:p>
        </w:tc>
        <w:tc>
          <w:tcPr>
            <w:tcW w:w="1335" w:type="dxa"/>
            <w:tcBorders>
              <w:top w:val="single" w:sz="4" w:space="0" w:color="7F7F7F"/>
              <w:left w:val="nil"/>
              <w:bottom w:val="nil"/>
            </w:tcBorders>
            <w:vAlign w:val="center"/>
          </w:tcPr>
          <w:p w14:paraId="09EB0F87"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F62C6F">
              <w:t>0.3</w:t>
            </w:r>
            <w:r>
              <w:t>5</w:t>
            </w:r>
          </w:p>
        </w:tc>
        <w:tc>
          <w:tcPr>
            <w:tcW w:w="1429" w:type="dxa"/>
            <w:tcBorders>
              <w:top w:val="single" w:sz="4" w:space="0" w:color="7F7F7F"/>
              <w:bottom w:val="nil"/>
              <w:right w:val="nil"/>
            </w:tcBorders>
            <w:vAlign w:val="center"/>
          </w:tcPr>
          <w:p w14:paraId="19BF75AD" w14:textId="77777777" w:rsidR="00810CA0" w:rsidRPr="00274745" w:rsidRDefault="00810CA0" w:rsidP="000E6C87">
            <w:pPr>
              <w:spacing w:line="276" w:lineRule="auto"/>
              <w:cnfStyle w:val="000000000000" w:firstRow="0" w:lastRow="0" w:firstColumn="0" w:lastColumn="0" w:oddVBand="0" w:evenVBand="0" w:oddHBand="0" w:evenHBand="0" w:firstRowFirstColumn="0" w:firstRowLastColumn="0" w:lastRowFirstColumn="0" w:lastRowLastColumn="0"/>
              <w:rPr>
                <w:b/>
                <w:bCs/>
              </w:rPr>
            </w:pPr>
            <w:r w:rsidRPr="00274745">
              <w:rPr>
                <w:b/>
                <w:bCs/>
              </w:rPr>
              <w:t>Unadjusted</w:t>
            </w:r>
          </w:p>
        </w:tc>
        <w:tc>
          <w:tcPr>
            <w:tcW w:w="551" w:type="dxa"/>
            <w:tcBorders>
              <w:top w:val="single" w:sz="4" w:space="0" w:color="7F7F7F"/>
              <w:left w:val="nil"/>
              <w:bottom w:val="nil"/>
              <w:right w:val="nil"/>
            </w:tcBorders>
            <w:vAlign w:val="center"/>
          </w:tcPr>
          <w:p w14:paraId="61123A33"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274745">
              <w:t>375</w:t>
            </w:r>
          </w:p>
        </w:tc>
        <w:tc>
          <w:tcPr>
            <w:tcW w:w="1474" w:type="dxa"/>
            <w:tcBorders>
              <w:top w:val="single" w:sz="4" w:space="0" w:color="7F7F7F"/>
              <w:left w:val="nil"/>
              <w:bottom w:val="nil"/>
              <w:right w:val="nil"/>
            </w:tcBorders>
            <w:vAlign w:val="center"/>
          </w:tcPr>
          <w:p w14:paraId="134F93E4"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t>0.99</w:t>
            </w:r>
            <w:r w:rsidRPr="00B42EFB">
              <w:br/>
              <w:t>(0.</w:t>
            </w:r>
            <w:r>
              <w:t>82</w:t>
            </w:r>
            <w:r w:rsidRPr="00B42EFB">
              <w:t xml:space="preserve"> to 1.2</w:t>
            </w:r>
            <w:r>
              <w:t>0</w:t>
            </w:r>
            <w:r w:rsidRPr="00B42EFB">
              <w:t>)</w:t>
            </w:r>
          </w:p>
        </w:tc>
        <w:tc>
          <w:tcPr>
            <w:tcW w:w="890" w:type="dxa"/>
            <w:gridSpan w:val="2"/>
            <w:tcBorders>
              <w:top w:val="single" w:sz="4" w:space="0" w:color="7F7F7F"/>
              <w:left w:val="nil"/>
              <w:bottom w:val="nil"/>
            </w:tcBorders>
            <w:vAlign w:val="center"/>
          </w:tcPr>
          <w:p w14:paraId="6EE951BD" w14:textId="77777777" w:rsidR="00810CA0" w:rsidRPr="00274745" w:rsidRDefault="00810CA0" w:rsidP="000E6C87">
            <w:pPr>
              <w:spacing w:line="276" w:lineRule="auto"/>
              <w:jc w:val="center"/>
              <w:cnfStyle w:val="000000000000" w:firstRow="0" w:lastRow="0" w:firstColumn="0" w:lastColumn="0" w:oddVBand="0" w:evenVBand="0" w:oddHBand="0" w:evenHBand="0" w:firstRowFirstColumn="0" w:firstRowLastColumn="0" w:lastRowFirstColumn="0" w:lastRowLastColumn="0"/>
            </w:pPr>
            <w:r w:rsidRPr="00B42EFB">
              <w:t>0.</w:t>
            </w:r>
            <w:r>
              <w:t>94</w:t>
            </w:r>
          </w:p>
        </w:tc>
      </w:tr>
      <w:tr w:rsidR="00810CA0" w:rsidRPr="00274745" w14:paraId="1E27F126" w14:textId="77777777" w:rsidTr="000E6C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dxa"/>
            <w:tcBorders>
              <w:top w:val="nil"/>
              <w:right w:val="nil"/>
            </w:tcBorders>
            <w:vAlign w:val="center"/>
          </w:tcPr>
          <w:p w14:paraId="600136F7" w14:textId="77777777" w:rsidR="00810CA0" w:rsidRPr="00274745" w:rsidRDefault="00810CA0" w:rsidP="000E6C87">
            <w:pPr>
              <w:spacing w:line="276" w:lineRule="auto"/>
            </w:pPr>
            <w:r w:rsidRPr="00274745">
              <w:t>Adjusted*</w:t>
            </w:r>
          </w:p>
        </w:tc>
        <w:tc>
          <w:tcPr>
            <w:tcW w:w="551" w:type="dxa"/>
            <w:tcBorders>
              <w:top w:val="nil"/>
              <w:left w:val="nil"/>
              <w:right w:val="nil"/>
            </w:tcBorders>
            <w:vAlign w:val="center"/>
          </w:tcPr>
          <w:p w14:paraId="29A687C9"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3</w:t>
            </w:r>
            <w:r>
              <w:t>68</w:t>
            </w:r>
          </w:p>
        </w:tc>
        <w:tc>
          <w:tcPr>
            <w:tcW w:w="1474" w:type="dxa"/>
            <w:tcBorders>
              <w:top w:val="nil"/>
              <w:left w:val="nil"/>
              <w:right w:val="nil"/>
            </w:tcBorders>
            <w:vAlign w:val="center"/>
          </w:tcPr>
          <w:p w14:paraId="74B3ECA1" w14:textId="77777777" w:rsidR="00810CA0" w:rsidRPr="00683DEE"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683DEE">
              <w:t>1.0</w:t>
            </w:r>
            <w:r>
              <w:t>2</w:t>
            </w:r>
            <w:r w:rsidRPr="00683DEE">
              <w:br/>
              <w:t>(0.93 to 1.1</w:t>
            </w:r>
            <w:r>
              <w:t>2</w:t>
            </w:r>
            <w:r w:rsidRPr="00683DEE">
              <w:t>)</w:t>
            </w:r>
          </w:p>
        </w:tc>
        <w:tc>
          <w:tcPr>
            <w:tcW w:w="1335" w:type="dxa"/>
            <w:tcBorders>
              <w:top w:val="nil"/>
              <w:left w:val="nil"/>
            </w:tcBorders>
            <w:vAlign w:val="center"/>
          </w:tcPr>
          <w:p w14:paraId="3589C8B0"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F62C6F">
              <w:t>0.</w:t>
            </w:r>
            <w:r>
              <w:t>70</w:t>
            </w:r>
          </w:p>
        </w:tc>
        <w:tc>
          <w:tcPr>
            <w:tcW w:w="1429" w:type="dxa"/>
            <w:tcBorders>
              <w:top w:val="nil"/>
              <w:right w:val="nil"/>
            </w:tcBorders>
            <w:vAlign w:val="center"/>
          </w:tcPr>
          <w:p w14:paraId="01E4C682" w14:textId="77777777" w:rsidR="00810CA0" w:rsidRPr="00274745" w:rsidRDefault="00810CA0" w:rsidP="000E6C87">
            <w:pPr>
              <w:spacing w:line="276" w:lineRule="auto"/>
              <w:cnfStyle w:val="000000100000" w:firstRow="0" w:lastRow="0" w:firstColumn="0" w:lastColumn="0" w:oddVBand="0" w:evenVBand="0" w:oddHBand="1" w:evenHBand="0" w:firstRowFirstColumn="0" w:firstRowLastColumn="0" w:lastRowFirstColumn="0" w:lastRowLastColumn="0"/>
              <w:rPr>
                <w:b/>
                <w:bCs/>
              </w:rPr>
            </w:pPr>
            <w:r w:rsidRPr="00274745">
              <w:rPr>
                <w:b/>
                <w:bCs/>
              </w:rPr>
              <w:t>Adjusted*</w:t>
            </w:r>
          </w:p>
        </w:tc>
        <w:tc>
          <w:tcPr>
            <w:tcW w:w="551" w:type="dxa"/>
            <w:tcBorders>
              <w:top w:val="nil"/>
              <w:left w:val="nil"/>
              <w:right w:val="nil"/>
            </w:tcBorders>
            <w:vAlign w:val="center"/>
          </w:tcPr>
          <w:p w14:paraId="40A0100A"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3</w:t>
            </w:r>
            <w:r>
              <w:t>68</w:t>
            </w:r>
          </w:p>
        </w:tc>
        <w:tc>
          <w:tcPr>
            <w:tcW w:w="1474" w:type="dxa"/>
            <w:tcBorders>
              <w:top w:val="nil"/>
              <w:left w:val="nil"/>
              <w:right w:val="nil"/>
            </w:tcBorders>
            <w:vAlign w:val="center"/>
          </w:tcPr>
          <w:p w14:paraId="57942CEB"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t>0</w:t>
            </w:r>
            <w:r w:rsidRPr="00B42EFB">
              <w:t>.</w:t>
            </w:r>
            <w:r>
              <w:t>98</w:t>
            </w:r>
            <w:r w:rsidRPr="00B42EFB">
              <w:br/>
              <w:t>(0.</w:t>
            </w:r>
            <w:r>
              <w:t>81</w:t>
            </w:r>
            <w:r w:rsidRPr="00B42EFB">
              <w:t xml:space="preserve"> to 1.</w:t>
            </w:r>
            <w:r>
              <w:t>19</w:t>
            </w:r>
            <w:r w:rsidRPr="00B42EFB">
              <w:t>)</w:t>
            </w:r>
          </w:p>
        </w:tc>
        <w:tc>
          <w:tcPr>
            <w:tcW w:w="890" w:type="dxa"/>
            <w:gridSpan w:val="2"/>
            <w:tcBorders>
              <w:top w:val="nil"/>
              <w:left w:val="nil"/>
            </w:tcBorders>
            <w:vAlign w:val="center"/>
          </w:tcPr>
          <w:p w14:paraId="6A8C29AE" w14:textId="77777777" w:rsidR="00810CA0" w:rsidRPr="00274745" w:rsidRDefault="00810CA0" w:rsidP="000E6C87">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t>84</w:t>
            </w:r>
          </w:p>
        </w:tc>
      </w:tr>
    </w:tbl>
    <w:p w14:paraId="6253C47B" w14:textId="51872095" w:rsidR="007925FB" w:rsidRPr="00B6621E" w:rsidRDefault="00E4531F" w:rsidP="00B6621E">
      <w:pPr>
        <w:suppressLineNumbers/>
        <w:spacing w:line="276" w:lineRule="auto"/>
        <w:jc w:val="both"/>
      </w:pPr>
      <w:r>
        <w:br/>
      </w:r>
      <w:r w:rsidR="00EF7179">
        <w:t xml:space="preserve">Note. CI, confidence interval. </w:t>
      </w:r>
      <w:r w:rsidR="00920FDD" w:rsidRPr="005516EC">
        <w:t>*Adjusted for baseline positive and negative hits</w:t>
      </w:r>
      <w:r w:rsidR="008A2D30">
        <w:t>, positive and negative false alarms,</w:t>
      </w:r>
      <w:r w:rsidR="00920FDD" w:rsidRPr="005516EC">
        <w:t xml:space="preserve"> and </w:t>
      </w:r>
      <w:r w:rsidR="00AD4EF0">
        <w:t>stratification</w:t>
      </w:r>
      <w:r w:rsidR="00AD4EF0" w:rsidRPr="005516EC">
        <w:t xml:space="preserve"> </w:t>
      </w:r>
      <w:r w:rsidR="00920FDD" w:rsidRPr="005516EC">
        <w:t>variables (symptom severity at baseline, assessed using the CIS-R, medication and study centre). Results unaltered after adjusting for predictors of missingness.</w:t>
      </w:r>
      <w:bookmarkEnd w:id="6"/>
      <w:r w:rsidR="00D336A7">
        <w:t xml:space="preserve"> </w:t>
      </w:r>
      <w:r w:rsidR="007925FB">
        <w:rPr>
          <w:b/>
          <w:bCs/>
        </w:rPr>
        <w:br w:type="page"/>
      </w:r>
    </w:p>
    <w:p w14:paraId="6D95131C" w14:textId="7BF06E70" w:rsidR="001F3A8E" w:rsidRDefault="00070DB3" w:rsidP="00B6621E">
      <w:pPr>
        <w:suppressLineNumbers/>
        <w:spacing w:line="276" w:lineRule="auto"/>
        <w:jc w:val="both"/>
      </w:pPr>
      <w:r w:rsidRPr="000D6439">
        <w:rPr>
          <w:b/>
          <w:bCs/>
        </w:rPr>
        <w:lastRenderedPageBreak/>
        <w:t xml:space="preserve">Table 5. </w:t>
      </w:r>
      <w:r w:rsidR="00621954">
        <w:t xml:space="preserve">Associations between </w:t>
      </w:r>
      <w:r w:rsidR="00BE5AC6">
        <w:t xml:space="preserve">the number of </w:t>
      </w:r>
      <w:r w:rsidR="000D6439">
        <w:t>positive and negative</w:t>
      </w:r>
      <w:r w:rsidR="00BE5AC6">
        <w:t xml:space="preserve"> words correctly recalled</w:t>
      </w:r>
      <w:r w:rsidR="000D6439">
        <w:t xml:space="preserve"> at baseline </w:t>
      </w:r>
      <w:r w:rsidR="00577F17">
        <w:t xml:space="preserve">or 12 weeks after randomisation </w:t>
      </w:r>
      <w:r w:rsidR="000D6439">
        <w:t>and time to first depression relapse.</w:t>
      </w:r>
    </w:p>
    <w:tbl>
      <w:tblPr>
        <w:tblStyle w:val="PlainTable2"/>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9"/>
        <w:gridCol w:w="592"/>
        <w:gridCol w:w="1928"/>
        <w:gridCol w:w="21"/>
        <w:gridCol w:w="817"/>
        <w:gridCol w:w="592"/>
        <w:gridCol w:w="1928"/>
        <w:gridCol w:w="913"/>
        <w:gridCol w:w="129"/>
      </w:tblGrid>
      <w:tr w:rsidR="005A7D58" w:rsidRPr="00274745" w14:paraId="619BB82C" w14:textId="77777777" w:rsidTr="00090167">
        <w:trPr>
          <w:gridAfter w:val="1"/>
          <w:cnfStyle w:val="100000000000" w:firstRow="1" w:lastRow="0" w:firstColumn="0" w:lastColumn="0" w:oddVBand="0" w:evenVBand="0" w:oddHBand="0" w:evenHBand="0" w:firstRowFirstColumn="0" w:firstRowLastColumn="0" w:lastRowFirstColumn="0" w:lastRowLastColumn="0"/>
          <w:wAfter w:w="129" w:type="dxa"/>
          <w:trHeight w:val="278"/>
          <w:jc w:val="center"/>
        </w:trPr>
        <w:tc>
          <w:tcPr>
            <w:cnfStyle w:val="001000000000" w:firstRow="0" w:lastRow="0" w:firstColumn="1" w:lastColumn="0" w:oddVBand="0" w:evenVBand="0" w:oddHBand="0" w:evenHBand="0" w:firstRowFirstColumn="0" w:firstRowLastColumn="0" w:lastRowFirstColumn="0" w:lastRowLastColumn="0"/>
            <w:tcW w:w="4250" w:type="dxa"/>
            <w:gridSpan w:val="4"/>
            <w:tcBorders>
              <w:left w:val="nil"/>
              <w:right w:val="nil"/>
            </w:tcBorders>
          </w:tcPr>
          <w:p w14:paraId="3A6FAD49" w14:textId="77777777" w:rsidR="005A7D58" w:rsidRPr="00274745" w:rsidRDefault="005A7D58" w:rsidP="007925FB">
            <w:pPr>
              <w:spacing w:line="276" w:lineRule="auto"/>
              <w:jc w:val="center"/>
              <w:rPr>
                <w:b w:val="0"/>
                <w:bCs w:val="0"/>
              </w:rPr>
            </w:pPr>
            <w:r>
              <w:t xml:space="preserve">Recall at baseline and </w:t>
            </w:r>
            <w:r w:rsidR="004345C1">
              <w:br/>
            </w:r>
            <w:r>
              <w:t>time to first depression relapse</w:t>
            </w:r>
          </w:p>
        </w:tc>
        <w:tc>
          <w:tcPr>
            <w:tcW w:w="4250" w:type="dxa"/>
            <w:gridSpan w:val="4"/>
            <w:tcBorders>
              <w:left w:val="nil"/>
              <w:right w:val="nil"/>
            </w:tcBorders>
          </w:tcPr>
          <w:p w14:paraId="69579FD6" w14:textId="77777777" w:rsidR="005A7D58" w:rsidRPr="00274745" w:rsidRDefault="005A7D58" w:rsidP="007925FB">
            <w:pPr>
              <w:spacing w:line="276" w:lineRule="auto"/>
              <w:jc w:val="center"/>
              <w:cnfStyle w:val="100000000000" w:firstRow="1" w:lastRow="0" w:firstColumn="0" w:lastColumn="0" w:oddVBand="0" w:evenVBand="0" w:oddHBand="0" w:evenHBand="0" w:firstRowFirstColumn="0" w:firstRowLastColumn="0" w:lastRowFirstColumn="0" w:lastRowLastColumn="0"/>
            </w:pPr>
            <w:r>
              <w:t xml:space="preserve">Recall at 12 weeks and </w:t>
            </w:r>
            <w:r w:rsidR="004345C1">
              <w:br/>
            </w:r>
            <w:r>
              <w:t>time to first depression relapse</w:t>
            </w:r>
          </w:p>
        </w:tc>
      </w:tr>
      <w:tr w:rsidR="005A7D58" w:rsidRPr="00274745" w14:paraId="17812E42" w14:textId="77777777" w:rsidTr="00A906A1">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709" w:type="dxa"/>
            <w:tcBorders>
              <w:left w:val="nil"/>
              <w:right w:val="nil"/>
            </w:tcBorders>
            <w:vAlign w:val="center"/>
          </w:tcPr>
          <w:p w14:paraId="2DF54B40" w14:textId="77777777" w:rsidR="004818B1" w:rsidRPr="00274745" w:rsidRDefault="004818B1" w:rsidP="007925FB">
            <w:pPr>
              <w:spacing w:line="276" w:lineRule="auto"/>
              <w:jc w:val="center"/>
            </w:pPr>
            <w:r w:rsidRPr="00274745">
              <w:t>Model</w:t>
            </w:r>
          </w:p>
        </w:tc>
        <w:tc>
          <w:tcPr>
            <w:tcW w:w="592" w:type="dxa"/>
            <w:tcBorders>
              <w:left w:val="nil"/>
              <w:right w:val="nil"/>
            </w:tcBorders>
            <w:vAlign w:val="center"/>
          </w:tcPr>
          <w:p w14:paraId="365492DE"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n</w:t>
            </w:r>
          </w:p>
        </w:tc>
        <w:tc>
          <w:tcPr>
            <w:tcW w:w="1928" w:type="dxa"/>
            <w:tcBorders>
              <w:left w:val="nil"/>
              <w:right w:val="nil"/>
            </w:tcBorders>
            <w:vAlign w:val="center"/>
          </w:tcPr>
          <w:p w14:paraId="65932676"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Hazard ratio </w:t>
            </w:r>
            <w:r w:rsidR="00577F17">
              <w:rPr>
                <w:b/>
                <w:bCs/>
              </w:rPr>
              <w:br/>
            </w:r>
            <w:r w:rsidRPr="00274745">
              <w:rPr>
                <w:b/>
                <w:bCs/>
              </w:rPr>
              <w:t>(95% CI)</w:t>
            </w:r>
          </w:p>
        </w:tc>
        <w:tc>
          <w:tcPr>
            <w:tcW w:w="838" w:type="dxa"/>
            <w:gridSpan w:val="2"/>
            <w:tcBorders>
              <w:left w:val="nil"/>
              <w:right w:val="nil"/>
            </w:tcBorders>
            <w:vAlign w:val="center"/>
          </w:tcPr>
          <w:p w14:paraId="59377893"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p value</w:t>
            </w:r>
          </w:p>
        </w:tc>
        <w:tc>
          <w:tcPr>
            <w:tcW w:w="592" w:type="dxa"/>
            <w:tcBorders>
              <w:left w:val="nil"/>
              <w:right w:val="nil"/>
            </w:tcBorders>
            <w:vAlign w:val="center"/>
          </w:tcPr>
          <w:p w14:paraId="401974F9"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n</w:t>
            </w:r>
          </w:p>
        </w:tc>
        <w:tc>
          <w:tcPr>
            <w:tcW w:w="1928" w:type="dxa"/>
            <w:tcBorders>
              <w:left w:val="nil"/>
              <w:right w:val="nil"/>
            </w:tcBorders>
            <w:vAlign w:val="center"/>
          </w:tcPr>
          <w:p w14:paraId="2BA93892"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Pr>
                <w:b/>
                <w:bCs/>
              </w:rPr>
              <w:t xml:space="preserve">Hazard ratio </w:t>
            </w:r>
            <w:r w:rsidR="00A906A1">
              <w:rPr>
                <w:b/>
                <w:bCs/>
              </w:rPr>
              <w:br/>
            </w:r>
            <w:r w:rsidRPr="00274745">
              <w:rPr>
                <w:b/>
                <w:bCs/>
              </w:rPr>
              <w:t>(95% CI)</w:t>
            </w:r>
          </w:p>
        </w:tc>
        <w:tc>
          <w:tcPr>
            <w:tcW w:w="1042" w:type="dxa"/>
            <w:gridSpan w:val="2"/>
            <w:tcBorders>
              <w:left w:val="nil"/>
              <w:right w:val="nil"/>
            </w:tcBorders>
            <w:vAlign w:val="center"/>
          </w:tcPr>
          <w:p w14:paraId="15EBF0CA"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rPr>
                <w:b/>
                <w:bCs/>
              </w:rPr>
            </w:pPr>
            <w:r w:rsidRPr="00274745">
              <w:rPr>
                <w:b/>
                <w:bCs/>
              </w:rPr>
              <w:t>p value</w:t>
            </w:r>
          </w:p>
        </w:tc>
      </w:tr>
      <w:tr w:rsidR="004818B1" w:rsidRPr="00274745" w14:paraId="7159D5BC" w14:textId="77777777" w:rsidTr="00090167">
        <w:trPr>
          <w:gridAfter w:val="1"/>
          <w:wAfter w:w="129" w:type="dxa"/>
          <w:trHeight w:val="278"/>
          <w:jc w:val="center"/>
        </w:trPr>
        <w:tc>
          <w:tcPr>
            <w:cnfStyle w:val="001000000000" w:firstRow="0" w:lastRow="0" w:firstColumn="1" w:lastColumn="0" w:oddVBand="0" w:evenVBand="0" w:oddHBand="0" w:evenHBand="0" w:firstRowFirstColumn="0" w:firstRowLastColumn="0" w:lastRowFirstColumn="0" w:lastRowLastColumn="0"/>
            <w:tcW w:w="8500" w:type="dxa"/>
            <w:gridSpan w:val="8"/>
            <w:tcBorders>
              <w:left w:val="nil"/>
              <w:bottom w:val="single" w:sz="4" w:space="0" w:color="7F7F7F" w:themeColor="text1" w:themeTint="80"/>
              <w:right w:val="nil"/>
            </w:tcBorders>
          </w:tcPr>
          <w:p w14:paraId="51D84848" w14:textId="77777777" w:rsidR="004818B1" w:rsidRDefault="004818B1" w:rsidP="007925FB">
            <w:pPr>
              <w:spacing w:line="276" w:lineRule="auto"/>
              <w:jc w:val="center"/>
            </w:pPr>
            <w:r>
              <w:t>Model 1: Association with positive hits</w:t>
            </w:r>
          </w:p>
        </w:tc>
      </w:tr>
      <w:tr w:rsidR="005A7D58" w:rsidRPr="00274745" w14:paraId="2AC339B8" w14:textId="77777777" w:rsidTr="00A906A1">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709" w:type="dxa"/>
            <w:tcBorders>
              <w:left w:val="nil"/>
              <w:bottom w:val="nil"/>
              <w:right w:val="nil"/>
            </w:tcBorders>
            <w:vAlign w:val="center"/>
          </w:tcPr>
          <w:p w14:paraId="1E697680" w14:textId="77777777" w:rsidR="004818B1" w:rsidRPr="00274745" w:rsidRDefault="004818B1" w:rsidP="007925FB">
            <w:pPr>
              <w:spacing w:line="276" w:lineRule="auto"/>
            </w:pPr>
            <w:r w:rsidRPr="00274745">
              <w:t>Unadjusted</w:t>
            </w:r>
          </w:p>
        </w:tc>
        <w:tc>
          <w:tcPr>
            <w:tcW w:w="592" w:type="dxa"/>
            <w:tcBorders>
              <w:left w:val="nil"/>
              <w:bottom w:val="nil"/>
              <w:right w:val="nil"/>
            </w:tcBorders>
            <w:vAlign w:val="center"/>
          </w:tcPr>
          <w:p w14:paraId="4EF3C0E0"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425</w:t>
            </w:r>
          </w:p>
        </w:tc>
        <w:tc>
          <w:tcPr>
            <w:tcW w:w="1928" w:type="dxa"/>
            <w:tcBorders>
              <w:left w:val="nil"/>
              <w:bottom w:val="nil"/>
              <w:right w:val="nil"/>
            </w:tcBorders>
            <w:vAlign w:val="center"/>
          </w:tcPr>
          <w:p w14:paraId="783B29F0"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1.03 </w:t>
            </w:r>
            <w:r>
              <w:br/>
              <w:t>(0.95 to 1.10)</w:t>
            </w:r>
          </w:p>
        </w:tc>
        <w:tc>
          <w:tcPr>
            <w:tcW w:w="838" w:type="dxa"/>
            <w:gridSpan w:val="2"/>
            <w:tcBorders>
              <w:left w:val="nil"/>
              <w:bottom w:val="nil"/>
              <w:right w:val="nil"/>
            </w:tcBorders>
            <w:vAlign w:val="center"/>
          </w:tcPr>
          <w:p w14:paraId="10C4D0DB"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0.52</w:t>
            </w:r>
          </w:p>
        </w:tc>
        <w:tc>
          <w:tcPr>
            <w:tcW w:w="592" w:type="dxa"/>
            <w:tcBorders>
              <w:left w:val="nil"/>
              <w:bottom w:val="nil"/>
              <w:right w:val="nil"/>
            </w:tcBorders>
            <w:vAlign w:val="center"/>
          </w:tcPr>
          <w:p w14:paraId="698D0DFD" w14:textId="77777777" w:rsidR="004818B1" w:rsidRDefault="008740B7"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3</w:t>
            </w:r>
            <w:r w:rsidR="00F678CD">
              <w:t>3</w:t>
            </w:r>
            <w:r w:rsidR="005C6661">
              <w:t>1</w:t>
            </w:r>
          </w:p>
        </w:tc>
        <w:tc>
          <w:tcPr>
            <w:tcW w:w="1928" w:type="dxa"/>
            <w:tcBorders>
              <w:left w:val="nil"/>
              <w:bottom w:val="nil"/>
              <w:right w:val="nil"/>
            </w:tcBorders>
            <w:vAlign w:val="center"/>
          </w:tcPr>
          <w:p w14:paraId="635E9819" w14:textId="77777777" w:rsidR="004818B1" w:rsidRDefault="008C5BB5"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0.9</w:t>
            </w:r>
            <w:r w:rsidR="005C6661">
              <w:t>7</w:t>
            </w:r>
            <w:r>
              <w:br/>
              <w:t>(0.</w:t>
            </w:r>
            <w:r w:rsidR="005C6661">
              <w:t>89</w:t>
            </w:r>
            <w:r>
              <w:t xml:space="preserve"> to 1.06)</w:t>
            </w:r>
          </w:p>
        </w:tc>
        <w:tc>
          <w:tcPr>
            <w:tcW w:w="1042" w:type="dxa"/>
            <w:gridSpan w:val="2"/>
            <w:tcBorders>
              <w:left w:val="nil"/>
              <w:bottom w:val="nil"/>
              <w:right w:val="nil"/>
            </w:tcBorders>
            <w:vAlign w:val="center"/>
          </w:tcPr>
          <w:p w14:paraId="3EFDD438" w14:textId="77777777" w:rsidR="004818B1" w:rsidRDefault="00F7001A"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w:t>
            </w:r>
            <w:r w:rsidR="005C6661">
              <w:t>55</w:t>
            </w:r>
          </w:p>
        </w:tc>
      </w:tr>
      <w:tr w:rsidR="005A7D58" w:rsidRPr="00274745" w14:paraId="734B06B8" w14:textId="77777777" w:rsidTr="00A906A1">
        <w:trPr>
          <w:trHeight w:val="278"/>
          <w:jc w:val="center"/>
        </w:trPr>
        <w:tc>
          <w:tcPr>
            <w:cnfStyle w:val="001000000000" w:firstRow="0" w:lastRow="0" w:firstColumn="1" w:lastColumn="0" w:oddVBand="0" w:evenVBand="0" w:oddHBand="0" w:evenHBand="0" w:firstRowFirstColumn="0" w:firstRowLastColumn="0" w:lastRowFirstColumn="0" w:lastRowLastColumn="0"/>
            <w:tcW w:w="1709" w:type="dxa"/>
            <w:tcBorders>
              <w:top w:val="nil"/>
              <w:left w:val="nil"/>
              <w:bottom w:val="nil"/>
              <w:right w:val="nil"/>
            </w:tcBorders>
            <w:vAlign w:val="center"/>
          </w:tcPr>
          <w:p w14:paraId="1E8A055D" w14:textId="77777777" w:rsidR="004818B1" w:rsidRPr="00274745" w:rsidRDefault="004818B1" w:rsidP="007925FB">
            <w:pPr>
              <w:spacing w:line="276" w:lineRule="auto"/>
            </w:pPr>
            <w:r>
              <w:t>Partially adjusted*</w:t>
            </w:r>
          </w:p>
        </w:tc>
        <w:tc>
          <w:tcPr>
            <w:tcW w:w="592" w:type="dxa"/>
            <w:tcBorders>
              <w:top w:val="nil"/>
              <w:left w:val="nil"/>
              <w:bottom w:val="nil"/>
              <w:right w:val="nil"/>
            </w:tcBorders>
            <w:vAlign w:val="center"/>
          </w:tcPr>
          <w:p w14:paraId="2FFC7922" w14:textId="77777777" w:rsidR="004818B1" w:rsidRPr="00274745" w:rsidRDefault="004818B1"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425</w:t>
            </w:r>
          </w:p>
        </w:tc>
        <w:tc>
          <w:tcPr>
            <w:tcW w:w="1928" w:type="dxa"/>
            <w:tcBorders>
              <w:top w:val="nil"/>
              <w:left w:val="nil"/>
              <w:bottom w:val="nil"/>
              <w:right w:val="nil"/>
            </w:tcBorders>
            <w:vAlign w:val="center"/>
          </w:tcPr>
          <w:p w14:paraId="03BFD79C" w14:textId="77777777" w:rsidR="004818B1" w:rsidRPr="00AC39F9" w:rsidRDefault="004818B1"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1.03 </w:t>
            </w:r>
            <w:r>
              <w:br/>
              <w:t>(0.94 to 1.12)</w:t>
            </w:r>
          </w:p>
        </w:tc>
        <w:tc>
          <w:tcPr>
            <w:tcW w:w="838" w:type="dxa"/>
            <w:gridSpan w:val="2"/>
            <w:tcBorders>
              <w:top w:val="nil"/>
              <w:left w:val="nil"/>
              <w:bottom w:val="nil"/>
              <w:right w:val="nil"/>
            </w:tcBorders>
            <w:vAlign w:val="center"/>
          </w:tcPr>
          <w:p w14:paraId="71BF2F5F" w14:textId="77777777" w:rsidR="004818B1" w:rsidRPr="00274745" w:rsidRDefault="004818B1"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0.5</w:t>
            </w:r>
            <w:r w:rsidR="00055592">
              <w:t>4</w:t>
            </w:r>
          </w:p>
        </w:tc>
        <w:tc>
          <w:tcPr>
            <w:tcW w:w="592" w:type="dxa"/>
            <w:tcBorders>
              <w:top w:val="nil"/>
              <w:left w:val="nil"/>
              <w:bottom w:val="nil"/>
              <w:right w:val="nil"/>
            </w:tcBorders>
            <w:vAlign w:val="center"/>
          </w:tcPr>
          <w:p w14:paraId="4E893617" w14:textId="77777777" w:rsidR="004818B1" w:rsidRDefault="008624B5"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331</w:t>
            </w:r>
          </w:p>
        </w:tc>
        <w:tc>
          <w:tcPr>
            <w:tcW w:w="1928" w:type="dxa"/>
            <w:tcBorders>
              <w:top w:val="nil"/>
              <w:left w:val="nil"/>
              <w:bottom w:val="nil"/>
              <w:right w:val="nil"/>
            </w:tcBorders>
            <w:vAlign w:val="center"/>
          </w:tcPr>
          <w:p w14:paraId="00ECDD76" w14:textId="77777777" w:rsidR="004818B1" w:rsidRDefault="008624B5"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0</w:t>
            </w:r>
            <w:r w:rsidR="005235A5">
              <w:t>.</w:t>
            </w:r>
            <w:r>
              <w:t>99</w:t>
            </w:r>
            <w:r w:rsidR="005235A5">
              <w:br/>
              <w:t>(0.9</w:t>
            </w:r>
            <w:r>
              <w:t>0</w:t>
            </w:r>
            <w:r w:rsidR="005235A5">
              <w:t xml:space="preserve"> to 1.0</w:t>
            </w:r>
            <w:r>
              <w:t>9</w:t>
            </w:r>
            <w:r w:rsidR="005235A5">
              <w:t>)</w:t>
            </w:r>
          </w:p>
        </w:tc>
        <w:tc>
          <w:tcPr>
            <w:tcW w:w="1042" w:type="dxa"/>
            <w:gridSpan w:val="2"/>
            <w:tcBorders>
              <w:top w:val="nil"/>
              <w:left w:val="nil"/>
              <w:bottom w:val="nil"/>
              <w:right w:val="nil"/>
            </w:tcBorders>
            <w:vAlign w:val="center"/>
          </w:tcPr>
          <w:p w14:paraId="19F8A7D3" w14:textId="77777777" w:rsidR="004818B1" w:rsidRDefault="005235A5"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0.</w:t>
            </w:r>
            <w:r w:rsidR="008624B5">
              <w:t>87</w:t>
            </w:r>
          </w:p>
        </w:tc>
      </w:tr>
      <w:tr w:rsidR="005A7D58" w:rsidRPr="00274745" w14:paraId="3FB117DB" w14:textId="77777777" w:rsidTr="00A906A1">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709" w:type="dxa"/>
            <w:tcBorders>
              <w:top w:val="nil"/>
              <w:left w:val="nil"/>
              <w:right w:val="nil"/>
            </w:tcBorders>
            <w:vAlign w:val="center"/>
          </w:tcPr>
          <w:p w14:paraId="204DA79C" w14:textId="77777777" w:rsidR="004818B1" w:rsidRPr="00274745" w:rsidRDefault="004818B1" w:rsidP="007925FB">
            <w:pPr>
              <w:spacing w:line="276" w:lineRule="auto"/>
              <w:rPr>
                <w:vertAlign w:val="superscript"/>
              </w:rPr>
            </w:pPr>
            <w:r>
              <w:t>Fully a</w:t>
            </w:r>
            <w:r w:rsidRPr="00274745">
              <w:t>djusted</w:t>
            </w:r>
            <w:r w:rsidRPr="003A2220">
              <w:t>†</w:t>
            </w:r>
          </w:p>
        </w:tc>
        <w:tc>
          <w:tcPr>
            <w:tcW w:w="592" w:type="dxa"/>
            <w:tcBorders>
              <w:top w:val="nil"/>
              <w:left w:val="nil"/>
              <w:right w:val="nil"/>
            </w:tcBorders>
            <w:vAlign w:val="center"/>
          </w:tcPr>
          <w:p w14:paraId="5E23D6F9"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4</w:t>
            </w:r>
            <w:r>
              <w:t>21</w:t>
            </w:r>
          </w:p>
        </w:tc>
        <w:tc>
          <w:tcPr>
            <w:tcW w:w="1928" w:type="dxa"/>
            <w:tcBorders>
              <w:top w:val="nil"/>
              <w:left w:val="nil"/>
              <w:right w:val="nil"/>
            </w:tcBorders>
            <w:vAlign w:val="center"/>
          </w:tcPr>
          <w:p w14:paraId="1FFAFD5A"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rsidRPr="00AC39F9">
              <w:t>1.0</w:t>
            </w:r>
            <w:r>
              <w:t xml:space="preserve">2 </w:t>
            </w:r>
            <w:r>
              <w:br/>
            </w:r>
            <w:r w:rsidRPr="00AC39F9">
              <w:t>(0.9</w:t>
            </w:r>
            <w:r>
              <w:t>3</w:t>
            </w:r>
            <w:r w:rsidRPr="00AC39F9">
              <w:t xml:space="preserve"> to 1.12)</w:t>
            </w:r>
          </w:p>
        </w:tc>
        <w:tc>
          <w:tcPr>
            <w:tcW w:w="838" w:type="dxa"/>
            <w:gridSpan w:val="2"/>
            <w:tcBorders>
              <w:top w:val="nil"/>
              <w:left w:val="nil"/>
              <w:right w:val="nil"/>
            </w:tcBorders>
            <w:vAlign w:val="center"/>
          </w:tcPr>
          <w:p w14:paraId="7AD638F0"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rsidR="00C87611">
              <w:t>74</w:t>
            </w:r>
          </w:p>
        </w:tc>
        <w:tc>
          <w:tcPr>
            <w:tcW w:w="592" w:type="dxa"/>
            <w:tcBorders>
              <w:top w:val="nil"/>
              <w:left w:val="nil"/>
              <w:right w:val="nil"/>
            </w:tcBorders>
            <w:vAlign w:val="center"/>
          </w:tcPr>
          <w:p w14:paraId="075347D3" w14:textId="77777777" w:rsidR="004818B1" w:rsidRPr="00274745" w:rsidRDefault="00E708F6"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329</w:t>
            </w:r>
          </w:p>
        </w:tc>
        <w:tc>
          <w:tcPr>
            <w:tcW w:w="1928" w:type="dxa"/>
            <w:tcBorders>
              <w:top w:val="nil"/>
              <w:left w:val="nil"/>
              <w:right w:val="nil"/>
            </w:tcBorders>
            <w:vAlign w:val="center"/>
          </w:tcPr>
          <w:p w14:paraId="20F72E37" w14:textId="77777777" w:rsidR="004818B1" w:rsidRPr="00274745" w:rsidRDefault="00ED6A76"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0.9</w:t>
            </w:r>
            <w:r w:rsidR="00E708F6">
              <w:t>9</w:t>
            </w:r>
            <w:r>
              <w:br/>
              <w:t>(0.</w:t>
            </w:r>
            <w:r w:rsidR="00E708F6">
              <w:t>89</w:t>
            </w:r>
            <w:r>
              <w:t xml:space="preserve"> to 1.0</w:t>
            </w:r>
            <w:r w:rsidR="00E708F6">
              <w:t>9</w:t>
            </w:r>
            <w:r>
              <w:t>)</w:t>
            </w:r>
          </w:p>
        </w:tc>
        <w:tc>
          <w:tcPr>
            <w:tcW w:w="1042" w:type="dxa"/>
            <w:gridSpan w:val="2"/>
            <w:tcBorders>
              <w:top w:val="nil"/>
              <w:left w:val="nil"/>
              <w:right w:val="nil"/>
            </w:tcBorders>
            <w:vAlign w:val="center"/>
          </w:tcPr>
          <w:p w14:paraId="45B4AF2C" w14:textId="77777777" w:rsidR="004818B1" w:rsidRPr="00274745" w:rsidRDefault="00E708F6"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0.81</w:t>
            </w:r>
          </w:p>
        </w:tc>
      </w:tr>
      <w:tr w:rsidR="004818B1" w:rsidRPr="00274745" w14:paraId="2AAB2DC6" w14:textId="77777777" w:rsidTr="00090167">
        <w:trPr>
          <w:gridAfter w:val="1"/>
          <w:wAfter w:w="129" w:type="dxa"/>
          <w:trHeight w:val="278"/>
          <w:jc w:val="center"/>
        </w:trPr>
        <w:tc>
          <w:tcPr>
            <w:cnfStyle w:val="001000000000" w:firstRow="0" w:lastRow="0" w:firstColumn="1" w:lastColumn="0" w:oddVBand="0" w:evenVBand="0" w:oddHBand="0" w:evenHBand="0" w:firstRowFirstColumn="0" w:firstRowLastColumn="0" w:lastRowFirstColumn="0" w:lastRowLastColumn="0"/>
            <w:tcW w:w="8500" w:type="dxa"/>
            <w:gridSpan w:val="8"/>
            <w:tcBorders>
              <w:left w:val="nil"/>
              <w:bottom w:val="single" w:sz="4" w:space="0" w:color="7F7F7F" w:themeColor="text1" w:themeTint="80"/>
              <w:right w:val="nil"/>
            </w:tcBorders>
          </w:tcPr>
          <w:p w14:paraId="07ED037B" w14:textId="77777777" w:rsidR="004818B1" w:rsidRPr="00274745" w:rsidRDefault="004818B1" w:rsidP="007925FB">
            <w:pPr>
              <w:spacing w:line="276" w:lineRule="auto"/>
              <w:jc w:val="center"/>
            </w:pPr>
            <w:r>
              <w:t>Model 2: Association with negative hits</w:t>
            </w:r>
          </w:p>
        </w:tc>
      </w:tr>
      <w:tr w:rsidR="005A7D58" w:rsidRPr="00274745" w14:paraId="7799B1B8" w14:textId="77777777" w:rsidTr="00A906A1">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709" w:type="dxa"/>
            <w:tcBorders>
              <w:left w:val="nil"/>
              <w:bottom w:val="nil"/>
              <w:right w:val="nil"/>
            </w:tcBorders>
            <w:vAlign w:val="center"/>
          </w:tcPr>
          <w:p w14:paraId="0407BF3A" w14:textId="77777777" w:rsidR="004818B1" w:rsidRPr="00FB662B" w:rsidRDefault="004818B1" w:rsidP="007925FB">
            <w:pPr>
              <w:spacing w:line="276" w:lineRule="auto"/>
            </w:pPr>
            <w:r w:rsidRPr="00FB662B">
              <w:t>Unadjusted</w:t>
            </w:r>
          </w:p>
        </w:tc>
        <w:tc>
          <w:tcPr>
            <w:tcW w:w="592" w:type="dxa"/>
            <w:tcBorders>
              <w:left w:val="nil"/>
              <w:bottom w:val="nil"/>
              <w:right w:val="nil"/>
            </w:tcBorders>
            <w:vAlign w:val="center"/>
          </w:tcPr>
          <w:p w14:paraId="383FD3AF"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425</w:t>
            </w:r>
          </w:p>
        </w:tc>
        <w:tc>
          <w:tcPr>
            <w:tcW w:w="1928" w:type="dxa"/>
            <w:tcBorders>
              <w:left w:val="nil"/>
              <w:bottom w:val="nil"/>
              <w:right w:val="nil"/>
            </w:tcBorders>
            <w:vAlign w:val="center"/>
          </w:tcPr>
          <w:p w14:paraId="03A8C296" w14:textId="77777777" w:rsidR="004818B1" w:rsidRPr="00AC39F9"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 xml:space="preserve">1.03 </w:t>
            </w:r>
            <w:r>
              <w:br/>
              <w:t>(0.94 to 1.13)</w:t>
            </w:r>
          </w:p>
        </w:tc>
        <w:tc>
          <w:tcPr>
            <w:tcW w:w="838" w:type="dxa"/>
            <w:gridSpan w:val="2"/>
            <w:tcBorders>
              <w:left w:val="nil"/>
              <w:bottom w:val="nil"/>
              <w:right w:val="nil"/>
            </w:tcBorders>
            <w:vAlign w:val="center"/>
          </w:tcPr>
          <w:p w14:paraId="7C3D9814"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0.50</w:t>
            </w:r>
          </w:p>
        </w:tc>
        <w:tc>
          <w:tcPr>
            <w:tcW w:w="592" w:type="dxa"/>
            <w:tcBorders>
              <w:left w:val="nil"/>
              <w:bottom w:val="nil"/>
              <w:right w:val="nil"/>
            </w:tcBorders>
            <w:vAlign w:val="center"/>
          </w:tcPr>
          <w:p w14:paraId="6200422E" w14:textId="77777777" w:rsidR="004818B1" w:rsidRDefault="00EF40F5"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331</w:t>
            </w:r>
          </w:p>
        </w:tc>
        <w:tc>
          <w:tcPr>
            <w:tcW w:w="1928" w:type="dxa"/>
            <w:tcBorders>
              <w:left w:val="nil"/>
              <w:bottom w:val="nil"/>
              <w:right w:val="nil"/>
            </w:tcBorders>
            <w:vAlign w:val="center"/>
          </w:tcPr>
          <w:p w14:paraId="3EF7D5EC" w14:textId="77777777" w:rsidR="004818B1" w:rsidRDefault="006A1037"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0.9</w:t>
            </w:r>
            <w:r w:rsidR="00EF40F5">
              <w:t>7</w:t>
            </w:r>
            <w:r>
              <w:br/>
              <w:t>(0.</w:t>
            </w:r>
            <w:r w:rsidR="00EF40F5">
              <w:t>86</w:t>
            </w:r>
            <w:r>
              <w:t xml:space="preserve"> to 1.</w:t>
            </w:r>
            <w:r w:rsidR="00EF40F5">
              <w:t>10</w:t>
            </w:r>
            <w:r>
              <w:t>)</w:t>
            </w:r>
          </w:p>
        </w:tc>
        <w:tc>
          <w:tcPr>
            <w:tcW w:w="1042" w:type="dxa"/>
            <w:gridSpan w:val="2"/>
            <w:tcBorders>
              <w:left w:val="nil"/>
              <w:bottom w:val="nil"/>
              <w:right w:val="nil"/>
            </w:tcBorders>
            <w:vAlign w:val="center"/>
          </w:tcPr>
          <w:p w14:paraId="44D69833" w14:textId="77777777" w:rsidR="004818B1" w:rsidRDefault="006A1037"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w:t>
            </w:r>
            <w:r w:rsidR="00EF40F5">
              <w:t>66</w:t>
            </w:r>
          </w:p>
        </w:tc>
      </w:tr>
      <w:tr w:rsidR="005A7D58" w:rsidRPr="00274745" w14:paraId="39C41E14" w14:textId="77777777" w:rsidTr="00A906A1">
        <w:trPr>
          <w:trHeight w:val="278"/>
          <w:jc w:val="center"/>
        </w:trPr>
        <w:tc>
          <w:tcPr>
            <w:cnfStyle w:val="001000000000" w:firstRow="0" w:lastRow="0" w:firstColumn="1" w:lastColumn="0" w:oddVBand="0" w:evenVBand="0" w:oddHBand="0" w:evenHBand="0" w:firstRowFirstColumn="0" w:firstRowLastColumn="0" w:lastRowFirstColumn="0" w:lastRowLastColumn="0"/>
            <w:tcW w:w="1709" w:type="dxa"/>
            <w:tcBorders>
              <w:top w:val="nil"/>
              <w:left w:val="nil"/>
              <w:bottom w:val="nil"/>
              <w:right w:val="nil"/>
            </w:tcBorders>
            <w:vAlign w:val="center"/>
          </w:tcPr>
          <w:p w14:paraId="5E43CDD6" w14:textId="77777777" w:rsidR="004818B1" w:rsidRPr="00FB662B" w:rsidRDefault="004818B1" w:rsidP="007925FB">
            <w:pPr>
              <w:spacing w:line="276" w:lineRule="auto"/>
            </w:pPr>
            <w:r w:rsidRPr="00FB662B">
              <w:t>Partially adjusted*</w:t>
            </w:r>
          </w:p>
        </w:tc>
        <w:tc>
          <w:tcPr>
            <w:tcW w:w="592" w:type="dxa"/>
            <w:tcBorders>
              <w:top w:val="nil"/>
              <w:left w:val="nil"/>
              <w:bottom w:val="nil"/>
              <w:right w:val="nil"/>
            </w:tcBorders>
            <w:vAlign w:val="center"/>
          </w:tcPr>
          <w:p w14:paraId="6A3C7D75" w14:textId="77777777" w:rsidR="004818B1" w:rsidRPr="00274745" w:rsidRDefault="004818B1"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425</w:t>
            </w:r>
          </w:p>
        </w:tc>
        <w:tc>
          <w:tcPr>
            <w:tcW w:w="1928" w:type="dxa"/>
            <w:tcBorders>
              <w:top w:val="nil"/>
              <w:left w:val="nil"/>
              <w:bottom w:val="nil"/>
              <w:right w:val="nil"/>
            </w:tcBorders>
            <w:vAlign w:val="center"/>
          </w:tcPr>
          <w:p w14:paraId="2DA5CEDE" w14:textId="77777777" w:rsidR="004818B1" w:rsidRPr="00AC39F9" w:rsidRDefault="004818B1"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 xml:space="preserve">1.01 </w:t>
            </w:r>
            <w:r>
              <w:br/>
              <w:t>(0.91 to 1.1</w:t>
            </w:r>
            <w:r w:rsidR="00D0557B">
              <w:t>2</w:t>
            </w:r>
            <w:r>
              <w:t>)</w:t>
            </w:r>
          </w:p>
        </w:tc>
        <w:tc>
          <w:tcPr>
            <w:tcW w:w="838" w:type="dxa"/>
            <w:gridSpan w:val="2"/>
            <w:tcBorders>
              <w:top w:val="nil"/>
              <w:left w:val="nil"/>
              <w:bottom w:val="nil"/>
              <w:right w:val="nil"/>
            </w:tcBorders>
            <w:vAlign w:val="center"/>
          </w:tcPr>
          <w:p w14:paraId="4CFDDA90" w14:textId="77777777" w:rsidR="004818B1" w:rsidRPr="00274745" w:rsidRDefault="004818B1"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0.</w:t>
            </w:r>
            <w:r w:rsidR="00D0557B">
              <w:t>86</w:t>
            </w:r>
          </w:p>
        </w:tc>
        <w:tc>
          <w:tcPr>
            <w:tcW w:w="592" w:type="dxa"/>
            <w:tcBorders>
              <w:top w:val="nil"/>
              <w:left w:val="nil"/>
              <w:bottom w:val="nil"/>
              <w:right w:val="nil"/>
            </w:tcBorders>
            <w:vAlign w:val="center"/>
          </w:tcPr>
          <w:p w14:paraId="41B69DD4" w14:textId="77777777" w:rsidR="004818B1" w:rsidRDefault="00EF40F5"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331</w:t>
            </w:r>
          </w:p>
        </w:tc>
        <w:tc>
          <w:tcPr>
            <w:tcW w:w="1928" w:type="dxa"/>
            <w:tcBorders>
              <w:top w:val="nil"/>
              <w:left w:val="nil"/>
              <w:bottom w:val="nil"/>
              <w:right w:val="nil"/>
            </w:tcBorders>
            <w:vAlign w:val="center"/>
          </w:tcPr>
          <w:p w14:paraId="15D1ADDA" w14:textId="77777777" w:rsidR="004818B1" w:rsidRDefault="00614149"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1.00</w:t>
            </w:r>
            <w:r w:rsidR="005A73AB">
              <w:br/>
              <w:t>(0.8</w:t>
            </w:r>
            <w:r>
              <w:t>7</w:t>
            </w:r>
            <w:r w:rsidR="005A73AB">
              <w:t xml:space="preserve"> to 1.1</w:t>
            </w:r>
            <w:r>
              <w:t>6</w:t>
            </w:r>
            <w:r w:rsidR="005A73AB">
              <w:t>)</w:t>
            </w:r>
          </w:p>
        </w:tc>
        <w:tc>
          <w:tcPr>
            <w:tcW w:w="1042" w:type="dxa"/>
            <w:gridSpan w:val="2"/>
            <w:tcBorders>
              <w:top w:val="nil"/>
              <w:left w:val="nil"/>
              <w:bottom w:val="nil"/>
              <w:right w:val="nil"/>
            </w:tcBorders>
            <w:vAlign w:val="center"/>
          </w:tcPr>
          <w:p w14:paraId="280743E3" w14:textId="77777777" w:rsidR="004818B1" w:rsidRDefault="005A73AB" w:rsidP="007925FB">
            <w:pPr>
              <w:spacing w:line="276" w:lineRule="auto"/>
              <w:jc w:val="center"/>
              <w:cnfStyle w:val="000000000000" w:firstRow="0" w:lastRow="0" w:firstColumn="0" w:lastColumn="0" w:oddVBand="0" w:evenVBand="0" w:oddHBand="0" w:evenHBand="0" w:firstRowFirstColumn="0" w:firstRowLastColumn="0" w:lastRowFirstColumn="0" w:lastRowLastColumn="0"/>
            </w:pPr>
            <w:r>
              <w:t>0.</w:t>
            </w:r>
            <w:r w:rsidR="00614149">
              <w:t>95</w:t>
            </w:r>
          </w:p>
        </w:tc>
      </w:tr>
      <w:tr w:rsidR="005A7D58" w:rsidRPr="00274745" w14:paraId="4909D527" w14:textId="77777777" w:rsidTr="00A906A1">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709" w:type="dxa"/>
            <w:tcBorders>
              <w:top w:val="nil"/>
              <w:left w:val="nil"/>
              <w:right w:val="nil"/>
            </w:tcBorders>
            <w:vAlign w:val="center"/>
          </w:tcPr>
          <w:p w14:paraId="33C2AB1A" w14:textId="77777777" w:rsidR="004818B1" w:rsidRPr="008B4009" w:rsidRDefault="004818B1" w:rsidP="007925FB">
            <w:pPr>
              <w:spacing w:line="276" w:lineRule="auto"/>
            </w:pPr>
            <w:r w:rsidRPr="00FB662B">
              <w:t>Fully adjusted</w:t>
            </w:r>
            <w:r w:rsidRPr="000D6439">
              <w:t>†</w:t>
            </w:r>
          </w:p>
        </w:tc>
        <w:tc>
          <w:tcPr>
            <w:tcW w:w="592" w:type="dxa"/>
            <w:tcBorders>
              <w:top w:val="nil"/>
              <w:left w:val="nil"/>
              <w:right w:val="nil"/>
            </w:tcBorders>
            <w:vAlign w:val="center"/>
          </w:tcPr>
          <w:p w14:paraId="4E2AC303"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4</w:t>
            </w:r>
            <w:r>
              <w:t>21</w:t>
            </w:r>
          </w:p>
        </w:tc>
        <w:tc>
          <w:tcPr>
            <w:tcW w:w="1928" w:type="dxa"/>
            <w:tcBorders>
              <w:top w:val="nil"/>
              <w:left w:val="nil"/>
              <w:right w:val="nil"/>
            </w:tcBorders>
            <w:vAlign w:val="center"/>
          </w:tcPr>
          <w:p w14:paraId="59881744" w14:textId="77777777" w:rsidR="004818B1" w:rsidRPr="00AC39F9"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rsidRPr="00611B40">
              <w:t>1.0</w:t>
            </w:r>
            <w:r w:rsidR="00EC3E4B">
              <w:t>1</w:t>
            </w:r>
            <w:r>
              <w:br/>
            </w:r>
            <w:r w:rsidRPr="00611B40">
              <w:t>(0.</w:t>
            </w:r>
            <w:r>
              <w:t>90</w:t>
            </w:r>
            <w:r w:rsidRPr="00611B40">
              <w:t xml:space="preserve"> to 1.1</w:t>
            </w:r>
            <w:r w:rsidR="00EC3E4B">
              <w:t>3</w:t>
            </w:r>
            <w:r w:rsidRPr="00611B40">
              <w:t>)</w:t>
            </w:r>
          </w:p>
        </w:tc>
        <w:tc>
          <w:tcPr>
            <w:tcW w:w="838" w:type="dxa"/>
            <w:gridSpan w:val="2"/>
            <w:tcBorders>
              <w:top w:val="nil"/>
              <w:left w:val="nil"/>
              <w:right w:val="nil"/>
            </w:tcBorders>
            <w:vAlign w:val="center"/>
          </w:tcPr>
          <w:p w14:paraId="54F168FD" w14:textId="77777777" w:rsidR="004818B1" w:rsidRPr="00274745" w:rsidRDefault="004818B1"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rsidRPr="00274745">
              <w:t>0.</w:t>
            </w:r>
            <w:r>
              <w:t>8</w:t>
            </w:r>
            <w:r w:rsidR="00EC3E4B">
              <w:t>7</w:t>
            </w:r>
          </w:p>
        </w:tc>
        <w:tc>
          <w:tcPr>
            <w:tcW w:w="592" w:type="dxa"/>
            <w:tcBorders>
              <w:top w:val="nil"/>
              <w:left w:val="nil"/>
              <w:right w:val="nil"/>
            </w:tcBorders>
            <w:vAlign w:val="center"/>
          </w:tcPr>
          <w:p w14:paraId="4C559138" w14:textId="77777777" w:rsidR="004818B1" w:rsidRPr="00274745" w:rsidRDefault="00EF40F5"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329</w:t>
            </w:r>
          </w:p>
        </w:tc>
        <w:tc>
          <w:tcPr>
            <w:tcW w:w="1928" w:type="dxa"/>
            <w:tcBorders>
              <w:top w:val="nil"/>
              <w:left w:val="nil"/>
              <w:right w:val="nil"/>
            </w:tcBorders>
            <w:vAlign w:val="center"/>
          </w:tcPr>
          <w:p w14:paraId="09B0ECFC" w14:textId="77777777" w:rsidR="004818B1" w:rsidRPr="00274745" w:rsidRDefault="00EC3843"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0.98</w:t>
            </w:r>
            <w:r>
              <w:br/>
              <w:t>(0.84 to 1.14)</w:t>
            </w:r>
          </w:p>
        </w:tc>
        <w:tc>
          <w:tcPr>
            <w:tcW w:w="1042" w:type="dxa"/>
            <w:gridSpan w:val="2"/>
            <w:tcBorders>
              <w:top w:val="nil"/>
              <w:left w:val="nil"/>
              <w:right w:val="nil"/>
            </w:tcBorders>
            <w:vAlign w:val="center"/>
          </w:tcPr>
          <w:p w14:paraId="638038A4" w14:textId="77777777" w:rsidR="004818B1" w:rsidRPr="00274745" w:rsidRDefault="00EC3843" w:rsidP="007925FB">
            <w:pPr>
              <w:spacing w:line="276" w:lineRule="auto"/>
              <w:jc w:val="center"/>
              <w:cnfStyle w:val="000000100000" w:firstRow="0" w:lastRow="0" w:firstColumn="0" w:lastColumn="0" w:oddVBand="0" w:evenVBand="0" w:oddHBand="1" w:evenHBand="0" w:firstRowFirstColumn="0" w:firstRowLastColumn="0" w:lastRowFirstColumn="0" w:lastRowLastColumn="0"/>
            </w:pPr>
            <w:r>
              <w:t>0.78</w:t>
            </w:r>
          </w:p>
        </w:tc>
      </w:tr>
    </w:tbl>
    <w:p w14:paraId="28064261" w14:textId="77777777" w:rsidR="001F3A8E" w:rsidRDefault="001F3A8E" w:rsidP="00B6621E">
      <w:pPr>
        <w:suppressLineNumbers/>
        <w:spacing w:line="276" w:lineRule="auto"/>
        <w:jc w:val="both"/>
      </w:pPr>
    </w:p>
    <w:p w14:paraId="19431063" w14:textId="0A959874" w:rsidR="00EC4197" w:rsidRDefault="0086075E" w:rsidP="00B6621E">
      <w:pPr>
        <w:suppressLineNumbers/>
        <w:spacing w:line="276" w:lineRule="auto"/>
        <w:jc w:val="both"/>
      </w:pPr>
      <w:r>
        <w:t xml:space="preserve">Note. CI, confidence interval. </w:t>
      </w:r>
      <w:r w:rsidR="0037050B" w:rsidRPr="00127A7A">
        <w:t>*</w:t>
      </w:r>
      <w:r w:rsidR="00127A7A" w:rsidRPr="00127A7A">
        <w:t>P</w:t>
      </w:r>
      <w:r w:rsidR="00127A7A">
        <w:t>ositive hits adjusted for</w:t>
      </w:r>
      <w:r w:rsidR="0037050B" w:rsidRPr="00274745">
        <w:t xml:space="preserve"> </w:t>
      </w:r>
      <w:r w:rsidR="00127A7A">
        <w:t>negative hits</w:t>
      </w:r>
      <w:r w:rsidR="00DD16EC">
        <w:t xml:space="preserve"> and </w:t>
      </w:r>
      <w:r w:rsidR="001865C6">
        <w:t>(</w:t>
      </w:r>
      <w:r w:rsidR="00DD16EC">
        <w:t>positive and negative</w:t>
      </w:r>
      <w:r w:rsidR="001865C6">
        <w:t>)</w:t>
      </w:r>
      <w:r w:rsidR="00DD16EC">
        <w:t xml:space="preserve"> false alarms</w:t>
      </w:r>
      <w:r w:rsidR="00127A7A">
        <w:t>.</w:t>
      </w:r>
      <w:r w:rsidR="0037050B" w:rsidRPr="00274745">
        <w:t xml:space="preserve"> </w:t>
      </w:r>
      <w:r w:rsidR="00127A7A">
        <w:t>N</w:t>
      </w:r>
      <w:r w:rsidR="0037050B" w:rsidRPr="00274745">
        <w:t>egative hits</w:t>
      </w:r>
      <w:r w:rsidR="00127A7A">
        <w:t xml:space="preserve"> adjusted for positive hits</w:t>
      </w:r>
      <w:r w:rsidR="00DD16EC">
        <w:t xml:space="preserve"> and </w:t>
      </w:r>
      <w:r w:rsidR="001865C6">
        <w:t xml:space="preserve">(positive and negative) </w:t>
      </w:r>
      <w:r w:rsidR="00DD16EC">
        <w:t>false alarms</w:t>
      </w:r>
      <w:r w:rsidR="003A2220">
        <w:t xml:space="preserve">. </w:t>
      </w:r>
      <w:r w:rsidR="003A2220" w:rsidRPr="003A2220">
        <w:t>†</w:t>
      </w:r>
      <w:r w:rsidR="0069074B">
        <w:t>Partially a</w:t>
      </w:r>
      <w:r w:rsidR="00F84CCE">
        <w:t>d</w:t>
      </w:r>
      <w:r w:rsidR="006E7504">
        <w:t>justed</w:t>
      </w:r>
      <w:r w:rsidR="0069074B">
        <w:t xml:space="preserve"> model (*) further adjusted for</w:t>
      </w:r>
      <w:r w:rsidR="006E7504">
        <w:t xml:space="preserve"> </w:t>
      </w:r>
      <w:r w:rsidR="004558A8">
        <w:t xml:space="preserve">treatment allocation, </w:t>
      </w:r>
      <w:r w:rsidR="006E7504">
        <w:t xml:space="preserve">medication, </w:t>
      </w:r>
      <w:r w:rsidR="00EF1490">
        <w:t>symptom severity at baseline, previous episodes of depression, duration of treatment prior to randomisation, sex, age, education.</w:t>
      </w:r>
      <w:r w:rsidR="005E7B90">
        <w:t xml:space="preserve"> </w:t>
      </w:r>
      <w:r w:rsidR="005E7B90" w:rsidRPr="00274745">
        <w:t>Results unaltered after adjusting for predictors of missingness.</w:t>
      </w:r>
      <w:r w:rsidR="005E7B90">
        <w:t xml:space="preserve"> </w:t>
      </w:r>
    </w:p>
    <w:sectPr w:rsidR="00EC4197" w:rsidSect="00403155">
      <w:footerReference w:type="default" r:id="rId35"/>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021CC" w14:textId="77777777" w:rsidR="00257D09" w:rsidRDefault="00257D09" w:rsidP="00DC72D6">
      <w:pPr>
        <w:spacing w:after="0" w:line="240" w:lineRule="auto"/>
      </w:pPr>
      <w:r>
        <w:separator/>
      </w:r>
    </w:p>
  </w:endnote>
  <w:endnote w:type="continuationSeparator" w:id="0">
    <w:p w14:paraId="340ED99B" w14:textId="77777777" w:rsidR="00257D09" w:rsidRDefault="00257D09" w:rsidP="00DC7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027192"/>
      <w:docPartObj>
        <w:docPartGallery w:val="Page Numbers (Bottom of Page)"/>
        <w:docPartUnique/>
      </w:docPartObj>
    </w:sdtPr>
    <w:sdtEndPr/>
    <w:sdtContent>
      <w:sdt>
        <w:sdtPr>
          <w:id w:val="1728636285"/>
          <w:docPartObj>
            <w:docPartGallery w:val="Page Numbers (Top of Page)"/>
            <w:docPartUnique/>
          </w:docPartObj>
        </w:sdtPr>
        <w:sdtEndPr/>
        <w:sdtContent>
          <w:p w14:paraId="17CC2775" w14:textId="1887BD6F" w:rsidR="007F6680" w:rsidRDefault="007F668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22</w:t>
            </w:r>
            <w:r>
              <w:rPr>
                <w:b/>
                <w:bCs/>
                <w:sz w:val="24"/>
                <w:szCs w:val="24"/>
              </w:rPr>
              <w:fldChar w:fldCharType="end"/>
            </w:r>
          </w:p>
        </w:sdtContent>
      </w:sdt>
    </w:sdtContent>
  </w:sdt>
  <w:p w14:paraId="0E12645C" w14:textId="77777777" w:rsidR="007F6680" w:rsidRDefault="007F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23A3" w14:textId="77777777" w:rsidR="00257D09" w:rsidRDefault="00257D09" w:rsidP="00DC72D6">
      <w:pPr>
        <w:spacing w:after="0" w:line="240" w:lineRule="auto"/>
      </w:pPr>
      <w:r>
        <w:separator/>
      </w:r>
    </w:p>
  </w:footnote>
  <w:footnote w:type="continuationSeparator" w:id="0">
    <w:p w14:paraId="43BED9A0" w14:textId="77777777" w:rsidR="00257D09" w:rsidRDefault="00257D09" w:rsidP="00DC7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41EF"/>
    <w:multiLevelType w:val="hybridMultilevel"/>
    <w:tmpl w:val="805A7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13EF6"/>
    <w:multiLevelType w:val="hybridMultilevel"/>
    <w:tmpl w:val="59441A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E1123D"/>
    <w:multiLevelType w:val="hybridMultilevel"/>
    <w:tmpl w:val="CB5AEA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7CB"/>
    <w:rsid w:val="0000128D"/>
    <w:rsid w:val="00001E9D"/>
    <w:rsid w:val="0000201F"/>
    <w:rsid w:val="000029C8"/>
    <w:rsid w:val="000039D4"/>
    <w:rsid w:val="000039E7"/>
    <w:rsid w:val="00004440"/>
    <w:rsid w:val="000045C3"/>
    <w:rsid w:val="00004E79"/>
    <w:rsid w:val="00005E49"/>
    <w:rsid w:val="00007292"/>
    <w:rsid w:val="00010D8B"/>
    <w:rsid w:val="00010F1B"/>
    <w:rsid w:val="000129BA"/>
    <w:rsid w:val="00012A6B"/>
    <w:rsid w:val="00013EFF"/>
    <w:rsid w:val="00014028"/>
    <w:rsid w:val="000141A2"/>
    <w:rsid w:val="00014D15"/>
    <w:rsid w:val="00015738"/>
    <w:rsid w:val="000158B2"/>
    <w:rsid w:val="0001629B"/>
    <w:rsid w:val="000168DE"/>
    <w:rsid w:val="00016C60"/>
    <w:rsid w:val="00017D2F"/>
    <w:rsid w:val="000200F0"/>
    <w:rsid w:val="0002106C"/>
    <w:rsid w:val="000219E7"/>
    <w:rsid w:val="00023F05"/>
    <w:rsid w:val="000264FC"/>
    <w:rsid w:val="00027720"/>
    <w:rsid w:val="00030CD5"/>
    <w:rsid w:val="0003203A"/>
    <w:rsid w:val="00033422"/>
    <w:rsid w:val="000336DA"/>
    <w:rsid w:val="000340D4"/>
    <w:rsid w:val="00035636"/>
    <w:rsid w:val="00036377"/>
    <w:rsid w:val="00036769"/>
    <w:rsid w:val="00041435"/>
    <w:rsid w:val="0004252D"/>
    <w:rsid w:val="00042F5F"/>
    <w:rsid w:val="000430C3"/>
    <w:rsid w:val="00045251"/>
    <w:rsid w:val="00046B8C"/>
    <w:rsid w:val="00047F0F"/>
    <w:rsid w:val="00050377"/>
    <w:rsid w:val="0005052C"/>
    <w:rsid w:val="00052C1B"/>
    <w:rsid w:val="0005326B"/>
    <w:rsid w:val="00053AE6"/>
    <w:rsid w:val="000544A6"/>
    <w:rsid w:val="00055592"/>
    <w:rsid w:val="0005574A"/>
    <w:rsid w:val="00055B92"/>
    <w:rsid w:val="00055CFA"/>
    <w:rsid w:val="000560C3"/>
    <w:rsid w:val="000566C4"/>
    <w:rsid w:val="00057503"/>
    <w:rsid w:val="00060122"/>
    <w:rsid w:val="00060398"/>
    <w:rsid w:val="00061EE5"/>
    <w:rsid w:val="00062F25"/>
    <w:rsid w:val="00063E62"/>
    <w:rsid w:val="000643F8"/>
    <w:rsid w:val="0006479E"/>
    <w:rsid w:val="00065A9F"/>
    <w:rsid w:val="00065EE9"/>
    <w:rsid w:val="00066104"/>
    <w:rsid w:val="00066936"/>
    <w:rsid w:val="000669F3"/>
    <w:rsid w:val="00067FF9"/>
    <w:rsid w:val="00070DB3"/>
    <w:rsid w:val="00070DD1"/>
    <w:rsid w:val="0007138E"/>
    <w:rsid w:val="00071C71"/>
    <w:rsid w:val="0007226C"/>
    <w:rsid w:val="000728C7"/>
    <w:rsid w:val="00072C88"/>
    <w:rsid w:val="000760C6"/>
    <w:rsid w:val="00076272"/>
    <w:rsid w:val="00076300"/>
    <w:rsid w:val="0007662A"/>
    <w:rsid w:val="000773F2"/>
    <w:rsid w:val="00077C4E"/>
    <w:rsid w:val="000818AA"/>
    <w:rsid w:val="00081F53"/>
    <w:rsid w:val="00082DF8"/>
    <w:rsid w:val="00082FF3"/>
    <w:rsid w:val="000832B1"/>
    <w:rsid w:val="000835A8"/>
    <w:rsid w:val="00084DD9"/>
    <w:rsid w:val="00085FAF"/>
    <w:rsid w:val="0008744D"/>
    <w:rsid w:val="000875AD"/>
    <w:rsid w:val="00087E53"/>
    <w:rsid w:val="00090167"/>
    <w:rsid w:val="000905A9"/>
    <w:rsid w:val="00090B81"/>
    <w:rsid w:val="000934A8"/>
    <w:rsid w:val="000939E0"/>
    <w:rsid w:val="00093AA3"/>
    <w:rsid w:val="000962F5"/>
    <w:rsid w:val="00096CC1"/>
    <w:rsid w:val="000974C6"/>
    <w:rsid w:val="000978FE"/>
    <w:rsid w:val="00097A56"/>
    <w:rsid w:val="000A1787"/>
    <w:rsid w:val="000A1AAB"/>
    <w:rsid w:val="000A28FE"/>
    <w:rsid w:val="000A3603"/>
    <w:rsid w:val="000A39B3"/>
    <w:rsid w:val="000A3A3F"/>
    <w:rsid w:val="000A3CCE"/>
    <w:rsid w:val="000A5357"/>
    <w:rsid w:val="000A560F"/>
    <w:rsid w:val="000A6A8E"/>
    <w:rsid w:val="000A6C55"/>
    <w:rsid w:val="000A7362"/>
    <w:rsid w:val="000A7876"/>
    <w:rsid w:val="000B00E1"/>
    <w:rsid w:val="000B00ED"/>
    <w:rsid w:val="000B01DD"/>
    <w:rsid w:val="000B05C2"/>
    <w:rsid w:val="000B2978"/>
    <w:rsid w:val="000B314B"/>
    <w:rsid w:val="000B3A8A"/>
    <w:rsid w:val="000B4DFF"/>
    <w:rsid w:val="000B67BE"/>
    <w:rsid w:val="000B73C1"/>
    <w:rsid w:val="000C0128"/>
    <w:rsid w:val="000C0175"/>
    <w:rsid w:val="000C0497"/>
    <w:rsid w:val="000C0E22"/>
    <w:rsid w:val="000C1290"/>
    <w:rsid w:val="000C45B2"/>
    <w:rsid w:val="000C5B7A"/>
    <w:rsid w:val="000C5D25"/>
    <w:rsid w:val="000C6130"/>
    <w:rsid w:val="000C6168"/>
    <w:rsid w:val="000C74E2"/>
    <w:rsid w:val="000C7F6B"/>
    <w:rsid w:val="000D01D8"/>
    <w:rsid w:val="000D1475"/>
    <w:rsid w:val="000D2FB9"/>
    <w:rsid w:val="000D314B"/>
    <w:rsid w:val="000D55A8"/>
    <w:rsid w:val="000D6439"/>
    <w:rsid w:val="000E0C06"/>
    <w:rsid w:val="000E1EDA"/>
    <w:rsid w:val="000E27E8"/>
    <w:rsid w:val="000E2997"/>
    <w:rsid w:val="000E325A"/>
    <w:rsid w:val="000E32EE"/>
    <w:rsid w:val="000E351C"/>
    <w:rsid w:val="000E3AAD"/>
    <w:rsid w:val="000E42C9"/>
    <w:rsid w:val="000E504D"/>
    <w:rsid w:val="000E572F"/>
    <w:rsid w:val="000E5809"/>
    <w:rsid w:val="000E5BC0"/>
    <w:rsid w:val="000E725C"/>
    <w:rsid w:val="000E74C5"/>
    <w:rsid w:val="000F03F5"/>
    <w:rsid w:val="000F0C24"/>
    <w:rsid w:val="000F2F9F"/>
    <w:rsid w:val="000F5451"/>
    <w:rsid w:val="000F552A"/>
    <w:rsid w:val="000F5D12"/>
    <w:rsid w:val="000F6718"/>
    <w:rsid w:val="000F7967"/>
    <w:rsid w:val="001030D3"/>
    <w:rsid w:val="00103C76"/>
    <w:rsid w:val="00105371"/>
    <w:rsid w:val="00105FDE"/>
    <w:rsid w:val="00106223"/>
    <w:rsid w:val="00106ED8"/>
    <w:rsid w:val="00107113"/>
    <w:rsid w:val="001079BA"/>
    <w:rsid w:val="001108DA"/>
    <w:rsid w:val="001113E4"/>
    <w:rsid w:val="00112C09"/>
    <w:rsid w:val="00113FCA"/>
    <w:rsid w:val="00114EE1"/>
    <w:rsid w:val="0011539B"/>
    <w:rsid w:val="00116650"/>
    <w:rsid w:val="00116F24"/>
    <w:rsid w:val="00117A04"/>
    <w:rsid w:val="00120D79"/>
    <w:rsid w:val="00121312"/>
    <w:rsid w:val="001215D5"/>
    <w:rsid w:val="00121C14"/>
    <w:rsid w:val="00121EA9"/>
    <w:rsid w:val="001223D9"/>
    <w:rsid w:val="001235E4"/>
    <w:rsid w:val="00125047"/>
    <w:rsid w:val="00127A7A"/>
    <w:rsid w:val="00130781"/>
    <w:rsid w:val="001309A9"/>
    <w:rsid w:val="00130DE3"/>
    <w:rsid w:val="00131679"/>
    <w:rsid w:val="001321AF"/>
    <w:rsid w:val="0013221D"/>
    <w:rsid w:val="00132E02"/>
    <w:rsid w:val="001336E4"/>
    <w:rsid w:val="0013387E"/>
    <w:rsid w:val="0013475E"/>
    <w:rsid w:val="001357C6"/>
    <w:rsid w:val="00136A26"/>
    <w:rsid w:val="00136DB3"/>
    <w:rsid w:val="00136FE4"/>
    <w:rsid w:val="00137A13"/>
    <w:rsid w:val="00141009"/>
    <w:rsid w:val="0014113F"/>
    <w:rsid w:val="0014159B"/>
    <w:rsid w:val="00142169"/>
    <w:rsid w:val="00142B44"/>
    <w:rsid w:val="00142CDD"/>
    <w:rsid w:val="001449A3"/>
    <w:rsid w:val="00144F22"/>
    <w:rsid w:val="00145822"/>
    <w:rsid w:val="00145C8B"/>
    <w:rsid w:val="001469CE"/>
    <w:rsid w:val="001479D6"/>
    <w:rsid w:val="0015017D"/>
    <w:rsid w:val="001505AE"/>
    <w:rsid w:val="0015277C"/>
    <w:rsid w:val="00152CE0"/>
    <w:rsid w:val="00152D9E"/>
    <w:rsid w:val="00153EC7"/>
    <w:rsid w:val="00153ED6"/>
    <w:rsid w:val="0015415E"/>
    <w:rsid w:val="00154A77"/>
    <w:rsid w:val="00154E10"/>
    <w:rsid w:val="00155F59"/>
    <w:rsid w:val="00156957"/>
    <w:rsid w:val="00156A93"/>
    <w:rsid w:val="00156BC6"/>
    <w:rsid w:val="00156D7D"/>
    <w:rsid w:val="00157504"/>
    <w:rsid w:val="00160106"/>
    <w:rsid w:val="00163328"/>
    <w:rsid w:val="00163B1D"/>
    <w:rsid w:val="0016461D"/>
    <w:rsid w:val="00164711"/>
    <w:rsid w:val="00167190"/>
    <w:rsid w:val="001702D5"/>
    <w:rsid w:val="001707E8"/>
    <w:rsid w:val="0017110C"/>
    <w:rsid w:val="001717C2"/>
    <w:rsid w:val="00171FB8"/>
    <w:rsid w:val="00173FAA"/>
    <w:rsid w:val="001753CC"/>
    <w:rsid w:val="001768A2"/>
    <w:rsid w:val="00177D75"/>
    <w:rsid w:val="001801D3"/>
    <w:rsid w:val="0018040F"/>
    <w:rsid w:val="00180E12"/>
    <w:rsid w:val="00181550"/>
    <w:rsid w:val="0018192A"/>
    <w:rsid w:val="00181F88"/>
    <w:rsid w:val="0018212B"/>
    <w:rsid w:val="00182DF4"/>
    <w:rsid w:val="00183518"/>
    <w:rsid w:val="001846BB"/>
    <w:rsid w:val="00184DE1"/>
    <w:rsid w:val="00185772"/>
    <w:rsid w:val="00185E43"/>
    <w:rsid w:val="001865C6"/>
    <w:rsid w:val="00187873"/>
    <w:rsid w:val="0018791A"/>
    <w:rsid w:val="00187978"/>
    <w:rsid w:val="00190CB4"/>
    <w:rsid w:val="00190EE8"/>
    <w:rsid w:val="001911C2"/>
    <w:rsid w:val="0019130A"/>
    <w:rsid w:val="0019257E"/>
    <w:rsid w:val="00193140"/>
    <w:rsid w:val="0019504E"/>
    <w:rsid w:val="0019537D"/>
    <w:rsid w:val="00195A36"/>
    <w:rsid w:val="00195F87"/>
    <w:rsid w:val="0019618B"/>
    <w:rsid w:val="0019621E"/>
    <w:rsid w:val="001A0BA7"/>
    <w:rsid w:val="001A15A4"/>
    <w:rsid w:val="001A19D6"/>
    <w:rsid w:val="001A1D20"/>
    <w:rsid w:val="001A390A"/>
    <w:rsid w:val="001A3C2B"/>
    <w:rsid w:val="001A6729"/>
    <w:rsid w:val="001A67C5"/>
    <w:rsid w:val="001A7B48"/>
    <w:rsid w:val="001B0571"/>
    <w:rsid w:val="001B253C"/>
    <w:rsid w:val="001B3456"/>
    <w:rsid w:val="001B3DBC"/>
    <w:rsid w:val="001B4472"/>
    <w:rsid w:val="001B4739"/>
    <w:rsid w:val="001B49DD"/>
    <w:rsid w:val="001B62D4"/>
    <w:rsid w:val="001B6C67"/>
    <w:rsid w:val="001B6CD3"/>
    <w:rsid w:val="001B6DDB"/>
    <w:rsid w:val="001B7616"/>
    <w:rsid w:val="001B78A3"/>
    <w:rsid w:val="001C0A82"/>
    <w:rsid w:val="001C149E"/>
    <w:rsid w:val="001C161B"/>
    <w:rsid w:val="001C1B19"/>
    <w:rsid w:val="001C23D5"/>
    <w:rsid w:val="001C4B33"/>
    <w:rsid w:val="001C721A"/>
    <w:rsid w:val="001C7B7E"/>
    <w:rsid w:val="001D16E3"/>
    <w:rsid w:val="001D1712"/>
    <w:rsid w:val="001D1BBB"/>
    <w:rsid w:val="001D2482"/>
    <w:rsid w:val="001D2641"/>
    <w:rsid w:val="001D27FF"/>
    <w:rsid w:val="001D29C8"/>
    <w:rsid w:val="001D5508"/>
    <w:rsid w:val="001D6E7B"/>
    <w:rsid w:val="001D7FA3"/>
    <w:rsid w:val="001E0940"/>
    <w:rsid w:val="001E0BF2"/>
    <w:rsid w:val="001E0FC2"/>
    <w:rsid w:val="001E1C64"/>
    <w:rsid w:val="001E1D82"/>
    <w:rsid w:val="001E28A4"/>
    <w:rsid w:val="001E3616"/>
    <w:rsid w:val="001E3A1F"/>
    <w:rsid w:val="001E4A6E"/>
    <w:rsid w:val="001E4D15"/>
    <w:rsid w:val="001E64E7"/>
    <w:rsid w:val="001E69CF"/>
    <w:rsid w:val="001E6E8D"/>
    <w:rsid w:val="001E7037"/>
    <w:rsid w:val="001E71A7"/>
    <w:rsid w:val="001E7A7E"/>
    <w:rsid w:val="001F0D50"/>
    <w:rsid w:val="001F14C6"/>
    <w:rsid w:val="001F3A8E"/>
    <w:rsid w:val="001F4B81"/>
    <w:rsid w:val="002005D5"/>
    <w:rsid w:val="00202D75"/>
    <w:rsid w:val="00203874"/>
    <w:rsid w:val="0020421F"/>
    <w:rsid w:val="00204D96"/>
    <w:rsid w:val="0020675A"/>
    <w:rsid w:val="00207645"/>
    <w:rsid w:val="00210075"/>
    <w:rsid w:val="00210342"/>
    <w:rsid w:val="0021046B"/>
    <w:rsid w:val="0021123A"/>
    <w:rsid w:val="00211321"/>
    <w:rsid w:val="0021137D"/>
    <w:rsid w:val="00212FA3"/>
    <w:rsid w:val="00213A4A"/>
    <w:rsid w:val="00213BAC"/>
    <w:rsid w:val="00214ACE"/>
    <w:rsid w:val="00217A1A"/>
    <w:rsid w:val="00220820"/>
    <w:rsid w:val="00222D20"/>
    <w:rsid w:val="00223EDC"/>
    <w:rsid w:val="00224041"/>
    <w:rsid w:val="00224B89"/>
    <w:rsid w:val="00224DFB"/>
    <w:rsid w:val="00225284"/>
    <w:rsid w:val="0022553D"/>
    <w:rsid w:val="00225EC0"/>
    <w:rsid w:val="00227124"/>
    <w:rsid w:val="00227254"/>
    <w:rsid w:val="00230165"/>
    <w:rsid w:val="002302DF"/>
    <w:rsid w:val="00230796"/>
    <w:rsid w:val="002312A0"/>
    <w:rsid w:val="0023140F"/>
    <w:rsid w:val="00231516"/>
    <w:rsid w:val="00231FE6"/>
    <w:rsid w:val="002323AA"/>
    <w:rsid w:val="002329E0"/>
    <w:rsid w:val="00233FCC"/>
    <w:rsid w:val="002350EA"/>
    <w:rsid w:val="0023664F"/>
    <w:rsid w:val="00236CDF"/>
    <w:rsid w:val="00237141"/>
    <w:rsid w:val="00237DEB"/>
    <w:rsid w:val="00237E6F"/>
    <w:rsid w:val="00243F41"/>
    <w:rsid w:val="0024416B"/>
    <w:rsid w:val="002447CF"/>
    <w:rsid w:val="00245011"/>
    <w:rsid w:val="002456DC"/>
    <w:rsid w:val="002457F5"/>
    <w:rsid w:val="0024605E"/>
    <w:rsid w:val="00246A2E"/>
    <w:rsid w:val="00246DAD"/>
    <w:rsid w:val="00246DD1"/>
    <w:rsid w:val="00247287"/>
    <w:rsid w:val="002473E6"/>
    <w:rsid w:val="0025016A"/>
    <w:rsid w:val="002504C4"/>
    <w:rsid w:val="002505E5"/>
    <w:rsid w:val="002513C7"/>
    <w:rsid w:val="00251426"/>
    <w:rsid w:val="002520A3"/>
    <w:rsid w:val="00252700"/>
    <w:rsid w:val="00252C75"/>
    <w:rsid w:val="00253BC0"/>
    <w:rsid w:val="00253E05"/>
    <w:rsid w:val="00254A63"/>
    <w:rsid w:val="00255015"/>
    <w:rsid w:val="00255673"/>
    <w:rsid w:val="0025631D"/>
    <w:rsid w:val="0025635F"/>
    <w:rsid w:val="00257C1A"/>
    <w:rsid w:val="00257D09"/>
    <w:rsid w:val="00257E22"/>
    <w:rsid w:val="00262187"/>
    <w:rsid w:val="0026230F"/>
    <w:rsid w:val="00262B72"/>
    <w:rsid w:val="00267487"/>
    <w:rsid w:val="002679E1"/>
    <w:rsid w:val="00270D82"/>
    <w:rsid w:val="00271815"/>
    <w:rsid w:val="0027186C"/>
    <w:rsid w:val="002723DE"/>
    <w:rsid w:val="00272EC0"/>
    <w:rsid w:val="00273667"/>
    <w:rsid w:val="002736DD"/>
    <w:rsid w:val="002752FB"/>
    <w:rsid w:val="00277745"/>
    <w:rsid w:val="00277DF8"/>
    <w:rsid w:val="00277F71"/>
    <w:rsid w:val="00280816"/>
    <w:rsid w:val="0028114C"/>
    <w:rsid w:val="00281A62"/>
    <w:rsid w:val="002828A5"/>
    <w:rsid w:val="00282F86"/>
    <w:rsid w:val="00283864"/>
    <w:rsid w:val="00283C74"/>
    <w:rsid w:val="0028437A"/>
    <w:rsid w:val="00285DDD"/>
    <w:rsid w:val="00285E30"/>
    <w:rsid w:val="002865C3"/>
    <w:rsid w:val="00286A34"/>
    <w:rsid w:val="00290794"/>
    <w:rsid w:val="00290874"/>
    <w:rsid w:val="00291BA5"/>
    <w:rsid w:val="002932D2"/>
    <w:rsid w:val="00294A46"/>
    <w:rsid w:val="0029565D"/>
    <w:rsid w:val="00297054"/>
    <w:rsid w:val="0029735D"/>
    <w:rsid w:val="002A09AF"/>
    <w:rsid w:val="002A1592"/>
    <w:rsid w:val="002A1B2D"/>
    <w:rsid w:val="002A2492"/>
    <w:rsid w:val="002A250C"/>
    <w:rsid w:val="002A299B"/>
    <w:rsid w:val="002A2D9A"/>
    <w:rsid w:val="002A2E34"/>
    <w:rsid w:val="002A2F35"/>
    <w:rsid w:val="002A2F66"/>
    <w:rsid w:val="002A5DE6"/>
    <w:rsid w:val="002A5E87"/>
    <w:rsid w:val="002A6EC2"/>
    <w:rsid w:val="002B0072"/>
    <w:rsid w:val="002B0F5A"/>
    <w:rsid w:val="002B1CA3"/>
    <w:rsid w:val="002B1E40"/>
    <w:rsid w:val="002B27E8"/>
    <w:rsid w:val="002B2E58"/>
    <w:rsid w:val="002B40E6"/>
    <w:rsid w:val="002B417F"/>
    <w:rsid w:val="002B4CFB"/>
    <w:rsid w:val="002B51AA"/>
    <w:rsid w:val="002B6076"/>
    <w:rsid w:val="002B62EE"/>
    <w:rsid w:val="002B7C54"/>
    <w:rsid w:val="002C08D1"/>
    <w:rsid w:val="002C3C83"/>
    <w:rsid w:val="002C3ED3"/>
    <w:rsid w:val="002C42F0"/>
    <w:rsid w:val="002C4427"/>
    <w:rsid w:val="002C4460"/>
    <w:rsid w:val="002C56C9"/>
    <w:rsid w:val="002C62DB"/>
    <w:rsid w:val="002C6571"/>
    <w:rsid w:val="002C7A31"/>
    <w:rsid w:val="002C7C86"/>
    <w:rsid w:val="002C7ED0"/>
    <w:rsid w:val="002D1722"/>
    <w:rsid w:val="002D1E77"/>
    <w:rsid w:val="002D2787"/>
    <w:rsid w:val="002D312B"/>
    <w:rsid w:val="002D3235"/>
    <w:rsid w:val="002D3BFB"/>
    <w:rsid w:val="002D4BAD"/>
    <w:rsid w:val="002D4E72"/>
    <w:rsid w:val="002D50AC"/>
    <w:rsid w:val="002D55BE"/>
    <w:rsid w:val="002D6406"/>
    <w:rsid w:val="002D7E11"/>
    <w:rsid w:val="002E185F"/>
    <w:rsid w:val="002E23FE"/>
    <w:rsid w:val="002E2452"/>
    <w:rsid w:val="002E2A6B"/>
    <w:rsid w:val="002E365B"/>
    <w:rsid w:val="002E4648"/>
    <w:rsid w:val="002E47D8"/>
    <w:rsid w:val="002E4E34"/>
    <w:rsid w:val="002E57E4"/>
    <w:rsid w:val="002E5FF2"/>
    <w:rsid w:val="002E6598"/>
    <w:rsid w:val="002E73D0"/>
    <w:rsid w:val="002E74BC"/>
    <w:rsid w:val="002E75D3"/>
    <w:rsid w:val="002E7B42"/>
    <w:rsid w:val="002F0F46"/>
    <w:rsid w:val="002F1D3B"/>
    <w:rsid w:val="002F22A1"/>
    <w:rsid w:val="002F25A1"/>
    <w:rsid w:val="002F2B6B"/>
    <w:rsid w:val="002F482C"/>
    <w:rsid w:val="002F5092"/>
    <w:rsid w:val="002F5CE3"/>
    <w:rsid w:val="002F64F0"/>
    <w:rsid w:val="002F6DC4"/>
    <w:rsid w:val="002F6E1E"/>
    <w:rsid w:val="002F7622"/>
    <w:rsid w:val="002F7F2B"/>
    <w:rsid w:val="003004A5"/>
    <w:rsid w:val="0030116A"/>
    <w:rsid w:val="00301CB2"/>
    <w:rsid w:val="00301FC6"/>
    <w:rsid w:val="00302B45"/>
    <w:rsid w:val="00302D88"/>
    <w:rsid w:val="00303AA2"/>
    <w:rsid w:val="00303F43"/>
    <w:rsid w:val="003045DA"/>
    <w:rsid w:val="00307296"/>
    <w:rsid w:val="00307418"/>
    <w:rsid w:val="0031018D"/>
    <w:rsid w:val="00311058"/>
    <w:rsid w:val="00312304"/>
    <w:rsid w:val="00312371"/>
    <w:rsid w:val="00314641"/>
    <w:rsid w:val="0031472B"/>
    <w:rsid w:val="003156CE"/>
    <w:rsid w:val="0031587A"/>
    <w:rsid w:val="00320776"/>
    <w:rsid w:val="00321C7C"/>
    <w:rsid w:val="00322A74"/>
    <w:rsid w:val="00322D72"/>
    <w:rsid w:val="0032323E"/>
    <w:rsid w:val="003243B7"/>
    <w:rsid w:val="00324DB0"/>
    <w:rsid w:val="003251D2"/>
    <w:rsid w:val="00325706"/>
    <w:rsid w:val="00327B90"/>
    <w:rsid w:val="00327F08"/>
    <w:rsid w:val="0033065B"/>
    <w:rsid w:val="00330DF3"/>
    <w:rsid w:val="00330F4F"/>
    <w:rsid w:val="003313F8"/>
    <w:rsid w:val="00331EAE"/>
    <w:rsid w:val="003325DC"/>
    <w:rsid w:val="00332772"/>
    <w:rsid w:val="00332BD1"/>
    <w:rsid w:val="00332C41"/>
    <w:rsid w:val="00332FE9"/>
    <w:rsid w:val="00333AD4"/>
    <w:rsid w:val="00333F82"/>
    <w:rsid w:val="00334612"/>
    <w:rsid w:val="00334A73"/>
    <w:rsid w:val="0033550A"/>
    <w:rsid w:val="00335B18"/>
    <w:rsid w:val="00340C7C"/>
    <w:rsid w:val="00341F1B"/>
    <w:rsid w:val="00342318"/>
    <w:rsid w:val="00342AA2"/>
    <w:rsid w:val="00342E48"/>
    <w:rsid w:val="003436FA"/>
    <w:rsid w:val="003439BF"/>
    <w:rsid w:val="00343EC5"/>
    <w:rsid w:val="0034403B"/>
    <w:rsid w:val="0034521C"/>
    <w:rsid w:val="0034523F"/>
    <w:rsid w:val="00345DDC"/>
    <w:rsid w:val="003469DA"/>
    <w:rsid w:val="00346E03"/>
    <w:rsid w:val="003471A3"/>
    <w:rsid w:val="00347C1C"/>
    <w:rsid w:val="00350D13"/>
    <w:rsid w:val="003517ED"/>
    <w:rsid w:val="00352487"/>
    <w:rsid w:val="00352A98"/>
    <w:rsid w:val="00352D9E"/>
    <w:rsid w:val="00353496"/>
    <w:rsid w:val="00353F30"/>
    <w:rsid w:val="00354403"/>
    <w:rsid w:val="00354761"/>
    <w:rsid w:val="0035530C"/>
    <w:rsid w:val="00357A9B"/>
    <w:rsid w:val="00357AED"/>
    <w:rsid w:val="00357BC5"/>
    <w:rsid w:val="00357E5E"/>
    <w:rsid w:val="00360902"/>
    <w:rsid w:val="0036196C"/>
    <w:rsid w:val="003619F6"/>
    <w:rsid w:val="00361E05"/>
    <w:rsid w:val="00363191"/>
    <w:rsid w:val="00364E9C"/>
    <w:rsid w:val="00365CA3"/>
    <w:rsid w:val="00365F1B"/>
    <w:rsid w:val="0036624A"/>
    <w:rsid w:val="003700C4"/>
    <w:rsid w:val="003703D4"/>
    <w:rsid w:val="0037050B"/>
    <w:rsid w:val="003708FF"/>
    <w:rsid w:val="00371931"/>
    <w:rsid w:val="0037299E"/>
    <w:rsid w:val="00372A12"/>
    <w:rsid w:val="00372CD0"/>
    <w:rsid w:val="0037334A"/>
    <w:rsid w:val="00373CF3"/>
    <w:rsid w:val="0037444F"/>
    <w:rsid w:val="00374682"/>
    <w:rsid w:val="00374AEA"/>
    <w:rsid w:val="00375354"/>
    <w:rsid w:val="00376591"/>
    <w:rsid w:val="00377D67"/>
    <w:rsid w:val="003819D9"/>
    <w:rsid w:val="00381ED0"/>
    <w:rsid w:val="00382EA2"/>
    <w:rsid w:val="00382FE7"/>
    <w:rsid w:val="00383E6C"/>
    <w:rsid w:val="00385DF5"/>
    <w:rsid w:val="00385EF1"/>
    <w:rsid w:val="00386381"/>
    <w:rsid w:val="00386DC5"/>
    <w:rsid w:val="00390999"/>
    <w:rsid w:val="00390EC0"/>
    <w:rsid w:val="00393751"/>
    <w:rsid w:val="0039424A"/>
    <w:rsid w:val="003943B5"/>
    <w:rsid w:val="00394436"/>
    <w:rsid w:val="00394608"/>
    <w:rsid w:val="00394BAB"/>
    <w:rsid w:val="003951B5"/>
    <w:rsid w:val="00395D01"/>
    <w:rsid w:val="00395FE7"/>
    <w:rsid w:val="003971CB"/>
    <w:rsid w:val="003973CA"/>
    <w:rsid w:val="003974FC"/>
    <w:rsid w:val="003A10A6"/>
    <w:rsid w:val="003A1761"/>
    <w:rsid w:val="003A2220"/>
    <w:rsid w:val="003A25B4"/>
    <w:rsid w:val="003A36B6"/>
    <w:rsid w:val="003A4292"/>
    <w:rsid w:val="003A4742"/>
    <w:rsid w:val="003A4A4C"/>
    <w:rsid w:val="003A4E75"/>
    <w:rsid w:val="003A4E88"/>
    <w:rsid w:val="003A6287"/>
    <w:rsid w:val="003A66C3"/>
    <w:rsid w:val="003A6AB7"/>
    <w:rsid w:val="003A6B40"/>
    <w:rsid w:val="003A79E7"/>
    <w:rsid w:val="003B023E"/>
    <w:rsid w:val="003B0638"/>
    <w:rsid w:val="003B0A08"/>
    <w:rsid w:val="003B0E63"/>
    <w:rsid w:val="003B0E9B"/>
    <w:rsid w:val="003B138F"/>
    <w:rsid w:val="003B2D65"/>
    <w:rsid w:val="003B39BA"/>
    <w:rsid w:val="003B5814"/>
    <w:rsid w:val="003B6914"/>
    <w:rsid w:val="003B702B"/>
    <w:rsid w:val="003C0FFF"/>
    <w:rsid w:val="003C1AF7"/>
    <w:rsid w:val="003C4E37"/>
    <w:rsid w:val="003C552E"/>
    <w:rsid w:val="003C558C"/>
    <w:rsid w:val="003C567A"/>
    <w:rsid w:val="003C61BC"/>
    <w:rsid w:val="003C6B5B"/>
    <w:rsid w:val="003C77CB"/>
    <w:rsid w:val="003D03E8"/>
    <w:rsid w:val="003D1F9E"/>
    <w:rsid w:val="003D2155"/>
    <w:rsid w:val="003D28F3"/>
    <w:rsid w:val="003D44F9"/>
    <w:rsid w:val="003D4AB8"/>
    <w:rsid w:val="003D4CDF"/>
    <w:rsid w:val="003D58D1"/>
    <w:rsid w:val="003D58DA"/>
    <w:rsid w:val="003D69EC"/>
    <w:rsid w:val="003D6CBE"/>
    <w:rsid w:val="003D6CE2"/>
    <w:rsid w:val="003E065E"/>
    <w:rsid w:val="003E1FEC"/>
    <w:rsid w:val="003E218A"/>
    <w:rsid w:val="003E2A17"/>
    <w:rsid w:val="003E4498"/>
    <w:rsid w:val="003E4CE0"/>
    <w:rsid w:val="003E529E"/>
    <w:rsid w:val="003E65C9"/>
    <w:rsid w:val="003E77D8"/>
    <w:rsid w:val="003F2181"/>
    <w:rsid w:val="003F24B8"/>
    <w:rsid w:val="003F2606"/>
    <w:rsid w:val="003F3927"/>
    <w:rsid w:val="003F3B7A"/>
    <w:rsid w:val="003F4C38"/>
    <w:rsid w:val="003F545D"/>
    <w:rsid w:val="003F5F0A"/>
    <w:rsid w:val="003F61B6"/>
    <w:rsid w:val="003F693F"/>
    <w:rsid w:val="003F7A09"/>
    <w:rsid w:val="003F7BA2"/>
    <w:rsid w:val="003F7E00"/>
    <w:rsid w:val="00403155"/>
    <w:rsid w:val="00403691"/>
    <w:rsid w:val="004054FA"/>
    <w:rsid w:val="0040688A"/>
    <w:rsid w:val="00407F0F"/>
    <w:rsid w:val="004108C6"/>
    <w:rsid w:val="004122FF"/>
    <w:rsid w:val="00412853"/>
    <w:rsid w:val="0041459C"/>
    <w:rsid w:val="004157F7"/>
    <w:rsid w:val="00415E1F"/>
    <w:rsid w:val="00415E2D"/>
    <w:rsid w:val="00415E63"/>
    <w:rsid w:val="00416A39"/>
    <w:rsid w:val="004201BC"/>
    <w:rsid w:val="00421159"/>
    <w:rsid w:val="004213B5"/>
    <w:rsid w:val="004225A2"/>
    <w:rsid w:val="00422C65"/>
    <w:rsid w:val="004239A0"/>
    <w:rsid w:val="00424132"/>
    <w:rsid w:val="004244A1"/>
    <w:rsid w:val="0042506D"/>
    <w:rsid w:val="004254E4"/>
    <w:rsid w:val="00425B8A"/>
    <w:rsid w:val="0042613A"/>
    <w:rsid w:val="0042732D"/>
    <w:rsid w:val="00430472"/>
    <w:rsid w:val="00430DC5"/>
    <w:rsid w:val="0043284B"/>
    <w:rsid w:val="004328C1"/>
    <w:rsid w:val="00432A98"/>
    <w:rsid w:val="00432EC4"/>
    <w:rsid w:val="004345C1"/>
    <w:rsid w:val="00436320"/>
    <w:rsid w:val="004367F9"/>
    <w:rsid w:val="00436FAD"/>
    <w:rsid w:val="00437682"/>
    <w:rsid w:val="00437CDD"/>
    <w:rsid w:val="004401FE"/>
    <w:rsid w:val="00440584"/>
    <w:rsid w:val="00440912"/>
    <w:rsid w:val="00440CF2"/>
    <w:rsid w:val="004415B5"/>
    <w:rsid w:val="004430E0"/>
    <w:rsid w:val="00443262"/>
    <w:rsid w:val="0044374E"/>
    <w:rsid w:val="00445AA6"/>
    <w:rsid w:val="00445D01"/>
    <w:rsid w:val="004462BA"/>
    <w:rsid w:val="00447BD2"/>
    <w:rsid w:val="0045001E"/>
    <w:rsid w:val="00451301"/>
    <w:rsid w:val="004518BE"/>
    <w:rsid w:val="00451F8D"/>
    <w:rsid w:val="00453998"/>
    <w:rsid w:val="00453DA7"/>
    <w:rsid w:val="00453E21"/>
    <w:rsid w:val="004553FF"/>
    <w:rsid w:val="004558A8"/>
    <w:rsid w:val="00455916"/>
    <w:rsid w:val="004560E9"/>
    <w:rsid w:val="00456BF4"/>
    <w:rsid w:val="0045716E"/>
    <w:rsid w:val="00457808"/>
    <w:rsid w:val="00461051"/>
    <w:rsid w:val="004613DC"/>
    <w:rsid w:val="004614F6"/>
    <w:rsid w:val="00462D23"/>
    <w:rsid w:val="004633FF"/>
    <w:rsid w:val="00466624"/>
    <w:rsid w:val="00470E20"/>
    <w:rsid w:val="00470F23"/>
    <w:rsid w:val="00471204"/>
    <w:rsid w:val="0047258A"/>
    <w:rsid w:val="00472D11"/>
    <w:rsid w:val="00474B7D"/>
    <w:rsid w:val="004753E7"/>
    <w:rsid w:val="00476940"/>
    <w:rsid w:val="0047792F"/>
    <w:rsid w:val="00477E7D"/>
    <w:rsid w:val="00480637"/>
    <w:rsid w:val="00480BA8"/>
    <w:rsid w:val="00480F12"/>
    <w:rsid w:val="004818B1"/>
    <w:rsid w:val="00481C56"/>
    <w:rsid w:val="00482143"/>
    <w:rsid w:val="00483FC0"/>
    <w:rsid w:val="004843CB"/>
    <w:rsid w:val="00485765"/>
    <w:rsid w:val="00485CF7"/>
    <w:rsid w:val="0048722B"/>
    <w:rsid w:val="00493110"/>
    <w:rsid w:val="0049335A"/>
    <w:rsid w:val="00494069"/>
    <w:rsid w:val="004949A1"/>
    <w:rsid w:val="00494C01"/>
    <w:rsid w:val="00496352"/>
    <w:rsid w:val="0049647D"/>
    <w:rsid w:val="00496B65"/>
    <w:rsid w:val="00497297"/>
    <w:rsid w:val="004972EC"/>
    <w:rsid w:val="004A0932"/>
    <w:rsid w:val="004A0AD4"/>
    <w:rsid w:val="004A128B"/>
    <w:rsid w:val="004A2966"/>
    <w:rsid w:val="004A55D6"/>
    <w:rsid w:val="004A5993"/>
    <w:rsid w:val="004A5A61"/>
    <w:rsid w:val="004A66D9"/>
    <w:rsid w:val="004A6ED0"/>
    <w:rsid w:val="004A73EB"/>
    <w:rsid w:val="004A7461"/>
    <w:rsid w:val="004A7FFE"/>
    <w:rsid w:val="004B1A54"/>
    <w:rsid w:val="004B2905"/>
    <w:rsid w:val="004B4938"/>
    <w:rsid w:val="004B494D"/>
    <w:rsid w:val="004B6D8E"/>
    <w:rsid w:val="004C02A6"/>
    <w:rsid w:val="004C19A9"/>
    <w:rsid w:val="004C2710"/>
    <w:rsid w:val="004C3748"/>
    <w:rsid w:val="004C37D2"/>
    <w:rsid w:val="004C524D"/>
    <w:rsid w:val="004C6332"/>
    <w:rsid w:val="004C7FB2"/>
    <w:rsid w:val="004D0942"/>
    <w:rsid w:val="004D09A3"/>
    <w:rsid w:val="004D0CE9"/>
    <w:rsid w:val="004D18A7"/>
    <w:rsid w:val="004D269E"/>
    <w:rsid w:val="004D2E61"/>
    <w:rsid w:val="004D3B1A"/>
    <w:rsid w:val="004D3C7B"/>
    <w:rsid w:val="004D40A2"/>
    <w:rsid w:val="004D496A"/>
    <w:rsid w:val="004D6207"/>
    <w:rsid w:val="004E1DFA"/>
    <w:rsid w:val="004E1FA4"/>
    <w:rsid w:val="004E370C"/>
    <w:rsid w:val="004E4E0E"/>
    <w:rsid w:val="004E52CF"/>
    <w:rsid w:val="004E5A4B"/>
    <w:rsid w:val="004E6169"/>
    <w:rsid w:val="004E63A4"/>
    <w:rsid w:val="004E6DFF"/>
    <w:rsid w:val="004E71CF"/>
    <w:rsid w:val="004E7D68"/>
    <w:rsid w:val="004E7E28"/>
    <w:rsid w:val="004F0016"/>
    <w:rsid w:val="004F0B4E"/>
    <w:rsid w:val="004F33AB"/>
    <w:rsid w:val="004F36EE"/>
    <w:rsid w:val="004F4966"/>
    <w:rsid w:val="004F5172"/>
    <w:rsid w:val="004F54ED"/>
    <w:rsid w:val="004F5C89"/>
    <w:rsid w:val="004F61E9"/>
    <w:rsid w:val="004F751F"/>
    <w:rsid w:val="004F7C46"/>
    <w:rsid w:val="004F7DB2"/>
    <w:rsid w:val="0050169B"/>
    <w:rsid w:val="00501B1E"/>
    <w:rsid w:val="00502561"/>
    <w:rsid w:val="0050743D"/>
    <w:rsid w:val="005079CE"/>
    <w:rsid w:val="00507BC2"/>
    <w:rsid w:val="00507D18"/>
    <w:rsid w:val="00510716"/>
    <w:rsid w:val="00510D18"/>
    <w:rsid w:val="00510D36"/>
    <w:rsid w:val="00510E66"/>
    <w:rsid w:val="00510E6A"/>
    <w:rsid w:val="00512098"/>
    <w:rsid w:val="005129E1"/>
    <w:rsid w:val="00512B13"/>
    <w:rsid w:val="00515221"/>
    <w:rsid w:val="00515F35"/>
    <w:rsid w:val="00516076"/>
    <w:rsid w:val="005166CE"/>
    <w:rsid w:val="00517BD2"/>
    <w:rsid w:val="00517DE9"/>
    <w:rsid w:val="005206AC"/>
    <w:rsid w:val="005212A6"/>
    <w:rsid w:val="00521C97"/>
    <w:rsid w:val="0052250F"/>
    <w:rsid w:val="00522C7B"/>
    <w:rsid w:val="005235A5"/>
    <w:rsid w:val="0052440B"/>
    <w:rsid w:val="00524B31"/>
    <w:rsid w:val="00525920"/>
    <w:rsid w:val="00526516"/>
    <w:rsid w:val="0052656B"/>
    <w:rsid w:val="00526579"/>
    <w:rsid w:val="00527094"/>
    <w:rsid w:val="00527D27"/>
    <w:rsid w:val="0053012B"/>
    <w:rsid w:val="005303C2"/>
    <w:rsid w:val="00530594"/>
    <w:rsid w:val="00531967"/>
    <w:rsid w:val="00531C3F"/>
    <w:rsid w:val="00532AA7"/>
    <w:rsid w:val="00532C16"/>
    <w:rsid w:val="00533CEB"/>
    <w:rsid w:val="00534106"/>
    <w:rsid w:val="005345AF"/>
    <w:rsid w:val="005345F1"/>
    <w:rsid w:val="00534B5B"/>
    <w:rsid w:val="00534C50"/>
    <w:rsid w:val="005357B6"/>
    <w:rsid w:val="00536456"/>
    <w:rsid w:val="0053734E"/>
    <w:rsid w:val="00537B69"/>
    <w:rsid w:val="00540E58"/>
    <w:rsid w:val="00541CFD"/>
    <w:rsid w:val="00541FB4"/>
    <w:rsid w:val="005420BB"/>
    <w:rsid w:val="005427E5"/>
    <w:rsid w:val="00545B35"/>
    <w:rsid w:val="005466A4"/>
    <w:rsid w:val="005470B1"/>
    <w:rsid w:val="0054749C"/>
    <w:rsid w:val="00547E3D"/>
    <w:rsid w:val="0055031C"/>
    <w:rsid w:val="005516EC"/>
    <w:rsid w:val="005517EA"/>
    <w:rsid w:val="005520BA"/>
    <w:rsid w:val="0055265E"/>
    <w:rsid w:val="005537C2"/>
    <w:rsid w:val="00553E61"/>
    <w:rsid w:val="005547E6"/>
    <w:rsid w:val="005548FF"/>
    <w:rsid w:val="00554E4E"/>
    <w:rsid w:val="005564A4"/>
    <w:rsid w:val="005564FD"/>
    <w:rsid w:val="005601F7"/>
    <w:rsid w:val="0056251C"/>
    <w:rsid w:val="00562B47"/>
    <w:rsid w:val="00562DA9"/>
    <w:rsid w:val="00562E99"/>
    <w:rsid w:val="00563BD2"/>
    <w:rsid w:val="0056477F"/>
    <w:rsid w:val="00564CDA"/>
    <w:rsid w:val="00564F6F"/>
    <w:rsid w:val="0056553C"/>
    <w:rsid w:val="00565A2F"/>
    <w:rsid w:val="00565D91"/>
    <w:rsid w:val="00566064"/>
    <w:rsid w:val="00572970"/>
    <w:rsid w:val="00572AE3"/>
    <w:rsid w:val="00572AF2"/>
    <w:rsid w:val="005739C4"/>
    <w:rsid w:val="005765CD"/>
    <w:rsid w:val="00576D5E"/>
    <w:rsid w:val="00576EF2"/>
    <w:rsid w:val="00577600"/>
    <w:rsid w:val="00577894"/>
    <w:rsid w:val="00577AFA"/>
    <w:rsid w:val="00577F17"/>
    <w:rsid w:val="005805AB"/>
    <w:rsid w:val="00580649"/>
    <w:rsid w:val="005807E4"/>
    <w:rsid w:val="00581A3C"/>
    <w:rsid w:val="00581E20"/>
    <w:rsid w:val="00581E26"/>
    <w:rsid w:val="0058201E"/>
    <w:rsid w:val="00582DF5"/>
    <w:rsid w:val="005833D7"/>
    <w:rsid w:val="00583F47"/>
    <w:rsid w:val="00585D51"/>
    <w:rsid w:val="0058704F"/>
    <w:rsid w:val="0059256D"/>
    <w:rsid w:val="00592EAC"/>
    <w:rsid w:val="0059325B"/>
    <w:rsid w:val="005939BA"/>
    <w:rsid w:val="005941D1"/>
    <w:rsid w:val="0059507F"/>
    <w:rsid w:val="00595CDA"/>
    <w:rsid w:val="00595F01"/>
    <w:rsid w:val="005964C2"/>
    <w:rsid w:val="005965A3"/>
    <w:rsid w:val="005A0C5D"/>
    <w:rsid w:val="005A0DE8"/>
    <w:rsid w:val="005A10EB"/>
    <w:rsid w:val="005A20A3"/>
    <w:rsid w:val="005A428B"/>
    <w:rsid w:val="005A5098"/>
    <w:rsid w:val="005A649F"/>
    <w:rsid w:val="005A6BED"/>
    <w:rsid w:val="005A7279"/>
    <w:rsid w:val="005A73AB"/>
    <w:rsid w:val="005A7D58"/>
    <w:rsid w:val="005B0191"/>
    <w:rsid w:val="005B03CA"/>
    <w:rsid w:val="005B289E"/>
    <w:rsid w:val="005B2AA2"/>
    <w:rsid w:val="005B368A"/>
    <w:rsid w:val="005B5537"/>
    <w:rsid w:val="005B5889"/>
    <w:rsid w:val="005C0DBC"/>
    <w:rsid w:val="005C2113"/>
    <w:rsid w:val="005C22B2"/>
    <w:rsid w:val="005C24ED"/>
    <w:rsid w:val="005C2600"/>
    <w:rsid w:val="005C2C0B"/>
    <w:rsid w:val="005C2E5B"/>
    <w:rsid w:val="005C3447"/>
    <w:rsid w:val="005C3B2A"/>
    <w:rsid w:val="005C4003"/>
    <w:rsid w:val="005C4030"/>
    <w:rsid w:val="005C4BC5"/>
    <w:rsid w:val="005C4F61"/>
    <w:rsid w:val="005C52EF"/>
    <w:rsid w:val="005C65B1"/>
    <w:rsid w:val="005C6661"/>
    <w:rsid w:val="005C6BB8"/>
    <w:rsid w:val="005C6F1C"/>
    <w:rsid w:val="005C71F8"/>
    <w:rsid w:val="005D1AE4"/>
    <w:rsid w:val="005D2C08"/>
    <w:rsid w:val="005D2C30"/>
    <w:rsid w:val="005D4AC7"/>
    <w:rsid w:val="005D4E6D"/>
    <w:rsid w:val="005D581F"/>
    <w:rsid w:val="005D5C97"/>
    <w:rsid w:val="005D64A2"/>
    <w:rsid w:val="005D7CB1"/>
    <w:rsid w:val="005E0207"/>
    <w:rsid w:val="005E0B65"/>
    <w:rsid w:val="005E1F4B"/>
    <w:rsid w:val="005E2288"/>
    <w:rsid w:val="005E2B9D"/>
    <w:rsid w:val="005E2C78"/>
    <w:rsid w:val="005E43F5"/>
    <w:rsid w:val="005E48BE"/>
    <w:rsid w:val="005E539F"/>
    <w:rsid w:val="005E5630"/>
    <w:rsid w:val="005E582F"/>
    <w:rsid w:val="005E5961"/>
    <w:rsid w:val="005E59A4"/>
    <w:rsid w:val="005E5ACB"/>
    <w:rsid w:val="005E5AD5"/>
    <w:rsid w:val="005E7B90"/>
    <w:rsid w:val="005F0030"/>
    <w:rsid w:val="005F05EE"/>
    <w:rsid w:val="005F19FB"/>
    <w:rsid w:val="005F29A0"/>
    <w:rsid w:val="005F3FE1"/>
    <w:rsid w:val="005F475C"/>
    <w:rsid w:val="005F56E3"/>
    <w:rsid w:val="005F62E2"/>
    <w:rsid w:val="005F764A"/>
    <w:rsid w:val="005F7D3C"/>
    <w:rsid w:val="006009CF"/>
    <w:rsid w:val="00600E53"/>
    <w:rsid w:val="00601C54"/>
    <w:rsid w:val="00601F87"/>
    <w:rsid w:val="00602D32"/>
    <w:rsid w:val="00603FC6"/>
    <w:rsid w:val="006043D2"/>
    <w:rsid w:val="00604B10"/>
    <w:rsid w:val="00604C7D"/>
    <w:rsid w:val="00605153"/>
    <w:rsid w:val="0060556C"/>
    <w:rsid w:val="00606807"/>
    <w:rsid w:val="006068C3"/>
    <w:rsid w:val="006102C8"/>
    <w:rsid w:val="00610526"/>
    <w:rsid w:val="006105B6"/>
    <w:rsid w:val="0061060F"/>
    <w:rsid w:val="006111C6"/>
    <w:rsid w:val="006115CA"/>
    <w:rsid w:val="00611B40"/>
    <w:rsid w:val="006126C0"/>
    <w:rsid w:val="006129B1"/>
    <w:rsid w:val="0061385A"/>
    <w:rsid w:val="00613860"/>
    <w:rsid w:val="00614149"/>
    <w:rsid w:val="0061491B"/>
    <w:rsid w:val="00614C15"/>
    <w:rsid w:val="00616E66"/>
    <w:rsid w:val="0061743D"/>
    <w:rsid w:val="0061757A"/>
    <w:rsid w:val="00621016"/>
    <w:rsid w:val="0062151C"/>
    <w:rsid w:val="00621954"/>
    <w:rsid w:val="00625AE2"/>
    <w:rsid w:val="006260BD"/>
    <w:rsid w:val="006264B3"/>
    <w:rsid w:val="00632246"/>
    <w:rsid w:val="0063265A"/>
    <w:rsid w:val="00632EA5"/>
    <w:rsid w:val="0063314C"/>
    <w:rsid w:val="0063341F"/>
    <w:rsid w:val="0063348B"/>
    <w:rsid w:val="006351B1"/>
    <w:rsid w:val="00635474"/>
    <w:rsid w:val="0063586D"/>
    <w:rsid w:val="00636269"/>
    <w:rsid w:val="006366DB"/>
    <w:rsid w:val="00637B90"/>
    <w:rsid w:val="006427A6"/>
    <w:rsid w:val="006429CE"/>
    <w:rsid w:val="006432F1"/>
    <w:rsid w:val="00643507"/>
    <w:rsid w:val="00643840"/>
    <w:rsid w:val="00645811"/>
    <w:rsid w:val="006475B9"/>
    <w:rsid w:val="00650477"/>
    <w:rsid w:val="0065047B"/>
    <w:rsid w:val="00651FB6"/>
    <w:rsid w:val="00652481"/>
    <w:rsid w:val="00652BF1"/>
    <w:rsid w:val="0065358F"/>
    <w:rsid w:val="006537C7"/>
    <w:rsid w:val="00653E70"/>
    <w:rsid w:val="00654079"/>
    <w:rsid w:val="00655779"/>
    <w:rsid w:val="00655C0C"/>
    <w:rsid w:val="006560DF"/>
    <w:rsid w:val="006569AA"/>
    <w:rsid w:val="00660344"/>
    <w:rsid w:val="0066189F"/>
    <w:rsid w:val="00661A84"/>
    <w:rsid w:val="00662316"/>
    <w:rsid w:val="006625EB"/>
    <w:rsid w:val="0066299C"/>
    <w:rsid w:val="00662D08"/>
    <w:rsid w:val="00664883"/>
    <w:rsid w:val="00664AEC"/>
    <w:rsid w:val="00664D97"/>
    <w:rsid w:val="006658EF"/>
    <w:rsid w:val="0066714F"/>
    <w:rsid w:val="00667791"/>
    <w:rsid w:val="00667D34"/>
    <w:rsid w:val="006723D5"/>
    <w:rsid w:val="00672583"/>
    <w:rsid w:val="0067287A"/>
    <w:rsid w:val="0067344D"/>
    <w:rsid w:val="006738A9"/>
    <w:rsid w:val="00673F02"/>
    <w:rsid w:val="00674A8D"/>
    <w:rsid w:val="0067582A"/>
    <w:rsid w:val="00675991"/>
    <w:rsid w:val="00680384"/>
    <w:rsid w:val="00682F2D"/>
    <w:rsid w:val="0068324F"/>
    <w:rsid w:val="00683DEE"/>
    <w:rsid w:val="00683E74"/>
    <w:rsid w:val="00684C2C"/>
    <w:rsid w:val="00684C41"/>
    <w:rsid w:val="00686AAC"/>
    <w:rsid w:val="006878D5"/>
    <w:rsid w:val="0069074B"/>
    <w:rsid w:val="0069160B"/>
    <w:rsid w:val="00691867"/>
    <w:rsid w:val="0069427C"/>
    <w:rsid w:val="00694297"/>
    <w:rsid w:val="00694375"/>
    <w:rsid w:val="0069631C"/>
    <w:rsid w:val="0069637C"/>
    <w:rsid w:val="00696BC6"/>
    <w:rsid w:val="006A0F3B"/>
    <w:rsid w:val="006A1037"/>
    <w:rsid w:val="006A1369"/>
    <w:rsid w:val="006A3B7F"/>
    <w:rsid w:val="006A3C1D"/>
    <w:rsid w:val="006A3CFF"/>
    <w:rsid w:val="006A3DDA"/>
    <w:rsid w:val="006A4EAE"/>
    <w:rsid w:val="006A5AFA"/>
    <w:rsid w:val="006A6D49"/>
    <w:rsid w:val="006A760A"/>
    <w:rsid w:val="006B0B53"/>
    <w:rsid w:val="006B0B6C"/>
    <w:rsid w:val="006B0EDF"/>
    <w:rsid w:val="006B1A20"/>
    <w:rsid w:val="006B2B8A"/>
    <w:rsid w:val="006B514A"/>
    <w:rsid w:val="006B612F"/>
    <w:rsid w:val="006B6801"/>
    <w:rsid w:val="006B6CAB"/>
    <w:rsid w:val="006B6DBC"/>
    <w:rsid w:val="006B78DF"/>
    <w:rsid w:val="006B7BC7"/>
    <w:rsid w:val="006C0548"/>
    <w:rsid w:val="006C0E87"/>
    <w:rsid w:val="006C1172"/>
    <w:rsid w:val="006C1790"/>
    <w:rsid w:val="006C2089"/>
    <w:rsid w:val="006C2276"/>
    <w:rsid w:val="006C28BA"/>
    <w:rsid w:val="006C29CD"/>
    <w:rsid w:val="006C2AB1"/>
    <w:rsid w:val="006C2FD6"/>
    <w:rsid w:val="006C37BC"/>
    <w:rsid w:val="006C4036"/>
    <w:rsid w:val="006C40A4"/>
    <w:rsid w:val="006C4713"/>
    <w:rsid w:val="006C4CEA"/>
    <w:rsid w:val="006C592A"/>
    <w:rsid w:val="006D01D4"/>
    <w:rsid w:val="006D2321"/>
    <w:rsid w:val="006D4663"/>
    <w:rsid w:val="006D46D4"/>
    <w:rsid w:val="006D53F3"/>
    <w:rsid w:val="006D56A1"/>
    <w:rsid w:val="006D5AD3"/>
    <w:rsid w:val="006D5C10"/>
    <w:rsid w:val="006D6D83"/>
    <w:rsid w:val="006D71E3"/>
    <w:rsid w:val="006D7819"/>
    <w:rsid w:val="006E08B8"/>
    <w:rsid w:val="006E0CE1"/>
    <w:rsid w:val="006E0DBE"/>
    <w:rsid w:val="006E1378"/>
    <w:rsid w:val="006E15C2"/>
    <w:rsid w:val="006E1FEA"/>
    <w:rsid w:val="006E21C1"/>
    <w:rsid w:val="006E2D15"/>
    <w:rsid w:val="006E31AB"/>
    <w:rsid w:val="006E328E"/>
    <w:rsid w:val="006E32DB"/>
    <w:rsid w:val="006E7504"/>
    <w:rsid w:val="006F1A41"/>
    <w:rsid w:val="006F1E9D"/>
    <w:rsid w:val="006F2E15"/>
    <w:rsid w:val="006F3F65"/>
    <w:rsid w:val="006F54D8"/>
    <w:rsid w:val="006F59B7"/>
    <w:rsid w:val="006F74A7"/>
    <w:rsid w:val="006F7C96"/>
    <w:rsid w:val="00700DA4"/>
    <w:rsid w:val="0070177F"/>
    <w:rsid w:val="007028CC"/>
    <w:rsid w:val="007034AE"/>
    <w:rsid w:val="007049D2"/>
    <w:rsid w:val="00704B4C"/>
    <w:rsid w:val="00705478"/>
    <w:rsid w:val="007055FD"/>
    <w:rsid w:val="00705DC5"/>
    <w:rsid w:val="00710B4C"/>
    <w:rsid w:val="0071176C"/>
    <w:rsid w:val="00711AB4"/>
    <w:rsid w:val="00712B61"/>
    <w:rsid w:val="00713D89"/>
    <w:rsid w:val="00713FC5"/>
    <w:rsid w:val="0071519F"/>
    <w:rsid w:val="007154D5"/>
    <w:rsid w:val="0071751D"/>
    <w:rsid w:val="00720C6F"/>
    <w:rsid w:val="00721380"/>
    <w:rsid w:val="00721DBE"/>
    <w:rsid w:val="00722A41"/>
    <w:rsid w:val="0072482A"/>
    <w:rsid w:val="0072574E"/>
    <w:rsid w:val="007258D2"/>
    <w:rsid w:val="00725C02"/>
    <w:rsid w:val="00725FED"/>
    <w:rsid w:val="007261CA"/>
    <w:rsid w:val="007266E4"/>
    <w:rsid w:val="007273D0"/>
    <w:rsid w:val="00731187"/>
    <w:rsid w:val="0073138B"/>
    <w:rsid w:val="0073359A"/>
    <w:rsid w:val="007335D3"/>
    <w:rsid w:val="007341F2"/>
    <w:rsid w:val="00734D37"/>
    <w:rsid w:val="00734D7A"/>
    <w:rsid w:val="007360AF"/>
    <w:rsid w:val="0073610B"/>
    <w:rsid w:val="0073620C"/>
    <w:rsid w:val="0073656E"/>
    <w:rsid w:val="0073752C"/>
    <w:rsid w:val="0073768F"/>
    <w:rsid w:val="00737711"/>
    <w:rsid w:val="00737AA6"/>
    <w:rsid w:val="00737C5C"/>
    <w:rsid w:val="007424E4"/>
    <w:rsid w:val="00745DE7"/>
    <w:rsid w:val="00745EFC"/>
    <w:rsid w:val="007460CC"/>
    <w:rsid w:val="00746853"/>
    <w:rsid w:val="00746F6A"/>
    <w:rsid w:val="0075112D"/>
    <w:rsid w:val="007517D1"/>
    <w:rsid w:val="00751B85"/>
    <w:rsid w:val="00751F68"/>
    <w:rsid w:val="00753693"/>
    <w:rsid w:val="00753A60"/>
    <w:rsid w:val="00753DE0"/>
    <w:rsid w:val="00754A3F"/>
    <w:rsid w:val="00755805"/>
    <w:rsid w:val="00755D52"/>
    <w:rsid w:val="007603FE"/>
    <w:rsid w:val="00760C8C"/>
    <w:rsid w:val="0076119B"/>
    <w:rsid w:val="0076141B"/>
    <w:rsid w:val="00762EB2"/>
    <w:rsid w:val="00762EC4"/>
    <w:rsid w:val="007634A4"/>
    <w:rsid w:val="007639D0"/>
    <w:rsid w:val="00764757"/>
    <w:rsid w:val="00765117"/>
    <w:rsid w:val="0076528E"/>
    <w:rsid w:val="00767182"/>
    <w:rsid w:val="00770EB2"/>
    <w:rsid w:val="00771F38"/>
    <w:rsid w:val="00772BC7"/>
    <w:rsid w:val="0077308D"/>
    <w:rsid w:val="0077314D"/>
    <w:rsid w:val="00774709"/>
    <w:rsid w:val="00775B51"/>
    <w:rsid w:val="00777006"/>
    <w:rsid w:val="00781A3A"/>
    <w:rsid w:val="00781AC7"/>
    <w:rsid w:val="00781ADD"/>
    <w:rsid w:val="0078245C"/>
    <w:rsid w:val="00782CAB"/>
    <w:rsid w:val="00782DE7"/>
    <w:rsid w:val="00782DF7"/>
    <w:rsid w:val="00782E2A"/>
    <w:rsid w:val="0078322C"/>
    <w:rsid w:val="00783597"/>
    <w:rsid w:val="00784FE0"/>
    <w:rsid w:val="00785225"/>
    <w:rsid w:val="007859C8"/>
    <w:rsid w:val="00785C0A"/>
    <w:rsid w:val="00785F19"/>
    <w:rsid w:val="007904C0"/>
    <w:rsid w:val="007908B9"/>
    <w:rsid w:val="00790CEA"/>
    <w:rsid w:val="00791D5B"/>
    <w:rsid w:val="00791F28"/>
    <w:rsid w:val="007925FB"/>
    <w:rsid w:val="0079276F"/>
    <w:rsid w:val="00793DC4"/>
    <w:rsid w:val="00795898"/>
    <w:rsid w:val="007959AC"/>
    <w:rsid w:val="00795F55"/>
    <w:rsid w:val="00796264"/>
    <w:rsid w:val="007962A5"/>
    <w:rsid w:val="0079636B"/>
    <w:rsid w:val="00796B22"/>
    <w:rsid w:val="007A0114"/>
    <w:rsid w:val="007A0981"/>
    <w:rsid w:val="007A2ED6"/>
    <w:rsid w:val="007A37B5"/>
    <w:rsid w:val="007A463F"/>
    <w:rsid w:val="007A505C"/>
    <w:rsid w:val="007A571E"/>
    <w:rsid w:val="007A5D0B"/>
    <w:rsid w:val="007A685F"/>
    <w:rsid w:val="007B0690"/>
    <w:rsid w:val="007B202F"/>
    <w:rsid w:val="007B20BF"/>
    <w:rsid w:val="007B2392"/>
    <w:rsid w:val="007B2D0F"/>
    <w:rsid w:val="007B409F"/>
    <w:rsid w:val="007B6424"/>
    <w:rsid w:val="007B6DF2"/>
    <w:rsid w:val="007C13CB"/>
    <w:rsid w:val="007C145F"/>
    <w:rsid w:val="007C14EF"/>
    <w:rsid w:val="007C1AC7"/>
    <w:rsid w:val="007C1D3E"/>
    <w:rsid w:val="007C20CE"/>
    <w:rsid w:val="007C2796"/>
    <w:rsid w:val="007C2855"/>
    <w:rsid w:val="007C3849"/>
    <w:rsid w:val="007C38E8"/>
    <w:rsid w:val="007C4B58"/>
    <w:rsid w:val="007C645F"/>
    <w:rsid w:val="007C7165"/>
    <w:rsid w:val="007C7323"/>
    <w:rsid w:val="007C7D09"/>
    <w:rsid w:val="007D1834"/>
    <w:rsid w:val="007D4022"/>
    <w:rsid w:val="007D5511"/>
    <w:rsid w:val="007D5A76"/>
    <w:rsid w:val="007D5B3B"/>
    <w:rsid w:val="007D66B5"/>
    <w:rsid w:val="007D715A"/>
    <w:rsid w:val="007D723E"/>
    <w:rsid w:val="007D7766"/>
    <w:rsid w:val="007D7D76"/>
    <w:rsid w:val="007E1CF8"/>
    <w:rsid w:val="007E2869"/>
    <w:rsid w:val="007E2A1B"/>
    <w:rsid w:val="007E3936"/>
    <w:rsid w:val="007E3E68"/>
    <w:rsid w:val="007E5CA6"/>
    <w:rsid w:val="007E5D74"/>
    <w:rsid w:val="007E61D4"/>
    <w:rsid w:val="007E6351"/>
    <w:rsid w:val="007F0B38"/>
    <w:rsid w:val="007F1291"/>
    <w:rsid w:val="007F2DC3"/>
    <w:rsid w:val="007F35CA"/>
    <w:rsid w:val="007F381C"/>
    <w:rsid w:val="007F46EC"/>
    <w:rsid w:val="007F4B99"/>
    <w:rsid w:val="007F4E03"/>
    <w:rsid w:val="007F55EB"/>
    <w:rsid w:val="007F59D7"/>
    <w:rsid w:val="007F5B8F"/>
    <w:rsid w:val="007F5FA7"/>
    <w:rsid w:val="007F6680"/>
    <w:rsid w:val="007F6F6F"/>
    <w:rsid w:val="008002AB"/>
    <w:rsid w:val="008005E8"/>
    <w:rsid w:val="00801444"/>
    <w:rsid w:val="00801E10"/>
    <w:rsid w:val="00802719"/>
    <w:rsid w:val="00802D59"/>
    <w:rsid w:val="00802D5D"/>
    <w:rsid w:val="00804162"/>
    <w:rsid w:val="008049F7"/>
    <w:rsid w:val="00805A90"/>
    <w:rsid w:val="00806394"/>
    <w:rsid w:val="00806708"/>
    <w:rsid w:val="00807703"/>
    <w:rsid w:val="00807918"/>
    <w:rsid w:val="00807A1F"/>
    <w:rsid w:val="00807D64"/>
    <w:rsid w:val="008100D0"/>
    <w:rsid w:val="00810CA0"/>
    <w:rsid w:val="0081171E"/>
    <w:rsid w:val="008123A2"/>
    <w:rsid w:val="00813131"/>
    <w:rsid w:val="0081424C"/>
    <w:rsid w:val="00814FC7"/>
    <w:rsid w:val="0081507A"/>
    <w:rsid w:val="00815C5C"/>
    <w:rsid w:val="008161C8"/>
    <w:rsid w:val="008167A2"/>
    <w:rsid w:val="0082027B"/>
    <w:rsid w:val="00821D1E"/>
    <w:rsid w:val="0082282D"/>
    <w:rsid w:val="00822A0F"/>
    <w:rsid w:val="00823496"/>
    <w:rsid w:val="00823604"/>
    <w:rsid w:val="00824272"/>
    <w:rsid w:val="008243BC"/>
    <w:rsid w:val="00824742"/>
    <w:rsid w:val="008253C4"/>
    <w:rsid w:val="008266F8"/>
    <w:rsid w:val="00826797"/>
    <w:rsid w:val="00826A83"/>
    <w:rsid w:val="00827660"/>
    <w:rsid w:val="008276FA"/>
    <w:rsid w:val="00827C16"/>
    <w:rsid w:val="0083157D"/>
    <w:rsid w:val="00831A6D"/>
    <w:rsid w:val="00832801"/>
    <w:rsid w:val="00833252"/>
    <w:rsid w:val="00834A23"/>
    <w:rsid w:val="008355D2"/>
    <w:rsid w:val="00835BEB"/>
    <w:rsid w:val="00836BD7"/>
    <w:rsid w:val="00836EB0"/>
    <w:rsid w:val="00837E89"/>
    <w:rsid w:val="00840BCC"/>
    <w:rsid w:val="00841320"/>
    <w:rsid w:val="00841FA5"/>
    <w:rsid w:val="0084296E"/>
    <w:rsid w:val="00842ECF"/>
    <w:rsid w:val="00843C49"/>
    <w:rsid w:val="00846343"/>
    <w:rsid w:val="00847427"/>
    <w:rsid w:val="0084786F"/>
    <w:rsid w:val="00850879"/>
    <w:rsid w:val="00850CE7"/>
    <w:rsid w:val="00850DB0"/>
    <w:rsid w:val="008510A8"/>
    <w:rsid w:val="008510D4"/>
    <w:rsid w:val="008511F2"/>
    <w:rsid w:val="00851F19"/>
    <w:rsid w:val="0085292E"/>
    <w:rsid w:val="00852B94"/>
    <w:rsid w:val="008545F5"/>
    <w:rsid w:val="00854C35"/>
    <w:rsid w:val="00855B38"/>
    <w:rsid w:val="00855EC6"/>
    <w:rsid w:val="008560D5"/>
    <w:rsid w:val="00856AE0"/>
    <w:rsid w:val="0086075E"/>
    <w:rsid w:val="0086109E"/>
    <w:rsid w:val="00861310"/>
    <w:rsid w:val="008619C5"/>
    <w:rsid w:val="008624B5"/>
    <w:rsid w:val="0086435A"/>
    <w:rsid w:val="008645B6"/>
    <w:rsid w:val="008650E8"/>
    <w:rsid w:val="00865AB8"/>
    <w:rsid w:val="00866287"/>
    <w:rsid w:val="008705C7"/>
    <w:rsid w:val="00870BE4"/>
    <w:rsid w:val="00870C2D"/>
    <w:rsid w:val="00870F10"/>
    <w:rsid w:val="00871AFB"/>
    <w:rsid w:val="00871FC0"/>
    <w:rsid w:val="00872EB3"/>
    <w:rsid w:val="008740B7"/>
    <w:rsid w:val="008744EF"/>
    <w:rsid w:val="00874599"/>
    <w:rsid w:val="00874B8E"/>
    <w:rsid w:val="0087699F"/>
    <w:rsid w:val="00877799"/>
    <w:rsid w:val="00877C98"/>
    <w:rsid w:val="008809AF"/>
    <w:rsid w:val="00880A43"/>
    <w:rsid w:val="008823FD"/>
    <w:rsid w:val="0088260B"/>
    <w:rsid w:val="00882B45"/>
    <w:rsid w:val="00882BCC"/>
    <w:rsid w:val="00884732"/>
    <w:rsid w:val="00887631"/>
    <w:rsid w:val="00887AC9"/>
    <w:rsid w:val="0089273E"/>
    <w:rsid w:val="00893B0D"/>
    <w:rsid w:val="00893B2F"/>
    <w:rsid w:val="00893C69"/>
    <w:rsid w:val="0089522C"/>
    <w:rsid w:val="008966E9"/>
    <w:rsid w:val="00897E2B"/>
    <w:rsid w:val="008A008B"/>
    <w:rsid w:val="008A0F4C"/>
    <w:rsid w:val="008A174D"/>
    <w:rsid w:val="008A194B"/>
    <w:rsid w:val="008A2ACD"/>
    <w:rsid w:val="008A2D30"/>
    <w:rsid w:val="008A36D7"/>
    <w:rsid w:val="008A388C"/>
    <w:rsid w:val="008A38A3"/>
    <w:rsid w:val="008A3FDF"/>
    <w:rsid w:val="008A54FE"/>
    <w:rsid w:val="008A5EAC"/>
    <w:rsid w:val="008A7CA8"/>
    <w:rsid w:val="008A7D23"/>
    <w:rsid w:val="008B088F"/>
    <w:rsid w:val="008B2B2C"/>
    <w:rsid w:val="008B3641"/>
    <w:rsid w:val="008B3676"/>
    <w:rsid w:val="008B3DA4"/>
    <w:rsid w:val="008B4009"/>
    <w:rsid w:val="008B4B9C"/>
    <w:rsid w:val="008B6DBB"/>
    <w:rsid w:val="008B752C"/>
    <w:rsid w:val="008B7645"/>
    <w:rsid w:val="008C0EB0"/>
    <w:rsid w:val="008C310C"/>
    <w:rsid w:val="008C346C"/>
    <w:rsid w:val="008C4F92"/>
    <w:rsid w:val="008C5654"/>
    <w:rsid w:val="008C5BB5"/>
    <w:rsid w:val="008C6195"/>
    <w:rsid w:val="008C6B14"/>
    <w:rsid w:val="008C7E8D"/>
    <w:rsid w:val="008D00B2"/>
    <w:rsid w:val="008D1846"/>
    <w:rsid w:val="008D1A9D"/>
    <w:rsid w:val="008D2555"/>
    <w:rsid w:val="008D31FF"/>
    <w:rsid w:val="008D4A54"/>
    <w:rsid w:val="008D5DF9"/>
    <w:rsid w:val="008D6304"/>
    <w:rsid w:val="008D66B4"/>
    <w:rsid w:val="008D681D"/>
    <w:rsid w:val="008D6F06"/>
    <w:rsid w:val="008D7236"/>
    <w:rsid w:val="008D7291"/>
    <w:rsid w:val="008D7788"/>
    <w:rsid w:val="008E005C"/>
    <w:rsid w:val="008E10A9"/>
    <w:rsid w:val="008E10EC"/>
    <w:rsid w:val="008E11BF"/>
    <w:rsid w:val="008E1396"/>
    <w:rsid w:val="008E1722"/>
    <w:rsid w:val="008E254C"/>
    <w:rsid w:val="008E298C"/>
    <w:rsid w:val="008E3598"/>
    <w:rsid w:val="008E35E1"/>
    <w:rsid w:val="008E418D"/>
    <w:rsid w:val="008E4416"/>
    <w:rsid w:val="008E45ED"/>
    <w:rsid w:val="008E5C96"/>
    <w:rsid w:val="008E65BD"/>
    <w:rsid w:val="008E6A4F"/>
    <w:rsid w:val="008E6E01"/>
    <w:rsid w:val="008F1C67"/>
    <w:rsid w:val="008F322A"/>
    <w:rsid w:val="008F34C5"/>
    <w:rsid w:val="008F3674"/>
    <w:rsid w:val="008F4200"/>
    <w:rsid w:val="008F462F"/>
    <w:rsid w:val="008F611B"/>
    <w:rsid w:val="008F617E"/>
    <w:rsid w:val="008F6912"/>
    <w:rsid w:val="0090081B"/>
    <w:rsid w:val="00901335"/>
    <w:rsid w:val="0090148F"/>
    <w:rsid w:val="0090499A"/>
    <w:rsid w:val="00904C32"/>
    <w:rsid w:val="009057ED"/>
    <w:rsid w:val="00905D65"/>
    <w:rsid w:val="00907004"/>
    <w:rsid w:val="00907475"/>
    <w:rsid w:val="009079FA"/>
    <w:rsid w:val="00907F1F"/>
    <w:rsid w:val="0091009E"/>
    <w:rsid w:val="00910BD8"/>
    <w:rsid w:val="00911E0F"/>
    <w:rsid w:val="0091282D"/>
    <w:rsid w:val="00913FA9"/>
    <w:rsid w:val="00914BAA"/>
    <w:rsid w:val="0091574E"/>
    <w:rsid w:val="00915DB7"/>
    <w:rsid w:val="009163C2"/>
    <w:rsid w:val="00920379"/>
    <w:rsid w:val="00920FDD"/>
    <w:rsid w:val="00921D50"/>
    <w:rsid w:val="00923133"/>
    <w:rsid w:val="0092385B"/>
    <w:rsid w:val="00926762"/>
    <w:rsid w:val="00927BE5"/>
    <w:rsid w:val="00930A09"/>
    <w:rsid w:val="00933BAA"/>
    <w:rsid w:val="00934512"/>
    <w:rsid w:val="00934D08"/>
    <w:rsid w:val="0093537F"/>
    <w:rsid w:val="009354E2"/>
    <w:rsid w:val="00935E08"/>
    <w:rsid w:val="00936525"/>
    <w:rsid w:val="0093729F"/>
    <w:rsid w:val="00940725"/>
    <w:rsid w:val="0094179D"/>
    <w:rsid w:val="00941F38"/>
    <w:rsid w:val="00941F91"/>
    <w:rsid w:val="009422EC"/>
    <w:rsid w:val="00942711"/>
    <w:rsid w:val="00943457"/>
    <w:rsid w:val="0094346D"/>
    <w:rsid w:val="009438A4"/>
    <w:rsid w:val="009438E0"/>
    <w:rsid w:val="009448EB"/>
    <w:rsid w:val="009448FB"/>
    <w:rsid w:val="0094559A"/>
    <w:rsid w:val="00945BCF"/>
    <w:rsid w:val="009476EB"/>
    <w:rsid w:val="0095024D"/>
    <w:rsid w:val="00950299"/>
    <w:rsid w:val="00951118"/>
    <w:rsid w:val="009523B5"/>
    <w:rsid w:val="00952798"/>
    <w:rsid w:val="00953319"/>
    <w:rsid w:val="009537AA"/>
    <w:rsid w:val="009541E5"/>
    <w:rsid w:val="0095535A"/>
    <w:rsid w:val="00955CFC"/>
    <w:rsid w:val="00955D0D"/>
    <w:rsid w:val="0095756E"/>
    <w:rsid w:val="009601CA"/>
    <w:rsid w:val="00960294"/>
    <w:rsid w:val="0096050D"/>
    <w:rsid w:val="00961104"/>
    <w:rsid w:val="00962B8D"/>
    <w:rsid w:val="00963D15"/>
    <w:rsid w:val="0096434D"/>
    <w:rsid w:val="00966204"/>
    <w:rsid w:val="00967F19"/>
    <w:rsid w:val="0097100C"/>
    <w:rsid w:val="00972290"/>
    <w:rsid w:val="00972625"/>
    <w:rsid w:val="009728FA"/>
    <w:rsid w:val="00973F1E"/>
    <w:rsid w:val="00973FE3"/>
    <w:rsid w:val="0097453A"/>
    <w:rsid w:val="00974557"/>
    <w:rsid w:val="00974DA3"/>
    <w:rsid w:val="00974EDD"/>
    <w:rsid w:val="00975EC4"/>
    <w:rsid w:val="00975F09"/>
    <w:rsid w:val="0097681B"/>
    <w:rsid w:val="00976C0E"/>
    <w:rsid w:val="0097753C"/>
    <w:rsid w:val="009778F2"/>
    <w:rsid w:val="009800C9"/>
    <w:rsid w:val="0098094A"/>
    <w:rsid w:val="00981CA5"/>
    <w:rsid w:val="0098244D"/>
    <w:rsid w:val="00984282"/>
    <w:rsid w:val="00984CD1"/>
    <w:rsid w:val="00985E94"/>
    <w:rsid w:val="00986BB1"/>
    <w:rsid w:val="0099089B"/>
    <w:rsid w:val="00990C0F"/>
    <w:rsid w:val="00990CAB"/>
    <w:rsid w:val="00991AA6"/>
    <w:rsid w:val="00991E6B"/>
    <w:rsid w:val="009922CE"/>
    <w:rsid w:val="00992EF6"/>
    <w:rsid w:val="0099321C"/>
    <w:rsid w:val="009937B1"/>
    <w:rsid w:val="009941A5"/>
    <w:rsid w:val="00994C87"/>
    <w:rsid w:val="009965A6"/>
    <w:rsid w:val="009A0F76"/>
    <w:rsid w:val="009A18AA"/>
    <w:rsid w:val="009A1B52"/>
    <w:rsid w:val="009A3782"/>
    <w:rsid w:val="009A4026"/>
    <w:rsid w:val="009A4542"/>
    <w:rsid w:val="009A470E"/>
    <w:rsid w:val="009A47BF"/>
    <w:rsid w:val="009A4B37"/>
    <w:rsid w:val="009A590A"/>
    <w:rsid w:val="009A5951"/>
    <w:rsid w:val="009B0EF3"/>
    <w:rsid w:val="009B1EC8"/>
    <w:rsid w:val="009B2338"/>
    <w:rsid w:val="009B2C3F"/>
    <w:rsid w:val="009B3B2C"/>
    <w:rsid w:val="009B4046"/>
    <w:rsid w:val="009B46B1"/>
    <w:rsid w:val="009B4F7F"/>
    <w:rsid w:val="009B5342"/>
    <w:rsid w:val="009B5740"/>
    <w:rsid w:val="009B57B4"/>
    <w:rsid w:val="009B662A"/>
    <w:rsid w:val="009B7958"/>
    <w:rsid w:val="009B7C5B"/>
    <w:rsid w:val="009C00D0"/>
    <w:rsid w:val="009C1546"/>
    <w:rsid w:val="009C1E4E"/>
    <w:rsid w:val="009C5D87"/>
    <w:rsid w:val="009C66F7"/>
    <w:rsid w:val="009C68BB"/>
    <w:rsid w:val="009C7F18"/>
    <w:rsid w:val="009D0B1D"/>
    <w:rsid w:val="009D0D79"/>
    <w:rsid w:val="009D2266"/>
    <w:rsid w:val="009D2ACB"/>
    <w:rsid w:val="009D367F"/>
    <w:rsid w:val="009D3A92"/>
    <w:rsid w:val="009D4A89"/>
    <w:rsid w:val="009D5487"/>
    <w:rsid w:val="009D5D28"/>
    <w:rsid w:val="009D5E06"/>
    <w:rsid w:val="009E1110"/>
    <w:rsid w:val="009E17F0"/>
    <w:rsid w:val="009E2859"/>
    <w:rsid w:val="009E2891"/>
    <w:rsid w:val="009E2F64"/>
    <w:rsid w:val="009E36CA"/>
    <w:rsid w:val="009E4EBC"/>
    <w:rsid w:val="009E52F4"/>
    <w:rsid w:val="009E60C0"/>
    <w:rsid w:val="009E703A"/>
    <w:rsid w:val="009E741A"/>
    <w:rsid w:val="009F04BE"/>
    <w:rsid w:val="009F1CD9"/>
    <w:rsid w:val="009F266A"/>
    <w:rsid w:val="009F368C"/>
    <w:rsid w:val="009F3EA0"/>
    <w:rsid w:val="009F46E8"/>
    <w:rsid w:val="009F4E0C"/>
    <w:rsid w:val="009F51F8"/>
    <w:rsid w:val="009F5F93"/>
    <w:rsid w:val="009F63E1"/>
    <w:rsid w:val="009F6602"/>
    <w:rsid w:val="009F6F80"/>
    <w:rsid w:val="009F77CB"/>
    <w:rsid w:val="009F7DC6"/>
    <w:rsid w:val="00A0305F"/>
    <w:rsid w:val="00A03604"/>
    <w:rsid w:val="00A03D36"/>
    <w:rsid w:val="00A04332"/>
    <w:rsid w:val="00A0448E"/>
    <w:rsid w:val="00A0467A"/>
    <w:rsid w:val="00A04D09"/>
    <w:rsid w:val="00A04D57"/>
    <w:rsid w:val="00A04F06"/>
    <w:rsid w:val="00A050EE"/>
    <w:rsid w:val="00A06365"/>
    <w:rsid w:val="00A06CD8"/>
    <w:rsid w:val="00A06F90"/>
    <w:rsid w:val="00A11BCD"/>
    <w:rsid w:val="00A148A8"/>
    <w:rsid w:val="00A1566D"/>
    <w:rsid w:val="00A15F5F"/>
    <w:rsid w:val="00A16B4A"/>
    <w:rsid w:val="00A1780A"/>
    <w:rsid w:val="00A205EC"/>
    <w:rsid w:val="00A20ED3"/>
    <w:rsid w:val="00A217C7"/>
    <w:rsid w:val="00A225A0"/>
    <w:rsid w:val="00A2270D"/>
    <w:rsid w:val="00A2280A"/>
    <w:rsid w:val="00A23B62"/>
    <w:rsid w:val="00A23FD9"/>
    <w:rsid w:val="00A26503"/>
    <w:rsid w:val="00A26BCB"/>
    <w:rsid w:val="00A30064"/>
    <w:rsid w:val="00A3025E"/>
    <w:rsid w:val="00A329A1"/>
    <w:rsid w:val="00A339F4"/>
    <w:rsid w:val="00A341EC"/>
    <w:rsid w:val="00A356D5"/>
    <w:rsid w:val="00A368D4"/>
    <w:rsid w:val="00A37D2E"/>
    <w:rsid w:val="00A40434"/>
    <w:rsid w:val="00A41332"/>
    <w:rsid w:val="00A419FC"/>
    <w:rsid w:val="00A4239B"/>
    <w:rsid w:val="00A434D4"/>
    <w:rsid w:val="00A443B8"/>
    <w:rsid w:val="00A44D79"/>
    <w:rsid w:val="00A45493"/>
    <w:rsid w:val="00A46AD8"/>
    <w:rsid w:val="00A46CE7"/>
    <w:rsid w:val="00A4707A"/>
    <w:rsid w:val="00A47A4E"/>
    <w:rsid w:val="00A51146"/>
    <w:rsid w:val="00A51615"/>
    <w:rsid w:val="00A51E70"/>
    <w:rsid w:val="00A52241"/>
    <w:rsid w:val="00A5273B"/>
    <w:rsid w:val="00A52AEF"/>
    <w:rsid w:val="00A53DEE"/>
    <w:rsid w:val="00A53EC8"/>
    <w:rsid w:val="00A54D4D"/>
    <w:rsid w:val="00A55100"/>
    <w:rsid w:val="00A56585"/>
    <w:rsid w:val="00A57CD9"/>
    <w:rsid w:val="00A57FF9"/>
    <w:rsid w:val="00A60348"/>
    <w:rsid w:val="00A60DA3"/>
    <w:rsid w:val="00A62B2C"/>
    <w:rsid w:val="00A637EA"/>
    <w:rsid w:val="00A638FD"/>
    <w:rsid w:val="00A64C3C"/>
    <w:rsid w:val="00A660A8"/>
    <w:rsid w:val="00A66309"/>
    <w:rsid w:val="00A668D1"/>
    <w:rsid w:val="00A67015"/>
    <w:rsid w:val="00A7013F"/>
    <w:rsid w:val="00A70E9A"/>
    <w:rsid w:val="00A715D5"/>
    <w:rsid w:val="00A71AD7"/>
    <w:rsid w:val="00A7297A"/>
    <w:rsid w:val="00A72AE5"/>
    <w:rsid w:val="00A73692"/>
    <w:rsid w:val="00A742C8"/>
    <w:rsid w:val="00A754C5"/>
    <w:rsid w:val="00A76B4E"/>
    <w:rsid w:val="00A8059A"/>
    <w:rsid w:val="00A805B4"/>
    <w:rsid w:val="00A80BE0"/>
    <w:rsid w:val="00A813BA"/>
    <w:rsid w:val="00A81CF0"/>
    <w:rsid w:val="00A81FB7"/>
    <w:rsid w:val="00A822DC"/>
    <w:rsid w:val="00A829E5"/>
    <w:rsid w:val="00A83040"/>
    <w:rsid w:val="00A83391"/>
    <w:rsid w:val="00A83893"/>
    <w:rsid w:val="00A83991"/>
    <w:rsid w:val="00A84A88"/>
    <w:rsid w:val="00A85C96"/>
    <w:rsid w:val="00A86ADB"/>
    <w:rsid w:val="00A87342"/>
    <w:rsid w:val="00A9002F"/>
    <w:rsid w:val="00A906A1"/>
    <w:rsid w:val="00A9088A"/>
    <w:rsid w:val="00A909F9"/>
    <w:rsid w:val="00A90BEC"/>
    <w:rsid w:val="00A90CEF"/>
    <w:rsid w:val="00A90E83"/>
    <w:rsid w:val="00A921AD"/>
    <w:rsid w:val="00A92A32"/>
    <w:rsid w:val="00A94259"/>
    <w:rsid w:val="00A95919"/>
    <w:rsid w:val="00A964FD"/>
    <w:rsid w:val="00A96597"/>
    <w:rsid w:val="00A969F2"/>
    <w:rsid w:val="00A97576"/>
    <w:rsid w:val="00A97688"/>
    <w:rsid w:val="00AA055F"/>
    <w:rsid w:val="00AA05C2"/>
    <w:rsid w:val="00AA0997"/>
    <w:rsid w:val="00AA3512"/>
    <w:rsid w:val="00AA3FD9"/>
    <w:rsid w:val="00AA4B49"/>
    <w:rsid w:val="00AA55F2"/>
    <w:rsid w:val="00AA5A5C"/>
    <w:rsid w:val="00AA6E79"/>
    <w:rsid w:val="00AA7449"/>
    <w:rsid w:val="00AA79E8"/>
    <w:rsid w:val="00AB166F"/>
    <w:rsid w:val="00AB1F8D"/>
    <w:rsid w:val="00AB2177"/>
    <w:rsid w:val="00AB3231"/>
    <w:rsid w:val="00AB3720"/>
    <w:rsid w:val="00AB3898"/>
    <w:rsid w:val="00AB4679"/>
    <w:rsid w:val="00AB546E"/>
    <w:rsid w:val="00AB581B"/>
    <w:rsid w:val="00AB5D2B"/>
    <w:rsid w:val="00AC00E3"/>
    <w:rsid w:val="00AC0825"/>
    <w:rsid w:val="00AC0D82"/>
    <w:rsid w:val="00AC1508"/>
    <w:rsid w:val="00AC2A6C"/>
    <w:rsid w:val="00AC2C25"/>
    <w:rsid w:val="00AC3723"/>
    <w:rsid w:val="00AC381D"/>
    <w:rsid w:val="00AC39F9"/>
    <w:rsid w:val="00AC3BB7"/>
    <w:rsid w:val="00AC42B5"/>
    <w:rsid w:val="00AC757D"/>
    <w:rsid w:val="00AC7725"/>
    <w:rsid w:val="00AC7F9E"/>
    <w:rsid w:val="00AD043A"/>
    <w:rsid w:val="00AD13BA"/>
    <w:rsid w:val="00AD2267"/>
    <w:rsid w:val="00AD2633"/>
    <w:rsid w:val="00AD3C7D"/>
    <w:rsid w:val="00AD4DAB"/>
    <w:rsid w:val="00AD4EF0"/>
    <w:rsid w:val="00AD51CA"/>
    <w:rsid w:val="00AD577A"/>
    <w:rsid w:val="00AD5B85"/>
    <w:rsid w:val="00AD746A"/>
    <w:rsid w:val="00AD7681"/>
    <w:rsid w:val="00AD7932"/>
    <w:rsid w:val="00AD7D30"/>
    <w:rsid w:val="00AE0956"/>
    <w:rsid w:val="00AE0C15"/>
    <w:rsid w:val="00AE20CC"/>
    <w:rsid w:val="00AE2E5B"/>
    <w:rsid w:val="00AE3399"/>
    <w:rsid w:val="00AE3799"/>
    <w:rsid w:val="00AE3B0B"/>
    <w:rsid w:val="00AE4250"/>
    <w:rsid w:val="00AE4678"/>
    <w:rsid w:val="00AE4F3D"/>
    <w:rsid w:val="00AE54FB"/>
    <w:rsid w:val="00AE57E0"/>
    <w:rsid w:val="00AE5DF1"/>
    <w:rsid w:val="00AE6BB1"/>
    <w:rsid w:val="00AE6D98"/>
    <w:rsid w:val="00AE70D0"/>
    <w:rsid w:val="00AE794D"/>
    <w:rsid w:val="00AF0724"/>
    <w:rsid w:val="00AF1946"/>
    <w:rsid w:val="00AF1BEB"/>
    <w:rsid w:val="00AF201C"/>
    <w:rsid w:val="00AF2115"/>
    <w:rsid w:val="00AF2A8C"/>
    <w:rsid w:val="00AF341B"/>
    <w:rsid w:val="00AF426C"/>
    <w:rsid w:val="00AF449A"/>
    <w:rsid w:val="00AF5391"/>
    <w:rsid w:val="00AF5AA6"/>
    <w:rsid w:val="00AF5AB4"/>
    <w:rsid w:val="00AF5AFD"/>
    <w:rsid w:val="00AF5C25"/>
    <w:rsid w:val="00AF5DD9"/>
    <w:rsid w:val="00AF60B5"/>
    <w:rsid w:val="00B0123A"/>
    <w:rsid w:val="00B0136B"/>
    <w:rsid w:val="00B02450"/>
    <w:rsid w:val="00B03CAC"/>
    <w:rsid w:val="00B07789"/>
    <w:rsid w:val="00B07A12"/>
    <w:rsid w:val="00B07BEA"/>
    <w:rsid w:val="00B07DD2"/>
    <w:rsid w:val="00B112C3"/>
    <w:rsid w:val="00B11766"/>
    <w:rsid w:val="00B13172"/>
    <w:rsid w:val="00B13945"/>
    <w:rsid w:val="00B13EDA"/>
    <w:rsid w:val="00B147B2"/>
    <w:rsid w:val="00B15965"/>
    <w:rsid w:val="00B16CBE"/>
    <w:rsid w:val="00B16E29"/>
    <w:rsid w:val="00B17156"/>
    <w:rsid w:val="00B17BDF"/>
    <w:rsid w:val="00B2076E"/>
    <w:rsid w:val="00B2135C"/>
    <w:rsid w:val="00B21480"/>
    <w:rsid w:val="00B21BFB"/>
    <w:rsid w:val="00B220CF"/>
    <w:rsid w:val="00B2332B"/>
    <w:rsid w:val="00B239CB"/>
    <w:rsid w:val="00B24125"/>
    <w:rsid w:val="00B25917"/>
    <w:rsid w:val="00B2664B"/>
    <w:rsid w:val="00B26DF2"/>
    <w:rsid w:val="00B27CA4"/>
    <w:rsid w:val="00B30219"/>
    <w:rsid w:val="00B30E72"/>
    <w:rsid w:val="00B31036"/>
    <w:rsid w:val="00B319EA"/>
    <w:rsid w:val="00B31D03"/>
    <w:rsid w:val="00B33F40"/>
    <w:rsid w:val="00B346B4"/>
    <w:rsid w:val="00B34ED8"/>
    <w:rsid w:val="00B34FB0"/>
    <w:rsid w:val="00B35023"/>
    <w:rsid w:val="00B3700D"/>
    <w:rsid w:val="00B37EBE"/>
    <w:rsid w:val="00B4015D"/>
    <w:rsid w:val="00B406E7"/>
    <w:rsid w:val="00B41235"/>
    <w:rsid w:val="00B4160E"/>
    <w:rsid w:val="00B41C45"/>
    <w:rsid w:val="00B42EFB"/>
    <w:rsid w:val="00B43A51"/>
    <w:rsid w:val="00B43D12"/>
    <w:rsid w:val="00B44215"/>
    <w:rsid w:val="00B44319"/>
    <w:rsid w:val="00B458C5"/>
    <w:rsid w:val="00B45F17"/>
    <w:rsid w:val="00B46A91"/>
    <w:rsid w:val="00B46C22"/>
    <w:rsid w:val="00B47160"/>
    <w:rsid w:val="00B5226E"/>
    <w:rsid w:val="00B526D5"/>
    <w:rsid w:val="00B53B85"/>
    <w:rsid w:val="00B54142"/>
    <w:rsid w:val="00B567BB"/>
    <w:rsid w:val="00B607E6"/>
    <w:rsid w:val="00B60EE4"/>
    <w:rsid w:val="00B611CB"/>
    <w:rsid w:val="00B61823"/>
    <w:rsid w:val="00B62358"/>
    <w:rsid w:val="00B63FB5"/>
    <w:rsid w:val="00B64576"/>
    <w:rsid w:val="00B65423"/>
    <w:rsid w:val="00B65FD4"/>
    <w:rsid w:val="00B6621E"/>
    <w:rsid w:val="00B662B6"/>
    <w:rsid w:val="00B717B2"/>
    <w:rsid w:val="00B717F4"/>
    <w:rsid w:val="00B72476"/>
    <w:rsid w:val="00B72BC6"/>
    <w:rsid w:val="00B747A1"/>
    <w:rsid w:val="00B74B28"/>
    <w:rsid w:val="00B75967"/>
    <w:rsid w:val="00B8015E"/>
    <w:rsid w:val="00B80203"/>
    <w:rsid w:val="00B81BCC"/>
    <w:rsid w:val="00B82018"/>
    <w:rsid w:val="00B82829"/>
    <w:rsid w:val="00B830F0"/>
    <w:rsid w:val="00B84A5B"/>
    <w:rsid w:val="00B84E40"/>
    <w:rsid w:val="00B84F72"/>
    <w:rsid w:val="00B852C3"/>
    <w:rsid w:val="00B8539C"/>
    <w:rsid w:val="00B86281"/>
    <w:rsid w:val="00B87A0D"/>
    <w:rsid w:val="00B87CC3"/>
    <w:rsid w:val="00B87DFE"/>
    <w:rsid w:val="00B90413"/>
    <w:rsid w:val="00B9061C"/>
    <w:rsid w:val="00B928E9"/>
    <w:rsid w:val="00B93170"/>
    <w:rsid w:val="00B93780"/>
    <w:rsid w:val="00B938C5"/>
    <w:rsid w:val="00B93F0E"/>
    <w:rsid w:val="00B96E79"/>
    <w:rsid w:val="00B97273"/>
    <w:rsid w:val="00BA352C"/>
    <w:rsid w:val="00BA4426"/>
    <w:rsid w:val="00BA4998"/>
    <w:rsid w:val="00BA636A"/>
    <w:rsid w:val="00BA759E"/>
    <w:rsid w:val="00BA7966"/>
    <w:rsid w:val="00BA7C00"/>
    <w:rsid w:val="00BA7F59"/>
    <w:rsid w:val="00BB18C9"/>
    <w:rsid w:val="00BB2082"/>
    <w:rsid w:val="00BB4253"/>
    <w:rsid w:val="00BB5488"/>
    <w:rsid w:val="00BB6134"/>
    <w:rsid w:val="00BB66CB"/>
    <w:rsid w:val="00BB679E"/>
    <w:rsid w:val="00BB749D"/>
    <w:rsid w:val="00BC0008"/>
    <w:rsid w:val="00BC0575"/>
    <w:rsid w:val="00BC0C2B"/>
    <w:rsid w:val="00BC0E2C"/>
    <w:rsid w:val="00BC1339"/>
    <w:rsid w:val="00BC1E2A"/>
    <w:rsid w:val="00BC2C20"/>
    <w:rsid w:val="00BC316A"/>
    <w:rsid w:val="00BC3F29"/>
    <w:rsid w:val="00BC42E8"/>
    <w:rsid w:val="00BC44C1"/>
    <w:rsid w:val="00BC45EE"/>
    <w:rsid w:val="00BC50C9"/>
    <w:rsid w:val="00BC583F"/>
    <w:rsid w:val="00BC6FE1"/>
    <w:rsid w:val="00BC71C3"/>
    <w:rsid w:val="00BC72B2"/>
    <w:rsid w:val="00BD2318"/>
    <w:rsid w:val="00BD2D52"/>
    <w:rsid w:val="00BD2F3A"/>
    <w:rsid w:val="00BD3704"/>
    <w:rsid w:val="00BD3E9A"/>
    <w:rsid w:val="00BD3F56"/>
    <w:rsid w:val="00BD4470"/>
    <w:rsid w:val="00BD4500"/>
    <w:rsid w:val="00BD4831"/>
    <w:rsid w:val="00BD5284"/>
    <w:rsid w:val="00BD6DE1"/>
    <w:rsid w:val="00BD7AF8"/>
    <w:rsid w:val="00BD7E7B"/>
    <w:rsid w:val="00BE0C65"/>
    <w:rsid w:val="00BE1127"/>
    <w:rsid w:val="00BE16EE"/>
    <w:rsid w:val="00BE1C12"/>
    <w:rsid w:val="00BE5AC6"/>
    <w:rsid w:val="00BE6179"/>
    <w:rsid w:val="00BF16D5"/>
    <w:rsid w:val="00BF1D4C"/>
    <w:rsid w:val="00BF2807"/>
    <w:rsid w:val="00BF2FBA"/>
    <w:rsid w:val="00BF3C36"/>
    <w:rsid w:val="00BF5B91"/>
    <w:rsid w:val="00BF5F1C"/>
    <w:rsid w:val="00BF64E9"/>
    <w:rsid w:val="00BF6F54"/>
    <w:rsid w:val="00C02335"/>
    <w:rsid w:val="00C0240B"/>
    <w:rsid w:val="00C02CA1"/>
    <w:rsid w:val="00C03A31"/>
    <w:rsid w:val="00C043CA"/>
    <w:rsid w:val="00C061BB"/>
    <w:rsid w:val="00C06939"/>
    <w:rsid w:val="00C0783D"/>
    <w:rsid w:val="00C10332"/>
    <w:rsid w:val="00C11250"/>
    <w:rsid w:val="00C11611"/>
    <w:rsid w:val="00C11C36"/>
    <w:rsid w:val="00C1485E"/>
    <w:rsid w:val="00C14F0C"/>
    <w:rsid w:val="00C1523B"/>
    <w:rsid w:val="00C15D52"/>
    <w:rsid w:val="00C1620F"/>
    <w:rsid w:val="00C16232"/>
    <w:rsid w:val="00C1755E"/>
    <w:rsid w:val="00C17D89"/>
    <w:rsid w:val="00C2147A"/>
    <w:rsid w:val="00C21594"/>
    <w:rsid w:val="00C22323"/>
    <w:rsid w:val="00C229B2"/>
    <w:rsid w:val="00C230E9"/>
    <w:rsid w:val="00C23848"/>
    <w:rsid w:val="00C24885"/>
    <w:rsid w:val="00C26A17"/>
    <w:rsid w:val="00C27EAB"/>
    <w:rsid w:val="00C30F94"/>
    <w:rsid w:val="00C31E68"/>
    <w:rsid w:val="00C324B0"/>
    <w:rsid w:val="00C34168"/>
    <w:rsid w:val="00C34436"/>
    <w:rsid w:val="00C3515E"/>
    <w:rsid w:val="00C36855"/>
    <w:rsid w:val="00C37B29"/>
    <w:rsid w:val="00C37B5A"/>
    <w:rsid w:val="00C40A52"/>
    <w:rsid w:val="00C417C2"/>
    <w:rsid w:val="00C41848"/>
    <w:rsid w:val="00C41A7A"/>
    <w:rsid w:val="00C42519"/>
    <w:rsid w:val="00C42CEB"/>
    <w:rsid w:val="00C44734"/>
    <w:rsid w:val="00C44DF4"/>
    <w:rsid w:val="00C456D9"/>
    <w:rsid w:val="00C47034"/>
    <w:rsid w:val="00C479DD"/>
    <w:rsid w:val="00C47BC2"/>
    <w:rsid w:val="00C47FF0"/>
    <w:rsid w:val="00C50049"/>
    <w:rsid w:val="00C50843"/>
    <w:rsid w:val="00C5148F"/>
    <w:rsid w:val="00C51A47"/>
    <w:rsid w:val="00C521FE"/>
    <w:rsid w:val="00C5298E"/>
    <w:rsid w:val="00C52DC8"/>
    <w:rsid w:val="00C53217"/>
    <w:rsid w:val="00C53417"/>
    <w:rsid w:val="00C53BB4"/>
    <w:rsid w:val="00C54CC0"/>
    <w:rsid w:val="00C55792"/>
    <w:rsid w:val="00C572B3"/>
    <w:rsid w:val="00C578E0"/>
    <w:rsid w:val="00C634B4"/>
    <w:rsid w:val="00C63A59"/>
    <w:rsid w:val="00C647C7"/>
    <w:rsid w:val="00C6491C"/>
    <w:rsid w:val="00C6578D"/>
    <w:rsid w:val="00C65948"/>
    <w:rsid w:val="00C66757"/>
    <w:rsid w:val="00C66A0C"/>
    <w:rsid w:val="00C674B7"/>
    <w:rsid w:val="00C6784C"/>
    <w:rsid w:val="00C71710"/>
    <w:rsid w:val="00C71A1D"/>
    <w:rsid w:val="00C7366D"/>
    <w:rsid w:val="00C73F62"/>
    <w:rsid w:val="00C747CA"/>
    <w:rsid w:val="00C75378"/>
    <w:rsid w:val="00C757E3"/>
    <w:rsid w:val="00C760C7"/>
    <w:rsid w:val="00C76267"/>
    <w:rsid w:val="00C76E7A"/>
    <w:rsid w:val="00C77BFB"/>
    <w:rsid w:val="00C77FC1"/>
    <w:rsid w:val="00C800E7"/>
    <w:rsid w:val="00C80298"/>
    <w:rsid w:val="00C80A97"/>
    <w:rsid w:val="00C81161"/>
    <w:rsid w:val="00C8121D"/>
    <w:rsid w:val="00C8249D"/>
    <w:rsid w:val="00C826CD"/>
    <w:rsid w:val="00C82812"/>
    <w:rsid w:val="00C8353A"/>
    <w:rsid w:val="00C8383B"/>
    <w:rsid w:val="00C843C4"/>
    <w:rsid w:val="00C85139"/>
    <w:rsid w:val="00C8527B"/>
    <w:rsid w:val="00C85CF2"/>
    <w:rsid w:val="00C85F7C"/>
    <w:rsid w:val="00C86028"/>
    <w:rsid w:val="00C861B6"/>
    <w:rsid w:val="00C86220"/>
    <w:rsid w:val="00C86222"/>
    <w:rsid w:val="00C864D2"/>
    <w:rsid w:val="00C873DA"/>
    <w:rsid w:val="00C87611"/>
    <w:rsid w:val="00C9020D"/>
    <w:rsid w:val="00C90623"/>
    <w:rsid w:val="00C90CDC"/>
    <w:rsid w:val="00C9117F"/>
    <w:rsid w:val="00C91CF4"/>
    <w:rsid w:val="00C92529"/>
    <w:rsid w:val="00C92577"/>
    <w:rsid w:val="00C94142"/>
    <w:rsid w:val="00C94EC6"/>
    <w:rsid w:val="00C95661"/>
    <w:rsid w:val="00C95DA0"/>
    <w:rsid w:val="00C95FE9"/>
    <w:rsid w:val="00C96062"/>
    <w:rsid w:val="00C97657"/>
    <w:rsid w:val="00CA0110"/>
    <w:rsid w:val="00CA0C23"/>
    <w:rsid w:val="00CA0D38"/>
    <w:rsid w:val="00CA0E82"/>
    <w:rsid w:val="00CA2650"/>
    <w:rsid w:val="00CA2D45"/>
    <w:rsid w:val="00CA4843"/>
    <w:rsid w:val="00CA6B6E"/>
    <w:rsid w:val="00CA6FCD"/>
    <w:rsid w:val="00CA71BA"/>
    <w:rsid w:val="00CA7244"/>
    <w:rsid w:val="00CA746E"/>
    <w:rsid w:val="00CB0219"/>
    <w:rsid w:val="00CB0F8B"/>
    <w:rsid w:val="00CB2305"/>
    <w:rsid w:val="00CB3E0A"/>
    <w:rsid w:val="00CB3EE5"/>
    <w:rsid w:val="00CB439C"/>
    <w:rsid w:val="00CB4555"/>
    <w:rsid w:val="00CB6A47"/>
    <w:rsid w:val="00CB7CDE"/>
    <w:rsid w:val="00CC0F88"/>
    <w:rsid w:val="00CC1E7B"/>
    <w:rsid w:val="00CC29E3"/>
    <w:rsid w:val="00CC30BF"/>
    <w:rsid w:val="00CC3F8E"/>
    <w:rsid w:val="00CC4B84"/>
    <w:rsid w:val="00CC52EF"/>
    <w:rsid w:val="00CC5904"/>
    <w:rsid w:val="00CC591D"/>
    <w:rsid w:val="00CC757E"/>
    <w:rsid w:val="00CC79AC"/>
    <w:rsid w:val="00CD0D75"/>
    <w:rsid w:val="00CD192A"/>
    <w:rsid w:val="00CD1A76"/>
    <w:rsid w:val="00CD1DF6"/>
    <w:rsid w:val="00CD3782"/>
    <w:rsid w:val="00CD4DA1"/>
    <w:rsid w:val="00CD5286"/>
    <w:rsid w:val="00CD5CA5"/>
    <w:rsid w:val="00CD6719"/>
    <w:rsid w:val="00CD6C38"/>
    <w:rsid w:val="00CE0798"/>
    <w:rsid w:val="00CE0D5E"/>
    <w:rsid w:val="00CE1189"/>
    <w:rsid w:val="00CE17E5"/>
    <w:rsid w:val="00CE2706"/>
    <w:rsid w:val="00CE34E9"/>
    <w:rsid w:val="00CE4EB9"/>
    <w:rsid w:val="00CE69DA"/>
    <w:rsid w:val="00CE742B"/>
    <w:rsid w:val="00CE7A65"/>
    <w:rsid w:val="00CE7C2F"/>
    <w:rsid w:val="00CF0EEF"/>
    <w:rsid w:val="00CF2239"/>
    <w:rsid w:val="00CF32AE"/>
    <w:rsid w:val="00CF3BFB"/>
    <w:rsid w:val="00CF4D5E"/>
    <w:rsid w:val="00CF5298"/>
    <w:rsid w:val="00CF569E"/>
    <w:rsid w:val="00CF56D9"/>
    <w:rsid w:val="00CF5B17"/>
    <w:rsid w:val="00CF5D9C"/>
    <w:rsid w:val="00CF5F88"/>
    <w:rsid w:val="00CF65D0"/>
    <w:rsid w:val="00CF71CB"/>
    <w:rsid w:val="00D01D4F"/>
    <w:rsid w:val="00D0294D"/>
    <w:rsid w:val="00D03E03"/>
    <w:rsid w:val="00D04A63"/>
    <w:rsid w:val="00D0557B"/>
    <w:rsid w:val="00D059E6"/>
    <w:rsid w:val="00D061D1"/>
    <w:rsid w:val="00D06C90"/>
    <w:rsid w:val="00D07193"/>
    <w:rsid w:val="00D07B10"/>
    <w:rsid w:val="00D100DF"/>
    <w:rsid w:val="00D1117E"/>
    <w:rsid w:val="00D12125"/>
    <w:rsid w:val="00D12274"/>
    <w:rsid w:val="00D12306"/>
    <w:rsid w:val="00D12AF8"/>
    <w:rsid w:val="00D13547"/>
    <w:rsid w:val="00D144D7"/>
    <w:rsid w:val="00D14667"/>
    <w:rsid w:val="00D15C84"/>
    <w:rsid w:val="00D16850"/>
    <w:rsid w:val="00D16C67"/>
    <w:rsid w:val="00D1717F"/>
    <w:rsid w:val="00D17730"/>
    <w:rsid w:val="00D203B1"/>
    <w:rsid w:val="00D20FDC"/>
    <w:rsid w:val="00D21F16"/>
    <w:rsid w:val="00D223CD"/>
    <w:rsid w:val="00D22EA9"/>
    <w:rsid w:val="00D23B36"/>
    <w:rsid w:val="00D26379"/>
    <w:rsid w:val="00D30878"/>
    <w:rsid w:val="00D30D66"/>
    <w:rsid w:val="00D32A89"/>
    <w:rsid w:val="00D33017"/>
    <w:rsid w:val="00D33484"/>
    <w:rsid w:val="00D334D7"/>
    <w:rsid w:val="00D336A7"/>
    <w:rsid w:val="00D34865"/>
    <w:rsid w:val="00D3493F"/>
    <w:rsid w:val="00D358FF"/>
    <w:rsid w:val="00D36D61"/>
    <w:rsid w:val="00D378A4"/>
    <w:rsid w:val="00D416BB"/>
    <w:rsid w:val="00D41808"/>
    <w:rsid w:val="00D421DF"/>
    <w:rsid w:val="00D42ABF"/>
    <w:rsid w:val="00D43608"/>
    <w:rsid w:val="00D45BE9"/>
    <w:rsid w:val="00D45D27"/>
    <w:rsid w:val="00D46980"/>
    <w:rsid w:val="00D51557"/>
    <w:rsid w:val="00D51D1F"/>
    <w:rsid w:val="00D520D7"/>
    <w:rsid w:val="00D538A7"/>
    <w:rsid w:val="00D54FD0"/>
    <w:rsid w:val="00D555F8"/>
    <w:rsid w:val="00D577A0"/>
    <w:rsid w:val="00D578BD"/>
    <w:rsid w:val="00D579B8"/>
    <w:rsid w:val="00D60E4B"/>
    <w:rsid w:val="00D611A9"/>
    <w:rsid w:val="00D61239"/>
    <w:rsid w:val="00D616FD"/>
    <w:rsid w:val="00D62AC2"/>
    <w:rsid w:val="00D6475F"/>
    <w:rsid w:val="00D64A47"/>
    <w:rsid w:val="00D64F1C"/>
    <w:rsid w:val="00D6558E"/>
    <w:rsid w:val="00D65F90"/>
    <w:rsid w:val="00D668A1"/>
    <w:rsid w:val="00D67BEB"/>
    <w:rsid w:val="00D73C83"/>
    <w:rsid w:val="00D73EA6"/>
    <w:rsid w:val="00D73F9B"/>
    <w:rsid w:val="00D7455D"/>
    <w:rsid w:val="00D75531"/>
    <w:rsid w:val="00D7752B"/>
    <w:rsid w:val="00D80514"/>
    <w:rsid w:val="00D8084A"/>
    <w:rsid w:val="00D80951"/>
    <w:rsid w:val="00D80F4E"/>
    <w:rsid w:val="00D83C88"/>
    <w:rsid w:val="00D83D3A"/>
    <w:rsid w:val="00D840AA"/>
    <w:rsid w:val="00D84D69"/>
    <w:rsid w:val="00D860C1"/>
    <w:rsid w:val="00D865E9"/>
    <w:rsid w:val="00D922F7"/>
    <w:rsid w:val="00D92451"/>
    <w:rsid w:val="00D92CDB"/>
    <w:rsid w:val="00D92E79"/>
    <w:rsid w:val="00D93CC1"/>
    <w:rsid w:val="00D945B0"/>
    <w:rsid w:val="00D94F4F"/>
    <w:rsid w:val="00D951B2"/>
    <w:rsid w:val="00D952CC"/>
    <w:rsid w:val="00D9588D"/>
    <w:rsid w:val="00D962BA"/>
    <w:rsid w:val="00D96FAE"/>
    <w:rsid w:val="00DA0105"/>
    <w:rsid w:val="00DA23F4"/>
    <w:rsid w:val="00DA2ACE"/>
    <w:rsid w:val="00DA37B2"/>
    <w:rsid w:val="00DA40F7"/>
    <w:rsid w:val="00DA4569"/>
    <w:rsid w:val="00DA5680"/>
    <w:rsid w:val="00DA582D"/>
    <w:rsid w:val="00DA5FF5"/>
    <w:rsid w:val="00DA60F2"/>
    <w:rsid w:val="00DA6170"/>
    <w:rsid w:val="00DA6DCC"/>
    <w:rsid w:val="00DA6E58"/>
    <w:rsid w:val="00DA7F5A"/>
    <w:rsid w:val="00DB0CB1"/>
    <w:rsid w:val="00DB0E6D"/>
    <w:rsid w:val="00DB1080"/>
    <w:rsid w:val="00DB145B"/>
    <w:rsid w:val="00DB1498"/>
    <w:rsid w:val="00DB15C8"/>
    <w:rsid w:val="00DB1EC8"/>
    <w:rsid w:val="00DB28A0"/>
    <w:rsid w:val="00DB2A70"/>
    <w:rsid w:val="00DB31C7"/>
    <w:rsid w:val="00DB36E5"/>
    <w:rsid w:val="00DB37D9"/>
    <w:rsid w:val="00DB5B34"/>
    <w:rsid w:val="00DB6307"/>
    <w:rsid w:val="00DB6BB0"/>
    <w:rsid w:val="00DB6F35"/>
    <w:rsid w:val="00DB6FFF"/>
    <w:rsid w:val="00DB7659"/>
    <w:rsid w:val="00DB7821"/>
    <w:rsid w:val="00DC0359"/>
    <w:rsid w:val="00DC0693"/>
    <w:rsid w:val="00DC36AE"/>
    <w:rsid w:val="00DC3C79"/>
    <w:rsid w:val="00DC5FE8"/>
    <w:rsid w:val="00DC72D6"/>
    <w:rsid w:val="00DC7397"/>
    <w:rsid w:val="00DD0858"/>
    <w:rsid w:val="00DD086C"/>
    <w:rsid w:val="00DD12FA"/>
    <w:rsid w:val="00DD16EC"/>
    <w:rsid w:val="00DD1886"/>
    <w:rsid w:val="00DD2098"/>
    <w:rsid w:val="00DD249D"/>
    <w:rsid w:val="00DD2D35"/>
    <w:rsid w:val="00DD2FF8"/>
    <w:rsid w:val="00DD3307"/>
    <w:rsid w:val="00DD3D7A"/>
    <w:rsid w:val="00DD3F06"/>
    <w:rsid w:val="00DD4052"/>
    <w:rsid w:val="00DD4056"/>
    <w:rsid w:val="00DD5047"/>
    <w:rsid w:val="00DD59ED"/>
    <w:rsid w:val="00DD6195"/>
    <w:rsid w:val="00DD6A37"/>
    <w:rsid w:val="00DE0620"/>
    <w:rsid w:val="00DE138C"/>
    <w:rsid w:val="00DE3EC7"/>
    <w:rsid w:val="00DE5108"/>
    <w:rsid w:val="00DE57C9"/>
    <w:rsid w:val="00DE5FE5"/>
    <w:rsid w:val="00DE6064"/>
    <w:rsid w:val="00DE7B33"/>
    <w:rsid w:val="00DF0ACC"/>
    <w:rsid w:val="00DF2860"/>
    <w:rsid w:val="00DF2DCC"/>
    <w:rsid w:val="00DF3677"/>
    <w:rsid w:val="00DF3BE6"/>
    <w:rsid w:val="00DF4261"/>
    <w:rsid w:val="00DF5215"/>
    <w:rsid w:val="00DF6DFC"/>
    <w:rsid w:val="00DF75BB"/>
    <w:rsid w:val="00E0032F"/>
    <w:rsid w:val="00E01531"/>
    <w:rsid w:val="00E0289D"/>
    <w:rsid w:val="00E02EDE"/>
    <w:rsid w:val="00E04054"/>
    <w:rsid w:val="00E0515C"/>
    <w:rsid w:val="00E05E05"/>
    <w:rsid w:val="00E06B50"/>
    <w:rsid w:val="00E10FBE"/>
    <w:rsid w:val="00E1130A"/>
    <w:rsid w:val="00E118F5"/>
    <w:rsid w:val="00E11F96"/>
    <w:rsid w:val="00E12ABF"/>
    <w:rsid w:val="00E13006"/>
    <w:rsid w:val="00E132D3"/>
    <w:rsid w:val="00E1406F"/>
    <w:rsid w:val="00E14540"/>
    <w:rsid w:val="00E146CD"/>
    <w:rsid w:val="00E14E1E"/>
    <w:rsid w:val="00E15978"/>
    <w:rsid w:val="00E20463"/>
    <w:rsid w:val="00E20E23"/>
    <w:rsid w:val="00E2134A"/>
    <w:rsid w:val="00E2185B"/>
    <w:rsid w:val="00E22269"/>
    <w:rsid w:val="00E224F5"/>
    <w:rsid w:val="00E22C4E"/>
    <w:rsid w:val="00E24287"/>
    <w:rsid w:val="00E24D05"/>
    <w:rsid w:val="00E24D22"/>
    <w:rsid w:val="00E25589"/>
    <w:rsid w:val="00E25E7F"/>
    <w:rsid w:val="00E26989"/>
    <w:rsid w:val="00E26C12"/>
    <w:rsid w:val="00E271CC"/>
    <w:rsid w:val="00E302B7"/>
    <w:rsid w:val="00E324C2"/>
    <w:rsid w:val="00E329B3"/>
    <w:rsid w:val="00E33BF5"/>
    <w:rsid w:val="00E3553D"/>
    <w:rsid w:val="00E3663D"/>
    <w:rsid w:val="00E36CBA"/>
    <w:rsid w:val="00E37DD8"/>
    <w:rsid w:val="00E40383"/>
    <w:rsid w:val="00E41815"/>
    <w:rsid w:val="00E424E8"/>
    <w:rsid w:val="00E426BE"/>
    <w:rsid w:val="00E42F41"/>
    <w:rsid w:val="00E42F68"/>
    <w:rsid w:val="00E43552"/>
    <w:rsid w:val="00E44624"/>
    <w:rsid w:val="00E4521C"/>
    <w:rsid w:val="00E4531F"/>
    <w:rsid w:val="00E46B9D"/>
    <w:rsid w:val="00E47166"/>
    <w:rsid w:val="00E51674"/>
    <w:rsid w:val="00E521D0"/>
    <w:rsid w:val="00E53881"/>
    <w:rsid w:val="00E53C9C"/>
    <w:rsid w:val="00E5477F"/>
    <w:rsid w:val="00E54933"/>
    <w:rsid w:val="00E5559D"/>
    <w:rsid w:val="00E55886"/>
    <w:rsid w:val="00E57204"/>
    <w:rsid w:val="00E57B44"/>
    <w:rsid w:val="00E57E3C"/>
    <w:rsid w:val="00E57F58"/>
    <w:rsid w:val="00E61450"/>
    <w:rsid w:val="00E62E85"/>
    <w:rsid w:val="00E62FF6"/>
    <w:rsid w:val="00E63184"/>
    <w:rsid w:val="00E63F3B"/>
    <w:rsid w:val="00E6568E"/>
    <w:rsid w:val="00E67241"/>
    <w:rsid w:val="00E673D9"/>
    <w:rsid w:val="00E67554"/>
    <w:rsid w:val="00E70433"/>
    <w:rsid w:val="00E708F6"/>
    <w:rsid w:val="00E70A06"/>
    <w:rsid w:val="00E712D3"/>
    <w:rsid w:val="00E72112"/>
    <w:rsid w:val="00E7222D"/>
    <w:rsid w:val="00E72352"/>
    <w:rsid w:val="00E724D7"/>
    <w:rsid w:val="00E72950"/>
    <w:rsid w:val="00E72B06"/>
    <w:rsid w:val="00E7340E"/>
    <w:rsid w:val="00E7341B"/>
    <w:rsid w:val="00E73F4B"/>
    <w:rsid w:val="00E75A11"/>
    <w:rsid w:val="00E7606E"/>
    <w:rsid w:val="00E80EC8"/>
    <w:rsid w:val="00E82FEF"/>
    <w:rsid w:val="00E83341"/>
    <w:rsid w:val="00E859E8"/>
    <w:rsid w:val="00E86637"/>
    <w:rsid w:val="00E8752C"/>
    <w:rsid w:val="00E87764"/>
    <w:rsid w:val="00E9017F"/>
    <w:rsid w:val="00E905FC"/>
    <w:rsid w:val="00E91412"/>
    <w:rsid w:val="00E91A8B"/>
    <w:rsid w:val="00E9376E"/>
    <w:rsid w:val="00E9377F"/>
    <w:rsid w:val="00E94792"/>
    <w:rsid w:val="00E9494A"/>
    <w:rsid w:val="00E94CC3"/>
    <w:rsid w:val="00E9596D"/>
    <w:rsid w:val="00E974A7"/>
    <w:rsid w:val="00EA06FE"/>
    <w:rsid w:val="00EA2445"/>
    <w:rsid w:val="00EA29B1"/>
    <w:rsid w:val="00EA399E"/>
    <w:rsid w:val="00EA4B31"/>
    <w:rsid w:val="00EA5420"/>
    <w:rsid w:val="00EA5E1B"/>
    <w:rsid w:val="00EA6A1B"/>
    <w:rsid w:val="00EB074C"/>
    <w:rsid w:val="00EB0F53"/>
    <w:rsid w:val="00EB279A"/>
    <w:rsid w:val="00EB2F1F"/>
    <w:rsid w:val="00EB318A"/>
    <w:rsid w:val="00EB48AA"/>
    <w:rsid w:val="00EB6617"/>
    <w:rsid w:val="00EB7655"/>
    <w:rsid w:val="00EC0251"/>
    <w:rsid w:val="00EC3843"/>
    <w:rsid w:val="00EC3E4B"/>
    <w:rsid w:val="00EC4197"/>
    <w:rsid w:val="00EC55DA"/>
    <w:rsid w:val="00EC575F"/>
    <w:rsid w:val="00ED047D"/>
    <w:rsid w:val="00ED0706"/>
    <w:rsid w:val="00ED07B0"/>
    <w:rsid w:val="00ED097B"/>
    <w:rsid w:val="00ED0BBC"/>
    <w:rsid w:val="00ED0FEC"/>
    <w:rsid w:val="00ED1127"/>
    <w:rsid w:val="00ED1172"/>
    <w:rsid w:val="00ED1356"/>
    <w:rsid w:val="00ED18C8"/>
    <w:rsid w:val="00ED3B02"/>
    <w:rsid w:val="00ED3E38"/>
    <w:rsid w:val="00ED56C6"/>
    <w:rsid w:val="00ED5EBD"/>
    <w:rsid w:val="00ED6A76"/>
    <w:rsid w:val="00ED6E29"/>
    <w:rsid w:val="00ED6FC8"/>
    <w:rsid w:val="00EE02C1"/>
    <w:rsid w:val="00EE1FDC"/>
    <w:rsid w:val="00EE24B7"/>
    <w:rsid w:val="00EE2865"/>
    <w:rsid w:val="00EE39CE"/>
    <w:rsid w:val="00EE3D83"/>
    <w:rsid w:val="00EE3F0C"/>
    <w:rsid w:val="00EE43B6"/>
    <w:rsid w:val="00EE4C4C"/>
    <w:rsid w:val="00EE54DD"/>
    <w:rsid w:val="00EE6987"/>
    <w:rsid w:val="00EE6B8D"/>
    <w:rsid w:val="00EE7759"/>
    <w:rsid w:val="00EE7BAA"/>
    <w:rsid w:val="00EE7F1A"/>
    <w:rsid w:val="00EF0A0E"/>
    <w:rsid w:val="00EF1064"/>
    <w:rsid w:val="00EF1490"/>
    <w:rsid w:val="00EF1573"/>
    <w:rsid w:val="00EF2030"/>
    <w:rsid w:val="00EF2E14"/>
    <w:rsid w:val="00EF33D5"/>
    <w:rsid w:val="00EF344A"/>
    <w:rsid w:val="00EF38EF"/>
    <w:rsid w:val="00EF40F5"/>
    <w:rsid w:val="00EF42F3"/>
    <w:rsid w:val="00EF4350"/>
    <w:rsid w:val="00EF52F9"/>
    <w:rsid w:val="00EF66E0"/>
    <w:rsid w:val="00EF6F6D"/>
    <w:rsid w:val="00EF7179"/>
    <w:rsid w:val="00EF78E2"/>
    <w:rsid w:val="00F00E68"/>
    <w:rsid w:val="00F02BB6"/>
    <w:rsid w:val="00F02D15"/>
    <w:rsid w:val="00F0450B"/>
    <w:rsid w:val="00F058D7"/>
    <w:rsid w:val="00F05C20"/>
    <w:rsid w:val="00F06522"/>
    <w:rsid w:val="00F066B2"/>
    <w:rsid w:val="00F06FD0"/>
    <w:rsid w:val="00F076E7"/>
    <w:rsid w:val="00F10D39"/>
    <w:rsid w:val="00F133CB"/>
    <w:rsid w:val="00F13C81"/>
    <w:rsid w:val="00F13C98"/>
    <w:rsid w:val="00F13E59"/>
    <w:rsid w:val="00F145C6"/>
    <w:rsid w:val="00F1700A"/>
    <w:rsid w:val="00F17078"/>
    <w:rsid w:val="00F200C6"/>
    <w:rsid w:val="00F21153"/>
    <w:rsid w:val="00F21502"/>
    <w:rsid w:val="00F21FC0"/>
    <w:rsid w:val="00F225CB"/>
    <w:rsid w:val="00F24D13"/>
    <w:rsid w:val="00F2557E"/>
    <w:rsid w:val="00F2586F"/>
    <w:rsid w:val="00F2679E"/>
    <w:rsid w:val="00F27720"/>
    <w:rsid w:val="00F27C73"/>
    <w:rsid w:val="00F27EDF"/>
    <w:rsid w:val="00F32822"/>
    <w:rsid w:val="00F33BF3"/>
    <w:rsid w:val="00F34FE9"/>
    <w:rsid w:val="00F356EC"/>
    <w:rsid w:val="00F3698A"/>
    <w:rsid w:val="00F36BBC"/>
    <w:rsid w:val="00F36BE6"/>
    <w:rsid w:val="00F37197"/>
    <w:rsid w:val="00F3757B"/>
    <w:rsid w:val="00F37586"/>
    <w:rsid w:val="00F406CD"/>
    <w:rsid w:val="00F4152D"/>
    <w:rsid w:val="00F415B3"/>
    <w:rsid w:val="00F428EC"/>
    <w:rsid w:val="00F42AC9"/>
    <w:rsid w:val="00F435A5"/>
    <w:rsid w:val="00F43655"/>
    <w:rsid w:val="00F43D47"/>
    <w:rsid w:val="00F442F1"/>
    <w:rsid w:val="00F4439F"/>
    <w:rsid w:val="00F446A5"/>
    <w:rsid w:val="00F46323"/>
    <w:rsid w:val="00F503A8"/>
    <w:rsid w:val="00F50EEE"/>
    <w:rsid w:val="00F51415"/>
    <w:rsid w:val="00F52369"/>
    <w:rsid w:val="00F530D4"/>
    <w:rsid w:val="00F542FA"/>
    <w:rsid w:val="00F54506"/>
    <w:rsid w:val="00F552CE"/>
    <w:rsid w:val="00F557BD"/>
    <w:rsid w:val="00F559A5"/>
    <w:rsid w:val="00F55A86"/>
    <w:rsid w:val="00F55E0B"/>
    <w:rsid w:val="00F56594"/>
    <w:rsid w:val="00F56A95"/>
    <w:rsid w:val="00F56CC4"/>
    <w:rsid w:val="00F575BF"/>
    <w:rsid w:val="00F609EA"/>
    <w:rsid w:val="00F60C61"/>
    <w:rsid w:val="00F620C2"/>
    <w:rsid w:val="00F6228E"/>
    <w:rsid w:val="00F6292F"/>
    <w:rsid w:val="00F62C6F"/>
    <w:rsid w:val="00F63794"/>
    <w:rsid w:val="00F64570"/>
    <w:rsid w:val="00F652E6"/>
    <w:rsid w:val="00F65BA7"/>
    <w:rsid w:val="00F6659E"/>
    <w:rsid w:val="00F665B6"/>
    <w:rsid w:val="00F66819"/>
    <w:rsid w:val="00F6701B"/>
    <w:rsid w:val="00F678CD"/>
    <w:rsid w:val="00F67C1D"/>
    <w:rsid w:val="00F7001A"/>
    <w:rsid w:val="00F70E62"/>
    <w:rsid w:val="00F71986"/>
    <w:rsid w:val="00F72981"/>
    <w:rsid w:val="00F72B0A"/>
    <w:rsid w:val="00F73E6B"/>
    <w:rsid w:val="00F7405A"/>
    <w:rsid w:val="00F74B13"/>
    <w:rsid w:val="00F74B32"/>
    <w:rsid w:val="00F74C16"/>
    <w:rsid w:val="00F75044"/>
    <w:rsid w:val="00F7595F"/>
    <w:rsid w:val="00F75E6B"/>
    <w:rsid w:val="00F76024"/>
    <w:rsid w:val="00F7627B"/>
    <w:rsid w:val="00F76436"/>
    <w:rsid w:val="00F77B2B"/>
    <w:rsid w:val="00F77E63"/>
    <w:rsid w:val="00F808F3"/>
    <w:rsid w:val="00F80C26"/>
    <w:rsid w:val="00F81F44"/>
    <w:rsid w:val="00F82ABC"/>
    <w:rsid w:val="00F83443"/>
    <w:rsid w:val="00F835EA"/>
    <w:rsid w:val="00F84C80"/>
    <w:rsid w:val="00F84CCE"/>
    <w:rsid w:val="00F85359"/>
    <w:rsid w:val="00F86083"/>
    <w:rsid w:val="00F8728A"/>
    <w:rsid w:val="00F87773"/>
    <w:rsid w:val="00F908A2"/>
    <w:rsid w:val="00F92C75"/>
    <w:rsid w:val="00F93AAE"/>
    <w:rsid w:val="00F9449D"/>
    <w:rsid w:val="00F9480A"/>
    <w:rsid w:val="00F94EA5"/>
    <w:rsid w:val="00FA0398"/>
    <w:rsid w:val="00FA05DE"/>
    <w:rsid w:val="00FA0A77"/>
    <w:rsid w:val="00FA1E91"/>
    <w:rsid w:val="00FA1EB8"/>
    <w:rsid w:val="00FA2AA0"/>
    <w:rsid w:val="00FA3FD7"/>
    <w:rsid w:val="00FA596F"/>
    <w:rsid w:val="00FA5970"/>
    <w:rsid w:val="00FA5DA2"/>
    <w:rsid w:val="00FB007F"/>
    <w:rsid w:val="00FB0A9D"/>
    <w:rsid w:val="00FB0D8B"/>
    <w:rsid w:val="00FB1FA5"/>
    <w:rsid w:val="00FB256D"/>
    <w:rsid w:val="00FB2F4C"/>
    <w:rsid w:val="00FB3948"/>
    <w:rsid w:val="00FB480B"/>
    <w:rsid w:val="00FB4D85"/>
    <w:rsid w:val="00FB6342"/>
    <w:rsid w:val="00FB6539"/>
    <w:rsid w:val="00FB662B"/>
    <w:rsid w:val="00FB6F6C"/>
    <w:rsid w:val="00FB75B3"/>
    <w:rsid w:val="00FB7750"/>
    <w:rsid w:val="00FC03BC"/>
    <w:rsid w:val="00FC1525"/>
    <w:rsid w:val="00FC22F5"/>
    <w:rsid w:val="00FC2647"/>
    <w:rsid w:val="00FC2F9B"/>
    <w:rsid w:val="00FC3A6A"/>
    <w:rsid w:val="00FC3DC4"/>
    <w:rsid w:val="00FC4B7B"/>
    <w:rsid w:val="00FC5716"/>
    <w:rsid w:val="00FC59BD"/>
    <w:rsid w:val="00FC6B76"/>
    <w:rsid w:val="00FD0943"/>
    <w:rsid w:val="00FD2144"/>
    <w:rsid w:val="00FD2344"/>
    <w:rsid w:val="00FD23DA"/>
    <w:rsid w:val="00FD27BC"/>
    <w:rsid w:val="00FD2FCD"/>
    <w:rsid w:val="00FD3AE7"/>
    <w:rsid w:val="00FD41A1"/>
    <w:rsid w:val="00FD636B"/>
    <w:rsid w:val="00FD6613"/>
    <w:rsid w:val="00FD6D13"/>
    <w:rsid w:val="00FE1EDF"/>
    <w:rsid w:val="00FE2738"/>
    <w:rsid w:val="00FE2D27"/>
    <w:rsid w:val="00FE30B0"/>
    <w:rsid w:val="00FE40FC"/>
    <w:rsid w:val="00FE4AE5"/>
    <w:rsid w:val="00FE4D0E"/>
    <w:rsid w:val="00FE569F"/>
    <w:rsid w:val="00FE6857"/>
    <w:rsid w:val="00FF02B4"/>
    <w:rsid w:val="00FF106E"/>
    <w:rsid w:val="00FF1074"/>
    <w:rsid w:val="00FF4744"/>
    <w:rsid w:val="00FF5185"/>
    <w:rsid w:val="00FF52BC"/>
    <w:rsid w:val="00FF549D"/>
    <w:rsid w:val="00FF5679"/>
    <w:rsid w:val="00FF574E"/>
    <w:rsid w:val="00FF5B2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F9FA5"/>
  <w15:docId w15:val="{14ED225C-B5AA-435D-85DC-77C850C4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7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7CB"/>
    <w:rPr>
      <w:rFonts w:ascii="Segoe UI" w:hAnsi="Segoe UI" w:cs="Segoe UI"/>
      <w:sz w:val="18"/>
      <w:szCs w:val="18"/>
    </w:rPr>
  </w:style>
  <w:style w:type="paragraph" w:styleId="ListParagraph">
    <w:name w:val="List Paragraph"/>
    <w:basedOn w:val="Normal"/>
    <w:uiPriority w:val="34"/>
    <w:qFormat/>
    <w:rsid w:val="003C77CB"/>
    <w:pPr>
      <w:ind w:left="720"/>
      <w:contextualSpacing/>
    </w:pPr>
  </w:style>
  <w:style w:type="table" w:styleId="PlainTable2">
    <w:name w:val="Plain Table 2"/>
    <w:basedOn w:val="TableNormal"/>
    <w:uiPriority w:val="42"/>
    <w:rsid w:val="00D93CC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C72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2D6"/>
  </w:style>
  <w:style w:type="paragraph" w:styleId="Footer">
    <w:name w:val="footer"/>
    <w:basedOn w:val="Normal"/>
    <w:link w:val="FooterChar"/>
    <w:uiPriority w:val="99"/>
    <w:unhideWhenUsed/>
    <w:rsid w:val="00DC72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2D6"/>
  </w:style>
  <w:style w:type="character" w:styleId="CommentReference">
    <w:name w:val="annotation reference"/>
    <w:basedOn w:val="DefaultParagraphFont"/>
    <w:uiPriority w:val="99"/>
    <w:semiHidden/>
    <w:unhideWhenUsed/>
    <w:rsid w:val="00D64F1C"/>
    <w:rPr>
      <w:sz w:val="16"/>
      <w:szCs w:val="16"/>
    </w:rPr>
  </w:style>
  <w:style w:type="paragraph" w:styleId="CommentText">
    <w:name w:val="annotation text"/>
    <w:basedOn w:val="Normal"/>
    <w:link w:val="CommentTextChar"/>
    <w:uiPriority w:val="99"/>
    <w:unhideWhenUsed/>
    <w:rsid w:val="00D64F1C"/>
    <w:pPr>
      <w:spacing w:line="240" w:lineRule="auto"/>
    </w:pPr>
    <w:rPr>
      <w:sz w:val="20"/>
      <w:szCs w:val="20"/>
    </w:rPr>
  </w:style>
  <w:style w:type="character" w:customStyle="1" w:styleId="CommentTextChar">
    <w:name w:val="Comment Text Char"/>
    <w:basedOn w:val="DefaultParagraphFont"/>
    <w:link w:val="CommentText"/>
    <w:uiPriority w:val="99"/>
    <w:rsid w:val="00D64F1C"/>
    <w:rPr>
      <w:sz w:val="20"/>
      <w:szCs w:val="20"/>
    </w:rPr>
  </w:style>
  <w:style w:type="paragraph" w:styleId="CommentSubject">
    <w:name w:val="annotation subject"/>
    <w:basedOn w:val="CommentText"/>
    <w:next w:val="CommentText"/>
    <w:link w:val="CommentSubjectChar"/>
    <w:uiPriority w:val="99"/>
    <w:semiHidden/>
    <w:unhideWhenUsed/>
    <w:rsid w:val="00D64F1C"/>
    <w:rPr>
      <w:b/>
      <w:bCs/>
    </w:rPr>
  </w:style>
  <w:style w:type="character" w:customStyle="1" w:styleId="CommentSubjectChar">
    <w:name w:val="Comment Subject Char"/>
    <w:basedOn w:val="CommentTextChar"/>
    <w:link w:val="CommentSubject"/>
    <w:uiPriority w:val="99"/>
    <w:semiHidden/>
    <w:rsid w:val="00D64F1C"/>
    <w:rPr>
      <w:b/>
      <w:bCs/>
      <w:sz w:val="20"/>
      <w:szCs w:val="20"/>
    </w:rPr>
  </w:style>
  <w:style w:type="paragraph" w:styleId="NormalWeb">
    <w:name w:val="Normal (Web)"/>
    <w:basedOn w:val="Normal"/>
    <w:uiPriority w:val="99"/>
    <w:semiHidden/>
    <w:unhideWhenUsed/>
    <w:rsid w:val="004949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13D89"/>
    <w:rPr>
      <w:color w:val="0563C1" w:themeColor="hyperlink"/>
      <w:u w:val="single"/>
    </w:rPr>
  </w:style>
  <w:style w:type="character" w:customStyle="1" w:styleId="UnresolvedMention1">
    <w:name w:val="Unresolved Mention1"/>
    <w:basedOn w:val="DefaultParagraphFont"/>
    <w:uiPriority w:val="99"/>
    <w:semiHidden/>
    <w:unhideWhenUsed/>
    <w:rsid w:val="00181F88"/>
    <w:rPr>
      <w:color w:val="605E5C"/>
      <w:shd w:val="clear" w:color="auto" w:fill="E1DFDD"/>
    </w:rPr>
  </w:style>
  <w:style w:type="character" w:styleId="FollowedHyperlink">
    <w:name w:val="FollowedHyperlink"/>
    <w:basedOn w:val="DefaultParagraphFont"/>
    <w:uiPriority w:val="99"/>
    <w:semiHidden/>
    <w:unhideWhenUsed/>
    <w:rsid w:val="00531967"/>
    <w:rPr>
      <w:color w:val="954F72" w:themeColor="followedHyperlink"/>
      <w:u w:val="single"/>
    </w:rPr>
  </w:style>
  <w:style w:type="paragraph" w:styleId="Revision">
    <w:name w:val="Revision"/>
    <w:hidden/>
    <w:uiPriority w:val="99"/>
    <w:semiHidden/>
    <w:rsid w:val="00855EC6"/>
    <w:pPr>
      <w:spacing w:after="0" w:line="240" w:lineRule="auto"/>
    </w:pPr>
  </w:style>
  <w:style w:type="character" w:customStyle="1" w:styleId="UnresolvedMention2">
    <w:name w:val="Unresolved Mention2"/>
    <w:basedOn w:val="DefaultParagraphFont"/>
    <w:uiPriority w:val="99"/>
    <w:semiHidden/>
    <w:unhideWhenUsed/>
    <w:rsid w:val="0029735D"/>
    <w:rPr>
      <w:color w:val="605E5C"/>
      <w:shd w:val="clear" w:color="auto" w:fill="E1DFDD"/>
    </w:rPr>
  </w:style>
  <w:style w:type="character" w:customStyle="1" w:styleId="UnresolvedMention3">
    <w:name w:val="Unresolved Mention3"/>
    <w:basedOn w:val="DefaultParagraphFont"/>
    <w:uiPriority w:val="99"/>
    <w:semiHidden/>
    <w:unhideWhenUsed/>
    <w:rsid w:val="008650E8"/>
    <w:rPr>
      <w:color w:val="605E5C"/>
      <w:shd w:val="clear" w:color="auto" w:fill="E1DFDD"/>
    </w:rPr>
  </w:style>
  <w:style w:type="character" w:styleId="UnresolvedMention">
    <w:name w:val="Unresolved Mention"/>
    <w:basedOn w:val="DefaultParagraphFont"/>
    <w:uiPriority w:val="99"/>
    <w:semiHidden/>
    <w:unhideWhenUsed/>
    <w:rsid w:val="00D45D27"/>
    <w:rPr>
      <w:color w:val="605E5C"/>
      <w:shd w:val="clear" w:color="auto" w:fill="E1DFDD"/>
    </w:rPr>
  </w:style>
  <w:style w:type="character" w:styleId="LineNumber">
    <w:name w:val="line number"/>
    <w:basedOn w:val="DefaultParagraphFont"/>
    <w:uiPriority w:val="99"/>
    <w:semiHidden/>
    <w:unhideWhenUsed/>
    <w:rsid w:val="004E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11304">
      <w:bodyDiv w:val="1"/>
      <w:marLeft w:val="0"/>
      <w:marRight w:val="0"/>
      <w:marTop w:val="0"/>
      <w:marBottom w:val="0"/>
      <w:divBdr>
        <w:top w:val="none" w:sz="0" w:space="0" w:color="auto"/>
        <w:left w:val="none" w:sz="0" w:space="0" w:color="auto"/>
        <w:bottom w:val="none" w:sz="0" w:space="0" w:color="auto"/>
        <w:right w:val="none" w:sz="0" w:space="0" w:color="auto"/>
      </w:divBdr>
      <w:divsChild>
        <w:div w:id="1643804043">
          <w:marLeft w:val="0"/>
          <w:marRight w:val="0"/>
          <w:marTop w:val="0"/>
          <w:marBottom w:val="0"/>
          <w:divBdr>
            <w:top w:val="none" w:sz="0" w:space="0" w:color="auto"/>
            <w:left w:val="none" w:sz="0" w:space="0" w:color="auto"/>
            <w:bottom w:val="none" w:sz="0" w:space="0" w:color="auto"/>
            <w:right w:val="none" w:sz="0" w:space="0" w:color="auto"/>
          </w:divBdr>
        </w:div>
      </w:divsChild>
    </w:div>
    <w:div w:id="84231575">
      <w:bodyDiv w:val="1"/>
      <w:marLeft w:val="0"/>
      <w:marRight w:val="0"/>
      <w:marTop w:val="0"/>
      <w:marBottom w:val="0"/>
      <w:divBdr>
        <w:top w:val="none" w:sz="0" w:space="0" w:color="auto"/>
        <w:left w:val="none" w:sz="0" w:space="0" w:color="auto"/>
        <w:bottom w:val="none" w:sz="0" w:space="0" w:color="auto"/>
        <w:right w:val="none" w:sz="0" w:space="0" w:color="auto"/>
      </w:divBdr>
    </w:div>
    <w:div w:id="223293467">
      <w:bodyDiv w:val="1"/>
      <w:marLeft w:val="0"/>
      <w:marRight w:val="0"/>
      <w:marTop w:val="0"/>
      <w:marBottom w:val="0"/>
      <w:divBdr>
        <w:top w:val="none" w:sz="0" w:space="0" w:color="auto"/>
        <w:left w:val="none" w:sz="0" w:space="0" w:color="auto"/>
        <w:bottom w:val="none" w:sz="0" w:space="0" w:color="auto"/>
        <w:right w:val="none" w:sz="0" w:space="0" w:color="auto"/>
      </w:divBdr>
      <w:divsChild>
        <w:div w:id="1508210136">
          <w:marLeft w:val="0"/>
          <w:marRight w:val="0"/>
          <w:marTop w:val="0"/>
          <w:marBottom w:val="0"/>
          <w:divBdr>
            <w:top w:val="none" w:sz="0" w:space="0" w:color="auto"/>
            <w:left w:val="none" w:sz="0" w:space="0" w:color="auto"/>
            <w:bottom w:val="none" w:sz="0" w:space="0" w:color="auto"/>
            <w:right w:val="none" w:sz="0" w:space="0" w:color="auto"/>
          </w:divBdr>
        </w:div>
      </w:divsChild>
    </w:div>
    <w:div w:id="277371257">
      <w:bodyDiv w:val="1"/>
      <w:marLeft w:val="0"/>
      <w:marRight w:val="0"/>
      <w:marTop w:val="0"/>
      <w:marBottom w:val="0"/>
      <w:divBdr>
        <w:top w:val="none" w:sz="0" w:space="0" w:color="auto"/>
        <w:left w:val="none" w:sz="0" w:space="0" w:color="auto"/>
        <w:bottom w:val="none" w:sz="0" w:space="0" w:color="auto"/>
        <w:right w:val="none" w:sz="0" w:space="0" w:color="auto"/>
      </w:divBdr>
    </w:div>
    <w:div w:id="385182237">
      <w:bodyDiv w:val="1"/>
      <w:marLeft w:val="0"/>
      <w:marRight w:val="0"/>
      <w:marTop w:val="0"/>
      <w:marBottom w:val="0"/>
      <w:divBdr>
        <w:top w:val="none" w:sz="0" w:space="0" w:color="auto"/>
        <w:left w:val="none" w:sz="0" w:space="0" w:color="auto"/>
        <w:bottom w:val="none" w:sz="0" w:space="0" w:color="auto"/>
        <w:right w:val="none" w:sz="0" w:space="0" w:color="auto"/>
      </w:divBdr>
    </w:div>
    <w:div w:id="412624333">
      <w:bodyDiv w:val="1"/>
      <w:marLeft w:val="0"/>
      <w:marRight w:val="0"/>
      <w:marTop w:val="0"/>
      <w:marBottom w:val="0"/>
      <w:divBdr>
        <w:top w:val="none" w:sz="0" w:space="0" w:color="auto"/>
        <w:left w:val="none" w:sz="0" w:space="0" w:color="auto"/>
        <w:bottom w:val="none" w:sz="0" w:space="0" w:color="auto"/>
        <w:right w:val="none" w:sz="0" w:space="0" w:color="auto"/>
      </w:divBdr>
    </w:div>
    <w:div w:id="421100854">
      <w:bodyDiv w:val="1"/>
      <w:marLeft w:val="0"/>
      <w:marRight w:val="0"/>
      <w:marTop w:val="0"/>
      <w:marBottom w:val="0"/>
      <w:divBdr>
        <w:top w:val="none" w:sz="0" w:space="0" w:color="auto"/>
        <w:left w:val="none" w:sz="0" w:space="0" w:color="auto"/>
        <w:bottom w:val="none" w:sz="0" w:space="0" w:color="auto"/>
        <w:right w:val="none" w:sz="0" w:space="0" w:color="auto"/>
      </w:divBdr>
    </w:div>
    <w:div w:id="436021334">
      <w:bodyDiv w:val="1"/>
      <w:marLeft w:val="0"/>
      <w:marRight w:val="0"/>
      <w:marTop w:val="0"/>
      <w:marBottom w:val="0"/>
      <w:divBdr>
        <w:top w:val="none" w:sz="0" w:space="0" w:color="auto"/>
        <w:left w:val="none" w:sz="0" w:space="0" w:color="auto"/>
        <w:bottom w:val="none" w:sz="0" w:space="0" w:color="auto"/>
        <w:right w:val="none" w:sz="0" w:space="0" w:color="auto"/>
      </w:divBdr>
    </w:div>
    <w:div w:id="436557394">
      <w:bodyDiv w:val="1"/>
      <w:marLeft w:val="0"/>
      <w:marRight w:val="0"/>
      <w:marTop w:val="0"/>
      <w:marBottom w:val="0"/>
      <w:divBdr>
        <w:top w:val="none" w:sz="0" w:space="0" w:color="auto"/>
        <w:left w:val="none" w:sz="0" w:space="0" w:color="auto"/>
        <w:bottom w:val="none" w:sz="0" w:space="0" w:color="auto"/>
        <w:right w:val="none" w:sz="0" w:space="0" w:color="auto"/>
      </w:divBdr>
    </w:div>
    <w:div w:id="471599681">
      <w:bodyDiv w:val="1"/>
      <w:marLeft w:val="0"/>
      <w:marRight w:val="0"/>
      <w:marTop w:val="0"/>
      <w:marBottom w:val="0"/>
      <w:divBdr>
        <w:top w:val="none" w:sz="0" w:space="0" w:color="auto"/>
        <w:left w:val="none" w:sz="0" w:space="0" w:color="auto"/>
        <w:bottom w:val="none" w:sz="0" w:space="0" w:color="auto"/>
        <w:right w:val="none" w:sz="0" w:space="0" w:color="auto"/>
      </w:divBdr>
    </w:div>
    <w:div w:id="584609244">
      <w:bodyDiv w:val="1"/>
      <w:marLeft w:val="0"/>
      <w:marRight w:val="0"/>
      <w:marTop w:val="0"/>
      <w:marBottom w:val="0"/>
      <w:divBdr>
        <w:top w:val="none" w:sz="0" w:space="0" w:color="auto"/>
        <w:left w:val="none" w:sz="0" w:space="0" w:color="auto"/>
        <w:bottom w:val="none" w:sz="0" w:space="0" w:color="auto"/>
        <w:right w:val="none" w:sz="0" w:space="0" w:color="auto"/>
      </w:divBdr>
    </w:div>
    <w:div w:id="659043689">
      <w:bodyDiv w:val="1"/>
      <w:marLeft w:val="0"/>
      <w:marRight w:val="0"/>
      <w:marTop w:val="0"/>
      <w:marBottom w:val="0"/>
      <w:divBdr>
        <w:top w:val="none" w:sz="0" w:space="0" w:color="auto"/>
        <w:left w:val="none" w:sz="0" w:space="0" w:color="auto"/>
        <w:bottom w:val="none" w:sz="0" w:space="0" w:color="auto"/>
        <w:right w:val="none" w:sz="0" w:space="0" w:color="auto"/>
      </w:divBdr>
    </w:div>
    <w:div w:id="832909891">
      <w:bodyDiv w:val="1"/>
      <w:marLeft w:val="0"/>
      <w:marRight w:val="0"/>
      <w:marTop w:val="0"/>
      <w:marBottom w:val="0"/>
      <w:divBdr>
        <w:top w:val="none" w:sz="0" w:space="0" w:color="auto"/>
        <w:left w:val="none" w:sz="0" w:space="0" w:color="auto"/>
        <w:bottom w:val="none" w:sz="0" w:space="0" w:color="auto"/>
        <w:right w:val="none" w:sz="0" w:space="0" w:color="auto"/>
      </w:divBdr>
    </w:div>
    <w:div w:id="840195320">
      <w:bodyDiv w:val="1"/>
      <w:marLeft w:val="0"/>
      <w:marRight w:val="0"/>
      <w:marTop w:val="0"/>
      <w:marBottom w:val="0"/>
      <w:divBdr>
        <w:top w:val="none" w:sz="0" w:space="0" w:color="auto"/>
        <w:left w:val="none" w:sz="0" w:space="0" w:color="auto"/>
        <w:bottom w:val="none" w:sz="0" w:space="0" w:color="auto"/>
        <w:right w:val="none" w:sz="0" w:space="0" w:color="auto"/>
      </w:divBdr>
    </w:div>
    <w:div w:id="842819690">
      <w:bodyDiv w:val="1"/>
      <w:marLeft w:val="0"/>
      <w:marRight w:val="0"/>
      <w:marTop w:val="0"/>
      <w:marBottom w:val="0"/>
      <w:divBdr>
        <w:top w:val="none" w:sz="0" w:space="0" w:color="auto"/>
        <w:left w:val="none" w:sz="0" w:space="0" w:color="auto"/>
        <w:bottom w:val="none" w:sz="0" w:space="0" w:color="auto"/>
        <w:right w:val="none" w:sz="0" w:space="0" w:color="auto"/>
      </w:divBdr>
    </w:div>
    <w:div w:id="894775473">
      <w:bodyDiv w:val="1"/>
      <w:marLeft w:val="0"/>
      <w:marRight w:val="0"/>
      <w:marTop w:val="0"/>
      <w:marBottom w:val="0"/>
      <w:divBdr>
        <w:top w:val="none" w:sz="0" w:space="0" w:color="auto"/>
        <w:left w:val="none" w:sz="0" w:space="0" w:color="auto"/>
        <w:bottom w:val="none" w:sz="0" w:space="0" w:color="auto"/>
        <w:right w:val="none" w:sz="0" w:space="0" w:color="auto"/>
      </w:divBdr>
    </w:div>
    <w:div w:id="923300065">
      <w:bodyDiv w:val="1"/>
      <w:marLeft w:val="0"/>
      <w:marRight w:val="0"/>
      <w:marTop w:val="0"/>
      <w:marBottom w:val="0"/>
      <w:divBdr>
        <w:top w:val="none" w:sz="0" w:space="0" w:color="auto"/>
        <w:left w:val="none" w:sz="0" w:space="0" w:color="auto"/>
        <w:bottom w:val="none" w:sz="0" w:space="0" w:color="auto"/>
        <w:right w:val="none" w:sz="0" w:space="0" w:color="auto"/>
      </w:divBdr>
      <w:divsChild>
        <w:div w:id="2130002359">
          <w:marLeft w:val="0"/>
          <w:marRight w:val="0"/>
          <w:marTop w:val="0"/>
          <w:marBottom w:val="0"/>
          <w:divBdr>
            <w:top w:val="none" w:sz="0" w:space="0" w:color="auto"/>
            <w:left w:val="none" w:sz="0" w:space="0" w:color="auto"/>
            <w:bottom w:val="none" w:sz="0" w:space="0" w:color="auto"/>
            <w:right w:val="none" w:sz="0" w:space="0" w:color="auto"/>
          </w:divBdr>
        </w:div>
      </w:divsChild>
    </w:div>
    <w:div w:id="1016267996">
      <w:bodyDiv w:val="1"/>
      <w:marLeft w:val="0"/>
      <w:marRight w:val="0"/>
      <w:marTop w:val="0"/>
      <w:marBottom w:val="0"/>
      <w:divBdr>
        <w:top w:val="none" w:sz="0" w:space="0" w:color="auto"/>
        <w:left w:val="none" w:sz="0" w:space="0" w:color="auto"/>
        <w:bottom w:val="none" w:sz="0" w:space="0" w:color="auto"/>
        <w:right w:val="none" w:sz="0" w:space="0" w:color="auto"/>
      </w:divBdr>
    </w:div>
    <w:div w:id="1020471004">
      <w:bodyDiv w:val="1"/>
      <w:marLeft w:val="0"/>
      <w:marRight w:val="0"/>
      <w:marTop w:val="0"/>
      <w:marBottom w:val="0"/>
      <w:divBdr>
        <w:top w:val="none" w:sz="0" w:space="0" w:color="auto"/>
        <w:left w:val="none" w:sz="0" w:space="0" w:color="auto"/>
        <w:bottom w:val="none" w:sz="0" w:space="0" w:color="auto"/>
        <w:right w:val="none" w:sz="0" w:space="0" w:color="auto"/>
      </w:divBdr>
    </w:div>
    <w:div w:id="1032269168">
      <w:bodyDiv w:val="1"/>
      <w:marLeft w:val="0"/>
      <w:marRight w:val="0"/>
      <w:marTop w:val="0"/>
      <w:marBottom w:val="0"/>
      <w:divBdr>
        <w:top w:val="none" w:sz="0" w:space="0" w:color="auto"/>
        <w:left w:val="none" w:sz="0" w:space="0" w:color="auto"/>
        <w:bottom w:val="none" w:sz="0" w:space="0" w:color="auto"/>
        <w:right w:val="none" w:sz="0" w:space="0" w:color="auto"/>
      </w:divBdr>
    </w:div>
    <w:div w:id="1157843698">
      <w:bodyDiv w:val="1"/>
      <w:marLeft w:val="0"/>
      <w:marRight w:val="0"/>
      <w:marTop w:val="0"/>
      <w:marBottom w:val="0"/>
      <w:divBdr>
        <w:top w:val="none" w:sz="0" w:space="0" w:color="auto"/>
        <w:left w:val="none" w:sz="0" w:space="0" w:color="auto"/>
        <w:bottom w:val="none" w:sz="0" w:space="0" w:color="auto"/>
        <w:right w:val="none" w:sz="0" w:space="0" w:color="auto"/>
      </w:divBdr>
    </w:div>
    <w:div w:id="1159266977">
      <w:bodyDiv w:val="1"/>
      <w:marLeft w:val="0"/>
      <w:marRight w:val="0"/>
      <w:marTop w:val="0"/>
      <w:marBottom w:val="0"/>
      <w:divBdr>
        <w:top w:val="none" w:sz="0" w:space="0" w:color="auto"/>
        <w:left w:val="none" w:sz="0" w:space="0" w:color="auto"/>
        <w:bottom w:val="none" w:sz="0" w:space="0" w:color="auto"/>
        <w:right w:val="none" w:sz="0" w:space="0" w:color="auto"/>
      </w:divBdr>
    </w:div>
    <w:div w:id="1165047770">
      <w:bodyDiv w:val="1"/>
      <w:marLeft w:val="0"/>
      <w:marRight w:val="0"/>
      <w:marTop w:val="0"/>
      <w:marBottom w:val="0"/>
      <w:divBdr>
        <w:top w:val="none" w:sz="0" w:space="0" w:color="auto"/>
        <w:left w:val="none" w:sz="0" w:space="0" w:color="auto"/>
        <w:bottom w:val="none" w:sz="0" w:space="0" w:color="auto"/>
        <w:right w:val="none" w:sz="0" w:space="0" w:color="auto"/>
      </w:divBdr>
    </w:div>
    <w:div w:id="1219825629">
      <w:bodyDiv w:val="1"/>
      <w:marLeft w:val="0"/>
      <w:marRight w:val="0"/>
      <w:marTop w:val="0"/>
      <w:marBottom w:val="0"/>
      <w:divBdr>
        <w:top w:val="none" w:sz="0" w:space="0" w:color="auto"/>
        <w:left w:val="none" w:sz="0" w:space="0" w:color="auto"/>
        <w:bottom w:val="none" w:sz="0" w:space="0" w:color="auto"/>
        <w:right w:val="none" w:sz="0" w:space="0" w:color="auto"/>
      </w:divBdr>
    </w:div>
    <w:div w:id="1249923866">
      <w:bodyDiv w:val="1"/>
      <w:marLeft w:val="0"/>
      <w:marRight w:val="0"/>
      <w:marTop w:val="0"/>
      <w:marBottom w:val="0"/>
      <w:divBdr>
        <w:top w:val="none" w:sz="0" w:space="0" w:color="auto"/>
        <w:left w:val="none" w:sz="0" w:space="0" w:color="auto"/>
        <w:bottom w:val="none" w:sz="0" w:space="0" w:color="auto"/>
        <w:right w:val="none" w:sz="0" w:space="0" w:color="auto"/>
      </w:divBdr>
    </w:div>
    <w:div w:id="1297025872">
      <w:bodyDiv w:val="1"/>
      <w:marLeft w:val="0"/>
      <w:marRight w:val="0"/>
      <w:marTop w:val="0"/>
      <w:marBottom w:val="0"/>
      <w:divBdr>
        <w:top w:val="none" w:sz="0" w:space="0" w:color="auto"/>
        <w:left w:val="none" w:sz="0" w:space="0" w:color="auto"/>
        <w:bottom w:val="none" w:sz="0" w:space="0" w:color="auto"/>
        <w:right w:val="none" w:sz="0" w:space="0" w:color="auto"/>
      </w:divBdr>
    </w:div>
    <w:div w:id="1299873359">
      <w:bodyDiv w:val="1"/>
      <w:marLeft w:val="0"/>
      <w:marRight w:val="0"/>
      <w:marTop w:val="0"/>
      <w:marBottom w:val="0"/>
      <w:divBdr>
        <w:top w:val="none" w:sz="0" w:space="0" w:color="auto"/>
        <w:left w:val="none" w:sz="0" w:space="0" w:color="auto"/>
        <w:bottom w:val="none" w:sz="0" w:space="0" w:color="auto"/>
        <w:right w:val="none" w:sz="0" w:space="0" w:color="auto"/>
      </w:divBdr>
    </w:div>
    <w:div w:id="1362777944">
      <w:bodyDiv w:val="1"/>
      <w:marLeft w:val="0"/>
      <w:marRight w:val="0"/>
      <w:marTop w:val="0"/>
      <w:marBottom w:val="0"/>
      <w:divBdr>
        <w:top w:val="none" w:sz="0" w:space="0" w:color="auto"/>
        <w:left w:val="none" w:sz="0" w:space="0" w:color="auto"/>
        <w:bottom w:val="none" w:sz="0" w:space="0" w:color="auto"/>
        <w:right w:val="none" w:sz="0" w:space="0" w:color="auto"/>
      </w:divBdr>
    </w:div>
    <w:div w:id="1389839589">
      <w:bodyDiv w:val="1"/>
      <w:marLeft w:val="0"/>
      <w:marRight w:val="0"/>
      <w:marTop w:val="0"/>
      <w:marBottom w:val="0"/>
      <w:divBdr>
        <w:top w:val="none" w:sz="0" w:space="0" w:color="auto"/>
        <w:left w:val="none" w:sz="0" w:space="0" w:color="auto"/>
        <w:bottom w:val="none" w:sz="0" w:space="0" w:color="auto"/>
        <w:right w:val="none" w:sz="0" w:space="0" w:color="auto"/>
      </w:divBdr>
    </w:div>
    <w:div w:id="1446733083">
      <w:bodyDiv w:val="1"/>
      <w:marLeft w:val="0"/>
      <w:marRight w:val="0"/>
      <w:marTop w:val="0"/>
      <w:marBottom w:val="0"/>
      <w:divBdr>
        <w:top w:val="none" w:sz="0" w:space="0" w:color="auto"/>
        <w:left w:val="none" w:sz="0" w:space="0" w:color="auto"/>
        <w:bottom w:val="none" w:sz="0" w:space="0" w:color="auto"/>
        <w:right w:val="none" w:sz="0" w:space="0" w:color="auto"/>
      </w:divBdr>
    </w:div>
    <w:div w:id="1471941130">
      <w:bodyDiv w:val="1"/>
      <w:marLeft w:val="0"/>
      <w:marRight w:val="0"/>
      <w:marTop w:val="0"/>
      <w:marBottom w:val="0"/>
      <w:divBdr>
        <w:top w:val="none" w:sz="0" w:space="0" w:color="auto"/>
        <w:left w:val="none" w:sz="0" w:space="0" w:color="auto"/>
        <w:bottom w:val="none" w:sz="0" w:space="0" w:color="auto"/>
        <w:right w:val="none" w:sz="0" w:space="0" w:color="auto"/>
      </w:divBdr>
    </w:div>
    <w:div w:id="1486581303">
      <w:bodyDiv w:val="1"/>
      <w:marLeft w:val="0"/>
      <w:marRight w:val="0"/>
      <w:marTop w:val="0"/>
      <w:marBottom w:val="0"/>
      <w:divBdr>
        <w:top w:val="none" w:sz="0" w:space="0" w:color="auto"/>
        <w:left w:val="none" w:sz="0" w:space="0" w:color="auto"/>
        <w:bottom w:val="none" w:sz="0" w:space="0" w:color="auto"/>
        <w:right w:val="none" w:sz="0" w:space="0" w:color="auto"/>
      </w:divBdr>
    </w:div>
    <w:div w:id="1502043658">
      <w:bodyDiv w:val="1"/>
      <w:marLeft w:val="0"/>
      <w:marRight w:val="0"/>
      <w:marTop w:val="0"/>
      <w:marBottom w:val="0"/>
      <w:divBdr>
        <w:top w:val="none" w:sz="0" w:space="0" w:color="auto"/>
        <w:left w:val="none" w:sz="0" w:space="0" w:color="auto"/>
        <w:bottom w:val="none" w:sz="0" w:space="0" w:color="auto"/>
        <w:right w:val="none" w:sz="0" w:space="0" w:color="auto"/>
      </w:divBdr>
    </w:div>
    <w:div w:id="1614052233">
      <w:bodyDiv w:val="1"/>
      <w:marLeft w:val="0"/>
      <w:marRight w:val="0"/>
      <w:marTop w:val="0"/>
      <w:marBottom w:val="0"/>
      <w:divBdr>
        <w:top w:val="none" w:sz="0" w:space="0" w:color="auto"/>
        <w:left w:val="none" w:sz="0" w:space="0" w:color="auto"/>
        <w:bottom w:val="none" w:sz="0" w:space="0" w:color="auto"/>
        <w:right w:val="none" w:sz="0" w:space="0" w:color="auto"/>
      </w:divBdr>
    </w:div>
    <w:div w:id="1861964171">
      <w:bodyDiv w:val="1"/>
      <w:marLeft w:val="0"/>
      <w:marRight w:val="0"/>
      <w:marTop w:val="0"/>
      <w:marBottom w:val="0"/>
      <w:divBdr>
        <w:top w:val="none" w:sz="0" w:space="0" w:color="auto"/>
        <w:left w:val="none" w:sz="0" w:space="0" w:color="auto"/>
        <w:bottom w:val="none" w:sz="0" w:space="0" w:color="auto"/>
        <w:right w:val="none" w:sz="0" w:space="0" w:color="auto"/>
      </w:divBdr>
    </w:div>
    <w:div w:id="1888100360">
      <w:bodyDiv w:val="1"/>
      <w:marLeft w:val="0"/>
      <w:marRight w:val="0"/>
      <w:marTop w:val="0"/>
      <w:marBottom w:val="0"/>
      <w:divBdr>
        <w:top w:val="none" w:sz="0" w:space="0" w:color="auto"/>
        <w:left w:val="none" w:sz="0" w:space="0" w:color="auto"/>
        <w:bottom w:val="none" w:sz="0" w:space="0" w:color="auto"/>
        <w:right w:val="none" w:sz="0" w:space="0" w:color="auto"/>
      </w:divBdr>
    </w:div>
    <w:div w:id="1924728114">
      <w:bodyDiv w:val="1"/>
      <w:marLeft w:val="0"/>
      <w:marRight w:val="0"/>
      <w:marTop w:val="0"/>
      <w:marBottom w:val="0"/>
      <w:divBdr>
        <w:top w:val="none" w:sz="0" w:space="0" w:color="auto"/>
        <w:left w:val="none" w:sz="0" w:space="0" w:color="auto"/>
        <w:bottom w:val="none" w:sz="0" w:space="0" w:color="auto"/>
        <w:right w:val="none" w:sz="0" w:space="0" w:color="auto"/>
      </w:divBdr>
    </w:div>
    <w:div w:id="1934388650">
      <w:bodyDiv w:val="1"/>
      <w:marLeft w:val="0"/>
      <w:marRight w:val="0"/>
      <w:marTop w:val="0"/>
      <w:marBottom w:val="0"/>
      <w:divBdr>
        <w:top w:val="none" w:sz="0" w:space="0" w:color="auto"/>
        <w:left w:val="none" w:sz="0" w:space="0" w:color="auto"/>
        <w:bottom w:val="none" w:sz="0" w:space="0" w:color="auto"/>
        <w:right w:val="none" w:sz="0" w:space="0" w:color="auto"/>
      </w:divBdr>
    </w:div>
    <w:div w:id="1935748113">
      <w:bodyDiv w:val="1"/>
      <w:marLeft w:val="0"/>
      <w:marRight w:val="0"/>
      <w:marTop w:val="0"/>
      <w:marBottom w:val="0"/>
      <w:divBdr>
        <w:top w:val="none" w:sz="0" w:space="0" w:color="auto"/>
        <w:left w:val="none" w:sz="0" w:space="0" w:color="auto"/>
        <w:bottom w:val="none" w:sz="0" w:space="0" w:color="auto"/>
        <w:right w:val="none" w:sz="0" w:space="0" w:color="auto"/>
      </w:divBdr>
    </w:div>
    <w:div w:id="1953704614">
      <w:bodyDiv w:val="1"/>
      <w:marLeft w:val="0"/>
      <w:marRight w:val="0"/>
      <w:marTop w:val="0"/>
      <w:marBottom w:val="0"/>
      <w:divBdr>
        <w:top w:val="none" w:sz="0" w:space="0" w:color="auto"/>
        <w:left w:val="none" w:sz="0" w:space="0" w:color="auto"/>
        <w:bottom w:val="none" w:sz="0" w:space="0" w:color="auto"/>
        <w:right w:val="none" w:sz="0" w:space="0" w:color="auto"/>
      </w:divBdr>
    </w:div>
    <w:div w:id="2000038707">
      <w:bodyDiv w:val="1"/>
      <w:marLeft w:val="0"/>
      <w:marRight w:val="0"/>
      <w:marTop w:val="0"/>
      <w:marBottom w:val="0"/>
      <w:divBdr>
        <w:top w:val="none" w:sz="0" w:space="0" w:color="auto"/>
        <w:left w:val="none" w:sz="0" w:space="0" w:color="auto"/>
        <w:bottom w:val="none" w:sz="0" w:space="0" w:color="auto"/>
        <w:right w:val="none" w:sz="0" w:space="0" w:color="auto"/>
      </w:divBdr>
      <w:divsChild>
        <w:div w:id="648092026">
          <w:marLeft w:val="0"/>
          <w:marRight w:val="0"/>
          <w:marTop w:val="0"/>
          <w:marBottom w:val="0"/>
          <w:divBdr>
            <w:top w:val="none" w:sz="0" w:space="0" w:color="auto"/>
            <w:left w:val="none" w:sz="0" w:space="0" w:color="auto"/>
            <w:bottom w:val="none" w:sz="0" w:space="0" w:color="auto"/>
            <w:right w:val="none" w:sz="0" w:space="0" w:color="auto"/>
          </w:divBdr>
        </w:div>
      </w:divsChild>
    </w:div>
    <w:div w:id="2047413898">
      <w:bodyDiv w:val="1"/>
      <w:marLeft w:val="0"/>
      <w:marRight w:val="0"/>
      <w:marTop w:val="0"/>
      <w:marBottom w:val="0"/>
      <w:divBdr>
        <w:top w:val="none" w:sz="0" w:space="0" w:color="auto"/>
        <w:left w:val="none" w:sz="0" w:space="0" w:color="auto"/>
        <w:bottom w:val="none" w:sz="0" w:space="0" w:color="auto"/>
        <w:right w:val="none" w:sz="0" w:space="0" w:color="auto"/>
      </w:divBdr>
    </w:div>
    <w:div w:id="2067407304">
      <w:bodyDiv w:val="1"/>
      <w:marLeft w:val="0"/>
      <w:marRight w:val="0"/>
      <w:marTop w:val="0"/>
      <w:marBottom w:val="0"/>
      <w:divBdr>
        <w:top w:val="none" w:sz="0" w:space="0" w:color="auto"/>
        <w:left w:val="none" w:sz="0" w:space="0" w:color="auto"/>
        <w:bottom w:val="none" w:sz="0" w:space="0" w:color="auto"/>
        <w:right w:val="none" w:sz="0" w:space="0" w:color="auto"/>
      </w:divBdr>
    </w:div>
    <w:div w:id="2074622560">
      <w:bodyDiv w:val="1"/>
      <w:marLeft w:val="0"/>
      <w:marRight w:val="0"/>
      <w:marTop w:val="0"/>
      <w:marBottom w:val="0"/>
      <w:divBdr>
        <w:top w:val="none" w:sz="0" w:space="0" w:color="auto"/>
        <w:left w:val="none" w:sz="0" w:space="0" w:color="auto"/>
        <w:bottom w:val="none" w:sz="0" w:space="0" w:color="auto"/>
        <w:right w:val="none" w:sz="0" w:space="0" w:color="auto"/>
      </w:divBdr>
    </w:div>
    <w:div w:id="2092508951">
      <w:bodyDiv w:val="1"/>
      <w:marLeft w:val="0"/>
      <w:marRight w:val="0"/>
      <w:marTop w:val="0"/>
      <w:marBottom w:val="0"/>
      <w:divBdr>
        <w:top w:val="none" w:sz="0" w:space="0" w:color="auto"/>
        <w:left w:val="none" w:sz="0" w:space="0" w:color="auto"/>
        <w:bottom w:val="none" w:sz="0" w:space="0" w:color="auto"/>
        <w:right w:val="none" w:sz="0" w:space="0" w:color="auto"/>
      </w:divBdr>
    </w:div>
    <w:div w:id="2137487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00005053-199910000-00002" TargetMode="External"/><Relationship Id="rId18" Type="http://schemas.openxmlformats.org/officeDocument/2006/relationships/hyperlink" Target="https://doi.org/10.1192/bjp.bp.108.051193" TargetMode="External"/><Relationship Id="rId26" Type="http://schemas.openxmlformats.org/officeDocument/2006/relationships/hyperlink" Target="https://doi.org/10.1136/bmj.b3999" TargetMode="External"/><Relationship Id="rId21" Type="http://schemas.openxmlformats.org/officeDocument/2006/relationships/hyperlink" Target="https://doi.org/10.1136/bmj.b750" TargetMode="External"/><Relationship Id="rId34" Type="http://schemas.openxmlformats.org/officeDocument/2006/relationships/hyperlink" Target="https://doi.org/10.3389/fpsyt.2018.00482" TargetMode="External"/><Relationship Id="rId7" Type="http://schemas.openxmlformats.org/officeDocument/2006/relationships/settings" Target="settings.xml"/><Relationship Id="rId12" Type="http://schemas.openxmlformats.org/officeDocument/2006/relationships/hyperlink" Target="https://doi:10.1017/S0033291720004985" TargetMode="External"/><Relationship Id="rId17" Type="http://schemas.openxmlformats.org/officeDocument/2006/relationships/hyperlink" Target="https://doi.org/10.1016/S2215-0366(17)30015-9" TargetMode="External"/><Relationship Id="rId25" Type="http://schemas.openxmlformats.org/officeDocument/2006/relationships/hyperlink" Target="https://doi.org/10.1192/bjp.bp.115.166975" TargetMode="External"/><Relationship Id="rId33" Type="http://schemas.openxmlformats.org/officeDocument/2006/relationships/hyperlink" Target="https://doi.org/10.1016/S0165-0327(00)00209-3" TargetMode="External"/><Relationship Id="rId2" Type="http://schemas.openxmlformats.org/officeDocument/2006/relationships/customXml" Target="../customXml/item2.xml"/><Relationship Id="rId16" Type="http://schemas.openxmlformats.org/officeDocument/2006/relationships/hyperlink" Target="https://doi.org/10.1176/appi.ajp.161.7.1256" TargetMode="External"/><Relationship Id="rId20" Type="http://schemas.openxmlformats.org/officeDocument/2006/relationships/hyperlink" Target="https://doi.org/10.1016/j.biopsych.2004.11.016" TargetMode="External"/><Relationship Id="rId29" Type="http://schemas.openxmlformats.org/officeDocument/2006/relationships/hyperlink" Target="https://doi.org/10.1016/S0006-3223(98)001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lia.sanchez.16@ucl.ac.uk" TargetMode="External"/><Relationship Id="rId24" Type="http://schemas.openxmlformats.org/officeDocument/2006/relationships/hyperlink" Target="https://doi.org/10.1056/NEJMoa2106356" TargetMode="External"/><Relationship Id="rId32" Type="http://schemas.openxmlformats.org/officeDocument/2006/relationships/hyperlink" Target="https://doi.org/10.1016/j.jad.2009.01.028"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i.org/10.3310/hta25690" TargetMode="External"/><Relationship Id="rId23" Type="http://schemas.openxmlformats.org/officeDocument/2006/relationships/hyperlink" Target="https://doi.org/10.1111/acps.12729" TargetMode="External"/><Relationship Id="rId28" Type="http://schemas.openxmlformats.org/officeDocument/2006/relationships/hyperlink" Target="https://doi.org/10.1038/npp.2011.183"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176/appi.ajp.2009.09020149" TargetMode="External"/><Relationship Id="rId31" Type="http://schemas.openxmlformats.org/officeDocument/2006/relationships/hyperlink" Target="https://doi.org/10.1001/archinte.166.10.109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186/s13063-019-3390-8" TargetMode="External"/><Relationship Id="rId22" Type="http://schemas.openxmlformats.org/officeDocument/2006/relationships/hyperlink" Target="https://doi.org/10.1016/j.jad.2018.04.096" TargetMode="External"/><Relationship Id="rId27" Type="http://schemas.openxmlformats.org/officeDocument/2006/relationships/hyperlink" Target="https://digital.nhs.uk/data-and-information/publications/statistical/prescription-cost-analysis/2018" TargetMode="External"/><Relationship Id="rId30" Type="http://schemas.openxmlformats.org/officeDocument/2006/relationships/hyperlink" Target="https://doi.org/10.1016/S0140-6736(96)07044-4"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eee1942-ea12-4fa1-a398-6f32807963aa">
      <Terms xmlns="http://schemas.microsoft.com/office/infopath/2007/PartnerControls"/>
    </lcf76f155ced4ddcb4097134ff3c332f>
    <_ip_UnifiedCompliancePolicyProperties xmlns="http://schemas.microsoft.com/sharepoint/v3" xsi:nil="true"/>
    <TaxCatchAll xmlns="2a5e5d02-b389-48c3-b86b-d2fef2170d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F4794AD48FCB46A5B5219F82B448C8" ma:contentTypeVersion="18" ma:contentTypeDescription="Create a new document." ma:contentTypeScope="" ma:versionID="9cffbfacc2225a8a1a56551d4b6fa443">
  <xsd:schema xmlns:xsd="http://www.w3.org/2001/XMLSchema" xmlns:xs="http://www.w3.org/2001/XMLSchema" xmlns:p="http://schemas.microsoft.com/office/2006/metadata/properties" xmlns:ns1="http://schemas.microsoft.com/sharepoint/v3" xmlns:ns2="deee1942-ea12-4fa1-a398-6f32807963aa" xmlns:ns3="2a5e5d02-b389-48c3-b86b-d2fef2170d1a" targetNamespace="http://schemas.microsoft.com/office/2006/metadata/properties" ma:root="true" ma:fieldsID="4aa77b858be83bd022537e75b5a0ccc5" ns1:_="" ns2:_="" ns3:_="">
    <xsd:import namespace="http://schemas.microsoft.com/sharepoint/v3"/>
    <xsd:import namespace="deee1942-ea12-4fa1-a398-6f32807963aa"/>
    <xsd:import namespace="2a5e5d02-b389-48c3-b86b-d2fef2170d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ee1942-ea12-4fa1-a398-6f3280796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5e5d02-b389-48c3-b86b-d2fef2170d1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d031e8-e8fc-4cc2-8879-bfab80ab3442}" ma:internalName="TaxCatchAll" ma:showField="CatchAllData" ma:web="2a5e5d02-b389-48c3-b86b-d2fef2170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DB13D4-6690-4A06-8758-9874F6C410A1}">
  <ds:schemaRefs>
    <ds:schemaRef ds:uri="http://schemas.microsoft.com/office/2006/metadata/properties"/>
    <ds:schemaRef ds:uri="http://schemas.microsoft.com/office/infopath/2007/PartnerControls"/>
    <ds:schemaRef ds:uri="http://schemas.microsoft.com/sharepoint/v3"/>
    <ds:schemaRef ds:uri="deee1942-ea12-4fa1-a398-6f32807963aa"/>
    <ds:schemaRef ds:uri="2a5e5d02-b389-48c3-b86b-d2fef2170d1a"/>
  </ds:schemaRefs>
</ds:datastoreItem>
</file>

<file path=customXml/itemProps2.xml><?xml version="1.0" encoding="utf-8"?>
<ds:datastoreItem xmlns:ds="http://schemas.openxmlformats.org/officeDocument/2006/customXml" ds:itemID="{65EADB14-DA08-49F1-B510-F29B38C39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ee1942-ea12-4fa1-a398-6f32807963aa"/>
    <ds:schemaRef ds:uri="2a5e5d02-b389-48c3-b86b-d2fef2170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882B53-842A-4A41-8D5E-559BF92A0DE4}">
  <ds:schemaRefs>
    <ds:schemaRef ds:uri="http://schemas.openxmlformats.org/officeDocument/2006/bibliography"/>
  </ds:schemaRefs>
</ds:datastoreItem>
</file>

<file path=customXml/itemProps4.xml><?xml version="1.0" encoding="utf-8"?>
<ds:datastoreItem xmlns:ds="http://schemas.openxmlformats.org/officeDocument/2006/customXml" ds:itemID="{E0204EE5-E1EA-49D1-B0A0-BFC482977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10743</TotalTime>
  <Pages>21</Pages>
  <Words>6529</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Sanchez, Julia</dc:creator>
  <cp:keywords/>
  <dc:description/>
  <cp:lastModifiedBy>Jane Cousins</cp:lastModifiedBy>
  <cp:revision>134</cp:revision>
  <cp:lastPrinted>2022-04-01T15:32:00Z</cp:lastPrinted>
  <dcterms:created xsi:type="dcterms:W3CDTF">2022-09-21T14:18:00Z</dcterms:created>
  <dcterms:modified xsi:type="dcterms:W3CDTF">2023-01-11T14:12:00Z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0x010100FB4B18CFED83A744BB7AA60AE2A2AFB0</vt:lpwstr>
  </property>
</Properties>
</file>