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74D66" w14:textId="77777777" w:rsidR="003D56DD" w:rsidRPr="00801EFE" w:rsidRDefault="003D56DD" w:rsidP="00801EFE">
      <w:pPr>
        <w:rPr>
          <w:rFonts w:ascii="Arial" w:hAnsi="Arial" w:cs="Arial"/>
          <w:b/>
          <w:bCs/>
          <w:sz w:val="24"/>
          <w:szCs w:val="24"/>
        </w:rPr>
      </w:pPr>
      <w:r w:rsidRPr="00801EFE">
        <w:rPr>
          <w:rFonts w:ascii="Arial" w:hAnsi="Arial" w:cs="Arial"/>
          <w:b/>
          <w:bCs/>
          <w:sz w:val="24"/>
          <w:szCs w:val="24"/>
        </w:rPr>
        <w:t xml:space="preserve">Utility and safety of skin tests in drug reaction with eosinophilia and systemic symptoms (DRESS): a systematic review </w:t>
      </w:r>
    </w:p>
    <w:p w14:paraId="61912C73" w14:textId="77777777" w:rsidR="003D56DD" w:rsidRPr="0057275B" w:rsidRDefault="003D56DD" w:rsidP="004F576A">
      <w:pPr>
        <w:spacing w:line="480" w:lineRule="auto"/>
        <w:rPr>
          <w:rFonts w:ascii="Arial" w:hAnsi="Arial" w:cs="Arial"/>
          <w:sz w:val="24"/>
          <w:szCs w:val="24"/>
        </w:rPr>
      </w:pPr>
      <w:r>
        <w:rPr>
          <w:rFonts w:ascii="Arial" w:hAnsi="Arial" w:cs="Arial"/>
          <w:sz w:val="24"/>
          <w:szCs w:val="24"/>
        </w:rPr>
        <w:t xml:space="preserve">Ying </w:t>
      </w:r>
      <w:r w:rsidRPr="006472DF">
        <w:rPr>
          <w:rFonts w:ascii="Arial" w:hAnsi="Arial" w:cs="Arial"/>
          <w:sz w:val="24"/>
          <w:szCs w:val="24"/>
        </w:rPr>
        <w:t>X</w:t>
      </w:r>
      <w:r>
        <w:rPr>
          <w:rFonts w:ascii="Arial" w:hAnsi="Arial" w:cs="Arial"/>
          <w:sz w:val="24"/>
          <w:szCs w:val="24"/>
        </w:rPr>
        <w:t>in</w:t>
      </w:r>
      <w:r w:rsidRPr="006472DF">
        <w:rPr>
          <w:rFonts w:ascii="Arial" w:hAnsi="Arial" w:cs="Arial"/>
          <w:sz w:val="24"/>
          <w:szCs w:val="24"/>
        </w:rPr>
        <w:t xml:space="preserve"> Teo</w:t>
      </w:r>
      <w:r>
        <w:rPr>
          <w:rFonts w:ascii="Arial" w:hAnsi="Arial" w:cs="Arial"/>
          <w:sz w:val="24"/>
          <w:szCs w:val="24"/>
        </w:rPr>
        <w:t xml:space="preserve"> MB </w:t>
      </w:r>
      <w:proofErr w:type="spellStart"/>
      <w:proofErr w:type="gramStart"/>
      <w:r>
        <w:rPr>
          <w:rFonts w:ascii="Arial" w:hAnsi="Arial" w:cs="Arial"/>
          <w:sz w:val="24"/>
          <w:szCs w:val="24"/>
        </w:rPr>
        <w:t>BChir</w:t>
      </w:r>
      <w:r>
        <w:rPr>
          <w:rFonts w:ascii="Arial" w:hAnsi="Arial" w:cs="Arial"/>
          <w:sz w:val="24"/>
          <w:szCs w:val="24"/>
          <w:vertAlign w:val="superscript"/>
        </w:rPr>
        <w:t>a</w:t>
      </w:r>
      <w:r w:rsidRPr="00CB1F58">
        <w:rPr>
          <w:rFonts w:ascii="Arial" w:hAnsi="Arial" w:cs="Arial"/>
          <w:sz w:val="24"/>
          <w:szCs w:val="24"/>
          <w:vertAlign w:val="superscript"/>
        </w:rPr>
        <w:t>,</w:t>
      </w:r>
      <w:r>
        <w:rPr>
          <w:rFonts w:ascii="Arial" w:hAnsi="Arial" w:cs="Arial"/>
          <w:sz w:val="24"/>
          <w:szCs w:val="24"/>
          <w:vertAlign w:val="superscript"/>
        </w:rPr>
        <w:t>b</w:t>
      </w:r>
      <w:proofErr w:type="spellEnd"/>
      <w:proofErr w:type="gramEnd"/>
      <w:r>
        <w:rPr>
          <w:rFonts w:ascii="Arial" w:hAnsi="Arial" w:cs="Arial"/>
          <w:sz w:val="24"/>
          <w:szCs w:val="24"/>
          <w:vertAlign w:val="superscript"/>
        </w:rPr>
        <w:t xml:space="preserve"> </w:t>
      </w:r>
      <w:hyperlink r:id="rId7" w:history="1"/>
      <w:r>
        <w:rPr>
          <w:rFonts w:ascii="Arial" w:hAnsi="Arial" w:cs="Arial"/>
          <w:sz w:val="24"/>
          <w:szCs w:val="24"/>
        </w:rPr>
        <w:t xml:space="preserve">, Peter Simon Friedmann MD </w:t>
      </w:r>
      <w:proofErr w:type="spellStart"/>
      <w:r>
        <w:rPr>
          <w:rFonts w:ascii="Arial" w:hAnsi="Arial" w:cs="Arial"/>
          <w:sz w:val="24"/>
          <w:szCs w:val="24"/>
        </w:rPr>
        <w:t>FRCP</w:t>
      </w:r>
      <w:r>
        <w:rPr>
          <w:rFonts w:ascii="Arial" w:hAnsi="Arial" w:cs="Arial"/>
          <w:sz w:val="24"/>
          <w:szCs w:val="24"/>
          <w:vertAlign w:val="superscript"/>
        </w:rPr>
        <w:t>a</w:t>
      </w:r>
      <w:r w:rsidRPr="00CB1F58">
        <w:rPr>
          <w:rFonts w:ascii="Arial" w:hAnsi="Arial" w:cs="Arial"/>
          <w:sz w:val="24"/>
          <w:szCs w:val="24"/>
          <w:vertAlign w:val="superscript"/>
        </w:rPr>
        <w:t>,</w:t>
      </w:r>
      <w:r>
        <w:rPr>
          <w:rFonts w:ascii="Arial" w:hAnsi="Arial" w:cs="Arial"/>
          <w:sz w:val="24"/>
          <w:szCs w:val="24"/>
          <w:vertAlign w:val="superscript"/>
        </w:rPr>
        <w:t>b</w:t>
      </w:r>
      <w:proofErr w:type="spellEnd"/>
      <w:r>
        <w:rPr>
          <w:rFonts w:ascii="Arial" w:hAnsi="Arial" w:cs="Arial"/>
          <w:sz w:val="24"/>
          <w:szCs w:val="24"/>
        </w:rPr>
        <w:t xml:space="preserve">, Marta </w:t>
      </w:r>
      <w:proofErr w:type="spellStart"/>
      <w:r>
        <w:rPr>
          <w:rFonts w:ascii="Arial" w:hAnsi="Arial" w:cs="Arial"/>
          <w:sz w:val="24"/>
          <w:szCs w:val="24"/>
        </w:rPr>
        <w:t>Ewa</w:t>
      </w:r>
      <w:proofErr w:type="spellEnd"/>
      <w:r>
        <w:rPr>
          <w:rFonts w:ascii="Arial" w:hAnsi="Arial" w:cs="Arial"/>
          <w:sz w:val="24"/>
          <w:szCs w:val="24"/>
        </w:rPr>
        <w:t xml:space="preserve"> </w:t>
      </w:r>
      <w:proofErr w:type="spellStart"/>
      <w:r>
        <w:rPr>
          <w:rFonts w:ascii="Arial" w:hAnsi="Arial" w:cs="Arial"/>
          <w:sz w:val="24"/>
          <w:szCs w:val="24"/>
        </w:rPr>
        <w:t>Polak</w:t>
      </w:r>
      <w:proofErr w:type="spellEnd"/>
      <w:r>
        <w:rPr>
          <w:rFonts w:ascii="Arial" w:hAnsi="Arial" w:cs="Arial"/>
          <w:sz w:val="24"/>
          <w:szCs w:val="24"/>
        </w:rPr>
        <w:t xml:space="preserve"> </w:t>
      </w:r>
      <w:proofErr w:type="spellStart"/>
      <w:r>
        <w:rPr>
          <w:rFonts w:ascii="Arial" w:hAnsi="Arial" w:cs="Arial"/>
          <w:sz w:val="24"/>
          <w:szCs w:val="24"/>
        </w:rPr>
        <w:t>PhD</w:t>
      </w:r>
      <w:r>
        <w:rPr>
          <w:rFonts w:ascii="Arial" w:hAnsi="Arial" w:cs="Arial"/>
          <w:sz w:val="24"/>
          <w:szCs w:val="24"/>
          <w:vertAlign w:val="superscript"/>
        </w:rPr>
        <w:t>a</w:t>
      </w:r>
      <w:proofErr w:type="spellEnd"/>
      <w:r>
        <w:rPr>
          <w:rFonts w:ascii="Arial" w:hAnsi="Arial" w:cs="Arial"/>
          <w:sz w:val="24"/>
          <w:szCs w:val="24"/>
        </w:rPr>
        <w:t xml:space="preserve">, </w:t>
      </w:r>
      <w:r w:rsidRPr="006472DF">
        <w:rPr>
          <w:rFonts w:ascii="Arial" w:hAnsi="Arial" w:cs="Arial"/>
          <w:sz w:val="24"/>
          <w:szCs w:val="24"/>
        </w:rPr>
        <w:t>M</w:t>
      </w:r>
      <w:r>
        <w:rPr>
          <w:rFonts w:ascii="Arial" w:hAnsi="Arial" w:cs="Arial"/>
          <w:sz w:val="24"/>
          <w:szCs w:val="24"/>
        </w:rPr>
        <w:t xml:space="preserve">ichael </w:t>
      </w:r>
      <w:r w:rsidRPr="006472DF">
        <w:rPr>
          <w:rFonts w:ascii="Arial" w:hAnsi="Arial" w:cs="Arial"/>
          <w:sz w:val="24"/>
          <w:szCs w:val="24"/>
        </w:rPr>
        <w:t>R</w:t>
      </w:r>
      <w:r>
        <w:rPr>
          <w:rFonts w:ascii="Arial" w:hAnsi="Arial" w:cs="Arial"/>
          <w:sz w:val="24"/>
          <w:szCs w:val="24"/>
        </w:rPr>
        <w:t>oger</w:t>
      </w:r>
      <w:r w:rsidRPr="006472DF">
        <w:rPr>
          <w:rFonts w:ascii="Arial" w:hAnsi="Arial" w:cs="Arial"/>
          <w:sz w:val="24"/>
          <w:szCs w:val="24"/>
        </w:rPr>
        <w:t xml:space="preserve"> Ardern-Jones</w:t>
      </w:r>
      <w:r>
        <w:rPr>
          <w:rFonts w:ascii="Arial" w:hAnsi="Arial" w:cs="Arial"/>
          <w:sz w:val="24"/>
          <w:szCs w:val="24"/>
        </w:rPr>
        <w:t xml:space="preserve"> DPhil </w:t>
      </w:r>
      <w:proofErr w:type="spellStart"/>
      <w:r>
        <w:rPr>
          <w:rFonts w:ascii="Arial" w:hAnsi="Arial" w:cs="Arial"/>
          <w:sz w:val="24"/>
          <w:szCs w:val="24"/>
        </w:rPr>
        <w:t>FRCP</w:t>
      </w:r>
      <w:r>
        <w:rPr>
          <w:rFonts w:ascii="Arial" w:hAnsi="Arial" w:cs="Arial"/>
          <w:sz w:val="24"/>
          <w:szCs w:val="24"/>
          <w:vertAlign w:val="superscript"/>
        </w:rPr>
        <w:t>a,b</w:t>
      </w:r>
      <w:proofErr w:type="spellEnd"/>
      <w:r>
        <w:rPr>
          <w:rFonts w:ascii="Arial" w:hAnsi="Arial" w:cs="Arial"/>
          <w:sz w:val="24"/>
          <w:szCs w:val="24"/>
        </w:rPr>
        <w:t xml:space="preserve"> </w:t>
      </w:r>
    </w:p>
    <w:p w14:paraId="19633549" w14:textId="77777777" w:rsidR="003D56DD" w:rsidRPr="00CB1F58" w:rsidRDefault="003D56DD" w:rsidP="009660C5">
      <w:pPr>
        <w:spacing w:line="480" w:lineRule="auto"/>
        <w:rPr>
          <w:rFonts w:ascii="Arial" w:hAnsi="Arial" w:cs="Arial"/>
          <w:sz w:val="24"/>
          <w:szCs w:val="24"/>
        </w:rPr>
      </w:pPr>
      <w:r>
        <w:rPr>
          <w:rFonts w:ascii="Arial" w:hAnsi="Arial" w:cs="Arial"/>
          <w:sz w:val="24"/>
          <w:szCs w:val="24"/>
          <w:vertAlign w:val="superscript"/>
        </w:rPr>
        <w:t>a</w:t>
      </w:r>
      <w:r w:rsidRPr="00CB1F58">
        <w:rPr>
          <w:rFonts w:ascii="Arial" w:hAnsi="Arial" w:cs="Arial"/>
          <w:sz w:val="24"/>
          <w:szCs w:val="24"/>
        </w:rPr>
        <w:t xml:space="preserve"> Clinical Experimental Sciences, Faculty of Medicine, University of Southampton, Southampton SO16 6YD, United Kingdom</w:t>
      </w:r>
    </w:p>
    <w:p w14:paraId="0DFFEE84" w14:textId="77777777" w:rsidR="003D56DD" w:rsidRDefault="003D56DD" w:rsidP="009660C5">
      <w:pPr>
        <w:spacing w:line="480" w:lineRule="auto"/>
        <w:rPr>
          <w:rFonts w:ascii="Arial" w:hAnsi="Arial" w:cs="Arial"/>
          <w:sz w:val="24"/>
          <w:szCs w:val="24"/>
        </w:rPr>
      </w:pPr>
      <w:r>
        <w:rPr>
          <w:rFonts w:ascii="Arial" w:hAnsi="Arial" w:cs="Arial"/>
          <w:sz w:val="24"/>
          <w:szCs w:val="24"/>
          <w:vertAlign w:val="superscript"/>
        </w:rPr>
        <w:t>b</w:t>
      </w:r>
      <w:r w:rsidRPr="00CB1F58">
        <w:rPr>
          <w:rFonts w:ascii="Arial" w:hAnsi="Arial" w:cs="Arial"/>
          <w:sz w:val="24"/>
          <w:szCs w:val="24"/>
        </w:rPr>
        <w:t xml:space="preserve"> Department of Dermatology, Southampton General Hospital, University Hospitals Southampton NHS Foundation Trust</w:t>
      </w:r>
    </w:p>
    <w:p w14:paraId="2E6DEBE3" w14:textId="1BE5289B" w:rsidR="003D56DD" w:rsidRPr="00E03E5B" w:rsidRDefault="003D56DD" w:rsidP="00E03E5B">
      <w:pPr>
        <w:spacing w:line="480" w:lineRule="auto"/>
        <w:rPr>
          <w:rFonts w:ascii="Arial" w:hAnsi="Arial" w:cs="Arial"/>
          <w:sz w:val="24"/>
          <w:szCs w:val="24"/>
        </w:rPr>
      </w:pPr>
      <w:r w:rsidRPr="00E03E5B">
        <w:rPr>
          <w:rFonts w:ascii="Arial" w:hAnsi="Arial" w:cs="Arial"/>
          <w:b/>
          <w:bCs/>
          <w:sz w:val="24"/>
          <w:szCs w:val="24"/>
        </w:rPr>
        <w:t>Author email addresses:</w:t>
      </w:r>
      <w:r w:rsidRPr="00E03E5B">
        <w:rPr>
          <w:rFonts w:ascii="Arial" w:hAnsi="Arial" w:cs="Arial"/>
          <w:sz w:val="24"/>
          <w:szCs w:val="24"/>
        </w:rPr>
        <w:t xml:space="preserve"> YT: y</w:t>
      </w:r>
      <w:r>
        <w:rPr>
          <w:rFonts w:ascii="Arial" w:hAnsi="Arial" w:cs="Arial"/>
          <w:sz w:val="24"/>
          <w:szCs w:val="24"/>
        </w:rPr>
        <w:t>teo@nhs.net</w:t>
      </w:r>
      <w:r w:rsidRPr="00E03E5B">
        <w:rPr>
          <w:rFonts w:ascii="Arial" w:hAnsi="Arial" w:cs="Arial"/>
          <w:sz w:val="24"/>
          <w:szCs w:val="24"/>
        </w:rPr>
        <w:t>; PSF: p.s.friedmann@soton.ac.uk; MEP: m.e.polak@soton.ac.uk; MA</w:t>
      </w:r>
      <w:r>
        <w:rPr>
          <w:rFonts w:ascii="Arial" w:hAnsi="Arial" w:cs="Arial"/>
          <w:sz w:val="24"/>
          <w:szCs w:val="24"/>
        </w:rPr>
        <w:t>J</w:t>
      </w:r>
      <w:r w:rsidRPr="00E03E5B">
        <w:rPr>
          <w:rFonts w:ascii="Arial" w:hAnsi="Arial" w:cs="Arial"/>
          <w:sz w:val="24"/>
          <w:szCs w:val="24"/>
        </w:rPr>
        <w:t xml:space="preserve">: m.aj@soton.ac.uk </w:t>
      </w:r>
    </w:p>
    <w:p w14:paraId="49FF2434" w14:textId="77777777" w:rsidR="003D56DD" w:rsidRDefault="003D56DD" w:rsidP="00E03E5B">
      <w:pPr>
        <w:spacing w:line="480" w:lineRule="auto"/>
        <w:rPr>
          <w:rFonts w:ascii="Arial" w:hAnsi="Arial" w:cs="Arial"/>
          <w:sz w:val="24"/>
          <w:szCs w:val="24"/>
        </w:rPr>
      </w:pPr>
      <w:r w:rsidRPr="00E03E5B">
        <w:rPr>
          <w:rFonts w:ascii="Arial" w:hAnsi="Arial" w:cs="Arial"/>
          <w:b/>
          <w:bCs/>
          <w:sz w:val="24"/>
          <w:szCs w:val="24"/>
        </w:rPr>
        <w:t>Corresponding author</w:t>
      </w:r>
      <w:r w:rsidRPr="00E03E5B">
        <w:rPr>
          <w:rFonts w:ascii="Arial" w:hAnsi="Arial" w:cs="Arial"/>
          <w:sz w:val="24"/>
          <w:szCs w:val="24"/>
        </w:rPr>
        <w:t xml:space="preserve">: Michael Roger Ardern-Jones, </w:t>
      </w:r>
      <w:proofErr w:type="spellStart"/>
      <w:r w:rsidRPr="00E03E5B">
        <w:rPr>
          <w:rFonts w:ascii="Arial" w:hAnsi="Arial" w:cs="Arial"/>
          <w:sz w:val="24"/>
          <w:szCs w:val="24"/>
        </w:rPr>
        <w:t>Mailpoint</w:t>
      </w:r>
      <w:proofErr w:type="spellEnd"/>
      <w:r w:rsidRPr="00E03E5B">
        <w:rPr>
          <w:rFonts w:ascii="Arial" w:hAnsi="Arial" w:cs="Arial"/>
          <w:sz w:val="24"/>
          <w:szCs w:val="24"/>
        </w:rPr>
        <w:t xml:space="preserve"> 825, Clinical Experimental Sciences, Faculty of Medicine, University of Southampton, Southampton SO16 6YD, United Kingdom. Telephone: +44(0)23 81 205727. Email: </w:t>
      </w:r>
      <w:hyperlink r:id="rId8" w:history="1">
        <w:r w:rsidRPr="00372255">
          <w:rPr>
            <w:rStyle w:val="Hyperlink"/>
            <w:rFonts w:ascii="Arial" w:hAnsi="Arial" w:cs="Arial"/>
            <w:sz w:val="24"/>
            <w:szCs w:val="24"/>
          </w:rPr>
          <w:t>m.aj@soton.ac.uk</w:t>
        </w:r>
      </w:hyperlink>
    </w:p>
    <w:p w14:paraId="5C1CB655" w14:textId="77777777" w:rsidR="003D56DD" w:rsidRDefault="003D56DD" w:rsidP="00E03E5B">
      <w:pPr>
        <w:spacing w:line="480" w:lineRule="auto"/>
        <w:rPr>
          <w:rFonts w:ascii="Arial" w:hAnsi="Arial" w:cs="Arial"/>
          <w:sz w:val="24"/>
          <w:szCs w:val="24"/>
        </w:rPr>
      </w:pPr>
      <w:r w:rsidRPr="00E03E5B">
        <w:rPr>
          <w:rFonts w:ascii="Arial" w:hAnsi="Arial" w:cs="Arial"/>
          <w:b/>
          <w:bCs/>
          <w:sz w:val="24"/>
          <w:szCs w:val="24"/>
        </w:rPr>
        <w:t>Funding:</w:t>
      </w:r>
      <w:r w:rsidRPr="00E03E5B">
        <w:rPr>
          <w:rFonts w:ascii="Arial" w:hAnsi="Arial" w:cs="Arial"/>
          <w:sz w:val="24"/>
          <w:szCs w:val="24"/>
        </w:rPr>
        <w:t xml:space="preserve"> This work was supported by the British Skin Foundation [grant number BSF8021].</w:t>
      </w:r>
    </w:p>
    <w:p w14:paraId="548BB3BE" w14:textId="77777777" w:rsidR="003D56DD" w:rsidRDefault="003D56DD" w:rsidP="00E03E5B">
      <w:pPr>
        <w:spacing w:line="480" w:lineRule="auto"/>
        <w:rPr>
          <w:rFonts w:ascii="Arial" w:hAnsi="Arial" w:cs="Arial"/>
          <w:sz w:val="24"/>
          <w:szCs w:val="24"/>
        </w:rPr>
      </w:pPr>
      <w:r w:rsidRPr="00E03E5B">
        <w:rPr>
          <w:rFonts w:ascii="Arial" w:hAnsi="Arial" w:cs="Arial"/>
          <w:b/>
          <w:bCs/>
          <w:sz w:val="24"/>
          <w:szCs w:val="24"/>
        </w:rPr>
        <w:t>Conflicts of interest:</w:t>
      </w:r>
      <w:r w:rsidRPr="00E03E5B">
        <w:rPr>
          <w:rFonts w:ascii="Arial" w:hAnsi="Arial" w:cs="Arial"/>
          <w:sz w:val="24"/>
          <w:szCs w:val="24"/>
        </w:rPr>
        <w:t xml:space="preserve"> The authors have no conflicts of interests to declare</w:t>
      </w:r>
    </w:p>
    <w:p w14:paraId="0E7B6A33" w14:textId="3B3921EA" w:rsidR="003D56DD" w:rsidRDefault="003D56DD" w:rsidP="00E03E5B">
      <w:pPr>
        <w:spacing w:line="480" w:lineRule="auto"/>
        <w:rPr>
          <w:rFonts w:ascii="Arial" w:hAnsi="Arial" w:cs="Arial"/>
          <w:sz w:val="24"/>
          <w:szCs w:val="24"/>
        </w:rPr>
      </w:pPr>
      <w:r w:rsidRPr="00E03E5B">
        <w:rPr>
          <w:rFonts w:ascii="Arial" w:hAnsi="Arial" w:cs="Arial"/>
          <w:b/>
          <w:bCs/>
          <w:sz w:val="24"/>
          <w:szCs w:val="24"/>
        </w:rPr>
        <w:t>Word count</w:t>
      </w:r>
      <w:r w:rsidRPr="00E03E5B">
        <w:rPr>
          <w:rFonts w:ascii="Arial" w:hAnsi="Arial" w:cs="Arial"/>
          <w:sz w:val="24"/>
          <w:szCs w:val="24"/>
        </w:rPr>
        <w:t xml:space="preserve">: </w:t>
      </w:r>
      <w:r>
        <w:rPr>
          <w:rFonts w:ascii="Arial" w:hAnsi="Arial" w:cs="Arial"/>
          <w:sz w:val="24"/>
          <w:szCs w:val="24"/>
        </w:rPr>
        <w:t>3721</w:t>
      </w:r>
    </w:p>
    <w:p w14:paraId="2FA5E8C4" w14:textId="77777777" w:rsidR="003D56DD" w:rsidRPr="00E03E5B" w:rsidRDefault="003D56DD" w:rsidP="00E03E5B">
      <w:pPr>
        <w:spacing w:line="480" w:lineRule="auto"/>
        <w:rPr>
          <w:rFonts w:ascii="Arial" w:hAnsi="Arial" w:cs="Arial"/>
          <w:sz w:val="24"/>
          <w:szCs w:val="24"/>
        </w:rPr>
      </w:pPr>
      <w:r w:rsidRPr="00E03E5B">
        <w:rPr>
          <w:rFonts w:ascii="Arial" w:hAnsi="Arial" w:cs="Arial"/>
          <w:b/>
          <w:bCs/>
          <w:sz w:val="24"/>
          <w:szCs w:val="24"/>
        </w:rPr>
        <w:t>Abstract word count</w:t>
      </w:r>
      <w:r>
        <w:rPr>
          <w:rFonts w:ascii="Arial" w:hAnsi="Arial" w:cs="Arial"/>
          <w:sz w:val="24"/>
          <w:szCs w:val="24"/>
        </w:rPr>
        <w:t>: 247</w:t>
      </w:r>
    </w:p>
    <w:p w14:paraId="0ADF7090" w14:textId="77777777" w:rsidR="003D56DD" w:rsidRPr="00031214" w:rsidRDefault="003D56DD">
      <w:pPr>
        <w:rPr>
          <w:rFonts w:ascii="Arial" w:hAnsi="Arial" w:cs="Arial"/>
          <w:bCs/>
          <w:sz w:val="24"/>
          <w:szCs w:val="24"/>
        </w:rPr>
      </w:pPr>
      <w:r>
        <w:rPr>
          <w:rFonts w:ascii="Arial" w:hAnsi="Arial" w:cs="Arial"/>
          <w:b/>
          <w:bCs/>
          <w:sz w:val="24"/>
          <w:szCs w:val="24"/>
        </w:rPr>
        <w:br w:type="page"/>
      </w:r>
    </w:p>
    <w:p w14:paraId="38EDF11F" w14:textId="77777777" w:rsidR="003D56DD" w:rsidRPr="004F576A" w:rsidRDefault="003D56DD" w:rsidP="004F576A">
      <w:pPr>
        <w:spacing w:line="480" w:lineRule="auto"/>
        <w:rPr>
          <w:rFonts w:ascii="Arial" w:hAnsi="Arial" w:cs="Arial"/>
          <w:b/>
          <w:bCs/>
          <w:sz w:val="24"/>
          <w:szCs w:val="24"/>
        </w:rPr>
      </w:pPr>
      <w:r w:rsidRPr="004F576A">
        <w:rPr>
          <w:rFonts w:ascii="Arial" w:hAnsi="Arial" w:cs="Arial"/>
          <w:b/>
          <w:bCs/>
          <w:sz w:val="24"/>
          <w:szCs w:val="24"/>
        </w:rPr>
        <w:lastRenderedPageBreak/>
        <w:t>Abstract</w:t>
      </w:r>
    </w:p>
    <w:p w14:paraId="1B47FD91" w14:textId="77777777" w:rsidR="003D56DD" w:rsidRPr="004F576A" w:rsidRDefault="003D56DD" w:rsidP="004F576A">
      <w:pPr>
        <w:spacing w:line="480" w:lineRule="auto"/>
        <w:rPr>
          <w:rFonts w:ascii="Arial" w:hAnsi="Arial" w:cs="Arial"/>
          <w:b/>
          <w:sz w:val="24"/>
          <w:szCs w:val="24"/>
        </w:rPr>
      </w:pPr>
      <w:r w:rsidRPr="004F576A">
        <w:rPr>
          <w:rFonts w:ascii="Arial" w:hAnsi="Arial" w:cs="Arial"/>
          <w:b/>
          <w:sz w:val="24"/>
          <w:szCs w:val="24"/>
        </w:rPr>
        <w:t>Background</w:t>
      </w:r>
    </w:p>
    <w:p w14:paraId="33D76C35" w14:textId="77777777" w:rsidR="003D56DD" w:rsidRDefault="003D56DD" w:rsidP="004F576A">
      <w:pPr>
        <w:spacing w:line="480" w:lineRule="auto"/>
        <w:jc w:val="both"/>
        <w:rPr>
          <w:rFonts w:ascii="Arial" w:hAnsi="Arial" w:cs="Arial"/>
          <w:sz w:val="24"/>
          <w:szCs w:val="24"/>
        </w:rPr>
      </w:pPr>
      <w:r w:rsidRPr="004F576A">
        <w:rPr>
          <w:rFonts w:ascii="Arial" w:hAnsi="Arial" w:cs="Arial"/>
          <w:sz w:val="24"/>
          <w:szCs w:val="24"/>
        </w:rPr>
        <w:t xml:space="preserve">Determination of culprit drug in drug reaction with eosinophilia and systemic symptoms (DRESS) is crucial. Skin tests have been utilised, although it remains unclear how sensitive these are. </w:t>
      </w:r>
    </w:p>
    <w:p w14:paraId="6A5F007F" w14:textId="77777777" w:rsidR="003D56DD" w:rsidRPr="00E03E5B" w:rsidRDefault="003D56DD" w:rsidP="004F576A">
      <w:pPr>
        <w:spacing w:line="480" w:lineRule="auto"/>
        <w:jc w:val="both"/>
        <w:rPr>
          <w:rFonts w:ascii="Arial" w:hAnsi="Arial" w:cs="Arial"/>
          <w:b/>
          <w:bCs/>
          <w:sz w:val="24"/>
          <w:szCs w:val="24"/>
        </w:rPr>
      </w:pPr>
      <w:r w:rsidRPr="00E03E5B">
        <w:rPr>
          <w:rFonts w:ascii="Arial" w:hAnsi="Arial" w:cs="Arial"/>
          <w:b/>
          <w:bCs/>
          <w:sz w:val="24"/>
          <w:szCs w:val="24"/>
        </w:rPr>
        <w:t>Objective</w:t>
      </w:r>
    </w:p>
    <w:p w14:paraId="59A300C5" w14:textId="77777777" w:rsidR="003D56DD" w:rsidRPr="004F576A" w:rsidRDefault="003D56DD" w:rsidP="004F576A">
      <w:pPr>
        <w:spacing w:line="480" w:lineRule="auto"/>
        <w:jc w:val="both"/>
        <w:rPr>
          <w:rFonts w:ascii="Arial" w:hAnsi="Arial" w:cs="Arial"/>
          <w:sz w:val="24"/>
          <w:szCs w:val="24"/>
        </w:rPr>
      </w:pPr>
      <w:r>
        <w:rPr>
          <w:rFonts w:ascii="Arial" w:hAnsi="Arial" w:cs="Arial"/>
          <w:sz w:val="24"/>
          <w:szCs w:val="24"/>
        </w:rPr>
        <w:t>We set out t</w:t>
      </w:r>
      <w:r w:rsidRPr="004F576A">
        <w:rPr>
          <w:rFonts w:ascii="Arial" w:hAnsi="Arial" w:cs="Arial"/>
          <w:sz w:val="24"/>
          <w:szCs w:val="24"/>
        </w:rPr>
        <w:t xml:space="preserve">o determine the value of skin tests in the assessment of drug causality in DRESS. </w:t>
      </w:r>
    </w:p>
    <w:p w14:paraId="5D617056" w14:textId="77777777" w:rsidR="003D56DD" w:rsidRPr="004F576A" w:rsidRDefault="003D56DD" w:rsidP="004F576A">
      <w:pPr>
        <w:spacing w:line="480" w:lineRule="auto"/>
        <w:jc w:val="both"/>
        <w:rPr>
          <w:rFonts w:ascii="Arial" w:hAnsi="Arial" w:cs="Arial"/>
          <w:b/>
          <w:sz w:val="24"/>
          <w:szCs w:val="24"/>
        </w:rPr>
      </w:pPr>
      <w:r w:rsidRPr="004F576A">
        <w:rPr>
          <w:rFonts w:ascii="Arial" w:hAnsi="Arial" w:cs="Arial"/>
          <w:b/>
          <w:sz w:val="24"/>
          <w:szCs w:val="24"/>
        </w:rPr>
        <w:t>Methods</w:t>
      </w:r>
    </w:p>
    <w:p w14:paraId="7E1F8D39" w14:textId="19D6E35B"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 xml:space="preserve">A systematic literature search was conducted for publications from 1996 onwards of skin tests (skin prick test = SPT, patch test = PT, intradermal test = IDT) performed in clearly defined DRESS cases. Outcomes of testing, drug culpability assessments and challenge test data were extracted. </w:t>
      </w:r>
    </w:p>
    <w:p w14:paraId="1B79B8D3" w14:textId="77777777" w:rsidR="003D56DD" w:rsidRPr="004F576A" w:rsidRDefault="003D56DD" w:rsidP="004F576A">
      <w:pPr>
        <w:spacing w:line="480" w:lineRule="auto"/>
        <w:jc w:val="both"/>
        <w:rPr>
          <w:rFonts w:ascii="Arial" w:hAnsi="Arial" w:cs="Arial"/>
          <w:b/>
          <w:sz w:val="24"/>
          <w:szCs w:val="24"/>
        </w:rPr>
      </w:pPr>
      <w:r w:rsidRPr="004F576A">
        <w:rPr>
          <w:rFonts w:ascii="Arial" w:hAnsi="Arial" w:cs="Arial"/>
          <w:b/>
          <w:sz w:val="24"/>
          <w:szCs w:val="24"/>
        </w:rPr>
        <w:t>Results</w:t>
      </w:r>
    </w:p>
    <w:p w14:paraId="27B42689" w14:textId="63DCC943"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1</w:t>
      </w:r>
      <w:r>
        <w:rPr>
          <w:rFonts w:ascii="Arial" w:hAnsi="Arial" w:cs="Arial"/>
          <w:sz w:val="24"/>
          <w:szCs w:val="24"/>
        </w:rPr>
        <w:t>7</w:t>
      </w:r>
      <w:r w:rsidRPr="004F576A">
        <w:rPr>
          <w:rFonts w:ascii="Arial" w:hAnsi="Arial" w:cs="Arial"/>
          <w:sz w:val="24"/>
          <w:szCs w:val="24"/>
        </w:rPr>
        <w:t xml:space="preserve"> articles met inclusion criteria. In </w:t>
      </w:r>
      <w:r>
        <w:rPr>
          <w:rFonts w:ascii="Arial" w:hAnsi="Arial" w:cs="Arial"/>
          <w:sz w:val="24"/>
          <w:szCs w:val="24"/>
        </w:rPr>
        <w:t>290</w:t>
      </w:r>
      <w:r w:rsidRPr="004F576A">
        <w:rPr>
          <w:rFonts w:ascii="Arial" w:hAnsi="Arial" w:cs="Arial"/>
          <w:sz w:val="24"/>
          <w:szCs w:val="24"/>
        </w:rPr>
        <w:t xml:space="preserve"> DRESS patients, patch testing was </w:t>
      </w:r>
      <w:r>
        <w:rPr>
          <w:rFonts w:ascii="Arial" w:hAnsi="Arial" w:cs="Arial"/>
          <w:sz w:val="24"/>
          <w:szCs w:val="24"/>
        </w:rPr>
        <w:t>most frequent</w:t>
      </w:r>
      <w:r w:rsidRPr="004F576A">
        <w:rPr>
          <w:rFonts w:ascii="Arial" w:hAnsi="Arial" w:cs="Arial"/>
          <w:sz w:val="24"/>
          <w:szCs w:val="24"/>
        </w:rPr>
        <w:t xml:space="preserve"> [PT = </w:t>
      </w:r>
      <w:bookmarkStart w:id="0" w:name="OLE_LINK1"/>
      <w:r>
        <w:rPr>
          <w:rFonts w:ascii="Arial" w:hAnsi="Arial" w:cs="Arial"/>
          <w:sz w:val="24"/>
          <w:szCs w:val="24"/>
        </w:rPr>
        <w:t>97.2</w:t>
      </w:r>
      <w:r w:rsidRPr="004F576A">
        <w:rPr>
          <w:rFonts w:ascii="Arial" w:hAnsi="Arial" w:cs="Arial"/>
          <w:sz w:val="24"/>
          <w:szCs w:val="24"/>
        </w:rPr>
        <w:t>% (n=</w:t>
      </w:r>
      <w:r>
        <w:rPr>
          <w:rFonts w:ascii="Arial" w:hAnsi="Arial" w:cs="Arial"/>
          <w:sz w:val="24"/>
          <w:szCs w:val="24"/>
        </w:rPr>
        <w:t>282</w:t>
      </w:r>
      <w:r w:rsidRPr="004F576A">
        <w:rPr>
          <w:rFonts w:ascii="Arial" w:hAnsi="Arial" w:cs="Arial"/>
          <w:sz w:val="24"/>
          <w:szCs w:val="24"/>
        </w:rPr>
        <w:t xml:space="preserve">), IDT = </w:t>
      </w:r>
      <w:r>
        <w:rPr>
          <w:rFonts w:ascii="Arial" w:hAnsi="Arial" w:cs="Arial"/>
          <w:sz w:val="24"/>
          <w:szCs w:val="24"/>
        </w:rPr>
        <w:t>12.4</w:t>
      </w:r>
      <w:r w:rsidRPr="004F576A">
        <w:rPr>
          <w:rFonts w:ascii="Arial" w:hAnsi="Arial" w:cs="Arial"/>
          <w:sz w:val="24"/>
          <w:szCs w:val="24"/>
        </w:rPr>
        <w:t>%</w:t>
      </w:r>
      <w:r>
        <w:rPr>
          <w:rFonts w:ascii="Arial" w:hAnsi="Arial" w:cs="Arial"/>
          <w:sz w:val="24"/>
          <w:szCs w:val="24"/>
        </w:rPr>
        <w:t xml:space="preserve"> (n=36</w:t>
      </w:r>
      <w:r w:rsidRPr="004F576A">
        <w:rPr>
          <w:rFonts w:ascii="Arial" w:hAnsi="Arial" w:cs="Arial"/>
          <w:sz w:val="24"/>
          <w:szCs w:val="24"/>
        </w:rPr>
        <w:t>), SPT = 3.1% (n=9)</w:t>
      </w:r>
      <w:bookmarkEnd w:id="0"/>
      <w:r w:rsidRPr="004F576A">
        <w:rPr>
          <w:rFonts w:ascii="Arial" w:hAnsi="Arial" w:cs="Arial"/>
          <w:sz w:val="24"/>
          <w:szCs w:val="24"/>
        </w:rPr>
        <w:t>]. Positive results were noted in 5</w:t>
      </w:r>
      <w:r>
        <w:rPr>
          <w:rFonts w:ascii="Arial" w:hAnsi="Arial" w:cs="Arial"/>
          <w:sz w:val="24"/>
          <w:szCs w:val="24"/>
        </w:rPr>
        <w:t>8.4</w:t>
      </w:r>
      <w:r w:rsidRPr="004F576A">
        <w:rPr>
          <w:rFonts w:ascii="Arial" w:hAnsi="Arial" w:cs="Arial"/>
          <w:sz w:val="24"/>
          <w:szCs w:val="24"/>
        </w:rPr>
        <w:t>% (n=</w:t>
      </w:r>
      <w:r>
        <w:rPr>
          <w:rFonts w:ascii="Arial" w:hAnsi="Arial" w:cs="Arial"/>
          <w:sz w:val="24"/>
          <w:szCs w:val="24"/>
        </w:rPr>
        <w:t>160/282</w:t>
      </w:r>
      <w:r w:rsidRPr="004F576A">
        <w:rPr>
          <w:rFonts w:ascii="Arial" w:hAnsi="Arial" w:cs="Arial"/>
          <w:sz w:val="24"/>
          <w:szCs w:val="24"/>
        </w:rPr>
        <w:t xml:space="preserve">) of PT, </w:t>
      </w:r>
      <w:r>
        <w:rPr>
          <w:rFonts w:ascii="Arial" w:hAnsi="Arial" w:cs="Arial"/>
          <w:sz w:val="24"/>
          <w:szCs w:val="24"/>
        </w:rPr>
        <w:t>66.5%</w:t>
      </w:r>
      <w:r w:rsidRPr="004F576A">
        <w:rPr>
          <w:rFonts w:ascii="Arial" w:hAnsi="Arial" w:cs="Arial"/>
          <w:sz w:val="24"/>
          <w:szCs w:val="24"/>
        </w:rPr>
        <w:t xml:space="preserve"> IDT and </w:t>
      </w:r>
      <w:r>
        <w:rPr>
          <w:rFonts w:ascii="Arial" w:hAnsi="Arial" w:cs="Arial"/>
          <w:sz w:val="24"/>
          <w:szCs w:val="24"/>
        </w:rPr>
        <w:t>25</w:t>
      </w:r>
      <w:r w:rsidRPr="004F576A">
        <w:rPr>
          <w:rFonts w:ascii="Arial" w:hAnsi="Arial" w:cs="Arial"/>
          <w:sz w:val="24"/>
          <w:szCs w:val="24"/>
        </w:rPr>
        <w:t>% SPT</w:t>
      </w:r>
      <w:r w:rsidRPr="005758C2">
        <w:rPr>
          <w:rFonts w:ascii="Arial" w:hAnsi="Arial" w:cs="Arial"/>
          <w:sz w:val="24"/>
          <w:szCs w:val="24"/>
        </w:rPr>
        <w:t>. When confidence of drug causality was high (n=73 of 194), testing did not correlate well with clinical suspicion: PT 37.6%; IDT 36.5%. Direct comparison of skin testing with provocation testing (n=12) showed 83.3</w:t>
      </w:r>
      <w:r>
        <w:rPr>
          <w:rFonts w:ascii="Arial" w:hAnsi="Arial" w:cs="Arial"/>
          <w:sz w:val="24"/>
          <w:szCs w:val="24"/>
        </w:rPr>
        <w:t>% correlation</w:t>
      </w:r>
      <w:r w:rsidRPr="004F576A">
        <w:rPr>
          <w:rFonts w:ascii="Arial" w:hAnsi="Arial" w:cs="Arial"/>
          <w:sz w:val="24"/>
          <w:szCs w:val="24"/>
        </w:rPr>
        <w:t xml:space="preserve">. Positive IDTs were reported in </w:t>
      </w:r>
      <w:r>
        <w:rPr>
          <w:rFonts w:ascii="Arial" w:hAnsi="Arial" w:cs="Arial"/>
          <w:sz w:val="24"/>
          <w:szCs w:val="24"/>
        </w:rPr>
        <w:t>8</w:t>
      </w:r>
      <w:r w:rsidRPr="004F576A">
        <w:rPr>
          <w:rFonts w:ascii="Arial" w:hAnsi="Arial" w:cs="Arial"/>
          <w:sz w:val="24"/>
          <w:szCs w:val="24"/>
        </w:rPr>
        <w:t xml:space="preserve"> negative PT cases. </w:t>
      </w:r>
    </w:p>
    <w:p w14:paraId="45370BDE" w14:textId="77777777" w:rsidR="003D56DD" w:rsidRPr="004F576A" w:rsidRDefault="003D56DD" w:rsidP="004F576A">
      <w:pPr>
        <w:spacing w:line="480" w:lineRule="auto"/>
        <w:jc w:val="both"/>
        <w:rPr>
          <w:rFonts w:ascii="Arial" w:hAnsi="Arial" w:cs="Arial"/>
          <w:b/>
          <w:sz w:val="24"/>
          <w:szCs w:val="24"/>
        </w:rPr>
      </w:pPr>
      <w:r w:rsidRPr="004F576A">
        <w:rPr>
          <w:rFonts w:ascii="Arial" w:hAnsi="Arial" w:cs="Arial"/>
          <w:b/>
          <w:sz w:val="24"/>
          <w:szCs w:val="24"/>
        </w:rPr>
        <w:t>Conclusion</w:t>
      </w:r>
    </w:p>
    <w:p w14:paraId="6BCF2308" w14:textId="77777777" w:rsidR="003D56DD" w:rsidRDefault="003D56DD" w:rsidP="004F576A">
      <w:pPr>
        <w:spacing w:line="480" w:lineRule="auto"/>
        <w:jc w:val="both"/>
        <w:rPr>
          <w:rFonts w:ascii="Arial" w:hAnsi="Arial" w:cs="Arial"/>
          <w:sz w:val="24"/>
          <w:szCs w:val="24"/>
        </w:rPr>
      </w:pPr>
      <w:r w:rsidRPr="004F576A">
        <w:rPr>
          <w:rFonts w:ascii="Arial" w:hAnsi="Arial" w:cs="Arial"/>
          <w:sz w:val="24"/>
          <w:szCs w:val="24"/>
        </w:rPr>
        <w:lastRenderedPageBreak/>
        <w:t>Skin tests, particularly PT and IDT, have been reported as tools for diagnosis of causal drugs in DRESS. Heterogeneity in methodology, results analysis and reporting of cohorts, makes meta</w:t>
      </w:r>
      <w:r>
        <w:rPr>
          <w:rFonts w:ascii="Arial" w:hAnsi="Arial" w:cs="Arial"/>
          <w:sz w:val="24"/>
          <w:szCs w:val="24"/>
        </w:rPr>
        <w:t>-a</w:t>
      </w:r>
      <w:r w:rsidRPr="004F576A">
        <w:rPr>
          <w:rFonts w:ascii="Arial" w:hAnsi="Arial" w:cs="Arial"/>
          <w:sz w:val="24"/>
          <w:szCs w:val="24"/>
        </w:rPr>
        <w:t xml:space="preserve">nalysis to determine sensitivity and specificity of published literature </w:t>
      </w:r>
      <w:r>
        <w:rPr>
          <w:rFonts w:ascii="Arial" w:hAnsi="Arial" w:cs="Arial"/>
          <w:sz w:val="24"/>
          <w:szCs w:val="24"/>
        </w:rPr>
        <w:t>impossible and highlights weaknesses in the field</w:t>
      </w:r>
      <w:r w:rsidRPr="004F576A">
        <w:rPr>
          <w:rFonts w:ascii="Arial" w:hAnsi="Arial" w:cs="Arial"/>
          <w:sz w:val="24"/>
          <w:szCs w:val="24"/>
        </w:rPr>
        <w:t xml:space="preserve">. We propose that international collaboration is essential to harmonise the methodology and reporting measures from hypersensitivity testing studies in larger cohorts. </w:t>
      </w:r>
    </w:p>
    <w:p w14:paraId="047FCC84" w14:textId="77777777" w:rsidR="003D56DD" w:rsidRDefault="003D56DD" w:rsidP="004F576A">
      <w:pPr>
        <w:spacing w:line="480" w:lineRule="auto"/>
        <w:jc w:val="both"/>
        <w:rPr>
          <w:rFonts w:ascii="Arial" w:hAnsi="Arial" w:cs="Arial"/>
          <w:sz w:val="24"/>
          <w:szCs w:val="24"/>
        </w:rPr>
      </w:pPr>
      <w:r w:rsidRPr="00E03E5B">
        <w:rPr>
          <w:rFonts w:ascii="Arial" w:hAnsi="Arial" w:cs="Arial"/>
          <w:b/>
          <w:bCs/>
          <w:sz w:val="24"/>
          <w:szCs w:val="24"/>
        </w:rPr>
        <w:t>Highlights</w:t>
      </w:r>
      <w:r>
        <w:rPr>
          <w:rFonts w:ascii="Arial" w:hAnsi="Arial" w:cs="Arial"/>
          <w:sz w:val="24"/>
          <w:szCs w:val="24"/>
        </w:rPr>
        <w:t>:</w:t>
      </w:r>
    </w:p>
    <w:p w14:paraId="35D598EE" w14:textId="77777777" w:rsidR="003D56DD" w:rsidRPr="00AF0A37" w:rsidRDefault="003D56DD" w:rsidP="00AF0A37">
      <w:pPr>
        <w:spacing w:line="480" w:lineRule="auto"/>
        <w:jc w:val="both"/>
        <w:rPr>
          <w:rFonts w:ascii="Arial" w:hAnsi="Arial" w:cs="Arial"/>
          <w:sz w:val="24"/>
          <w:szCs w:val="24"/>
        </w:rPr>
      </w:pPr>
      <w:r w:rsidRPr="00AF0A37">
        <w:rPr>
          <w:rFonts w:ascii="Arial" w:hAnsi="Arial" w:cs="Arial"/>
          <w:sz w:val="24"/>
          <w:szCs w:val="24"/>
        </w:rPr>
        <w:t>1.</w:t>
      </w:r>
      <w:r>
        <w:rPr>
          <w:rFonts w:ascii="Arial" w:hAnsi="Arial" w:cs="Arial"/>
          <w:sz w:val="24"/>
          <w:szCs w:val="24"/>
        </w:rPr>
        <w:t xml:space="preserve"> </w:t>
      </w:r>
      <w:r w:rsidRPr="00AF0A37">
        <w:rPr>
          <w:rFonts w:ascii="Arial" w:hAnsi="Arial" w:cs="Arial"/>
          <w:sz w:val="24"/>
          <w:szCs w:val="24"/>
        </w:rPr>
        <w:t>What is already known about this topic?</w:t>
      </w:r>
    </w:p>
    <w:p w14:paraId="5E58A60B" w14:textId="77777777" w:rsidR="003D56DD" w:rsidRDefault="003D56DD" w:rsidP="00E03E5B">
      <w:pPr>
        <w:spacing w:line="480" w:lineRule="auto"/>
        <w:jc w:val="both"/>
        <w:rPr>
          <w:rFonts w:ascii="Arial" w:hAnsi="Arial" w:cs="Arial"/>
          <w:sz w:val="24"/>
          <w:szCs w:val="24"/>
        </w:rPr>
      </w:pPr>
      <w:r w:rsidRPr="00E03E5B">
        <w:rPr>
          <w:rFonts w:ascii="Arial" w:hAnsi="Arial" w:cs="Arial"/>
          <w:sz w:val="24"/>
          <w:szCs w:val="24"/>
        </w:rPr>
        <w:t>•</w:t>
      </w:r>
      <w:r w:rsidRPr="00E03E5B">
        <w:rPr>
          <w:rFonts w:ascii="Arial" w:hAnsi="Arial" w:cs="Arial"/>
          <w:sz w:val="24"/>
          <w:szCs w:val="24"/>
        </w:rPr>
        <w:tab/>
        <w:t xml:space="preserve">Drug culpability can be challenging in DRESS patients, with no validated diagnostic test available. </w:t>
      </w:r>
    </w:p>
    <w:p w14:paraId="09E6EE0F" w14:textId="77777777" w:rsidR="003D56DD" w:rsidRDefault="003D56DD" w:rsidP="00E03E5B">
      <w:pPr>
        <w:spacing w:line="480" w:lineRule="auto"/>
        <w:jc w:val="both"/>
        <w:rPr>
          <w:rFonts w:ascii="Arial" w:hAnsi="Arial" w:cs="Arial"/>
          <w:sz w:val="24"/>
          <w:szCs w:val="24"/>
        </w:rPr>
      </w:pPr>
      <w:r>
        <w:rPr>
          <w:rFonts w:ascii="Arial" w:hAnsi="Arial" w:cs="Arial"/>
          <w:sz w:val="24"/>
          <w:szCs w:val="24"/>
        </w:rPr>
        <w:t>2. What does this article add to our knowledge?</w:t>
      </w:r>
    </w:p>
    <w:p w14:paraId="7B4764CD" w14:textId="77777777" w:rsidR="003D56DD" w:rsidRPr="00E03E5B" w:rsidRDefault="003D56DD" w:rsidP="00E03E5B">
      <w:pPr>
        <w:spacing w:line="480" w:lineRule="auto"/>
        <w:jc w:val="both"/>
        <w:rPr>
          <w:rFonts w:ascii="Arial" w:hAnsi="Arial" w:cs="Arial"/>
          <w:sz w:val="24"/>
          <w:szCs w:val="24"/>
        </w:rPr>
      </w:pPr>
      <w:r w:rsidRPr="00E03E5B">
        <w:rPr>
          <w:rFonts w:ascii="Arial" w:hAnsi="Arial" w:cs="Arial"/>
          <w:sz w:val="24"/>
          <w:szCs w:val="24"/>
        </w:rPr>
        <w:t>•</w:t>
      </w:r>
      <w:r w:rsidRPr="00E03E5B">
        <w:rPr>
          <w:rFonts w:ascii="Arial" w:hAnsi="Arial" w:cs="Arial"/>
          <w:sz w:val="24"/>
          <w:szCs w:val="24"/>
        </w:rPr>
        <w:tab/>
      </w:r>
      <w:r>
        <w:rPr>
          <w:rFonts w:ascii="Arial" w:hAnsi="Arial" w:cs="Arial"/>
          <w:sz w:val="24"/>
          <w:szCs w:val="24"/>
        </w:rPr>
        <w:t>S</w:t>
      </w:r>
      <w:r w:rsidRPr="00E03E5B">
        <w:rPr>
          <w:rFonts w:ascii="Arial" w:hAnsi="Arial" w:cs="Arial"/>
          <w:sz w:val="24"/>
          <w:szCs w:val="24"/>
        </w:rPr>
        <w:t>ignificant heterogeneity in methodology and reporting is evident in current practice</w:t>
      </w:r>
    </w:p>
    <w:p w14:paraId="7CF304E1" w14:textId="77777777" w:rsidR="003D56DD" w:rsidRDefault="003D56DD" w:rsidP="00E03E5B">
      <w:pPr>
        <w:spacing w:line="480" w:lineRule="auto"/>
        <w:jc w:val="both"/>
        <w:rPr>
          <w:rFonts w:ascii="Arial" w:hAnsi="Arial" w:cs="Arial"/>
          <w:sz w:val="24"/>
          <w:szCs w:val="24"/>
        </w:rPr>
      </w:pPr>
      <w:r w:rsidRPr="00E03E5B">
        <w:rPr>
          <w:rFonts w:ascii="Arial" w:hAnsi="Arial" w:cs="Arial"/>
          <w:sz w:val="24"/>
          <w:szCs w:val="24"/>
        </w:rPr>
        <w:t>•</w:t>
      </w:r>
      <w:r w:rsidRPr="00E03E5B">
        <w:rPr>
          <w:rFonts w:ascii="Arial" w:hAnsi="Arial" w:cs="Arial"/>
          <w:sz w:val="24"/>
          <w:szCs w:val="24"/>
        </w:rPr>
        <w:tab/>
      </w:r>
      <w:r>
        <w:rPr>
          <w:rFonts w:ascii="Arial" w:hAnsi="Arial" w:cs="Arial"/>
          <w:sz w:val="24"/>
          <w:szCs w:val="24"/>
        </w:rPr>
        <w:t>I</w:t>
      </w:r>
      <w:r w:rsidRPr="00E03E5B">
        <w:rPr>
          <w:rFonts w:ascii="Arial" w:hAnsi="Arial" w:cs="Arial"/>
          <w:sz w:val="24"/>
          <w:szCs w:val="24"/>
        </w:rPr>
        <w:t>n 17 articles included for analysis, sensitivity on patch, intradermal and prick tests were 58.4%, 66.5% and 25% respectively</w:t>
      </w:r>
    </w:p>
    <w:p w14:paraId="120F280C" w14:textId="77777777" w:rsidR="003D56DD" w:rsidRPr="00E03E5B" w:rsidRDefault="003D56DD" w:rsidP="00E03E5B">
      <w:pPr>
        <w:spacing w:line="480" w:lineRule="auto"/>
        <w:jc w:val="both"/>
        <w:rPr>
          <w:rFonts w:ascii="Arial" w:hAnsi="Arial" w:cs="Arial"/>
          <w:sz w:val="24"/>
          <w:szCs w:val="24"/>
        </w:rPr>
      </w:pPr>
      <w:r>
        <w:rPr>
          <w:rFonts w:ascii="Arial" w:hAnsi="Arial" w:cs="Arial"/>
          <w:sz w:val="24"/>
          <w:szCs w:val="24"/>
        </w:rPr>
        <w:t>3. How does this study impact current management guidelines</w:t>
      </w:r>
    </w:p>
    <w:p w14:paraId="6A801505" w14:textId="77777777" w:rsidR="003D56DD" w:rsidRDefault="003D56DD" w:rsidP="00E03E5B">
      <w:pPr>
        <w:spacing w:line="480" w:lineRule="auto"/>
        <w:jc w:val="both"/>
        <w:rPr>
          <w:rFonts w:ascii="Arial" w:hAnsi="Arial" w:cs="Arial"/>
          <w:sz w:val="24"/>
          <w:szCs w:val="24"/>
        </w:rPr>
      </w:pPr>
      <w:r w:rsidRPr="00E03E5B">
        <w:rPr>
          <w:rFonts w:ascii="Arial" w:hAnsi="Arial" w:cs="Arial"/>
          <w:sz w:val="24"/>
          <w:szCs w:val="24"/>
        </w:rPr>
        <w:t>•</w:t>
      </w:r>
      <w:r w:rsidRPr="00E03E5B">
        <w:rPr>
          <w:rFonts w:ascii="Arial" w:hAnsi="Arial" w:cs="Arial"/>
          <w:sz w:val="24"/>
          <w:szCs w:val="24"/>
        </w:rPr>
        <w:tab/>
        <w:t>This systematic review shows that patch and intradermal tests are safe and can be utilised as part of diagnostic work-up in DRESS to identify culprit drug.</w:t>
      </w:r>
    </w:p>
    <w:p w14:paraId="4EB357A7" w14:textId="77777777" w:rsidR="003D56DD" w:rsidRDefault="003D56DD" w:rsidP="00374FA2">
      <w:pPr>
        <w:rPr>
          <w:rFonts w:ascii="Arial" w:hAnsi="Arial" w:cs="Arial"/>
          <w:b/>
          <w:sz w:val="24"/>
          <w:szCs w:val="24"/>
        </w:rPr>
      </w:pPr>
    </w:p>
    <w:p w14:paraId="51367EA7" w14:textId="77777777" w:rsidR="003D56DD" w:rsidRPr="004F576A" w:rsidRDefault="003D56DD" w:rsidP="00374FA2">
      <w:pPr>
        <w:rPr>
          <w:rFonts w:ascii="Arial" w:hAnsi="Arial" w:cs="Arial"/>
          <w:b/>
          <w:sz w:val="24"/>
          <w:szCs w:val="24"/>
        </w:rPr>
      </w:pPr>
      <w:r w:rsidRPr="004F576A">
        <w:rPr>
          <w:rFonts w:ascii="Arial" w:hAnsi="Arial" w:cs="Arial"/>
          <w:b/>
          <w:sz w:val="24"/>
          <w:szCs w:val="24"/>
        </w:rPr>
        <w:t>Keywords</w:t>
      </w:r>
    </w:p>
    <w:p w14:paraId="32A5B678"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Drug reaction with eosinophilia and systemic symptoms</w:t>
      </w:r>
    </w:p>
    <w:p w14:paraId="1A55DF5B"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Drug patch test</w:t>
      </w:r>
    </w:p>
    <w:p w14:paraId="6B665DA7"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lastRenderedPageBreak/>
        <w:t>Intradermal test</w:t>
      </w:r>
    </w:p>
    <w:p w14:paraId="5123C754"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Skin prick test</w:t>
      </w:r>
    </w:p>
    <w:p w14:paraId="64A2BE80" w14:textId="77777777" w:rsidR="003D56DD" w:rsidRPr="004F576A" w:rsidRDefault="003D56DD" w:rsidP="004F576A">
      <w:pPr>
        <w:spacing w:line="480" w:lineRule="auto"/>
        <w:rPr>
          <w:rFonts w:ascii="Arial" w:hAnsi="Arial" w:cs="Arial"/>
          <w:b/>
          <w:bCs/>
          <w:sz w:val="24"/>
          <w:szCs w:val="24"/>
        </w:rPr>
      </w:pPr>
    </w:p>
    <w:p w14:paraId="52731E4C" w14:textId="77777777" w:rsidR="003D56DD" w:rsidRPr="004F576A" w:rsidRDefault="003D56DD" w:rsidP="004F576A">
      <w:pPr>
        <w:spacing w:line="480" w:lineRule="auto"/>
        <w:rPr>
          <w:rFonts w:ascii="Arial" w:hAnsi="Arial" w:cs="Arial"/>
          <w:b/>
          <w:bCs/>
          <w:sz w:val="24"/>
          <w:szCs w:val="24"/>
        </w:rPr>
      </w:pPr>
      <w:r w:rsidRPr="004F576A">
        <w:rPr>
          <w:rFonts w:ascii="Arial" w:hAnsi="Arial" w:cs="Arial"/>
          <w:b/>
          <w:bCs/>
          <w:sz w:val="24"/>
          <w:szCs w:val="24"/>
        </w:rPr>
        <w:t xml:space="preserve">Abbreviations </w:t>
      </w:r>
    </w:p>
    <w:p w14:paraId="255E35BC"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Anticonvulsant hypersensitivity syndrome (AHS)</w:t>
      </w:r>
    </w:p>
    <w:p w14:paraId="79D4367C"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Confidence interval (CI)</w:t>
      </w:r>
    </w:p>
    <w:p w14:paraId="5D3B3652"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Delayed drug hypersensitivity (DHR)</w:t>
      </w:r>
    </w:p>
    <w:p w14:paraId="439FCA9F"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Drug reaction with eosinophilia and systemic symptoms (DRESS)</w:t>
      </w:r>
    </w:p>
    <w:p w14:paraId="642CFFA4"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Drug induced hypersensitivity syndrome (DIHS)</w:t>
      </w:r>
    </w:p>
    <w:p w14:paraId="2D58142A"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Drug induced delayed multiorgan hypersensitivity syndrome (DIDMOHS)</w:t>
      </w:r>
    </w:p>
    <w:p w14:paraId="270A6414"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Intradermal test (IDT)</w:t>
      </w:r>
    </w:p>
    <w:p w14:paraId="54AE1E6B"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Negative predictive value (NPV)</w:t>
      </w:r>
    </w:p>
    <w:p w14:paraId="36D1CFD4"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Positive predictive value (PPV)</w:t>
      </w:r>
    </w:p>
    <w:p w14:paraId="2A1ED381" w14:textId="77777777" w:rsidR="003D56DD" w:rsidRDefault="003D56DD" w:rsidP="004F576A">
      <w:pPr>
        <w:spacing w:line="480" w:lineRule="auto"/>
        <w:rPr>
          <w:rFonts w:ascii="Arial" w:hAnsi="Arial" w:cs="Arial"/>
          <w:sz w:val="24"/>
          <w:szCs w:val="24"/>
        </w:rPr>
      </w:pPr>
      <w:r w:rsidRPr="004F576A">
        <w:rPr>
          <w:rFonts w:ascii="Arial" w:hAnsi="Arial" w:cs="Arial"/>
          <w:sz w:val="24"/>
          <w:szCs w:val="24"/>
        </w:rPr>
        <w:t>Patch test (PT)</w:t>
      </w:r>
    </w:p>
    <w:p w14:paraId="7BA4CD62" w14:textId="77777777" w:rsidR="003D56DD" w:rsidRPr="004F576A" w:rsidRDefault="003D56DD" w:rsidP="004F576A">
      <w:pPr>
        <w:spacing w:line="480" w:lineRule="auto"/>
        <w:rPr>
          <w:rFonts w:ascii="Arial" w:hAnsi="Arial" w:cs="Arial"/>
          <w:sz w:val="24"/>
          <w:szCs w:val="24"/>
        </w:rPr>
      </w:pPr>
      <w:r>
        <w:rPr>
          <w:rFonts w:ascii="Arial" w:hAnsi="Arial" w:cs="Arial"/>
          <w:sz w:val="24"/>
          <w:szCs w:val="24"/>
        </w:rPr>
        <w:t>Severe cutaneous adverse drug reaction (SCAR)</w:t>
      </w:r>
    </w:p>
    <w:p w14:paraId="7C681A6A" w14:textId="77777777" w:rsidR="003D56DD" w:rsidRPr="004F576A" w:rsidRDefault="003D56DD" w:rsidP="004F576A">
      <w:pPr>
        <w:spacing w:line="480" w:lineRule="auto"/>
        <w:rPr>
          <w:rFonts w:ascii="Arial" w:hAnsi="Arial" w:cs="Arial"/>
          <w:sz w:val="24"/>
          <w:szCs w:val="24"/>
        </w:rPr>
      </w:pPr>
      <w:r w:rsidRPr="004F576A">
        <w:rPr>
          <w:rFonts w:ascii="Arial" w:hAnsi="Arial" w:cs="Arial"/>
          <w:sz w:val="24"/>
          <w:szCs w:val="24"/>
        </w:rPr>
        <w:t>Standard deviation (SD)</w:t>
      </w:r>
    </w:p>
    <w:p w14:paraId="40CA516A" w14:textId="77777777" w:rsidR="003D56DD" w:rsidRDefault="003D56DD" w:rsidP="004F576A">
      <w:pPr>
        <w:spacing w:line="480" w:lineRule="auto"/>
        <w:rPr>
          <w:rFonts w:ascii="Arial" w:hAnsi="Arial" w:cs="Arial"/>
          <w:sz w:val="24"/>
          <w:szCs w:val="24"/>
        </w:rPr>
      </w:pPr>
      <w:r w:rsidRPr="004F576A">
        <w:rPr>
          <w:rFonts w:ascii="Arial" w:hAnsi="Arial" w:cs="Arial"/>
          <w:sz w:val="24"/>
          <w:szCs w:val="24"/>
        </w:rPr>
        <w:t>Skin prick test (SPT)</w:t>
      </w:r>
    </w:p>
    <w:p w14:paraId="2CA2218E" w14:textId="77777777" w:rsidR="003D56DD" w:rsidRDefault="003D56DD" w:rsidP="006F4046">
      <w:pPr>
        <w:spacing w:line="480" w:lineRule="auto"/>
        <w:rPr>
          <w:rFonts w:ascii="Arial" w:hAnsi="Arial" w:cs="Arial"/>
          <w:sz w:val="24"/>
          <w:szCs w:val="24"/>
        </w:rPr>
      </w:pPr>
      <w:r>
        <w:rPr>
          <w:rFonts w:ascii="Arial" w:hAnsi="Arial" w:cs="Arial"/>
          <w:sz w:val="24"/>
          <w:szCs w:val="24"/>
        </w:rPr>
        <w:br w:type="page"/>
      </w:r>
    </w:p>
    <w:p w14:paraId="62EE1A74" w14:textId="77777777" w:rsidR="003D56DD" w:rsidRPr="004F576A" w:rsidRDefault="003D56DD" w:rsidP="004F576A">
      <w:pPr>
        <w:spacing w:line="480" w:lineRule="auto"/>
        <w:rPr>
          <w:rFonts w:ascii="Arial" w:hAnsi="Arial" w:cs="Arial"/>
          <w:b/>
          <w:sz w:val="24"/>
          <w:szCs w:val="24"/>
        </w:rPr>
      </w:pPr>
      <w:r w:rsidRPr="004F576A">
        <w:rPr>
          <w:rFonts w:ascii="Arial" w:hAnsi="Arial" w:cs="Arial"/>
          <w:b/>
          <w:sz w:val="24"/>
          <w:szCs w:val="24"/>
        </w:rPr>
        <w:lastRenderedPageBreak/>
        <w:t xml:space="preserve">Introduction </w:t>
      </w:r>
    </w:p>
    <w:p w14:paraId="6379B41F" w14:textId="1981FA93" w:rsidR="003D56DD" w:rsidRDefault="003D56DD" w:rsidP="004F576A">
      <w:pPr>
        <w:spacing w:line="480" w:lineRule="auto"/>
        <w:jc w:val="both"/>
        <w:rPr>
          <w:rFonts w:ascii="Arial" w:hAnsi="Arial" w:cs="Arial"/>
          <w:sz w:val="24"/>
          <w:szCs w:val="24"/>
        </w:rPr>
      </w:pPr>
      <w:r w:rsidRPr="004F576A">
        <w:rPr>
          <w:rFonts w:ascii="Arial" w:hAnsi="Arial" w:cs="Arial"/>
          <w:sz w:val="24"/>
          <w:szCs w:val="24"/>
        </w:rPr>
        <w:t>Drug reaction with eosinophilia and systemic symptoms (DRESS) is a form of severe cutaneous adverse drug reaction (</w:t>
      </w:r>
      <w:r>
        <w:rPr>
          <w:rFonts w:ascii="Arial" w:hAnsi="Arial" w:cs="Arial"/>
          <w:sz w:val="24"/>
          <w:szCs w:val="24"/>
        </w:rPr>
        <w:t>SCAR</w:t>
      </w:r>
      <w:r w:rsidRPr="004F576A">
        <w:rPr>
          <w:rFonts w:ascii="Arial" w:hAnsi="Arial" w:cs="Arial"/>
          <w:sz w:val="24"/>
          <w:szCs w:val="24"/>
        </w:rPr>
        <w:t>). First described in 1996</w:t>
      </w:r>
      <w:r w:rsidRPr="006F09CD">
        <w:rPr>
          <w:rFonts w:ascii="Arial" w:hAnsi="Arial" w:cs="Arial"/>
          <w:noProof/>
          <w:sz w:val="24"/>
          <w:szCs w:val="24"/>
          <w:vertAlign w:val="superscript"/>
        </w:rPr>
        <w:t>1</w:t>
      </w:r>
      <w:r>
        <w:rPr>
          <w:rFonts w:ascii="Arial" w:hAnsi="Arial" w:cs="Arial"/>
          <w:sz w:val="24"/>
          <w:szCs w:val="24"/>
        </w:rPr>
        <w:t>,</w:t>
      </w:r>
      <w:r w:rsidRPr="004F576A">
        <w:rPr>
          <w:rFonts w:ascii="Arial" w:hAnsi="Arial" w:cs="Arial"/>
          <w:sz w:val="24"/>
          <w:szCs w:val="24"/>
        </w:rPr>
        <w:t xml:space="preserve"> awareness of this phenotype of </w:t>
      </w:r>
      <w:r>
        <w:rPr>
          <w:rFonts w:ascii="Arial" w:hAnsi="Arial" w:cs="Arial"/>
          <w:sz w:val="24"/>
          <w:szCs w:val="24"/>
        </w:rPr>
        <w:t>SCAR</w:t>
      </w:r>
      <w:r w:rsidRPr="004F576A">
        <w:rPr>
          <w:rFonts w:ascii="Arial" w:hAnsi="Arial" w:cs="Arial"/>
          <w:sz w:val="24"/>
          <w:szCs w:val="24"/>
        </w:rPr>
        <w:t xml:space="preserve"> has gradually increased, but the term drug induced hypersensitivity syndrome (DIHS) is also used in some countries</w:t>
      </w:r>
      <w:r w:rsidRPr="006F09CD">
        <w:rPr>
          <w:rFonts w:ascii="Arial" w:hAnsi="Arial" w:cs="Arial"/>
          <w:noProof/>
          <w:sz w:val="24"/>
          <w:szCs w:val="24"/>
          <w:vertAlign w:val="superscript"/>
        </w:rPr>
        <w:t>2</w:t>
      </w:r>
      <w:r>
        <w:rPr>
          <w:rFonts w:ascii="Arial" w:hAnsi="Arial" w:cs="Arial"/>
          <w:sz w:val="24"/>
          <w:szCs w:val="24"/>
        </w:rPr>
        <w:t>.</w:t>
      </w:r>
      <w:r w:rsidRPr="004F576A">
        <w:rPr>
          <w:rFonts w:ascii="Arial" w:hAnsi="Arial" w:cs="Arial"/>
          <w:sz w:val="24"/>
          <w:szCs w:val="24"/>
        </w:rPr>
        <w:t xml:space="preserve"> Whilst the cutaneous presentation can be variable</w:t>
      </w:r>
      <w:r w:rsidRPr="006F09CD">
        <w:rPr>
          <w:rFonts w:ascii="Arial" w:hAnsi="Arial" w:cs="Arial"/>
          <w:noProof/>
          <w:sz w:val="24"/>
          <w:szCs w:val="24"/>
          <w:vertAlign w:val="superscript"/>
        </w:rPr>
        <w:t>3-5</w:t>
      </w:r>
      <w:r w:rsidRPr="004F576A">
        <w:rPr>
          <w:rFonts w:ascii="Arial" w:hAnsi="Arial" w:cs="Arial"/>
          <w:sz w:val="24"/>
          <w:szCs w:val="24"/>
        </w:rPr>
        <w:t>, typical features of fever, lymphadenopathy, facial oedema, haematological abnormalities (most often eosinophilia or atypical lymphocytes) are consistently described</w:t>
      </w:r>
      <w:r w:rsidRPr="006F09CD">
        <w:rPr>
          <w:rFonts w:ascii="Arial" w:hAnsi="Arial" w:cs="Arial"/>
          <w:noProof/>
          <w:sz w:val="24"/>
          <w:szCs w:val="24"/>
          <w:vertAlign w:val="superscript"/>
        </w:rPr>
        <w:t>1, 2, 4, 6</w:t>
      </w:r>
      <w:r>
        <w:rPr>
          <w:rFonts w:ascii="Arial" w:hAnsi="Arial" w:cs="Arial"/>
          <w:sz w:val="24"/>
          <w:szCs w:val="24"/>
        </w:rPr>
        <w:t>.I</w:t>
      </w:r>
      <w:r w:rsidRPr="004F576A">
        <w:rPr>
          <w:rFonts w:ascii="Arial" w:hAnsi="Arial" w:cs="Arial"/>
          <w:sz w:val="24"/>
          <w:szCs w:val="24"/>
        </w:rPr>
        <w:t>ncreasingly, reactivation</w:t>
      </w:r>
      <w:r>
        <w:rPr>
          <w:rFonts w:ascii="Arial" w:hAnsi="Arial" w:cs="Arial"/>
          <w:sz w:val="24"/>
          <w:szCs w:val="24"/>
        </w:rPr>
        <w:t xml:space="preserve"> of viruses such as human herpes virus 6 (HHV6) and cytomegalovirus</w:t>
      </w:r>
      <w:r w:rsidRPr="004F576A">
        <w:rPr>
          <w:rFonts w:ascii="Arial" w:hAnsi="Arial" w:cs="Arial"/>
          <w:sz w:val="24"/>
          <w:szCs w:val="24"/>
        </w:rPr>
        <w:t xml:space="preserve"> in the weeks following onset</w:t>
      </w:r>
      <w:r w:rsidRPr="006F09CD">
        <w:rPr>
          <w:rFonts w:ascii="Arial" w:hAnsi="Arial" w:cs="Arial"/>
          <w:noProof/>
          <w:sz w:val="24"/>
          <w:szCs w:val="24"/>
          <w:vertAlign w:val="superscript"/>
        </w:rPr>
        <w:t>2, 7, 8</w:t>
      </w:r>
      <w:r>
        <w:rPr>
          <w:rFonts w:ascii="Arial" w:hAnsi="Arial" w:cs="Arial"/>
          <w:sz w:val="24"/>
          <w:szCs w:val="24"/>
        </w:rPr>
        <w:t xml:space="preserve"> have been observed.</w:t>
      </w:r>
      <w:r w:rsidRPr="004F576A">
        <w:rPr>
          <w:rFonts w:ascii="Arial" w:hAnsi="Arial" w:cs="Arial"/>
          <w:sz w:val="24"/>
          <w:szCs w:val="24"/>
        </w:rPr>
        <w:t xml:space="preserve"> Latency of between 2 - 8 weeks following commencement of </w:t>
      </w:r>
      <w:r>
        <w:rPr>
          <w:rFonts w:ascii="Arial" w:hAnsi="Arial" w:cs="Arial"/>
          <w:sz w:val="24"/>
          <w:szCs w:val="24"/>
        </w:rPr>
        <w:t xml:space="preserve">causal </w:t>
      </w:r>
      <w:r w:rsidRPr="004F576A">
        <w:rPr>
          <w:rFonts w:ascii="Arial" w:hAnsi="Arial" w:cs="Arial"/>
          <w:sz w:val="24"/>
          <w:szCs w:val="24"/>
        </w:rPr>
        <w:t>drug</w:t>
      </w:r>
      <w:r w:rsidRPr="006F09CD">
        <w:rPr>
          <w:rFonts w:ascii="Arial" w:hAnsi="Arial" w:cs="Arial"/>
          <w:noProof/>
          <w:sz w:val="24"/>
          <w:szCs w:val="24"/>
          <w:vertAlign w:val="superscript"/>
        </w:rPr>
        <w:t>6, 9</w:t>
      </w:r>
      <w:r w:rsidRPr="004F576A">
        <w:rPr>
          <w:rFonts w:ascii="Arial" w:hAnsi="Arial" w:cs="Arial"/>
          <w:sz w:val="24"/>
          <w:szCs w:val="24"/>
        </w:rPr>
        <w:t xml:space="preserve"> can result in misdiagnosis as the clinical features </w:t>
      </w:r>
      <w:r>
        <w:rPr>
          <w:rFonts w:ascii="Arial" w:hAnsi="Arial" w:cs="Arial"/>
          <w:sz w:val="24"/>
          <w:szCs w:val="24"/>
        </w:rPr>
        <w:t xml:space="preserve">of DRESS </w:t>
      </w:r>
      <w:r w:rsidRPr="004F576A">
        <w:rPr>
          <w:rFonts w:ascii="Arial" w:hAnsi="Arial" w:cs="Arial"/>
          <w:sz w:val="24"/>
          <w:szCs w:val="24"/>
        </w:rPr>
        <w:t xml:space="preserve">can </w:t>
      </w:r>
      <w:r>
        <w:rPr>
          <w:rFonts w:ascii="Arial" w:hAnsi="Arial" w:cs="Arial"/>
          <w:sz w:val="24"/>
          <w:szCs w:val="24"/>
        </w:rPr>
        <w:t xml:space="preserve">be similar to that of </w:t>
      </w:r>
      <w:r w:rsidRPr="004F576A">
        <w:rPr>
          <w:rFonts w:ascii="Arial" w:hAnsi="Arial" w:cs="Arial"/>
          <w:sz w:val="24"/>
          <w:szCs w:val="24"/>
        </w:rPr>
        <w:t>an infection</w:t>
      </w:r>
      <w:r>
        <w:rPr>
          <w:rFonts w:ascii="Arial" w:hAnsi="Arial" w:cs="Arial"/>
          <w:sz w:val="24"/>
          <w:szCs w:val="24"/>
        </w:rPr>
        <w:t xml:space="preserve"> with fever, lymphadenopathy and a rash</w:t>
      </w:r>
      <w:r w:rsidRPr="004F576A">
        <w:rPr>
          <w:rFonts w:ascii="Arial" w:hAnsi="Arial" w:cs="Arial"/>
          <w:sz w:val="24"/>
          <w:szCs w:val="24"/>
        </w:rPr>
        <w:t>. Of greater concern is the presence of internal organ involvement, most commonly hepatic, although renal, pulmonary, neurological, pancreatic and cardiac effects have all been reported</w:t>
      </w:r>
      <w:r w:rsidRPr="006F09CD">
        <w:rPr>
          <w:rFonts w:ascii="Arial" w:hAnsi="Arial" w:cs="Arial"/>
          <w:noProof/>
          <w:sz w:val="24"/>
          <w:szCs w:val="24"/>
          <w:vertAlign w:val="superscript"/>
        </w:rPr>
        <w:t>3, 9-12</w:t>
      </w:r>
      <w:r w:rsidRPr="004F576A">
        <w:rPr>
          <w:rFonts w:ascii="Arial" w:hAnsi="Arial" w:cs="Arial"/>
          <w:sz w:val="24"/>
          <w:szCs w:val="24"/>
        </w:rPr>
        <w:t>. Resultant mortality is between 2-6%</w:t>
      </w:r>
      <w:r w:rsidRPr="006F09CD">
        <w:rPr>
          <w:rFonts w:ascii="Arial" w:hAnsi="Arial" w:cs="Arial"/>
          <w:noProof/>
          <w:sz w:val="24"/>
          <w:szCs w:val="24"/>
          <w:vertAlign w:val="superscript"/>
        </w:rPr>
        <w:t>13</w:t>
      </w:r>
      <w:r w:rsidRPr="004F576A">
        <w:rPr>
          <w:rFonts w:ascii="Arial" w:hAnsi="Arial" w:cs="Arial"/>
          <w:sz w:val="24"/>
          <w:szCs w:val="24"/>
        </w:rPr>
        <w:t xml:space="preserve"> therefore, early discontinuation of the causative drug is essential. Crucially, further exposure to </w:t>
      </w:r>
      <w:r>
        <w:rPr>
          <w:rFonts w:ascii="Arial" w:hAnsi="Arial" w:cs="Arial"/>
          <w:sz w:val="24"/>
          <w:szCs w:val="24"/>
        </w:rPr>
        <w:t xml:space="preserve">the </w:t>
      </w:r>
      <w:r w:rsidRPr="004F576A">
        <w:rPr>
          <w:rFonts w:ascii="Arial" w:hAnsi="Arial" w:cs="Arial"/>
          <w:sz w:val="24"/>
          <w:szCs w:val="24"/>
        </w:rPr>
        <w:t xml:space="preserve">culprit drug can result in </w:t>
      </w:r>
      <w:r>
        <w:rPr>
          <w:rFonts w:ascii="Arial" w:hAnsi="Arial" w:cs="Arial"/>
          <w:sz w:val="24"/>
          <w:szCs w:val="24"/>
        </w:rPr>
        <w:t xml:space="preserve">a </w:t>
      </w:r>
      <w:r w:rsidRPr="004F576A">
        <w:rPr>
          <w:rFonts w:ascii="Arial" w:hAnsi="Arial" w:cs="Arial"/>
          <w:sz w:val="24"/>
          <w:szCs w:val="24"/>
        </w:rPr>
        <w:t xml:space="preserve">severe </w:t>
      </w:r>
      <w:r>
        <w:rPr>
          <w:rFonts w:ascii="Arial" w:hAnsi="Arial" w:cs="Arial"/>
          <w:sz w:val="24"/>
          <w:szCs w:val="24"/>
        </w:rPr>
        <w:t xml:space="preserve">recurrence of the </w:t>
      </w:r>
      <w:r w:rsidRPr="004F576A">
        <w:rPr>
          <w:rFonts w:ascii="Arial" w:hAnsi="Arial" w:cs="Arial"/>
          <w:sz w:val="24"/>
          <w:szCs w:val="24"/>
        </w:rPr>
        <w:t>condition, with shorter time to onset</w:t>
      </w:r>
      <w:r w:rsidRPr="006F09CD">
        <w:rPr>
          <w:rFonts w:ascii="Arial" w:hAnsi="Arial" w:cs="Arial"/>
          <w:noProof/>
          <w:sz w:val="24"/>
          <w:szCs w:val="24"/>
          <w:vertAlign w:val="superscript"/>
        </w:rPr>
        <w:t>2</w:t>
      </w:r>
      <w:r w:rsidRPr="004F576A">
        <w:rPr>
          <w:rFonts w:ascii="Arial" w:hAnsi="Arial" w:cs="Arial"/>
          <w:sz w:val="24"/>
          <w:szCs w:val="24"/>
        </w:rPr>
        <w:t>. Autoimmune sequelae can also arise years after the index episode</w:t>
      </w:r>
      <w:r w:rsidRPr="006F09CD">
        <w:rPr>
          <w:rFonts w:ascii="Arial" w:hAnsi="Arial" w:cs="Arial"/>
          <w:noProof/>
          <w:sz w:val="24"/>
          <w:szCs w:val="24"/>
          <w:vertAlign w:val="superscript"/>
        </w:rPr>
        <w:t>14</w:t>
      </w:r>
      <w:r w:rsidRPr="004F576A">
        <w:rPr>
          <w:rFonts w:ascii="Arial" w:hAnsi="Arial" w:cs="Arial"/>
          <w:sz w:val="24"/>
          <w:szCs w:val="24"/>
        </w:rPr>
        <w:t xml:space="preserve">. Lifelong avoidance is therefore recommended but this is complicated when there are difficulties in identifying the culprit </w:t>
      </w:r>
      <w:r>
        <w:rPr>
          <w:rFonts w:ascii="Arial" w:hAnsi="Arial" w:cs="Arial"/>
          <w:sz w:val="24"/>
          <w:szCs w:val="24"/>
        </w:rPr>
        <w:t xml:space="preserve">drug </w:t>
      </w:r>
      <w:r w:rsidRPr="004F576A">
        <w:rPr>
          <w:rFonts w:ascii="Arial" w:hAnsi="Arial" w:cs="Arial"/>
          <w:sz w:val="24"/>
          <w:szCs w:val="24"/>
        </w:rPr>
        <w:t xml:space="preserve">in those taking multiple medications. </w:t>
      </w:r>
    </w:p>
    <w:p w14:paraId="4EFFFD40" w14:textId="4947CC2F" w:rsidR="003D56DD" w:rsidRPr="004F576A" w:rsidRDefault="003D56DD" w:rsidP="004F576A">
      <w:pPr>
        <w:spacing w:line="480" w:lineRule="auto"/>
        <w:jc w:val="both"/>
        <w:rPr>
          <w:rFonts w:ascii="Arial" w:hAnsi="Arial" w:cs="Arial"/>
          <w:sz w:val="24"/>
          <w:szCs w:val="24"/>
        </w:rPr>
      </w:pPr>
      <w:r w:rsidRPr="006456A5">
        <w:rPr>
          <w:rFonts w:ascii="Arial" w:hAnsi="Arial" w:cs="Arial"/>
          <w:sz w:val="24"/>
          <w:szCs w:val="24"/>
        </w:rPr>
        <w:t xml:space="preserve">While </w:t>
      </w:r>
      <w:r w:rsidRPr="00453154">
        <w:rPr>
          <w:rFonts w:ascii="Arial" w:hAnsi="Arial" w:cs="Arial"/>
          <w:i/>
          <w:iCs/>
          <w:sz w:val="24"/>
          <w:szCs w:val="24"/>
        </w:rPr>
        <w:t>in vitro</w:t>
      </w:r>
      <w:r w:rsidRPr="006456A5">
        <w:rPr>
          <w:rFonts w:ascii="Arial" w:hAnsi="Arial" w:cs="Arial"/>
          <w:sz w:val="24"/>
          <w:szCs w:val="24"/>
        </w:rPr>
        <w:t xml:space="preserve"> testing is available in relatively few specialised centres, </w:t>
      </w:r>
      <w:r w:rsidRPr="00453154">
        <w:rPr>
          <w:rFonts w:ascii="Arial" w:hAnsi="Arial" w:cs="Arial"/>
          <w:i/>
          <w:iCs/>
          <w:sz w:val="24"/>
          <w:szCs w:val="24"/>
        </w:rPr>
        <w:t>in vivo</w:t>
      </w:r>
      <w:r w:rsidRPr="006456A5">
        <w:rPr>
          <w:rFonts w:ascii="Arial" w:hAnsi="Arial" w:cs="Arial"/>
          <w:sz w:val="24"/>
          <w:szCs w:val="24"/>
        </w:rPr>
        <w:t xml:space="preserve"> tests </w:t>
      </w:r>
      <w:r>
        <w:rPr>
          <w:rFonts w:ascii="Arial" w:hAnsi="Arial" w:cs="Arial"/>
          <w:sz w:val="24"/>
          <w:szCs w:val="24"/>
        </w:rPr>
        <w:t xml:space="preserve">such </w:t>
      </w:r>
      <w:r w:rsidRPr="006456A5">
        <w:rPr>
          <w:rFonts w:ascii="Arial" w:hAnsi="Arial" w:cs="Arial"/>
          <w:sz w:val="24"/>
          <w:szCs w:val="24"/>
        </w:rPr>
        <w:t>as skin tests have comparatively more widely been undertaken.</w:t>
      </w:r>
      <w:r>
        <w:rPr>
          <w:rFonts w:ascii="Arial" w:hAnsi="Arial" w:cs="Arial"/>
          <w:sz w:val="24"/>
          <w:szCs w:val="24"/>
        </w:rPr>
        <w:t xml:space="preserve"> T</w:t>
      </w:r>
      <w:r w:rsidRPr="00CF761F">
        <w:rPr>
          <w:rFonts w:ascii="Arial" w:hAnsi="Arial" w:cs="Arial"/>
          <w:sz w:val="24"/>
          <w:szCs w:val="24"/>
        </w:rPr>
        <w:t>he clinical utility of these remains uncertain due to variable sensitivity reported</w:t>
      </w:r>
      <w:r w:rsidRPr="006F09CD">
        <w:rPr>
          <w:rFonts w:ascii="Arial" w:hAnsi="Arial" w:cs="Arial"/>
          <w:noProof/>
          <w:sz w:val="24"/>
          <w:szCs w:val="24"/>
          <w:vertAlign w:val="superscript"/>
        </w:rPr>
        <w:t>15, 16</w:t>
      </w:r>
      <w:r w:rsidRPr="004F576A">
        <w:rPr>
          <w:rFonts w:ascii="Arial" w:hAnsi="Arial" w:cs="Arial"/>
          <w:sz w:val="24"/>
          <w:szCs w:val="24"/>
        </w:rPr>
        <w:t xml:space="preserve">. </w:t>
      </w:r>
      <w:r w:rsidRPr="006456A5">
        <w:rPr>
          <w:rFonts w:ascii="Arial" w:hAnsi="Arial" w:cs="Arial"/>
          <w:sz w:val="24"/>
          <w:szCs w:val="24"/>
        </w:rPr>
        <w:t>Certain medications, in particular allopurinol and sulfamethoxazole, also seemingly give rise to false negative results on patch tests</w:t>
      </w:r>
      <w:r w:rsidRPr="006F09CD">
        <w:rPr>
          <w:rFonts w:ascii="Arial" w:hAnsi="Arial" w:cs="Arial"/>
          <w:noProof/>
          <w:sz w:val="24"/>
          <w:szCs w:val="24"/>
          <w:vertAlign w:val="superscript"/>
        </w:rPr>
        <w:t>16-19</w:t>
      </w:r>
      <w:r w:rsidRPr="006456A5">
        <w:rPr>
          <w:rFonts w:ascii="Arial" w:hAnsi="Arial" w:cs="Arial"/>
          <w:sz w:val="24"/>
          <w:szCs w:val="24"/>
        </w:rPr>
        <w:t xml:space="preserve">. </w:t>
      </w:r>
      <w:r w:rsidRPr="00242269">
        <w:rPr>
          <w:rFonts w:ascii="Arial" w:hAnsi="Arial" w:cs="Arial"/>
          <w:sz w:val="24"/>
          <w:szCs w:val="24"/>
        </w:rPr>
        <w:t>Although a</w:t>
      </w:r>
      <w:r>
        <w:rPr>
          <w:rFonts w:ascii="Arial" w:hAnsi="Arial" w:cs="Arial"/>
          <w:sz w:val="24"/>
          <w:szCs w:val="24"/>
        </w:rPr>
        <w:t xml:space="preserve"> </w:t>
      </w:r>
      <w:r w:rsidRPr="00242269">
        <w:rPr>
          <w:rFonts w:ascii="Arial" w:hAnsi="Arial" w:cs="Arial"/>
          <w:sz w:val="24"/>
          <w:szCs w:val="24"/>
        </w:rPr>
        <w:t xml:space="preserve">challenge </w:t>
      </w:r>
      <w:r w:rsidRPr="00B74AF5">
        <w:rPr>
          <w:rFonts w:ascii="Arial" w:hAnsi="Arial" w:cs="Arial"/>
          <w:sz w:val="24"/>
          <w:szCs w:val="24"/>
        </w:rPr>
        <w:t>exposure w</w:t>
      </w:r>
      <w:r w:rsidRPr="00EE3842">
        <w:rPr>
          <w:rFonts w:ascii="Arial" w:hAnsi="Arial" w:cs="Arial"/>
          <w:sz w:val="24"/>
          <w:szCs w:val="24"/>
        </w:rPr>
        <w:t xml:space="preserve">ith suspect </w:t>
      </w:r>
      <w:r w:rsidRPr="00EE3842">
        <w:rPr>
          <w:rFonts w:ascii="Arial" w:hAnsi="Arial" w:cs="Arial"/>
          <w:sz w:val="24"/>
          <w:szCs w:val="24"/>
        </w:rPr>
        <w:lastRenderedPageBreak/>
        <w:t>medication remains the ‘gold standard’, this carries associated risk of re-e</w:t>
      </w:r>
      <w:r w:rsidRPr="00B659B6">
        <w:rPr>
          <w:rFonts w:ascii="Arial" w:hAnsi="Arial" w:cs="Arial"/>
          <w:sz w:val="24"/>
          <w:szCs w:val="24"/>
        </w:rPr>
        <w:t xml:space="preserve">licitation of DRESS </w:t>
      </w:r>
      <w:r w:rsidRPr="004A53F6">
        <w:rPr>
          <w:rFonts w:ascii="Arial" w:hAnsi="Arial" w:cs="Arial"/>
          <w:sz w:val="24"/>
          <w:szCs w:val="24"/>
        </w:rPr>
        <w:t xml:space="preserve">and is therefore </w:t>
      </w:r>
      <w:r>
        <w:rPr>
          <w:rFonts w:ascii="Arial" w:hAnsi="Arial" w:cs="Arial"/>
          <w:sz w:val="24"/>
          <w:szCs w:val="24"/>
        </w:rPr>
        <w:t>often not performed</w:t>
      </w:r>
      <w:r w:rsidRPr="006F09CD">
        <w:rPr>
          <w:rFonts w:ascii="Arial" w:hAnsi="Arial" w:cs="Arial"/>
          <w:noProof/>
          <w:sz w:val="24"/>
          <w:szCs w:val="24"/>
          <w:vertAlign w:val="superscript"/>
        </w:rPr>
        <w:t>16</w:t>
      </w:r>
      <w:r w:rsidRPr="004A53F6">
        <w:rPr>
          <w:rFonts w:ascii="Arial" w:hAnsi="Arial" w:cs="Arial"/>
          <w:sz w:val="24"/>
          <w:szCs w:val="24"/>
        </w:rPr>
        <w:t>.</w:t>
      </w:r>
      <w:r w:rsidRPr="00242269">
        <w:rPr>
          <w:rFonts w:ascii="Arial" w:hAnsi="Arial" w:cs="Arial"/>
          <w:sz w:val="24"/>
          <w:szCs w:val="24"/>
        </w:rPr>
        <w:t xml:space="preserve"> </w:t>
      </w:r>
      <w:r w:rsidRPr="004F576A">
        <w:rPr>
          <w:rFonts w:ascii="Arial" w:hAnsi="Arial" w:cs="Arial"/>
          <w:sz w:val="24"/>
          <w:szCs w:val="24"/>
        </w:rPr>
        <w:t xml:space="preserve">We undertook this systematic review to critically </w:t>
      </w:r>
      <w:r>
        <w:rPr>
          <w:rFonts w:ascii="Arial" w:hAnsi="Arial" w:cs="Arial"/>
          <w:sz w:val="24"/>
          <w:szCs w:val="24"/>
        </w:rPr>
        <w:t>appraise</w:t>
      </w:r>
      <w:r w:rsidRPr="004F576A">
        <w:rPr>
          <w:rFonts w:ascii="Arial" w:hAnsi="Arial" w:cs="Arial"/>
          <w:sz w:val="24"/>
          <w:szCs w:val="24"/>
        </w:rPr>
        <w:t xml:space="preserve"> the published evidence </w:t>
      </w:r>
      <w:r>
        <w:rPr>
          <w:rFonts w:ascii="Arial" w:hAnsi="Arial" w:cs="Arial"/>
          <w:sz w:val="24"/>
          <w:szCs w:val="24"/>
        </w:rPr>
        <w:t>for the utility of</w:t>
      </w:r>
      <w:r w:rsidRPr="004F576A">
        <w:rPr>
          <w:rFonts w:ascii="Arial" w:hAnsi="Arial" w:cs="Arial"/>
          <w:sz w:val="24"/>
          <w:szCs w:val="24"/>
        </w:rPr>
        <w:t xml:space="preserve"> </w:t>
      </w:r>
      <w:r>
        <w:rPr>
          <w:rFonts w:ascii="Arial" w:hAnsi="Arial" w:cs="Arial"/>
          <w:sz w:val="24"/>
          <w:szCs w:val="24"/>
        </w:rPr>
        <w:t>patch tests (PT), intradermal tests (IDT)</w:t>
      </w:r>
      <w:r w:rsidRPr="004F576A">
        <w:rPr>
          <w:rFonts w:ascii="Arial" w:hAnsi="Arial" w:cs="Arial"/>
          <w:sz w:val="24"/>
          <w:szCs w:val="24"/>
        </w:rPr>
        <w:t xml:space="preserve"> and skin prick tests </w:t>
      </w:r>
      <w:r>
        <w:rPr>
          <w:rFonts w:ascii="Arial" w:hAnsi="Arial" w:cs="Arial"/>
          <w:sz w:val="24"/>
          <w:szCs w:val="24"/>
        </w:rPr>
        <w:t>(</w:t>
      </w:r>
      <w:r w:rsidRPr="004F576A">
        <w:rPr>
          <w:rFonts w:ascii="Arial" w:hAnsi="Arial" w:cs="Arial"/>
          <w:sz w:val="24"/>
          <w:szCs w:val="24"/>
        </w:rPr>
        <w:t xml:space="preserve">SPT) </w:t>
      </w:r>
      <w:r>
        <w:rPr>
          <w:rFonts w:ascii="Arial" w:hAnsi="Arial" w:cs="Arial"/>
          <w:sz w:val="24"/>
          <w:szCs w:val="24"/>
        </w:rPr>
        <w:t xml:space="preserve">in DRESS. </w:t>
      </w:r>
    </w:p>
    <w:p w14:paraId="4DA360FB" w14:textId="77777777" w:rsidR="003D56DD" w:rsidRDefault="003D56DD" w:rsidP="004F576A">
      <w:pPr>
        <w:spacing w:line="480" w:lineRule="auto"/>
        <w:jc w:val="both"/>
        <w:rPr>
          <w:rFonts w:ascii="Arial" w:hAnsi="Arial" w:cs="Arial"/>
          <w:b/>
          <w:sz w:val="24"/>
          <w:szCs w:val="24"/>
        </w:rPr>
        <w:sectPr w:rsidR="003D56DD" w:rsidSect="002A166F">
          <w:headerReference w:type="default" r:id="rId9"/>
          <w:pgSz w:w="11906" w:h="16838"/>
          <w:pgMar w:top="1440" w:right="1440" w:bottom="1440" w:left="1440" w:header="708" w:footer="708" w:gutter="0"/>
          <w:lnNumType w:countBy="1" w:restart="continuous"/>
          <w:cols w:space="708"/>
          <w:docGrid w:linePitch="360"/>
        </w:sectPr>
      </w:pPr>
    </w:p>
    <w:p w14:paraId="0FCC6A22" w14:textId="77777777" w:rsidR="003D56DD" w:rsidRPr="004F576A" w:rsidRDefault="003D56DD" w:rsidP="004F576A">
      <w:pPr>
        <w:spacing w:line="480" w:lineRule="auto"/>
        <w:jc w:val="both"/>
        <w:rPr>
          <w:rFonts w:ascii="Arial" w:hAnsi="Arial" w:cs="Arial"/>
          <w:b/>
          <w:sz w:val="24"/>
          <w:szCs w:val="24"/>
        </w:rPr>
      </w:pPr>
      <w:r w:rsidRPr="004F576A">
        <w:rPr>
          <w:rFonts w:ascii="Arial" w:hAnsi="Arial" w:cs="Arial"/>
          <w:b/>
          <w:sz w:val="24"/>
          <w:szCs w:val="24"/>
        </w:rPr>
        <w:lastRenderedPageBreak/>
        <w:t>Methods</w:t>
      </w:r>
    </w:p>
    <w:p w14:paraId="301051E0" w14:textId="77777777"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System</w:t>
      </w:r>
      <w:r>
        <w:rPr>
          <w:rFonts w:ascii="Arial" w:hAnsi="Arial" w:cs="Arial"/>
          <w:sz w:val="24"/>
          <w:szCs w:val="24"/>
        </w:rPr>
        <w:t>at</w:t>
      </w:r>
      <w:r w:rsidRPr="004F576A">
        <w:rPr>
          <w:rFonts w:ascii="Arial" w:hAnsi="Arial" w:cs="Arial"/>
          <w:sz w:val="24"/>
          <w:szCs w:val="24"/>
        </w:rPr>
        <w:t xml:space="preserve">ic review of the bibliographic databases (Medline, Embase, and Web of Science) was performed in accordance </w:t>
      </w:r>
      <w:r>
        <w:rPr>
          <w:rFonts w:ascii="Arial" w:hAnsi="Arial" w:cs="Arial"/>
          <w:sz w:val="24"/>
          <w:szCs w:val="24"/>
        </w:rPr>
        <w:t>with</w:t>
      </w:r>
      <w:r w:rsidRPr="004F576A">
        <w:rPr>
          <w:rFonts w:ascii="Arial" w:hAnsi="Arial" w:cs="Arial"/>
          <w:sz w:val="24"/>
          <w:szCs w:val="24"/>
        </w:rPr>
        <w:t xml:space="preserve"> the Preferred Reporting Items for Systematic Reviews and Meta-Analyses (PRISMA) statement and the search protocol detailed and registered on PROSPERO (CRD42019136977). In brief, publications were searched using the terms ‘DRESS’, ‘DIHS’, ‘drug reaction with eosinophilia and systemic symptoms’, ‘drug induced hypersensitivity syndrome’, ‘drug induced delayed multi</w:t>
      </w:r>
      <w:r>
        <w:rPr>
          <w:rFonts w:ascii="Arial" w:hAnsi="Arial" w:cs="Arial"/>
          <w:sz w:val="24"/>
          <w:szCs w:val="24"/>
        </w:rPr>
        <w:t>-</w:t>
      </w:r>
      <w:r w:rsidRPr="004F576A">
        <w:rPr>
          <w:rFonts w:ascii="Arial" w:hAnsi="Arial" w:cs="Arial"/>
          <w:sz w:val="24"/>
          <w:szCs w:val="24"/>
        </w:rPr>
        <w:t xml:space="preserve">organ hypersensitivity syndrome’, ‘anticonvulsant hypersensitivity syndrome’, or ‘severe cutaneous adverse drug reaction’. Results were combined (‘AND’) with a search report using ‘skin tests’, ‘intradermal tests’, ‘prick tests’, or ‘patch </w:t>
      </w:r>
      <w:proofErr w:type="gramStart"/>
      <w:r w:rsidRPr="004F576A">
        <w:rPr>
          <w:rFonts w:ascii="Arial" w:hAnsi="Arial" w:cs="Arial"/>
          <w:sz w:val="24"/>
          <w:szCs w:val="24"/>
        </w:rPr>
        <w:t>tests</w:t>
      </w:r>
      <w:r>
        <w:rPr>
          <w:rFonts w:ascii="Arial" w:hAnsi="Arial" w:cs="Arial"/>
          <w:sz w:val="24"/>
          <w:szCs w:val="24"/>
        </w:rPr>
        <w:t>’</w:t>
      </w:r>
      <w:proofErr w:type="gramEnd"/>
      <w:r>
        <w:rPr>
          <w:rFonts w:ascii="Arial" w:hAnsi="Arial" w:cs="Arial"/>
          <w:sz w:val="24"/>
          <w:szCs w:val="24"/>
        </w:rPr>
        <w:t xml:space="preserve">. Inclusion and exclusion criteria are as listed in </w:t>
      </w:r>
      <w:r w:rsidRPr="00AF7C2D">
        <w:rPr>
          <w:rFonts w:ascii="Arial" w:hAnsi="Arial" w:cs="Arial"/>
          <w:b/>
          <w:bCs/>
          <w:sz w:val="24"/>
          <w:szCs w:val="24"/>
        </w:rPr>
        <w:t>Table 1</w:t>
      </w:r>
      <w:r>
        <w:rPr>
          <w:rFonts w:ascii="Arial" w:hAnsi="Arial" w:cs="Arial"/>
          <w:sz w:val="24"/>
          <w:szCs w:val="24"/>
        </w:rPr>
        <w:t xml:space="preserve">. </w:t>
      </w:r>
    </w:p>
    <w:p w14:paraId="7D21C8B3" w14:textId="3708F9EB"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Search results from 1996 onwards (when DRESS was first reported as a clinical entity)</w:t>
      </w:r>
      <w:r w:rsidRPr="006F09CD">
        <w:rPr>
          <w:rFonts w:ascii="Arial" w:hAnsi="Arial" w:cs="Arial"/>
          <w:noProof/>
          <w:sz w:val="24"/>
          <w:szCs w:val="24"/>
          <w:vertAlign w:val="superscript"/>
        </w:rPr>
        <w:t>1</w:t>
      </w:r>
      <w:r w:rsidRPr="004F576A">
        <w:rPr>
          <w:rFonts w:ascii="Arial" w:hAnsi="Arial" w:cs="Arial"/>
          <w:sz w:val="24"/>
          <w:szCs w:val="24"/>
        </w:rPr>
        <w:t xml:space="preserve"> were reviewed by 2 independent reviewers (YT, MAJ). Following independent abstract screening by both reviewers based on pre-specified inclusion/exclusion criteria, full text articles were assessed for inclusion. Disagreements were resolved by discussion. </w:t>
      </w:r>
      <w:r>
        <w:rPr>
          <w:rFonts w:ascii="Arial" w:hAnsi="Arial" w:cs="Arial"/>
          <w:sz w:val="24"/>
          <w:szCs w:val="24"/>
        </w:rPr>
        <w:t>Publications</w:t>
      </w:r>
      <w:r w:rsidRPr="004F576A">
        <w:rPr>
          <w:rFonts w:ascii="Arial" w:hAnsi="Arial" w:cs="Arial"/>
          <w:sz w:val="24"/>
          <w:szCs w:val="24"/>
        </w:rPr>
        <w:t xml:space="preserve"> with at least 3 DRESS (or synonymous term) cases which reported skin testing results</w:t>
      </w:r>
      <w:r>
        <w:rPr>
          <w:rFonts w:ascii="Arial" w:hAnsi="Arial" w:cs="Arial"/>
          <w:sz w:val="24"/>
          <w:szCs w:val="24"/>
        </w:rPr>
        <w:t xml:space="preserve"> were included, to ensure that cases included were diagnosed by clinicians with adequate experience in identification of DRESS and consideration of likely culprit medications</w:t>
      </w:r>
      <w:r w:rsidRPr="004F576A">
        <w:rPr>
          <w:rFonts w:ascii="Arial" w:hAnsi="Arial" w:cs="Arial"/>
          <w:sz w:val="24"/>
          <w:szCs w:val="24"/>
        </w:rPr>
        <w:t xml:space="preserve">. Retrospective studies and publications where DRESS subjects were tested as part of a larger cohort were included. Careful attention was made to include the same patient cohort only once. Where unclear or data was not included in publication, corresponding authors were emailed to request further information. </w:t>
      </w:r>
    </w:p>
    <w:p w14:paraId="141D826D" w14:textId="39CA2970"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lastRenderedPageBreak/>
        <w:t xml:space="preserve">The data extracted from each report included: first author, publication year, type of study, number of DRESS patients, target population characteristics, time interval to testing, </w:t>
      </w:r>
      <w:r>
        <w:rPr>
          <w:rFonts w:ascii="Arial" w:hAnsi="Arial" w:cs="Arial"/>
          <w:sz w:val="24"/>
          <w:szCs w:val="24"/>
        </w:rPr>
        <w:t xml:space="preserve">test </w:t>
      </w:r>
      <w:r w:rsidRPr="004F576A">
        <w:rPr>
          <w:rFonts w:ascii="Arial" w:hAnsi="Arial" w:cs="Arial"/>
          <w:sz w:val="24"/>
          <w:szCs w:val="24"/>
        </w:rPr>
        <w:t xml:space="preserve">intervention (PT, SPT, IDT), </w:t>
      </w:r>
      <w:r>
        <w:rPr>
          <w:rFonts w:ascii="Arial" w:hAnsi="Arial" w:cs="Arial"/>
          <w:sz w:val="24"/>
          <w:szCs w:val="24"/>
        </w:rPr>
        <w:t xml:space="preserve">and </w:t>
      </w:r>
      <w:r w:rsidRPr="004F576A">
        <w:rPr>
          <w:rFonts w:ascii="Arial" w:hAnsi="Arial" w:cs="Arial"/>
          <w:sz w:val="24"/>
          <w:szCs w:val="24"/>
        </w:rPr>
        <w:t>other interventions performed such as challenge test. For those reports comparing a skin test result with a clinical assessment of causality we assigned a pre-test clinical confidence in culpability of the tested drug as probable, possible, or not mentioned. ‘Probable’</w:t>
      </w:r>
      <w:r>
        <w:rPr>
          <w:rFonts w:ascii="Arial" w:hAnsi="Arial" w:cs="Arial"/>
          <w:sz w:val="24"/>
          <w:szCs w:val="24"/>
        </w:rPr>
        <w:t xml:space="preserve"> </w:t>
      </w:r>
      <w:r w:rsidRPr="004F576A">
        <w:rPr>
          <w:rFonts w:ascii="Arial" w:hAnsi="Arial" w:cs="Arial"/>
          <w:sz w:val="24"/>
          <w:szCs w:val="24"/>
        </w:rPr>
        <w:t xml:space="preserve">was assigned if this was clearly stated in the manuscript, </w:t>
      </w:r>
      <w:r>
        <w:rPr>
          <w:rFonts w:ascii="Arial" w:hAnsi="Arial" w:cs="Arial"/>
          <w:sz w:val="24"/>
          <w:szCs w:val="24"/>
        </w:rPr>
        <w:t xml:space="preserve">‘possible’ if multiple drugs were assessed when not in the context of testing for cross-reactivity and ‘not mentioned’ if it was not possible to determine if the drug tested was thought to be a suspect drug or performed as part of exploratory research. </w:t>
      </w:r>
      <w:r w:rsidRPr="004F576A">
        <w:rPr>
          <w:rFonts w:ascii="Arial" w:hAnsi="Arial" w:cs="Arial"/>
          <w:sz w:val="24"/>
          <w:szCs w:val="24"/>
        </w:rPr>
        <w:t>Reports of skin test results in cases who were exposed to the culprit drug by inadvertent reintroduction were included in the challenge tested group. The Grading of Recommendations Assessment, Development and Evaluation (GRADE) system</w:t>
      </w:r>
      <w:r w:rsidRPr="006F09CD">
        <w:rPr>
          <w:rFonts w:ascii="Arial" w:hAnsi="Arial" w:cs="Arial"/>
          <w:noProof/>
          <w:sz w:val="24"/>
          <w:szCs w:val="24"/>
          <w:vertAlign w:val="superscript"/>
        </w:rPr>
        <w:t>20</w:t>
      </w:r>
      <w:r w:rsidRPr="004F576A">
        <w:rPr>
          <w:rFonts w:ascii="Arial" w:hAnsi="Arial" w:cs="Arial"/>
          <w:sz w:val="24"/>
          <w:szCs w:val="24"/>
        </w:rPr>
        <w:t xml:space="preserve"> was used for grading quality of included publications </w:t>
      </w:r>
      <w:r>
        <w:rPr>
          <w:rFonts w:ascii="Arial" w:hAnsi="Arial" w:cs="Arial"/>
          <w:sz w:val="24"/>
          <w:szCs w:val="24"/>
        </w:rPr>
        <w:t>and against the Standards for Reporting of Diagnostic Accuracy Studies (STARD)</w:t>
      </w:r>
      <w:r w:rsidRPr="006F09CD">
        <w:rPr>
          <w:rFonts w:ascii="Arial" w:hAnsi="Arial" w:cs="Arial"/>
          <w:noProof/>
          <w:sz w:val="24"/>
          <w:szCs w:val="24"/>
          <w:vertAlign w:val="superscript"/>
        </w:rPr>
        <w:t>21</w:t>
      </w:r>
      <w:r>
        <w:rPr>
          <w:rFonts w:ascii="Arial" w:hAnsi="Arial" w:cs="Arial"/>
          <w:sz w:val="24"/>
          <w:szCs w:val="24"/>
        </w:rPr>
        <w:t xml:space="preserve"> </w:t>
      </w:r>
      <w:r w:rsidRPr="004F576A">
        <w:rPr>
          <w:rFonts w:ascii="Arial" w:hAnsi="Arial" w:cs="Arial"/>
          <w:sz w:val="24"/>
          <w:szCs w:val="24"/>
        </w:rPr>
        <w:t xml:space="preserve">by </w:t>
      </w:r>
      <w:r>
        <w:rPr>
          <w:rFonts w:ascii="Arial" w:hAnsi="Arial" w:cs="Arial"/>
          <w:sz w:val="24"/>
          <w:szCs w:val="24"/>
        </w:rPr>
        <w:t>two</w:t>
      </w:r>
      <w:r w:rsidRPr="004F576A">
        <w:rPr>
          <w:rFonts w:ascii="Arial" w:hAnsi="Arial" w:cs="Arial"/>
          <w:sz w:val="24"/>
          <w:szCs w:val="24"/>
        </w:rPr>
        <w:t xml:space="preserve"> authors (YT, MAJ). Publications were scored high, low or uncertain based on risk of bias to patient selection, testing</w:t>
      </w:r>
      <w:r>
        <w:rPr>
          <w:rFonts w:ascii="Arial" w:hAnsi="Arial" w:cs="Arial"/>
          <w:sz w:val="24"/>
          <w:szCs w:val="24"/>
        </w:rPr>
        <w:t xml:space="preserve"> (blinded or unblinded performance and detection, taking into consideration that blinding to testing would not be possible in skin testing)</w:t>
      </w:r>
      <w:r w:rsidRPr="004F576A">
        <w:rPr>
          <w:rFonts w:ascii="Arial" w:hAnsi="Arial" w:cs="Arial"/>
          <w:sz w:val="24"/>
          <w:szCs w:val="24"/>
        </w:rPr>
        <w:t xml:space="preserve">, </w:t>
      </w:r>
      <w:r>
        <w:rPr>
          <w:rFonts w:ascii="Arial" w:hAnsi="Arial" w:cs="Arial"/>
          <w:sz w:val="24"/>
          <w:szCs w:val="24"/>
        </w:rPr>
        <w:t>result reporting</w:t>
      </w:r>
      <w:r w:rsidRPr="004F576A">
        <w:rPr>
          <w:rFonts w:ascii="Arial" w:hAnsi="Arial" w:cs="Arial"/>
          <w:sz w:val="24"/>
          <w:szCs w:val="24"/>
        </w:rPr>
        <w:t xml:space="preserve"> and </w:t>
      </w:r>
      <w:r>
        <w:rPr>
          <w:rFonts w:ascii="Arial" w:hAnsi="Arial" w:cs="Arial"/>
          <w:sz w:val="24"/>
          <w:szCs w:val="24"/>
        </w:rPr>
        <w:t>high, intermediate or low to quality of study as assessed based on skin testing utility in DRESS</w:t>
      </w:r>
      <w:r w:rsidRPr="004F576A">
        <w:rPr>
          <w:rFonts w:ascii="Arial" w:hAnsi="Arial" w:cs="Arial"/>
          <w:sz w:val="24"/>
          <w:szCs w:val="24"/>
        </w:rPr>
        <w:t>.</w:t>
      </w:r>
      <w:r>
        <w:rPr>
          <w:rFonts w:ascii="Arial" w:hAnsi="Arial" w:cs="Arial"/>
          <w:sz w:val="24"/>
          <w:szCs w:val="24"/>
        </w:rPr>
        <w:t xml:space="preserve"> The subject cohort was considered a ‘unique cohort’ if only DRESS subjects were included in the study. Due to absence of ‘gold standard’ reference test for DRESS, this criterion was not included. </w:t>
      </w:r>
    </w:p>
    <w:p w14:paraId="4B214BC4" w14:textId="77777777"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 xml:space="preserve">Where individual ages </w:t>
      </w:r>
      <w:r>
        <w:rPr>
          <w:rFonts w:ascii="Arial" w:hAnsi="Arial" w:cs="Arial"/>
          <w:sz w:val="24"/>
          <w:szCs w:val="24"/>
        </w:rPr>
        <w:t>for</w:t>
      </w:r>
      <w:r w:rsidRPr="004F576A">
        <w:rPr>
          <w:rFonts w:ascii="Arial" w:hAnsi="Arial" w:cs="Arial"/>
          <w:sz w:val="24"/>
          <w:szCs w:val="24"/>
        </w:rPr>
        <w:t xml:space="preserve"> patients were published, average age by publication and subsequently </w:t>
      </w:r>
      <w:r>
        <w:rPr>
          <w:rFonts w:ascii="Arial" w:hAnsi="Arial" w:cs="Arial"/>
          <w:sz w:val="24"/>
          <w:szCs w:val="24"/>
        </w:rPr>
        <w:t xml:space="preserve">median age </w:t>
      </w:r>
      <w:r w:rsidRPr="004F576A">
        <w:rPr>
          <w:rFonts w:ascii="Arial" w:hAnsi="Arial" w:cs="Arial"/>
          <w:sz w:val="24"/>
          <w:szCs w:val="24"/>
        </w:rPr>
        <w:t xml:space="preserve">for all included articles were calculated. Narrative synthesis of findings of tested population demographics, type and outcome of testing and any identifiable drug culpability assessment prior to testing and subsequent challenge was </w:t>
      </w:r>
      <w:r w:rsidRPr="004F576A">
        <w:rPr>
          <w:rFonts w:ascii="Arial" w:hAnsi="Arial" w:cs="Arial"/>
          <w:sz w:val="24"/>
          <w:szCs w:val="24"/>
        </w:rPr>
        <w:lastRenderedPageBreak/>
        <w:t>performed. Where skin tests were performed to explore cross-reactivity, data was analysed separately.</w:t>
      </w:r>
    </w:p>
    <w:p w14:paraId="57647292" w14:textId="77777777" w:rsidR="003D56DD" w:rsidRDefault="003D56DD" w:rsidP="004F576A">
      <w:pPr>
        <w:spacing w:line="480" w:lineRule="auto"/>
        <w:jc w:val="both"/>
        <w:rPr>
          <w:rFonts w:ascii="Arial" w:hAnsi="Arial" w:cs="Arial"/>
          <w:b/>
          <w:bCs/>
          <w:sz w:val="24"/>
          <w:szCs w:val="24"/>
        </w:rPr>
        <w:sectPr w:rsidR="003D56DD" w:rsidSect="006974E2">
          <w:pgSz w:w="11906" w:h="16838"/>
          <w:pgMar w:top="1440" w:right="1440" w:bottom="1440" w:left="1440" w:header="708" w:footer="708" w:gutter="0"/>
          <w:lnNumType w:countBy="1" w:restart="continuous"/>
          <w:cols w:space="708"/>
          <w:docGrid w:linePitch="360"/>
        </w:sectPr>
      </w:pPr>
    </w:p>
    <w:p w14:paraId="438C391C" w14:textId="77777777" w:rsidR="003D56DD" w:rsidRPr="004F576A" w:rsidRDefault="003D56DD" w:rsidP="004F576A">
      <w:pPr>
        <w:spacing w:line="480" w:lineRule="auto"/>
        <w:jc w:val="both"/>
        <w:rPr>
          <w:rFonts w:ascii="Arial" w:hAnsi="Arial" w:cs="Arial"/>
          <w:b/>
          <w:bCs/>
          <w:sz w:val="24"/>
          <w:szCs w:val="24"/>
        </w:rPr>
      </w:pPr>
      <w:r w:rsidRPr="004F576A">
        <w:rPr>
          <w:rFonts w:ascii="Arial" w:hAnsi="Arial" w:cs="Arial"/>
          <w:b/>
          <w:bCs/>
          <w:sz w:val="24"/>
          <w:szCs w:val="24"/>
        </w:rPr>
        <w:lastRenderedPageBreak/>
        <w:t>Results</w:t>
      </w:r>
      <w:bookmarkStart w:id="1" w:name="_GoBack"/>
      <w:bookmarkEnd w:id="1"/>
    </w:p>
    <w:p w14:paraId="7577BA7D" w14:textId="77777777" w:rsidR="003D56DD" w:rsidRPr="00E6299A" w:rsidRDefault="003D56DD" w:rsidP="004F576A">
      <w:pPr>
        <w:spacing w:line="480" w:lineRule="auto"/>
        <w:jc w:val="both"/>
        <w:rPr>
          <w:rFonts w:ascii="Arial" w:hAnsi="Arial" w:cs="Arial"/>
          <w:b/>
          <w:sz w:val="24"/>
          <w:szCs w:val="24"/>
        </w:rPr>
      </w:pPr>
      <w:r w:rsidRPr="00E6299A">
        <w:rPr>
          <w:rFonts w:ascii="Arial" w:hAnsi="Arial" w:cs="Arial"/>
          <w:b/>
          <w:sz w:val="24"/>
          <w:szCs w:val="24"/>
        </w:rPr>
        <w:t>Search results</w:t>
      </w:r>
    </w:p>
    <w:p w14:paraId="0D3A4D04" w14:textId="32866844" w:rsidR="003D56DD" w:rsidRDefault="003D56DD" w:rsidP="004F576A">
      <w:pPr>
        <w:spacing w:line="480" w:lineRule="auto"/>
        <w:jc w:val="both"/>
        <w:rPr>
          <w:rFonts w:ascii="Arial" w:hAnsi="Arial" w:cs="Arial"/>
          <w:sz w:val="24"/>
          <w:szCs w:val="24"/>
        </w:rPr>
      </w:pPr>
      <w:r w:rsidRPr="004F576A">
        <w:rPr>
          <w:rFonts w:ascii="Arial" w:hAnsi="Arial" w:cs="Arial"/>
          <w:sz w:val="24"/>
          <w:szCs w:val="24"/>
        </w:rPr>
        <w:t>797 abstracts were identified from database search, of which 49 were duplicate</w:t>
      </w:r>
      <w:r w:rsidR="00B34ABB">
        <w:rPr>
          <w:rFonts w:ascii="Arial" w:hAnsi="Arial" w:cs="Arial"/>
          <w:sz w:val="24"/>
          <w:szCs w:val="24"/>
        </w:rPr>
        <w:t>s and therefore removed</w:t>
      </w:r>
      <w:r w:rsidRPr="004F576A">
        <w:rPr>
          <w:rFonts w:ascii="Arial" w:hAnsi="Arial" w:cs="Arial"/>
          <w:sz w:val="24"/>
          <w:szCs w:val="24"/>
        </w:rPr>
        <w:t>. 699 of the 748 remaining abstracts were screened on relevance to topic of interest (</w:t>
      </w:r>
      <w:r w:rsidRPr="0023687D">
        <w:rPr>
          <w:rFonts w:ascii="Arial" w:hAnsi="Arial" w:cs="Arial"/>
          <w:b/>
          <w:sz w:val="24"/>
          <w:szCs w:val="24"/>
        </w:rPr>
        <w:t>Figure 1</w:t>
      </w:r>
      <w:r w:rsidRPr="004F576A">
        <w:rPr>
          <w:rFonts w:ascii="Arial" w:hAnsi="Arial" w:cs="Arial"/>
          <w:sz w:val="24"/>
          <w:szCs w:val="24"/>
        </w:rPr>
        <w:t xml:space="preserve">), with 97.9% (48/49) agreement between reviewers. </w:t>
      </w:r>
      <w:r w:rsidRPr="00F62C0B">
        <w:t xml:space="preserve"> </w:t>
      </w:r>
      <w:r w:rsidRPr="00F62C0B">
        <w:rPr>
          <w:rFonts w:ascii="Arial" w:hAnsi="Arial" w:cs="Arial"/>
          <w:sz w:val="24"/>
          <w:szCs w:val="24"/>
        </w:rPr>
        <w:t>There were 49 articles fully assessed. Corresponding authors were contacted via email for clarification if type of skin test performed and/or total number of DRESS subjects were not stated</w:t>
      </w:r>
      <w:r>
        <w:rPr>
          <w:rFonts w:ascii="Arial" w:hAnsi="Arial" w:cs="Arial"/>
          <w:sz w:val="24"/>
          <w:szCs w:val="24"/>
        </w:rPr>
        <w:t xml:space="preserve">. Review of publications related to skin tests in delayed drug hypersensitivity during drafting if this manuscript identified two further publications, which were included for </w:t>
      </w:r>
      <w:proofErr w:type="gramStart"/>
      <w:r>
        <w:rPr>
          <w:rFonts w:ascii="Arial" w:hAnsi="Arial" w:cs="Arial"/>
          <w:sz w:val="24"/>
          <w:szCs w:val="24"/>
        </w:rPr>
        <w:t>analysis..</w:t>
      </w:r>
      <w:proofErr w:type="gramEnd"/>
    </w:p>
    <w:p w14:paraId="10A952D2" w14:textId="77777777" w:rsidR="003D56DD" w:rsidRDefault="003D56DD" w:rsidP="004F576A">
      <w:pPr>
        <w:spacing w:line="480" w:lineRule="auto"/>
        <w:jc w:val="both"/>
        <w:rPr>
          <w:rFonts w:ascii="Arial" w:hAnsi="Arial" w:cs="Arial"/>
          <w:sz w:val="24"/>
          <w:szCs w:val="24"/>
        </w:rPr>
      </w:pPr>
      <w:r>
        <w:rPr>
          <w:rFonts w:ascii="Arial" w:hAnsi="Arial" w:cs="Arial"/>
          <w:sz w:val="24"/>
          <w:szCs w:val="24"/>
        </w:rPr>
        <w:t>A</w:t>
      </w:r>
      <w:r w:rsidRPr="004F576A">
        <w:rPr>
          <w:rFonts w:ascii="Arial" w:hAnsi="Arial" w:cs="Arial"/>
          <w:sz w:val="24"/>
          <w:szCs w:val="24"/>
        </w:rPr>
        <w:t xml:space="preserve"> total of 1</w:t>
      </w:r>
      <w:r>
        <w:rPr>
          <w:rFonts w:ascii="Arial" w:hAnsi="Arial" w:cs="Arial"/>
          <w:sz w:val="24"/>
          <w:szCs w:val="24"/>
        </w:rPr>
        <w:t>7</w:t>
      </w:r>
      <w:r w:rsidRPr="004F576A">
        <w:rPr>
          <w:rFonts w:ascii="Arial" w:hAnsi="Arial" w:cs="Arial"/>
          <w:sz w:val="24"/>
          <w:szCs w:val="24"/>
        </w:rPr>
        <w:t xml:space="preserve"> articles</w:t>
      </w:r>
      <w:r>
        <w:rPr>
          <w:rFonts w:ascii="Arial" w:hAnsi="Arial" w:cs="Arial"/>
          <w:sz w:val="24"/>
          <w:szCs w:val="24"/>
        </w:rPr>
        <w:t xml:space="preserve"> met inclusion criteria</w:t>
      </w:r>
      <w:r w:rsidRPr="004F576A">
        <w:rPr>
          <w:rFonts w:ascii="Arial" w:hAnsi="Arial" w:cs="Arial"/>
          <w:sz w:val="24"/>
          <w:szCs w:val="24"/>
        </w:rPr>
        <w:t xml:space="preserve"> (</w:t>
      </w:r>
      <w:r w:rsidRPr="0023687D">
        <w:rPr>
          <w:rFonts w:ascii="Arial" w:hAnsi="Arial" w:cs="Arial"/>
          <w:b/>
          <w:sz w:val="24"/>
          <w:szCs w:val="24"/>
        </w:rPr>
        <w:t xml:space="preserve">Table </w:t>
      </w:r>
      <w:r>
        <w:rPr>
          <w:rFonts w:ascii="Arial" w:hAnsi="Arial" w:cs="Arial"/>
          <w:b/>
          <w:sz w:val="24"/>
          <w:szCs w:val="24"/>
        </w:rPr>
        <w:t>2</w:t>
      </w:r>
      <w:r w:rsidRPr="004F576A">
        <w:rPr>
          <w:rFonts w:ascii="Arial" w:hAnsi="Arial" w:cs="Arial"/>
          <w:sz w:val="24"/>
          <w:szCs w:val="24"/>
        </w:rPr>
        <w:t>).</w:t>
      </w:r>
      <w:r>
        <w:rPr>
          <w:rFonts w:ascii="Arial" w:hAnsi="Arial" w:cs="Arial"/>
          <w:sz w:val="24"/>
          <w:szCs w:val="24"/>
        </w:rPr>
        <w:t xml:space="preserve"> Of the 34 publications excluded, 16 were found not to include any DRESS cases, 5 did not specify clearly the phenotype of subjects, 8 did not contain primary data on cases not previously published and 5 publications reported outcomes in two or fewer subjects.</w:t>
      </w:r>
      <w:r w:rsidRPr="004F576A">
        <w:rPr>
          <w:rFonts w:ascii="Arial" w:hAnsi="Arial" w:cs="Arial"/>
          <w:sz w:val="24"/>
          <w:szCs w:val="24"/>
        </w:rPr>
        <w:t xml:space="preserve"> Of the studies included, </w:t>
      </w:r>
      <w:r>
        <w:rPr>
          <w:rFonts w:ascii="Arial" w:hAnsi="Arial" w:cs="Arial"/>
          <w:sz w:val="24"/>
          <w:szCs w:val="24"/>
        </w:rPr>
        <w:t>9</w:t>
      </w:r>
      <w:r w:rsidRPr="004F576A">
        <w:rPr>
          <w:rFonts w:ascii="Arial" w:hAnsi="Arial" w:cs="Arial"/>
          <w:sz w:val="24"/>
          <w:szCs w:val="24"/>
        </w:rPr>
        <w:t xml:space="preserve"> were performed retrospectively, 6 prospectively and 2 were case series. </w:t>
      </w:r>
      <w:r>
        <w:rPr>
          <w:rFonts w:ascii="Arial" w:hAnsi="Arial" w:cs="Arial"/>
          <w:sz w:val="24"/>
          <w:szCs w:val="24"/>
        </w:rPr>
        <w:t>8</w:t>
      </w:r>
      <w:r w:rsidRPr="004F576A">
        <w:rPr>
          <w:rFonts w:ascii="Arial" w:hAnsi="Arial" w:cs="Arial"/>
          <w:sz w:val="24"/>
          <w:szCs w:val="24"/>
        </w:rPr>
        <w:t xml:space="preserve"> of these examined DRESS cases exclusively whilst the rest of the articles assessed DRESS subjects alongside other cutaneous adverse drug reactions as well. Of the 3 types of skin testing reported, PT was the most frequently performed, [PT = </w:t>
      </w:r>
      <w:r>
        <w:rPr>
          <w:rFonts w:ascii="Arial" w:hAnsi="Arial" w:cs="Arial"/>
          <w:sz w:val="24"/>
          <w:szCs w:val="24"/>
        </w:rPr>
        <w:t>97.2</w:t>
      </w:r>
      <w:r w:rsidRPr="004F576A">
        <w:rPr>
          <w:rFonts w:ascii="Arial" w:hAnsi="Arial" w:cs="Arial"/>
          <w:sz w:val="24"/>
          <w:szCs w:val="24"/>
        </w:rPr>
        <w:t>% (n=</w:t>
      </w:r>
      <w:r>
        <w:rPr>
          <w:rFonts w:ascii="Arial" w:hAnsi="Arial" w:cs="Arial"/>
          <w:sz w:val="24"/>
          <w:szCs w:val="24"/>
        </w:rPr>
        <w:t>282 patients</w:t>
      </w:r>
      <w:r w:rsidRPr="004F576A">
        <w:rPr>
          <w:rFonts w:ascii="Arial" w:hAnsi="Arial" w:cs="Arial"/>
          <w:sz w:val="24"/>
          <w:szCs w:val="24"/>
        </w:rPr>
        <w:t xml:space="preserve">), IDT = </w:t>
      </w:r>
      <w:r>
        <w:rPr>
          <w:rFonts w:ascii="Arial" w:hAnsi="Arial" w:cs="Arial"/>
          <w:sz w:val="24"/>
          <w:szCs w:val="24"/>
        </w:rPr>
        <w:t>12.4</w:t>
      </w:r>
      <w:r w:rsidRPr="004F576A">
        <w:rPr>
          <w:rFonts w:ascii="Arial" w:hAnsi="Arial" w:cs="Arial"/>
          <w:sz w:val="24"/>
          <w:szCs w:val="24"/>
        </w:rPr>
        <w:t>%</w:t>
      </w:r>
      <w:r>
        <w:rPr>
          <w:rFonts w:ascii="Arial" w:hAnsi="Arial" w:cs="Arial"/>
          <w:sz w:val="24"/>
          <w:szCs w:val="24"/>
        </w:rPr>
        <w:t xml:space="preserve"> (n=36</w:t>
      </w:r>
      <w:r w:rsidRPr="004F576A">
        <w:rPr>
          <w:rFonts w:ascii="Arial" w:hAnsi="Arial" w:cs="Arial"/>
          <w:sz w:val="24"/>
          <w:szCs w:val="24"/>
        </w:rPr>
        <w:t>), SPT = 3.1% (n=9)].</w:t>
      </w:r>
    </w:p>
    <w:p w14:paraId="4ADAF6E3" w14:textId="77777777" w:rsidR="003D56DD" w:rsidRPr="00E6299A" w:rsidRDefault="003D56DD" w:rsidP="004F576A">
      <w:pPr>
        <w:spacing w:line="480" w:lineRule="auto"/>
        <w:jc w:val="both"/>
        <w:rPr>
          <w:rFonts w:ascii="Arial" w:hAnsi="Arial" w:cs="Arial"/>
          <w:b/>
          <w:sz w:val="24"/>
          <w:szCs w:val="24"/>
        </w:rPr>
      </w:pPr>
      <w:r w:rsidRPr="00E6299A">
        <w:rPr>
          <w:rFonts w:ascii="Arial" w:hAnsi="Arial" w:cs="Arial"/>
          <w:b/>
          <w:sz w:val="24"/>
          <w:szCs w:val="24"/>
        </w:rPr>
        <w:t>Risk of bias</w:t>
      </w:r>
    </w:p>
    <w:p w14:paraId="4D3E4FEF" w14:textId="77777777" w:rsidR="003D56DD" w:rsidRDefault="003D56DD" w:rsidP="004F576A">
      <w:pPr>
        <w:spacing w:line="480" w:lineRule="auto"/>
        <w:jc w:val="both"/>
        <w:rPr>
          <w:rFonts w:ascii="Arial" w:hAnsi="Arial" w:cs="Arial"/>
          <w:sz w:val="24"/>
          <w:szCs w:val="24"/>
        </w:rPr>
      </w:pPr>
      <w:r w:rsidRPr="004F576A">
        <w:rPr>
          <w:rFonts w:ascii="Arial" w:hAnsi="Arial" w:cs="Arial"/>
          <w:sz w:val="24"/>
          <w:szCs w:val="24"/>
        </w:rPr>
        <w:t xml:space="preserve">Individual publications were assessed for bias based on several parameters as shown in </w:t>
      </w:r>
      <w:r w:rsidRPr="0023687D">
        <w:rPr>
          <w:rFonts w:ascii="Arial" w:hAnsi="Arial" w:cs="Arial"/>
          <w:b/>
          <w:sz w:val="24"/>
          <w:szCs w:val="24"/>
        </w:rPr>
        <w:t>Figure 2</w:t>
      </w:r>
      <w:r w:rsidRPr="004F576A">
        <w:rPr>
          <w:rFonts w:ascii="Arial" w:hAnsi="Arial" w:cs="Arial"/>
          <w:sz w:val="24"/>
          <w:szCs w:val="24"/>
        </w:rPr>
        <w:t xml:space="preserve">. In general, </w:t>
      </w:r>
      <w:r>
        <w:rPr>
          <w:rFonts w:ascii="Arial" w:hAnsi="Arial" w:cs="Arial"/>
          <w:sz w:val="24"/>
          <w:szCs w:val="24"/>
        </w:rPr>
        <w:t xml:space="preserve">the </w:t>
      </w:r>
      <w:r w:rsidRPr="004F576A">
        <w:rPr>
          <w:rFonts w:ascii="Arial" w:hAnsi="Arial" w:cs="Arial"/>
          <w:sz w:val="24"/>
          <w:szCs w:val="24"/>
        </w:rPr>
        <w:t>risk of selection bias was high due to</w:t>
      </w:r>
      <w:r>
        <w:rPr>
          <w:rFonts w:ascii="Arial" w:hAnsi="Arial" w:cs="Arial"/>
          <w:sz w:val="24"/>
          <w:szCs w:val="24"/>
        </w:rPr>
        <w:t>:</w:t>
      </w:r>
      <w:r w:rsidRPr="004F576A">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r w:rsidRPr="004F576A">
        <w:rPr>
          <w:rFonts w:ascii="Arial" w:hAnsi="Arial" w:cs="Arial"/>
          <w:sz w:val="24"/>
          <w:szCs w:val="24"/>
        </w:rPr>
        <w:t>the nature of the condition studied being of low incidence</w:t>
      </w:r>
      <w:r>
        <w:rPr>
          <w:rFonts w:ascii="Arial" w:hAnsi="Arial" w:cs="Arial"/>
          <w:sz w:val="24"/>
          <w:szCs w:val="24"/>
        </w:rPr>
        <w:t xml:space="preserve"> requiring retrospective analysis;</w:t>
      </w:r>
      <w:r w:rsidRPr="004F576A">
        <w:rPr>
          <w:rFonts w:ascii="Arial" w:hAnsi="Arial" w:cs="Arial"/>
          <w:sz w:val="24"/>
          <w:szCs w:val="24"/>
        </w:rPr>
        <w:t xml:space="preserve"> </w:t>
      </w:r>
      <w:r>
        <w:rPr>
          <w:rFonts w:ascii="Arial" w:hAnsi="Arial" w:cs="Arial"/>
          <w:sz w:val="24"/>
          <w:szCs w:val="24"/>
        </w:rPr>
        <w:t xml:space="preserve">ii) </w:t>
      </w:r>
      <w:r w:rsidRPr="004F576A">
        <w:rPr>
          <w:rFonts w:ascii="Arial" w:hAnsi="Arial" w:cs="Arial"/>
          <w:sz w:val="24"/>
          <w:szCs w:val="24"/>
        </w:rPr>
        <w:t>participants being pre-selected based on previous testing outcomes</w:t>
      </w:r>
      <w:r>
        <w:rPr>
          <w:rFonts w:ascii="Arial" w:hAnsi="Arial" w:cs="Arial"/>
          <w:sz w:val="24"/>
          <w:szCs w:val="24"/>
        </w:rPr>
        <w:t>;</w:t>
      </w:r>
      <w:r w:rsidRPr="004F576A">
        <w:rPr>
          <w:rFonts w:ascii="Arial" w:hAnsi="Arial" w:cs="Arial"/>
          <w:sz w:val="24"/>
          <w:szCs w:val="24"/>
        </w:rPr>
        <w:t xml:space="preserve"> </w:t>
      </w:r>
      <w:r>
        <w:rPr>
          <w:rFonts w:ascii="Arial" w:hAnsi="Arial" w:cs="Arial"/>
          <w:sz w:val="24"/>
          <w:szCs w:val="24"/>
        </w:rPr>
        <w:t xml:space="preserve">iii) </w:t>
      </w:r>
      <w:r w:rsidRPr="004F576A">
        <w:rPr>
          <w:rFonts w:ascii="Arial" w:hAnsi="Arial" w:cs="Arial"/>
          <w:sz w:val="24"/>
          <w:szCs w:val="24"/>
        </w:rPr>
        <w:t xml:space="preserve">high </w:t>
      </w:r>
      <w:r w:rsidRPr="004F576A">
        <w:rPr>
          <w:rFonts w:ascii="Arial" w:hAnsi="Arial" w:cs="Arial"/>
          <w:sz w:val="24"/>
          <w:szCs w:val="24"/>
        </w:rPr>
        <w:lastRenderedPageBreak/>
        <w:t xml:space="preserve">confidence in single </w:t>
      </w:r>
      <w:r>
        <w:rPr>
          <w:rFonts w:ascii="Arial" w:hAnsi="Arial" w:cs="Arial"/>
          <w:sz w:val="24"/>
          <w:szCs w:val="24"/>
        </w:rPr>
        <w:t xml:space="preserve">tested </w:t>
      </w:r>
      <w:r w:rsidRPr="004F576A">
        <w:rPr>
          <w:rFonts w:ascii="Arial" w:hAnsi="Arial" w:cs="Arial"/>
          <w:sz w:val="24"/>
          <w:szCs w:val="24"/>
        </w:rPr>
        <w:t>culprit drug</w:t>
      </w:r>
      <w:r>
        <w:rPr>
          <w:rFonts w:ascii="Arial" w:hAnsi="Arial" w:cs="Arial"/>
          <w:sz w:val="24"/>
          <w:szCs w:val="24"/>
        </w:rPr>
        <w:t>;</w:t>
      </w:r>
      <w:r w:rsidRPr="004F576A">
        <w:rPr>
          <w:rFonts w:ascii="Arial" w:hAnsi="Arial" w:cs="Arial"/>
          <w:sz w:val="24"/>
          <w:szCs w:val="24"/>
        </w:rPr>
        <w:t xml:space="preserve"> </w:t>
      </w:r>
      <w:r>
        <w:rPr>
          <w:rFonts w:ascii="Arial" w:hAnsi="Arial" w:cs="Arial"/>
          <w:sz w:val="24"/>
          <w:szCs w:val="24"/>
        </w:rPr>
        <w:t xml:space="preserve">iv) </w:t>
      </w:r>
      <w:r w:rsidRPr="004F576A">
        <w:rPr>
          <w:rFonts w:ascii="Arial" w:hAnsi="Arial" w:cs="Arial"/>
          <w:sz w:val="24"/>
          <w:szCs w:val="24"/>
        </w:rPr>
        <w:t xml:space="preserve">and non-blinded assessments. In </w:t>
      </w:r>
      <w:r>
        <w:rPr>
          <w:rFonts w:ascii="Arial" w:hAnsi="Arial" w:cs="Arial"/>
          <w:sz w:val="24"/>
          <w:szCs w:val="24"/>
        </w:rPr>
        <w:t>4</w:t>
      </w:r>
      <w:r w:rsidRPr="004F576A">
        <w:rPr>
          <w:rFonts w:ascii="Arial" w:hAnsi="Arial" w:cs="Arial"/>
          <w:sz w:val="24"/>
          <w:szCs w:val="24"/>
        </w:rPr>
        <w:t xml:space="preserve"> of the included manuscripts, the main objective of the reported work was not the diagnostic utility of skin testing</w:t>
      </w:r>
      <w:r>
        <w:rPr>
          <w:rFonts w:ascii="Arial" w:hAnsi="Arial" w:cs="Arial"/>
          <w:sz w:val="24"/>
          <w:szCs w:val="24"/>
        </w:rPr>
        <w:t xml:space="preserve"> (utility of extemporaneous PT, comparison of testing in different delayed reaction phenotypes, reporting of cases due to drugs not previously implicated as causative of DRESS, genetic polymorphism in DRESS)</w:t>
      </w:r>
      <w:r w:rsidRPr="004F576A">
        <w:rPr>
          <w:rFonts w:ascii="Arial" w:hAnsi="Arial" w:cs="Arial"/>
          <w:sz w:val="24"/>
          <w:szCs w:val="24"/>
        </w:rPr>
        <w:t>.</w:t>
      </w:r>
      <w:r>
        <w:rPr>
          <w:rFonts w:ascii="Arial" w:hAnsi="Arial" w:cs="Arial"/>
          <w:sz w:val="24"/>
          <w:szCs w:val="24"/>
        </w:rPr>
        <w:t xml:space="preserve"> </w:t>
      </w:r>
    </w:p>
    <w:p w14:paraId="6A8D6C1F" w14:textId="77777777" w:rsidR="003D56DD" w:rsidRPr="00E6299A" w:rsidRDefault="003D56DD" w:rsidP="004F576A">
      <w:pPr>
        <w:spacing w:line="480" w:lineRule="auto"/>
        <w:jc w:val="both"/>
        <w:rPr>
          <w:rFonts w:ascii="Arial" w:hAnsi="Arial" w:cs="Arial"/>
          <w:b/>
          <w:sz w:val="24"/>
          <w:szCs w:val="24"/>
        </w:rPr>
      </w:pPr>
      <w:r w:rsidRPr="00E6299A">
        <w:rPr>
          <w:rFonts w:ascii="Arial" w:hAnsi="Arial" w:cs="Arial"/>
          <w:b/>
          <w:sz w:val="24"/>
          <w:szCs w:val="24"/>
        </w:rPr>
        <w:t>Cohort demographics and diagnostic protocols</w:t>
      </w:r>
    </w:p>
    <w:p w14:paraId="4E79DB78" w14:textId="77777777"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A total of 3</w:t>
      </w:r>
      <w:r>
        <w:rPr>
          <w:rFonts w:ascii="Arial" w:hAnsi="Arial" w:cs="Arial"/>
          <w:sz w:val="24"/>
          <w:szCs w:val="24"/>
        </w:rPr>
        <w:t>35</w:t>
      </w:r>
      <w:r w:rsidRPr="004F576A">
        <w:rPr>
          <w:rFonts w:ascii="Arial" w:hAnsi="Arial" w:cs="Arial"/>
          <w:sz w:val="24"/>
          <w:szCs w:val="24"/>
        </w:rPr>
        <w:t xml:space="preserve"> DRESS cases were identified cumulatively from all 1</w:t>
      </w:r>
      <w:r>
        <w:rPr>
          <w:rFonts w:ascii="Arial" w:hAnsi="Arial" w:cs="Arial"/>
          <w:sz w:val="24"/>
          <w:szCs w:val="24"/>
        </w:rPr>
        <w:t>7</w:t>
      </w:r>
      <w:r w:rsidRPr="004F576A">
        <w:rPr>
          <w:rFonts w:ascii="Arial" w:hAnsi="Arial" w:cs="Arial"/>
          <w:sz w:val="24"/>
          <w:szCs w:val="24"/>
        </w:rPr>
        <w:t xml:space="preserve"> publications, of which 2</w:t>
      </w:r>
      <w:r>
        <w:rPr>
          <w:rFonts w:ascii="Arial" w:hAnsi="Arial" w:cs="Arial"/>
          <w:sz w:val="24"/>
          <w:szCs w:val="24"/>
        </w:rPr>
        <w:t>90</w:t>
      </w:r>
      <w:r w:rsidRPr="004F576A">
        <w:rPr>
          <w:rFonts w:ascii="Arial" w:hAnsi="Arial" w:cs="Arial"/>
          <w:sz w:val="24"/>
          <w:szCs w:val="24"/>
        </w:rPr>
        <w:t xml:space="preserve"> underwent skin testing. Demographics of the 3</w:t>
      </w:r>
      <w:r>
        <w:rPr>
          <w:rFonts w:ascii="Arial" w:hAnsi="Arial" w:cs="Arial"/>
          <w:sz w:val="24"/>
          <w:szCs w:val="24"/>
        </w:rPr>
        <w:t>35</w:t>
      </w:r>
      <w:r w:rsidRPr="004F576A">
        <w:rPr>
          <w:rFonts w:ascii="Arial" w:hAnsi="Arial" w:cs="Arial"/>
          <w:sz w:val="24"/>
          <w:szCs w:val="24"/>
        </w:rPr>
        <w:t xml:space="preserve"> cases are as follows: mean age 58 years (SD 7.</w:t>
      </w:r>
      <w:r>
        <w:rPr>
          <w:rFonts w:ascii="Arial" w:hAnsi="Arial" w:cs="Arial"/>
          <w:sz w:val="24"/>
          <w:szCs w:val="24"/>
        </w:rPr>
        <w:t>6</w:t>
      </w:r>
      <w:r w:rsidRPr="004F576A">
        <w:rPr>
          <w:rFonts w:ascii="Arial" w:hAnsi="Arial" w:cs="Arial"/>
          <w:sz w:val="24"/>
          <w:szCs w:val="24"/>
        </w:rPr>
        <w:t>, range 17-93 years; data available in 1</w:t>
      </w:r>
      <w:r>
        <w:rPr>
          <w:rFonts w:ascii="Arial" w:hAnsi="Arial" w:cs="Arial"/>
          <w:sz w:val="24"/>
          <w:szCs w:val="24"/>
        </w:rPr>
        <w:t>1</w:t>
      </w:r>
      <w:r w:rsidRPr="004F576A">
        <w:rPr>
          <w:rFonts w:ascii="Arial" w:hAnsi="Arial" w:cs="Arial"/>
          <w:sz w:val="24"/>
          <w:szCs w:val="24"/>
        </w:rPr>
        <w:t xml:space="preserve"> publications); 1.</w:t>
      </w:r>
      <w:r>
        <w:rPr>
          <w:rFonts w:ascii="Arial" w:hAnsi="Arial" w:cs="Arial"/>
          <w:sz w:val="24"/>
          <w:szCs w:val="24"/>
        </w:rPr>
        <w:t>2</w:t>
      </w:r>
      <w:r w:rsidRPr="004F576A">
        <w:rPr>
          <w:rFonts w:ascii="Arial" w:hAnsi="Arial" w:cs="Arial"/>
          <w:sz w:val="24"/>
          <w:szCs w:val="24"/>
        </w:rPr>
        <w:t xml:space="preserve">:1 </w:t>
      </w:r>
      <w:proofErr w:type="gramStart"/>
      <w:r w:rsidRPr="004F576A">
        <w:rPr>
          <w:rFonts w:ascii="Arial" w:hAnsi="Arial" w:cs="Arial"/>
          <w:sz w:val="24"/>
          <w:szCs w:val="24"/>
        </w:rPr>
        <w:t>males</w:t>
      </w:r>
      <w:proofErr w:type="gramEnd"/>
      <w:r w:rsidRPr="004F576A">
        <w:rPr>
          <w:rFonts w:ascii="Arial" w:hAnsi="Arial" w:cs="Arial"/>
          <w:sz w:val="24"/>
          <w:szCs w:val="24"/>
        </w:rPr>
        <w:t xml:space="preserve">: females (data available in </w:t>
      </w:r>
      <w:r>
        <w:rPr>
          <w:rFonts w:ascii="Arial" w:hAnsi="Arial" w:cs="Arial"/>
          <w:sz w:val="24"/>
          <w:szCs w:val="24"/>
        </w:rPr>
        <w:t>13</w:t>
      </w:r>
      <w:r w:rsidRPr="004F576A">
        <w:rPr>
          <w:rFonts w:ascii="Arial" w:hAnsi="Arial" w:cs="Arial"/>
          <w:sz w:val="24"/>
          <w:szCs w:val="24"/>
        </w:rPr>
        <w:t xml:space="preserve"> publications). No</w:t>
      </w:r>
      <w:r>
        <w:rPr>
          <w:rFonts w:ascii="Arial" w:hAnsi="Arial" w:cs="Arial"/>
          <w:sz w:val="24"/>
          <w:szCs w:val="24"/>
        </w:rPr>
        <w:t>ne of the manuscripts</w:t>
      </w:r>
      <w:r w:rsidRPr="004F576A">
        <w:rPr>
          <w:rFonts w:ascii="Arial" w:hAnsi="Arial" w:cs="Arial"/>
          <w:sz w:val="24"/>
          <w:szCs w:val="24"/>
        </w:rPr>
        <w:t xml:space="preserve"> clearly </w:t>
      </w:r>
      <w:r>
        <w:rPr>
          <w:rFonts w:ascii="Arial" w:hAnsi="Arial" w:cs="Arial"/>
          <w:sz w:val="24"/>
          <w:szCs w:val="24"/>
        </w:rPr>
        <w:t>described</w:t>
      </w:r>
      <w:r w:rsidRPr="004F576A">
        <w:rPr>
          <w:rFonts w:ascii="Arial" w:hAnsi="Arial" w:cs="Arial"/>
          <w:sz w:val="24"/>
          <w:szCs w:val="24"/>
        </w:rPr>
        <w:t xml:space="preserve"> whether </w:t>
      </w:r>
      <w:r>
        <w:rPr>
          <w:rFonts w:ascii="Arial" w:hAnsi="Arial" w:cs="Arial"/>
          <w:sz w:val="24"/>
          <w:szCs w:val="24"/>
        </w:rPr>
        <w:t xml:space="preserve">reported </w:t>
      </w:r>
      <w:r w:rsidRPr="004F576A">
        <w:rPr>
          <w:rFonts w:ascii="Arial" w:hAnsi="Arial" w:cs="Arial"/>
          <w:sz w:val="24"/>
          <w:szCs w:val="24"/>
        </w:rPr>
        <w:t xml:space="preserve">patient ages were at DRESS onset or at time of testing. An important immunological variable is the timepoint </w:t>
      </w:r>
      <w:r>
        <w:rPr>
          <w:rFonts w:ascii="Arial" w:hAnsi="Arial" w:cs="Arial"/>
          <w:sz w:val="24"/>
          <w:szCs w:val="24"/>
        </w:rPr>
        <w:t xml:space="preserve">after DRESS </w:t>
      </w:r>
      <w:r w:rsidRPr="004F576A">
        <w:rPr>
          <w:rFonts w:ascii="Arial" w:hAnsi="Arial" w:cs="Arial"/>
          <w:sz w:val="24"/>
          <w:szCs w:val="24"/>
        </w:rPr>
        <w:t xml:space="preserve">at which testing is performed. No mention was made on time from index reaction to testing in 4 publications, whilst others </w:t>
      </w:r>
      <w:r>
        <w:rPr>
          <w:rFonts w:ascii="Arial" w:hAnsi="Arial" w:cs="Arial"/>
          <w:sz w:val="24"/>
          <w:szCs w:val="24"/>
        </w:rPr>
        <w:t>reported</w:t>
      </w:r>
      <w:r w:rsidRPr="004F576A">
        <w:rPr>
          <w:rFonts w:ascii="Arial" w:hAnsi="Arial" w:cs="Arial"/>
          <w:sz w:val="24"/>
          <w:szCs w:val="24"/>
        </w:rPr>
        <w:t xml:space="preserve"> testing between </w:t>
      </w:r>
      <w:r>
        <w:rPr>
          <w:rFonts w:ascii="Arial" w:hAnsi="Arial" w:cs="Arial"/>
          <w:sz w:val="24"/>
          <w:szCs w:val="24"/>
        </w:rPr>
        <w:t>4</w:t>
      </w:r>
      <w:r w:rsidRPr="004F576A">
        <w:rPr>
          <w:rFonts w:ascii="Arial" w:hAnsi="Arial" w:cs="Arial"/>
          <w:sz w:val="24"/>
          <w:szCs w:val="24"/>
        </w:rPr>
        <w:t xml:space="preserve"> weeks to 6 months</w:t>
      </w:r>
      <w:r>
        <w:rPr>
          <w:rFonts w:ascii="Arial" w:hAnsi="Arial" w:cs="Arial"/>
          <w:sz w:val="24"/>
          <w:szCs w:val="24"/>
        </w:rPr>
        <w:t xml:space="preserve"> from resolution or discontinuation of corticosteroid use</w:t>
      </w:r>
      <w:r w:rsidRPr="004F576A">
        <w:rPr>
          <w:rFonts w:ascii="Arial" w:hAnsi="Arial" w:cs="Arial"/>
          <w:sz w:val="24"/>
          <w:szCs w:val="24"/>
        </w:rPr>
        <w:t xml:space="preserve"> (</w:t>
      </w:r>
      <w:r w:rsidRPr="00A259F5">
        <w:rPr>
          <w:rFonts w:ascii="Arial" w:hAnsi="Arial" w:cs="Arial"/>
          <w:b/>
          <w:sz w:val="24"/>
          <w:szCs w:val="24"/>
        </w:rPr>
        <w:t xml:space="preserve">Table </w:t>
      </w:r>
      <w:r>
        <w:rPr>
          <w:rFonts w:ascii="Arial" w:hAnsi="Arial" w:cs="Arial"/>
          <w:b/>
          <w:sz w:val="24"/>
          <w:szCs w:val="24"/>
        </w:rPr>
        <w:t>2</w:t>
      </w:r>
      <w:r w:rsidRPr="004F576A">
        <w:rPr>
          <w:rFonts w:ascii="Arial" w:hAnsi="Arial" w:cs="Arial"/>
          <w:sz w:val="24"/>
          <w:szCs w:val="24"/>
        </w:rPr>
        <w:t xml:space="preserve">). No publications reported the exact time duration between DRESS onset and skin testing performed for every subject. </w:t>
      </w:r>
    </w:p>
    <w:p w14:paraId="33E56E40" w14:textId="3DC6B4C9"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 xml:space="preserve">Test protocol was stated </w:t>
      </w:r>
      <w:r>
        <w:rPr>
          <w:rFonts w:ascii="Arial" w:hAnsi="Arial" w:cs="Arial"/>
          <w:sz w:val="24"/>
          <w:szCs w:val="24"/>
        </w:rPr>
        <w:t xml:space="preserve">for patch testing or intradermal testing </w:t>
      </w:r>
      <w:r w:rsidRPr="004F576A">
        <w:rPr>
          <w:rFonts w:ascii="Arial" w:hAnsi="Arial" w:cs="Arial"/>
          <w:sz w:val="24"/>
          <w:szCs w:val="24"/>
        </w:rPr>
        <w:t>as ‘in accordance with’ the European Society of Contact Dermatitis for PT or European Network on Drug Allergy/ European Academy of Allergy and Clinical Immunology for IDT</w:t>
      </w:r>
      <w:r>
        <w:rPr>
          <w:rFonts w:ascii="Arial" w:hAnsi="Arial" w:cs="Arial"/>
          <w:sz w:val="24"/>
          <w:szCs w:val="24"/>
        </w:rPr>
        <w:t xml:space="preserve"> (respectively) </w:t>
      </w:r>
      <w:r>
        <w:rPr>
          <w:rFonts w:ascii="Arial" w:hAnsi="Arial" w:cs="Arial"/>
          <w:noProof/>
          <w:sz w:val="24"/>
          <w:szCs w:val="24"/>
        </w:rPr>
        <w:t xml:space="preserve">(22, 23) </w:t>
      </w:r>
      <w:r w:rsidRPr="004F576A">
        <w:rPr>
          <w:rFonts w:ascii="Arial" w:hAnsi="Arial" w:cs="Arial"/>
          <w:sz w:val="24"/>
          <w:szCs w:val="24"/>
        </w:rPr>
        <w:t>recommendations in 6</w:t>
      </w:r>
      <w:r>
        <w:rPr>
          <w:rFonts w:ascii="Arial" w:hAnsi="Arial" w:cs="Arial"/>
          <w:sz w:val="24"/>
          <w:szCs w:val="24"/>
        </w:rPr>
        <w:t>4.7</w:t>
      </w:r>
      <w:r w:rsidRPr="004F576A">
        <w:rPr>
          <w:rFonts w:ascii="Arial" w:hAnsi="Arial" w:cs="Arial"/>
          <w:sz w:val="24"/>
          <w:szCs w:val="24"/>
        </w:rPr>
        <w:t>% (n=1</w:t>
      </w:r>
      <w:r>
        <w:rPr>
          <w:rFonts w:ascii="Arial" w:hAnsi="Arial" w:cs="Arial"/>
          <w:sz w:val="24"/>
          <w:szCs w:val="24"/>
        </w:rPr>
        <w:t>1</w:t>
      </w:r>
      <w:r w:rsidRPr="004F576A">
        <w:rPr>
          <w:rFonts w:ascii="Arial" w:hAnsi="Arial" w:cs="Arial"/>
          <w:sz w:val="24"/>
          <w:szCs w:val="24"/>
        </w:rPr>
        <w:t xml:space="preserve">) of </w:t>
      </w:r>
      <w:r>
        <w:rPr>
          <w:rFonts w:ascii="Arial" w:hAnsi="Arial" w:cs="Arial"/>
          <w:sz w:val="24"/>
          <w:szCs w:val="24"/>
        </w:rPr>
        <w:t>manuscripts</w:t>
      </w:r>
      <w:r w:rsidRPr="004F576A">
        <w:rPr>
          <w:rFonts w:ascii="Arial" w:hAnsi="Arial" w:cs="Arial"/>
          <w:sz w:val="24"/>
          <w:szCs w:val="24"/>
        </w:rPr>
        <w:t xml:space="preserve">. Delayed </w:t>
      </w:r>
      <w:r>
        <w:rPr>
          <w:rFonts w:ascii="Arial" w:hAnsi="Arial" w:cs="Arial"/>
          <w:sz w:val="24"/>
          <w:szCs w:val="24"/>
        </w:rPr>
        <w:t>reading</w:t>
      </w:r>
      <w:r w:rsidRPr="004F576A">
        <w:rPr>
          <w:rFonts w:ascii="Arial" w:hAnsi="Arial" w:cs="Arial"/>
          <w:sz w:val="24"/>
          <w:szCs w:val="24"/>
        </w:rPr>
        <w:t xml:space="preserve"> of up to 7 days following testing was performed in 25% (n=4) studies. In all positive PT, a reaction was present by day 2. </w:t>
      </w:r>
    </w:p>
    <w:p w14:paraId="03C3570F" w14:textId="77777777" w:rsidR="003D56DD" w:rsidRDefault="003D56DD" w:rsidP="004F576A">
      <w:pPr>
        <w:spacing w:line="480" w:lineRule="auto"/>
        <w:jc w:val="both"/>
        <w:rPr>
          <w:rFonts w:ascii="Arial" w:hAnsi="Arial" w:cs="Arial"/>
          <w:b/>
          <w:sz w:val="24"/>
          <w:szCs w:val="24"/>
        </w:rPr>
      </w:pPr>
      <w:r>
        <w:rPr>
          <w:rFonts w:ascii="Arial" w:hAnsi="Arial" w:cs="Arial"/>
          <w:b/>
          <w:sz w:val="24"/>
          <w:szCs w:val="24"/>
        </w:rPr>
        <w:t>Safety</w:t>
      </w:r>
    </w:p>
    <w:p w14:paraId="77EF8AB3" w14:textId="2BF7E2C8" w:rsidR="003D56DD" w:rsidRPr="004707A0" w:rsidRDefault="003D56DD" w:rsidP="004F576A">
      <w:pPr>
        <w:spacing w:line="480" w:lineRule="auto"/>
        <w:jc w:val="both"/>
        <w:rPr>
          <w:rFonts w:ascii="Arial" w:hAnsi="Arial" w:cs="Arial"/>
          <w:sz w:val="24"/>
          <w:szCs w:val="24"/>
        </w:rPr>
      </w:pPr>
      <w:r>
        <w:rPr>
          <w:rFonts w:ascii="Arial" w:hAnsi="Arial" w:cs="Arial"/>
          <w:sz w:val="24"/>
          <w:szCs w:val="24"/>
        </w:rPr>
        <w:lastRenderedPageBreak/>
        <w:t xml:space="preserve">Risk of systemic reactivation or safety was mentioned as a consideration in drug skin testing in </w:t>
      </w:r>
      <w:r w:rsidRPr="00437507">
        <w:rPr>
          <w:rFonts w:ascii="Arial" w:hAnsi="Arial" w:cs="Arial"/>
          <w:sz w:val="24"/>
          <w:szCs w:val="24"/>
        </w:rPr>
        <w:t xml:space="preserve">7 </w:t>
      </w:r>
      <w:r>
        <w:rPr>
          <w:rFonts w:ascii="Arial" w:hAnsi="Arial" w:cs="Arial"/>
          <w:sz w:val="24"/>
          <w:szCs w:val="24"/>
        </w:rPr>
        <w:t>publications</w:t>
      </w:r>
      <w:r w:rsidRPr="00437507">
        <w:rPr>
          <w:rFonts w:ascii="Arial" w:hAnsi="Arial" w:cs="Arial"/>
          <w:sz w:val="24"/>
          <w:szCs w:val="24"/>
        </w:rPr>
        <w:t>. In all, 1 patient developed a maculopapular exanthem attributable to skin testing provocation. No</w:t>
      </w:r>
      <w:r>
        <w:rPr>
          <w:rFonts w:ascii="Arial" w:hAnsi="Arial" w:cs="Arial"/>
          <w:sz w:val="24"/>
          <w:szCs w:val="24"/>
        </w:rPr>
        <w:t xml:space="preserve"> differences were noted between SPT, PT and IDT, in terms of proportion of systemic reactions, but numbers precluded a reliable analysis.</w:t>
      </w:r>
    </w:p>
    <w:p w14:paraId="3BA8F455" w14:textId="77777777" w:rsidR="003D56DD" w:rsidRPr="00E6299A" w:rsidRDefault="003D56DD" w:rsidP="004F576A">
      <w:pPr>
        <w:spacing w:line="480" w:lineRule="auto"/>
        <w:jc w:val="both"/>
        <w:rPr>
          <w:rFonts w:ascii="Arial" w:hAnsi="Arial" w:cs="Arial"/>
          <w:b/>
          <w:sz w:val="24"/>
          <w:szCs w:val="24"/>
        </w:rPr>
      </w:pPr>
      <w:r w:rsidRPr="00E6299A">
        <w:rPr>
          <w:rFonts w:ascii="Arial" w:hAnsi="Arial" w:cs="Arial"/>
          <w:b/>
          <w:sz w:val="24"/>
          <w:szCs w:val="24"/>
        </w:rPr>
        <w:t>Results by individual patient</w:t>
      </w:r>
    </w:p>
    <w:p w14:paraId="5BB22BBB" w14:textId="1655F88E" w:rsidR="003D56DD" w:rsidRPr="004F576A" w:rsidRDefault="003D56DD" w:rsidP="004F576A">
      <w:pPr>
        <w:spacing w:line="480" w:lineRule="auto"/>
        <w:jc w:val="both"/>
        <w:rPr>
          <w:rFonts w:ascii="Arial" w:hAnsi="Arial" w:cs="Arial"/>
          <w:sz w:val="24"/>
          <w:szCs w:val="24"/>
        </w:rPr>
      </w:pPr>
      <w:r w:rsidRPr="004F576A">
        <w:rPr>
          <w:rFonts w:ascii="Arial" w:hAnsi="Arial" w:cs="Arial"/>
          <w:sz w:val="24"/>
          <w:szCs w:val="24"/>
        </w:rPr>
        <w:t>13 publications reported results according to the drug tested and not by individual patient. Results of testing in individual patients were reported in 2</w:t>
      </w:r>
      <w:r>
        <w:rPr>
          <w:rFonts w:ascii="Arial" w:hAnsi="Arial" w:cs="Arial"/>
          <w:sz w:val="24"/>
          <w:szCs w:val="24"/>
        </w:rPr>
        <w:t>93</w:t>
      </w:r>
      <w:r w:rsidRPr="004F576A">
        <w:rPr>
          <w:rFonts w:ascii="Arial" w:hAnsi="Arial" w:cs="Arial"/>
          <w:sz w:val="24"/>
          <w:szCs w:val="24"/>
        </w:rPr>
        <w:t xml:space="preserve"> cases</w:t>
      </w:r>
      <w:r w:rsidRPr="006F09CD">
        <w:rPr>
          <w:rFonts w:ascii="Arial" w:hAnsi="Arial" w:cs="Arial"/>
          <w:noProof/>
          <w:sz w:val="24"/>
          <w:szCs w:val="24"/>
          <w:vertAlign w:val="superscript"/>
        </w:rPr>
        <w:t>18, 24-36</w:t>
      </w:r>
      <w:r w:rsidRPr="004F576A">
        <w:rPr>
          <w:rFonts w:ascii="Arial" w:hAnsi="Arial" w:cs="Arial"/>
          <w:sz w:val="24"/>
          <w:szCs w:val="24"/>
        </w:rPr>
        <w:t>, with some patients having more than 1 form of skin testing.</w:t>
      </w:r>
      <w:r>
        <w:rPr>
          <w:rFonts w:ascii="Arial" w:hAnsi="Arial" w:cs="Arial"/>
          <w:sz w:val="24"/>
          <w:szCs w:val="24"/>
        </w:rPr>
        <w:t xml:space="preserve"> Absolute number of drugs and the individual drugs tested in every patient was not able to be determined based on the published data.</w:t>
      </w:r>
      <w:r w:rsidRPr="004F576A">
        <w:rPr>
          <w:rFonts w:ascii="Arial" w:hAnsi="Arial" w:cs="Arial"/>
          <w:sz w:val="24"/>
          <w:szCs w:val="24"/>
        </w:rPr>
        <w:t xml:space="preserve"> </w:t>
      </w:r>
      <w:r>
        <w:rPr>
          <w:rFonts w:ascii="Arial" w:hAnsi="Arial" w:cs="Arial"/>
          <w:sz w:val="24"/>
          <w:szCs w:val="24"/>
        </w:rPr>
        <w:t xml:space="preserve">On a per patient basis (regardless of the drug), </w:t>
      </w:r>
      <w:r w:rsidRPr="004F576A">
        <w:rPr>
          <w:rFonts w:ascii="Arial" w:hAnsi="Arial" w:cs="Arial"/>
          <w:sz w:val="24"/>
          <w:szCs w:val="24"/>
        </w:rPr>
        <w:t xml:space="preserve">PT, IDT </w:t>
      </w:r>
      <w:r>
        <w:rPr>
          <w:rFonts w:ascii="Arial" w:hAnsi="Arial" w:cs="Arial"/>
          <w:sz w:val="24"/>
          <w:szCs w:val="24"/>
        </w:rPr>
        <w:t xml:space="preserve">or </w:t>
      </w:r>
      <w:r w:rsidRPr="00A846AE">
        <w:rPr>
          <w:rFonts w:ascii="Arial" w:hAnsi="Arial" w:cs="Arial"/>
          <w:sz w:val="24"/>
          <w:szCs w:val="24"/>
        </w:rPr>
        <w:t>SPT</w:t>
      </w:r>
      <w:r>
        <w:rPr>
          <w:rFonts w:ascii="Arial" w:hAnsi="Arial" w:cs="Arial"/>
          <w:sz w:val="24"/>
          <w:szCs w:val="24"/>
        </w:rPr>
        <w:t xml:space="preserve"> were positive</w:t>
      </w:r>
      <w:r w:rsidRPr="00A846AE">
        <w:rPr>
          <w:rFonts w:ascii="Arial" w:hAnsi="Arial" w:cs="Arial"/>
          <w:sz w:val="24"/>
          <w:szCs w:val="24"/>
        </w:rPr>
        <w:t xml:space="preserve"> in 56.7% (n=160/282), 50.0% (n=18/36) and 22.2% (n=2/9) of cases respectively. </w:t>
      </w:r>
      <w:r>
        <w:rPr>
          <w:rFonts w:ascii="Arial" w:hAnsi="Arial" w:cs="Arial"/>
          <w:sz w:val="24"/>
          <w:szCs w:val="24"/>
        </w:rPr>
        <w:t xml:space="preserve">To examine the potential bias in reporting, we examined the distribution of </w:t>
      </w:r>
      <w:r w:rsidRPr="00A846AE">
        <w:rPr>
          <w:rFonts w:ascii="Arial" w:hAnsi="Arial" w:cs="Arial"/>
          <w:sz w:val="24"/>
          <w:szCs w:val="24"/>
        </w:rPr>
        <w:t xml:space="preserve">positive rates </w:t>
      </w:r>
      <w:r>
        <w:rPr>
          <w:rFonts w:ascii="Arial" w:hAnsi="Arial" w:cs="Arial"/>
          <w:sz w:val="24"/>
          <w:szCs w:val="24"/>
        </w:rPr>
        <w:t>per</w:t>
      </w:r>
      <w:r w:rsidRPr="00A846AE">
        <w:rPr>
          <w:rFonts w:ascii="Arial" w:hAnsi="Arial" w:cs="Arial"/>
          <w:sz w:val="24"/>
          <w:szCs w:val="24"/>
        </w:rPr>
        <w:t xml:space="preserve"> publication</w:t>
      </w:r>
      <w:r>
        <w:rPr>
          <w:rFonts w:ascii="Arial" w:hAnsi="Arial" w:cs="Arial"/>
          <w:sz w:val="24"/>
          <w:szCs w:val="24"/>
        </w:rPr>
        <w:t>. On a per manuscript basis, the per patient percentage of positive test results</w:t>
      </w:r>
      <w:r w:rsidRPr="00A846AE">
        <w:rPr>
          <w:rFonts w:ascii="Arial" w:hAnsi="Arial" w:cs="Arial"/>
          <w:sz w:val="24"/>
          <w:szCs w:val="24"/>
        </w:rPr>
        <w:t xml:space="preserve"> varied significantly, with overall mean 62.2% (SD 30.1%), and for individual testing modalities: PT mean 58.4% (range 0-100%, SD 31.1); IDT</w:t>
      </w:r>
      <w:r w:rsidRPr="004F576A">
        <w:rPr>
          <w:rFonts w:ascii="Arial" w:hAnsi="Arial" w:cs="Arial"/>
          <w:sz w:val="24"/>
          <w:szCs w:val="24"/>
        </w:rPr>
        <w:t xml:space="preserve"> </w:t>
      </w:r>
      <w:r>
        <w:rPr>
          <w:rFonts w:ascii="Arial" w:hAnsi="Arial" w:cs="Arial"/>
          <w:sz w:val="24"/>
          <w:szCs w:val="24"/>
        </w:rPr>
        <w:t>mean 66.5% (range 28.6</w:t>
      </w:r>
      <w:r w:rsidRPr="004F576A">
        <w:rPr>
          <w:rFonts w:ascii="Arial" w:hAnsi="Arial" w:cs="Arial"/>
          <w:sz w:val="24"/>
          <w:szCs w:val="24"/>
        </w:rPr>
        <w:t>-100%</w:t>
      </w:r>
      <w:r>
        <w:rPr>
          <w:rFonts w:ascii="Arial" w:hAnsi="Arial" w:cs="Arial"/>
          <w:sz w:val="24"/>
          <w:szCs w:val="24"/>
        </w:rPr>
        <w:t>, SD 25</w:t>
      </w:r>
      <w:r w:rsidRPr="004F576A">
        <w:rPr>
          <w:rFonts w:ascii="Arial" w:hAnsi="Arial" w:cs="Arial"/>
          <w:sz w:val="24"/>
          <w:szCs w:val="24"/>
        </w:rPr>
        <w:t>); SPT mean 25%</w:t>
      </w:r>
      <w:r>
        <w:rPr>
          <w:rFonts w:ascii="Arial" w:hAnsi="Arial" w:cs="Arial"/>
          <w:sz w:val="24"/>
          <w:szCs w:val="24"/>
        </w:rPr>
        <w:t xml:space="preserve"> </w:t>
      </w:r>
      <w:r w:rsidRPr="004F576A">
        <w:rPr>
          <w:rFonts w:ascii="Arial" w:hAnsi="Arial" w:cs="Arial"/>
          <w:sz w:val="24"/>
          <w:szCs w:val="24"/>
        </w:rPr>
        <w:t>(range 0-50%</w:t>
      </w:r>
      <w:r>
        <w:rPr>
          <w:rFonts w:ascii="Arial" w:hAnsi="Arial" w:cs="Arial"/>
          <w:sz w:val="24"/>
          <w:szCs w:val="24"/>
        </w:rPr>
        <w:t>, SD 23.9</w:t>
      </w:r>
      <w:r w:rsidRPr="004F576A">
        <w:rPr>
          <w:rFonts w:ascii="Arial" w:hAnsi="Arial" w:cs="Arial"/>
          <w:sz w:val="24"/>
          <w:szCs w:val="24"/>
        </w:rPr>
        <w:t xml:space="preserve">). </w:t>
      </w:r>
    </w:p>
    <w:p w14:paraId="5D449061" w14:textId="0F127284" w:rsidR="003D56DD" w:rsidRDefault="003D56DD" w:rsidP="004F576A">
      <w:pPr>
        <w:spacing w:line="480" w:lineRule="auto"/>
        <w:jc w:val="both"/>
        <w:rPr>
          <w:rFonts w:ascii="Arial" w:hAnsi="Arial" w:cs="Arial"/>
          <w:sz w:val="24"/>
          <w:szCs w:val="24"/>
        </w:rPr>
      </w:pPr>
      <w:r w:rsidRPr="004F576A">
        <w:rPr>
          <w:rFonts w:ascii="Arial" w:hAnsi="Arial" w:cs="Arial"/>
          <w:sz w:val="24"/>
          <w:szCs w:val="24"/>
        </w:rPr>
        <w:t>1</w:t>
      </w:r>
      <w:r>
        <w:rPr>
          <w:rFonts w:ascii="Arial" w:hAnsi="Arial" w:cs="Arial"/>
          <w:sz w:val="24"/>
          <w:szCs w:val="24"/>
        </w:rPr>
        <w:t>2</w:t>
      </w:r>
      <w:r w:rsidRPr="004F576A">
        <w:rPr>
          <w:rFonts w:ascii="Arial" w:hAnsi="Arial" w:cs="Arial"/>
          <w:sz w:val="24"/>
          <w:szCs w:val="24"/>
        </w:rPr>
        <w:t xml:space="preserve"> patients had skin testing and challenge testing</w:t>
      </w:r>
      <w:r>
        <w:rPr>
          <w:rFonts w:ascii="Arial" w:hAnsi="Arial" w:cs="Arial"/>
          <w:sz w:val="24"/>
          <w:szCs w:val="24"/>
        </w:rPr>
        <w:t xml:space="preserve"> (accidental re-introduction or to drug negative on skin testing)</w:t>
      </w:r>
      <w:r w:rsidRPr="004F576A">
        <w:rPr>
          <w:rFonts w:ascii="Arial" w:hAnsi="Arial" w:cs="Arial"/>
          <w:sz w:val="24"/>
          <w:szCs w:val="24"/>
        </w:rPr>
        <w:t xml:space="preserve"> to </w:t>
      </w:r>
      <w:r>
        <w:rPr>
          <w:rFonts w:ascii="Arial" w:hAnsi="Arial" w:cs="Arial"/>
          <w:sz w:val="24"/>
          <w:szCs w:val="24"/>
        </w:rPr>
        <w:t>a</w:t>
      </w:r>
      <w:r w:rsidRPr="004F576A">
        <w:rPr>
          <w:rFonts w:ascii="Arial" w:hAnsi="Arial" w:cs="Arial"/>
          <w:sz w:val="24"/>
          <w:szCs w:val="24"/>
        </w:rPr>
        <w:t xml:space="preserve"> </w:t>
      </w:r>
      <w:r>
        <w:rPr>
          <w:rFonts w:ascii="Arial" w:hAnsi="Arial" w:cs="Arial"/>
          <w:sz w:val="24"/>
          <w:szCs w:val="24"/>
        </w:rPr>
        <w:t>suspected</w:t>
      </w:r>
      <w:r w:rsidRPr="004F576A">
        <w:rPr>
          <w:rFonts w:ascii="Arial" w:hAnsi="Arial" w:cs="Arial"/>
          <w:sz w:val="24"/>
          <w:szCs w:val="24"/>
        </w:rPr>
        <w:t xml:space="preserve"> causal drug (</w:t>
      </w:r>
      <w:r w:rsidRPr="00A259F5">
        <w:rPr>
          <w:rFonts w:ascii="Arial" w:hAnsi="Arial" w:cs="Arial"/>
          <w:b/>
          <w:sz w:val="24"/>
          <w:szCs w:val="24"/>
        </w:rPr>
        <w:t xml:space="preserve">Table </w:t>
      </w:r>
      <w:r>
        <w:rPr>
          <w:rFonts w:ascii="Arial" w:hAnsi="Arial" w:cs="Arial"/>
          <w:b/>
          <w:sz w:val="24"/>
          <w:szCs w:val="24"/>
        </w:rPr>
        <w:t>3</w:t>
      </w:r>
      <w:r w:rsidRPr="004F576A">
        <w:rPr>
          <w:rFonts w:ascii="Arial" w:hAnsi="Arial" w:cs="Arial"/>
          <w:sz w:val="24"/>
          <w:szCs w:val="24"/>
        </w:rPr>
        <w:t>). No patients with positive IDT received a challenge. Skin tests correlated</w:t>
      </w:r>
      <w:r>
        <w:rPr>
          <w:rFonts w:ascii="Arial" w:hAnsi="Arial" w:cs="Arial"/>
          <w:sz w:val="24"/>
          <w:szCs w:val="24"/>
        </w:rPr>
        <w:t xml:space="preserve"> with challenge reaction in 83.3</w:t>
      </w:r>
      <w:r w:rsidRPr="004F576A">
        <w:rPr>
          <w:rFonts w:ascii="Arial" w:hAnsi="Arial" w:cs="Arial"/>
          <w:sz w:val="24"/>
          <w:szCs w:val="24"/>
        </w:rPr>
        <w:t>% (n=</w:t>
      </w:r>
      <w:r>
        <w:rPr>
          <w:rFonts w:ascii="Arial" w:hAnsi="Arial" w:cs="Arial"/>
          <w:sz w:val="24"/>
          <w:szCs w:val="24"/>
        </w:rPr>
        <w:t>10</w:t>
      </w:r>
      <w:r w:rsidRPr="004F576A">
        <w:rPr>
          <w:rFonts w:ascii="Arial" w:hAnsi="Arial" w:cs="Arial"/>
          <w:sz w:val="24"/>
          <w:szCs w:val="24"/>
        </w:rPr>
        <w:t xml:space="preserve">) of cases. </w:t>
      </w:r>
      <w:r>
        <w:rPr>
          <w:rFonts w:ascii="Arial" w:hAnsi="Arial" w:cs="Arial"/>
          <w:sz w:val="24"/>
          <w:szCs w:val="24"/>
        </w:rPr>
        <w:t>Two</w:t>
      </w:r>
      <w:r w:rsidRPr="004F576A">
        <w:rPr>
          <w:rFonts w:ascii="Arial" w:hAnsi="Arial" w:cs="Arial"/>
          <w:sz w:val="24"/>
          <w:szCs w:val="24"/>
        </w:rPr>
        <w:t xml:space="preserve"> cases </w:t>
      </w:r>
      <w:r w:rsidRPr="00D1656E">
        <w:rPr>
          <w:rFonts w:ascii="Arial" w:hAnsi="Arial" w:cs="Arial"/>
          <w:sz w:val="24"/>
          <w:szCs w:val="24"/>
        </w:rPr>
        <w:t>with negative skin tests had a positive challenge test (both to allopurinol). Overall, 54.5% (n=6) of challenges were positive: 3 recurrences</w:t>
      </w:r>
      <w:r w:rsidRPr="004F576A">
        <w:rPr>
          <w:rFonts w:ascii="Arial" w:hAnsi="Arial" w:cs="Arial"/>
          <w:sz w:val="24"/>
          <w:szCs w:val="24"/>
        </w:rPr>
        <w:t xml:space="preserve"> of DRESS, 1 maculopapular exanthem, 2 not specified. </w:t>
      </w:r>
      <w:r>
        <w:rPr>
          <w:rFonts w:ascii="Arial" w:hAnsi="Arial" w:cs="Arial"/>
          <w:sz w:val="24"/>
          <w:szCs w:val="24"/>
        </w:rPr>
        <w:t xml:space="preserve">Test </w:t>
      </w:r>
      <w:r>
        <w:rPr>
          <w:rFonts w:ascii="Arial" w:hAnsi="Arial" w:cs="Arial"/>
          <w:sz w:val="24"/>
          <w:szCs w:val="24"/>
        </w:rPr>
        <w:lastRenderedPageBreak/>
        <w:t xml:space="preserve">concentrations where published are listed in </w:t>
      </w:r>
      <w:r w:rsidRPr="00CF17B2">
        <w:rPr>
          <w:rFonts w:ascii="Arial" w:hAnsi="Arial" w:cs="Arial"/>
          <w:b/>
          <w:bCs/>
          <w:sz w:val="24"/>
          <w:szCs w:val="24"/>
        </w:rPr>
        <w:t xml:space="preserve">Supplemental </w:t>
      </w:r>
      <w:r w:rsidRPr="008613F7">
        <w:rPr>
          <w:rFonts w:ascii="Arial" w:hAnsi="Arial" w:cs="Arial"/>
          <w:b/>
          <w:sz w:val="24"/>
          <w:szCs w:val="24"/>
        </w:rPr>
        <w:t>Tables E</w:t>
      </w:r>
      <w:r>
        <w:rPr>
          <w:rFonts w:ascii="Arial" w:hAnsi="Arial" w:cs="Arial"/>
          <w:b/>
          <w:sz w:val="24"/>
          <w:szCs w:val="24"/>
        </w:rPr>
        <w:t>1</w:t>
      </w:r>
      <w:r w:rsidRPr="008613F7">
        <w:rPr>
          <w:rFonts w:ascii="Arial" w:hAnsi="Arial" w:cs="Arial"/>
          <w:b/>
          <w:sz w:val="24"/>
          <w:szCs w:val="24"/>
        </w:rPr>
        <w:t xml:space="preserve"> and E</w:t>
      </w:r>
      <w:r>
        <w:rPr>
          <w:rFonts w:ascii="Arial" w:hAnsi="Arial" w:cs="Arial"/>
          <w:b/>
          <w:sz w:val="24"/>
          <w:szCs w:val="24"/>
        </w:rPr>
        <w:t>2</w:t>
      </w:r>
      <w:r>
        <w:rPr>
          <w:rFonts w:ascii="Arial" w:hAnsi="Arial" w:cs="Arial"/>
          <w:sz w:val="24"/>
          <w:szCs w:val="24"/>
        </w:rPr>
        <w:t xml:space="preserve">, no information on skin prick test concentrations were available. </w:t>
      </w:r>
    </w:p>
    <w:p w14:paraId="2A63C536" w14:textId="77777777" w:rsidR="003D56DD" w:rsidRDefault="003D56DD" w:rsidP="004F576A">
      <w:pPr>
        <w:spacing w:line="480" w:lineRule="auto"/>
        <w:jc w:val="both"/>
        <w:rPr>
          <w:rFonts w:ascii="Arial" w:hAnsi="Arial" w:cs="Arial"/>
          <w:sz w:val="24"/>
          <w:szCs w:val="24"/>
        </w:rPr>
      </w:pPr>
      <w:r w:rsidRPr="00E6299A">
        <w:rPr>
          <w:rFonts w:ascii="Arial" w:hAnsi="Arial" w:cs="Arial"/>
          <w:b/>
          <w:sz w:val="24"/>
          <w:szCs w:val="24"/>
        </w:rPr>
        <w:t xml:space="preserve">Results by </w:t>
      </w:r>
      <w:r>
        <w:rPr>
          <w:rFonts w:ascii="Arial" w:hAnsi="Arial" w:cs="Arial"/>
          <w:b/>
          <w:sz w:val="24"/>
          <w:szCs w:val="24"/>
        </w:rPr>
        <w:t>medication in individual patients</w:t>
      </w:r>
    </w:p>
    <w:p w14:paraId="509178A4" w14:textId="7A32CEB6" w:rsidR="003D56DD" w:rsidRDefault="003D56DD" w:rsidP="004F576A">
      <w:pPr>
        <w:spacing w:line="480" w:lineRule="auto"/>
        <w:jc w:val="both"/>
        <w:rPr>
          <w:rFonts w:ascii="Arial" w:hAnsi="Arial" w:cs="Arial"/>
          <w:sz w:val="24"/>
          <w:szCs w:val="24"/>
        </w:rPr>
      </w:pPr>
      <w:r>
        <w:rPr>
          <w:rFonts w:ascii="Arial" w:hAnsi="Arial" w:cs="Arial"/>
          <w:sz w:val="24"/>
          <w:szCs w:val="24"/>
        </w:rPr>
        <w:t>Four</w:t>
      </w:r>
      <w:r w:rsidRPr="004F576A">
        <w:rPr>
          <w:rFonts w:ascii="Arial" w:hAnsi="Arial" w:cs="Arial"/>
          <w:sz w:val="24"/>
          <w:szCs w:val="24"/>
        </w:rPr>
        <w:t xml:space="preserve"> </w:t>
      </w:r>
      <w:r>
        <w:rPr>
          <w:rFonts w:ascii="Arial" w:hAnsi="Arial" w:cs="Arial"/>
          <w:sz w:val="24"/>
          <w:szCs w:val="24"/>
        </w:rPr>
        <w:t>papers</w:t>
      </w:r>
      <w:r w:rsidRPr="004F576A">
        <w:rPr>
          <w:rFonts w:ascii="Arial" w:hAnsi="Arial" w:cs="Arial"/>
          <w:sz w:val="24"/>
          <w:szCs w:val="24"/>
        </w:rPr>
        <w:t xml:space="preserve"> reported individual patients undergoing testing of more than one medication and detailed results by medication</w:t>
      </w:r>
      <w:r>
        <w:rPr>
          <w:rFonts w:ascii="Arial" w:hAnsi="Arial" w:cs="Arial"/>
          <w:sz w:val="24"/>
          <w:szCs w:val="24"/>
        </w:rPr>
        <w:t xml:space="preserve"> </w:t>
      </w:r>
      <w:r>
        <w:rPr>
          <w:rFonts w:ascii="Arial" w:hAnsi="Arial" w:cs="Arial"/>
          <w:noProof/>
          <w:sz w:val="24"/>
          <w:szCs w:val="24"/>
        </w:rPr>
        <w:t>(18, 30, 31, 37)</w:t>
      </w:r>
      <w:r w:rsidRPr="004F576A">
        <w:rPr>
          <w:rFonts w:ascii="Arial" w:hAnsi="Arial" w:cs="Arial"/>
          <w:sz w:val="24"/>
          <w:szCs w:val="24"/>
        </w:rPr>
        <w:t xml:space="preserve">. </w:t>
      </w:r>
      <w:r>
        <w:rPr>
          <w:rFonts w:ascii="Arial" w:hAnsi="Arial" w:cs="Arial"/>
          <w:sz w:val="24"/>
          <w:szCs w:val="24"/>
        </w:rPr>
        <w:t>6</w:t>
      </w:r>
      <w:r w:rsidRPr="004F576A">
        <w:rPr>
          <w:rFonts w:ascii="Arial" w:hAnsi="Arial" w:cs="Arial"/>
          <w:sz w:val="24"/>
          <w:szCs w:val="24"/>
        </w:rPr>
        <w:t>2 different medications (inclusive of PT</w:t>
      </w:r>
      <w:r>
        <w:rPr>
          <w:rFonts w:ascii="Arial" w:hAnsi="Arial" w:cs="Arial"/>
          <w:sz w:val="24"/>
          <w:szCs w:val="24"/>
        </w:rPr>
        <w:t xml:space="preserve">, </w:t>
      </w:r>
      <w:r w:rsidRPr="004F576A">
        <w:rPr>
          <w:rFonts w:ascii="Arial" w:hAnsi="Arial" w:cs="Arial"/>
          <w:sz w:val="24"/>
          <w:szCs w:val="24"/>
        </w:rPr>
        <w:t>IDT</w:t>
      </w:r>
      <w:r>
        <w:rPr>
          <w:rFonts w:ascii="Arial" w:hAnsi="Arial" w:cs="Arial"/>
          <w:sz w:val="24"/>
          <w:szCs w:val="24"/>
        </w:rPr>
        <w:t xml:space="preserve"> and </w:t>
      </w:r>
      <w:r w:rsidRPr="004F576A">
        <w:rPr>
          <w:rFonts w:ascii="Arial" w:hAnsi="Arial" w:cs="Arial"/>
          <w:sz w:val="24"/>
          <w:szCs w:val="24"/>
        </w:rPr>
        <w:t xml:space="preserve">SPT) were tested. Antibiotics and anti-epileptics were the </w:t>
      </w:r>
      <w:proofErr w:type="gramStart"/>
      <w:r w:rsidRPr="004F576A">
        <w:rPr>
          <w:rFonts w:ascii="Arial" w:hAnsi="Arial" w:cs="Arial"/>
          <w:sz w:val="24"/>
          <w:szCs w:val="24"/>
        </w:rPr>
        <w:t>most commonly tested</w:t>
      </w:r>
      <w:proofErr w:type="gramEnd"/>
      <w:r w:rsidRPr="004F576A">
        <w:rPr>
          <w:rFonts w:ascii="Arial" w:hAnsi="Arial" w:cs="Arial"/>
          <w:sz w:val="24"/>
          <w:szCs w:val="24"/>
        </w:rPr>
        <w:t xml:space="preserve"> (test performed: PT: antibiotics =</w:t>
      </w:r>
      <w:r>
        <w:rPr>
          <w:rFonts w:ascii="Arial" w:hAnsi="Arial" w:cs="Arial"/>
          <w:sz w:val="24"/>
          <w:szCs w:val="24"/>
        </w:rPr>
        <w:t xml:space="preserve"> 72</w:t>
      </w:r>
      <w:r w:rsidRPr="004F576A">
        <w:rPr>
          <w:rFonts w:ascii="Arial" w:hAnsi="Arial" w:cs="Arial"/>
          <w:sz w:val="24"/>
          <w:szCs w:val="24"/>
        </w:rPr>
        <w:t xml:space="preserve">, anti-epileptics = 56; IDT: antibiotics = </w:t>
      </w:r>
      <w:r>
        <w:rPr>
          <w:rFonts w:ascii="Arial" w:hAnsi="Arial" w:cs="Arial"/>
          <w:sz w:val="24"/>
          <w:szCs w:val="24"/>
        </w:rPr>
        <w:t>42</w:t>
      </w:r>
      <w:r w:rsidRPr="004F576A">
        <w:rPr>
          <w:rFonts w:ascii="Arial" w:hAnsi="Arial" w:cs="Arial"/>
          <w:sz w:val="24"/>
          <w:szCs w:val="24"/>
        </w:rPr>
        <w:t xml:space="preserve">; SPT: antibiotics = 5). No IDT or SPT were performed for anti-epileptic drugs. </w:t>
      </w:r>
      <w:r>
        <w:rPr>
          <w:rFonts w:ascii="Arial" w:hAnsi="Arial" w:cs="Arial"/>
          <w:sz w:val="24"/>
          <w:szCs w:val="24"/>
        </w:rPr>
        <w:t>The p</w:t>
      </w:r>
      <w:r w:rsidRPr="004F576A">
        <w:rPr>
          <w:rFonts w:ascii="Arial" w:hAnsi="Arial" w:cs="Arial"/>
          <w:sz w:val="24"/>
          <w:szCs w:val="24"/>
        </w:rPr>
        <w:t xml:space="preserve">roportion of positive results to antibiotics were: PT </w:t>
      </w:r>
      <w:r>
        <w:rPr>
          <w:rFonts w:ascii="Arial" w:hAnsi="Arial" w:cs="Arial"/>
          <w:sz w:val="24"/>
          <w:szCs w:val="24"/>
        </w:rPr>
        <w:t>48.6</w:t>
      </w:r>
      <w:r w:rsidRPr="004F576A">
        <w:rPr>
          <w:rFonts w:ascii="Arial" w:hAnsi="Arial" w:cs="Arial"/>
          <w:sz w:val="24"/>
          <w:szCs w:val="24"/>
        </w:rPr>
        <w:t>% (n=3</w:t>
      </w:r>
      <w:r>
        <w:rPr>
          <w:rFonts w:ascii="Arial" w:hAnsi="Arial" w:cs="Arial"/>
          <w:sz w:val="24"/>
          <w:szCs w:val="24"/>
        </w:rPr>
        <w:t>5), IDT 50.0</w:t>
      </w:r>
      <w:r w:rsidRPr="004F576A">
        <w:rPr>
          <w:rFonts w:ascii="Arial" w:hAnsi="Arial" w:cs="Arial"/>
          <w:sz w:val="24"/>
          <w:szCs w:val="24"/>
        </w:rPr>
        <w:t>% (n=</w:t>
      </w:r>
      <w:r>
        <w:rPr>
          <w:rFonts w:ascii="Arial" w:hAnsi="Arial" w:cs="Arial"/>
          <w:sz w:val="24"/>
          <w:szCs w:val="24"/>
        </w:rPr>
        <w:t>21</w:t>
      </w:r>
      <w:r w:rsidRPr="004F576A">
        <w:rPr>
          <w:rFonts w:ascii="Arial" w:hAnsi="Arial" w:cs="Arial"/>
          <w:sz w:val="24"/>
          <w:szCs w:val="24"/>
        </w:rPr>
        <w:t>), SPT 40% (n=2), whilst to beta-lact</w:t>
      </w:r>
      <w:r>
        <w:rPr>
          <w:rFonts w:ascii="Arial" w:hAnsi="Arial" w:cs="Arial"/>
          <w:sz w:val="24"/>
          <w:szCs w:val="24"/>
        </w:rPr>
        <w:t>ams specifically: PT 51.8% (n=29 of 56), IDT 52.9% (n=18 of 34</w:t>
      </w:r>
      <w:r w:rsidRPr="004F576A">
        <w:rPr>
          <w:rFonts w:ascii="Arial" w:hAnsi="Arial" w:cs="Arial"/>
          <w:sz w:val="24"/>
          <w:szCs w:val="24"/>
        </w:rPr>
        <w:t>), SPT 100% (n=2 of 2)</w:t>
      </w:r>
      <w:r>
        <w:rPr>
          <w:rFonts w:ascii="Arial" w:hAnsi="Arial" w:cs="Arial"/>
          <w:sz w:val="24"/>
          <w:szCs w:val="24"/>
        </w:rPr>
        <w:t xml:space="preserve"> (</w:t>
      </w:r>
      <w:r w:rsidRPr="00DC7260">
        <w:rPr>
          <w:rFonts w:ascii="Arial" w:hAnsi="Arial" w:cs="Arial"/>
          <w:b/>
          <w:sz w:val="24"/>
          <w:szCs w:val="24"/>
        </w:rPr>
        <w:t xml:space="preserve">Table </w:t>
      </w:r>
      <w:r>
        <w:rPr>
          <w:rFonts w:ascii="Arial" w:hAnsi="Arial" w:cs="Arial"/>
          <w:b/>
          <w:sz w:val="24"/>
          <w:szCs w:val="24"/>
        </w:rPr>
        <w:t>4</w:t>
      </w:r>
      <w:r>
        <w:rPr>
          <w:rFonts w:ascii="Arial" w:hAnsi="Arial" w:cs="Arial"/>
          <w:sz w:val="24"/>
          <w:szCs w:val="24"/>
        </w:rPr>
        <w:t>).</w:t>
      </w:r>
    </w:p>
    <w:p w14:paraId="77CE051D" w14:textId="77777777" w:rsidR="003D56DD" w:rsidRPr="00E6299A" w:rsidRDefault="003D56DD" w:rsidP="004F576A">
      <w:pPr>
        <w:spacing w:line="480" w:lineRule="auto"/>
        <w:jc w:val="both"/>
        <w:rPr>
          <w:rFonts w:ascii="Arial" w:hAnsi="Arial" w:cs="Arial"/>
          <w:b/>
          <w:sz w:val="24"/>
          <w:szCs w:val="24"/>
        </w:rPr>
      </w:pPr>
      <w:r w:rsidRPr="00E6299A">
        <w:rPr>
          <w:rFonts w:ascii="Arial" w:hAnsi="Arial" w:cs="Arial"/>
          <w:b/>
          <w:sz w:val="24"/>
          <w:szCs w:val="24"/>
        </w:rPr>
        <w:t>Results by type of skin test</w:t>
      </w:r>
    </w:p>
    <w:p w14:paraId="35A72C10" w14:textId="0A3121DE" w:rsidR="003D56DD" w:rsidRDefault="003D56DD" w:rsidP="004F576A">
      <w:pPr>
        <w:spacing w:line="480" w:lineRule="auto"/>
        <w:jc w:val="both"/>
        <w:rPr>
          <w:rFonts w:ascii="Arial" w:hAnsi="Arial" w:cs="Arial"/>
          <w:sz w:val="24"/>
          <w:szCs w:val="24"/>
        </w:rPr>
      </w:pPr>
      <w:r w:rsidRPr="004F576A">
        <w:rPr>
          <w:rFonts w:ascii="Arial" w:hAnsi="Arial" w:cs="Arial"/>
          <w:sz w:val="24"/>
          <w:szCs w:val="24"/>
        </w:rPr>
        <w:t xml:space="preserve">Data extracted was then examined </w:t>
      </w:r>
      <w:r>
        <w:rPr>
          <w:rFonts w:ascii="Arial" w:hAnsi="Arial" w:cs="Arial"/>
          <w:sz w:val="24"/>
          <w:szCs w:val="24"/>
        </w:rPr>
        <w:t xml:space="preserve">for the </w:t>
      </w:r>
      <w:r w:rsidRPr="004F576A">
        <w:rPr>
          <w:rFonts w:ascii="Arial" w:hAnsi="Arial" w:cs="Arial"/>
          <w:sz w:val="24"/>
          <w:szCs w:val="24"/>
        </w:rPr>
        <w:t xml:space="preserve">number of </w:t>
      </w:r>
      <w:r>
        <w:rPr>
          <w:rFonts w:ascii="Arial" w:hAnsi="Arial" w:cs="Arial"/>
          <w:sz w:val="24"/>
          <w:szCs w:val="24"/>
        </w:rPr>
        <w:t xml:space="preserve">positive results per </w:t>
      </w:r>
      <w:r w:rsidRPr="004F576A">
        <w:rPr>
          <w:rFonts w:ascii="Arial" w:hAnsi="Arial" w:cs="Arial"/>
          <w:sz w:val="24"/>
          <w:szCs w:val="24"/>
        </w:rPr>
        <w:t xml:space="preserve">test performed, regardless </w:t>
      </w:r>
      <w:r>
        <w:rPr>
          <w:rFonts w:ascii="Arial" w:hAnsi="Arial" w:cs="Arial"/>
          <w:sz w:val="24"/>
          <w:szCs w:val="24"/>
        </w:rPr>
        <w:t xml:space="preserve">of </w:t>
      </w:r>
      <w:r w:rsidRPr="004F576A">
        <w:rPr>
          <w:rFonts w:ascii="Arial" w:hAnsi="Arial" w:cs="Arial"/>
          <w:sz w:val="24"/>
          <w:szCs w:val="24"/>
        </w:rPr>
        <w:t>whether an individual patient underwent multiple test</w:t>
      </w:r>
      <w:r>
        <w:rPr>
          <w:rFonts w:ascii="Arial" w:hAnsi="Arial" w:cs="Arial"/>
          <w:sz w:val="24"/>
          <w:szCs w:val="24"/>
        </w:rPr>
        <w:t>s</w:t>
      </w:r>
      <w:r w:rsidRPr="004F576A">
        <w:rPr>
          <w:rFonts w:ascii="Arial" w:hAnsi="Arial" w:cs="Arial"/>
          <w:sz w:val="24"/>
          <w:szCs w:val="24"/>
        </w:rPr>
        <w:t>. A</w:t>
      </w:r>
      <w:r>
        <w:rPr>
          <w:rFonts w:ascii="Arial" w:hAnsi="Arial" w:cs="Arial"/>
          <w:sz w:val="24"/>
          <w:szCs w:val="24"/>
        </w:rPr>
        <w:t>lthough PT were performed in 282</w:t>
      </w:r>
      <w:r w:rsidRPr="004F576A">
        <w:rPr>
          <w:rFonts w:ascii="Arial" w:hAnsi="Arial" w:cs="Arial"/>
          <w:sz w:val="24"/>
          <w:szCs w:val="24"/>
        </w:rPr>
        <w:t xml:space="preserve"> patients, it was only possible to determine total numbers of individual patients tested per medication in 21</w:t>
      </w:r>
      <w:r>
        <w:rPr>
          <w:rFonts w:ascii="Arial" w:hAnsi="Arial" w:cs="Arial"/>
          <w:sz w:val="24"/>
          <w:szCs w:val="24"/>
        </w:rPr>
        <w:t>7</w:t>
      </w:r>
      <w:r w:rsidRPr="004F576A">
        <w:rPr>
          <w:rFonts w:ascii="Arial" w:hAnsi="Arial" w:cs="Arial"/>
          <w:sz w:val="24"/>
          <w:szCs w:val="24"/>
        </w:rPr>
        <w:t xml:space="preserve"> cases, </w:t>
      </w:r>
      <w:r>
        <w:rPr>
          <w:rFonts w:ascii="Arial" w:hAnsi="Arial" w:cs="Arial"/>
          <w:sz w:val="24"/>
          <w:szCs w:val="24"/>
        </w:rPr>
        <w:t>of which 43.8% (n=95</w:t>
      </w:r>
      <w:r w:rsidRPr="004F576A">
        <w:rPr>
          <w:rFonts w:ascii="Arial" w:hAnsi="Arial" w:cs="Arial"/>
          <w:sz w:val="24"/>
          <w:szCs w:val="24"/>
        </w:rPr>
        <w:t>)</w:t>
      </w:r>
      <w:r w:rsidRPr="00882FE9">
        <w:rPr>
          <w:rFonts w:ascii="Arial" w:hAnsi="Arial" w:cs="Arial"/>
          <w:sz w:val="24"/>
          <w:szCs w:val="24"/>
        </w:rPr>
        <w:t xml:space="preserve"> </w:t>
      </w:r>
      <w:r w:rsidRPr="004F576A">
        <w:rPr>
          <w:rFonts w:ascii="Arial" w:hAnsi="Arial" w:cs="Arial"/>
          <w:sz w:val="24"/>
          <w:szCs w:val="24"/>
        </w:rPr>
        <w:t xml:space="preserve">were positive. Of </w:t>
      </w:r>
      <w:r>
        <w:rPr>
          <w:rFonts w:ascii="Arial" w:hAnsi="Arial" w:cs="Arial"/>
          <w:sz w:val="24"/>
          <w:szCs w:val="24"/>
        </w:rPr>
        <w:t>52</w:t>
      </w:r>
      <w:r w:rsidRPr="004F576A">
        <w:rPr>
          <w:rFonts w:ascii="Arial" w:hAnsi="Arial" w:cs="Arial"/>
          <w:sz w:val="24"/>
          <w:szCs w:val="24"/>
        </w:rPr>
        <w:t xml:space="preserve"> IDT performed, </w:t>
      </w:r>
      <w:r>
        <w:rPr>
          <w:rFonts w:ascii="Arial" w:hAnsi="Arial" w:cs="Arial"/>
          <w:sz w:val="24"/>
          <w:szCs w:val="24"/>
        </w:rPr>
        <w:t>40.4</w:t>
      </w:r>
      <w:r w:rsidRPr="004F576A">
        <w:rPr>
          <w:rFonts w:ascii="Arial" w:hAnsi="Arial" w:cs="Arial"/>
          <w:sz w:val="24"/>
          <w:szCs w:val="24"/>
        </w:rPr>
        <w:t>% (n=</w:t>
      </w:r>
      <w:r>
        <w:rPr>
          <w:rFonts w:ascii="Arial" w:hAnsi="Arial" w:cs="Arial"/>
          <w:sz w:val="24"/>
          <w:szCs w:val="24"/>
        </w:rPr>
        <w:t>21</w:t>
      </w:r>
      <w:r w:rsidRPr="004F576A">
        <w:rPr>
          <w:rFonts w:ascii="Arial" w:hAnsi="Arial" w:cs="Arial"/>
          <w:sz w:val="24"/>
          <w:szCs w:val="24"/>
        </w:rPr>
        <w:t>) elicited a po</w:t>
      </w:r>
      <w:r>
        <w:rPr>
          <w:rFonts w:ascii="Arial" w:hAnsi="Arial" w:cs="Arial"/>
          <w:sz w:val="24"/>
          <w:szCs w:val="24"/>
        </w:rPr>
        <w:t>sitive reaction. 28.6</w:t>
      </w:r>
      <w:r w:rsidRPr="004F576A">
        <w:rPr>
          <w:rFonts w:ascii="Arial" w:hAnsi="Arial" w:cs="Arial"/>
          <w:sz w:val="24"/>
          <w:szCs w:val="24"/>
        </w:rPr>
        <w:t xml:space="preserve">% (n=2) of </w:t>
      </w:r>
      <w:r>
        <w:rPr>
          <w:rFonts w:ascii="Arial" w:hAnsi="Arial" w:cs="Arial"/>
          <w:sz w:val="24"/>
          <w:szCs w:val="24"/>
        </w:rPr>
        <w:t>7</w:t>
      </w:r>
      <w:r w:rsidRPr="004F576A">
        <w:rPr>
          <w:rFonts w:ascii="Arial" w:hAnsi="Arial" w:cs="Arial"/>
          <w:sz w:val="24"/>
          <w:szCs w:val="24"/>
        </w:rPr>
        <w:t xml:space="preserve"> SPT were positive</w:t>
      </w:r>
      <w:r>
        <w:rPr>
          <w:rFonts w:ascii="Arial" w:hAnsi="Arial" w:cs="Arial"/>
          <w:sz w:val="24"/>
          <w:szCs w:val="24"/>
        </w:rPr>
        <w:t xml:space="preserve"> (</w:t>
      </w:r>
      <w:r w:rsidRPr="0023687D">
        <w:rPr>
          <w:rFonts w:ascii="Arial" w:hAnsi="Arial" w:cs="Arial"/>
          <w:b/>
          <w:sz w:val="24"/>
          <w:szCs w:val="24"/>
        </w:rPr>
        <w:t xml:space="preserve">Table </w:t>
      </w:r>
      <w:r>
        <w:rPr>
          <w:rFonts w:ascii="Arial" w:hAnsi="Arial" w:cs="Arial"/>
          <w:b/>
          <w:sz w:val="24"/>
          <w:szCs w:val="24"/>
        </w:rPr>
        <w:t>5</w:t>
      </w:r>
      <w:r>
        <w:rPr>
          <w:rFonts w:ascii="Arial" w:hAnsi="Arial" w:cs="Arial"/>
          <w:sz w:val="24"/>
          <w:szCs w:val="24"/>
        </w:rPr>
        <w:t>)</w:t>
      </w:r>
      <w:r w:rsidRPr="004F576A">
        <w:rPr>
          <w:rFonts w:ascii="Arial" w:hAnsi="Arial" w:cs="Arial"/>
          <w:sz w:val="24"/>
          <w:szCs w:val="24"/>
        </w:rPr>
        <w:t xml:space="preserve">. </w:t>
      </w:r>
    </w:p>
    <w:p w14:paraId="0F746DA0" w14:textId="65813E6B" w:rsidR="003D56DD" w:rsidRDefault="003D56DD" w:rsidP="004F576A">
      <w:pPr>
        <w:spacing w:line="480" w:lineRule="auto"/>
        <w:jc w:val="both"/>
        <w:rPr>
          <w:rFonts w:ascii="Arial" w:hAnsi="Arial" w:cs="Arial"/>
          <w:sz w:val="24"/>
          <w:szCs w:val="24"/>
        </w:rPr>
      </w:pPr>
      <w:r>
        <w:rPr>
          <w:rFonts w:ascii="Arial" w:hAnsi="Arial" w:cs="Arial"/>
          <w:sz w:val="24"/>
          <w:szCs w:val="24"/>
        </w:rPr>
        <w:t xml:space="preserve">To examine the accuracy of skin tests, we sought to compare the correlation between positive results for the different skin test modalities against outcome of challenge testing. </w:t>
      </w:r>
      <w:r w:rsidRPr="004F576A">
        <w:rPr>
          <w:rFonts w:ascii="Arial" w:hAnsi="Arial" w:cs="Arial"/>
          <w:sz w:val="24"/>
          <w:szCs w:val="24"/>
        </w:rPr>
        <w:t>Because there were very few reports comparing skin testing to</w:t>
      </w:r>
      <w:r>
        <w:rPr>
          <w:rFonts w:ascii="Arial" w:hAnsi="Arial" w:cs="Arial"/>
          <w:sz w:val="24"/>
          <w:szCs w:val="24"/>
        </w:rPr>
        <w:t xml:space="preserve"> </w:t>
      </w:r>
      <w:r w:rsidRPr="004F576A">
        <w:rPr>
          <w:rFonts w:ascii="Arial" w:hAnsi="Arial" w:cs="Arial"/>
          <w:sz w:val="24"/>
          <w:szCs w:val="24"/>
        </w:rPr>
        <w:t>challenge testing, we applied clinical confidence (‘probable’ or ‘possible’</w:t>
      </w:r>
      <w:r>
        <w:rPr>
          <w:rFonts w:ascii="Arial" w:hAnsi="Arial" w:cs="Arial"/>
          <w:sz w:val="24"/>
          <w:szCs w:val="24"/>
        </w:rPr>
        <w:t>, see methods for definition</w:t>
      </w:r>
      <w:r w:rsidRPr="004F576A">
        <w:rPr>
          <w:rFonts w:ascii="Arial" w:hAnsi="Arial" w:cs="Arial"/>
          <w:sz w:val="24"/>
          <w:szCs w:val="24"/>
        </w:rPr>
        <w:t>) as a pseudo-gold standard to compare skin testing to</w:t>
      </w:r>
      <w:r>
        <w:rPr>
          <w:rFonts w:ascii="Arial" w:hAnsi="Arial" w:cs="Arial"/>
          <w:sz w:val="24"/>
          <w:szCs w:val="24"/>
        </w:rPr>
        <w:t xml:space="preserve"> (</w:t>
      </w:r>
      <w:r w:rsidRPr="00CF17B2">
        <w:rPr>
          <w:rFonts w:ascii="Arial" w:hAnsi="Arial" w:cs="Arial"/>
          <w:b/>
          <w:bCs/>
          <w:sz w:val="24"/>
          <w:szCs w:val="24"/>
        </w:rPr>
        <w:t>Supplemental T</w:t>
      </w:r>
      <w:r w:rsidRPr="00165500">
        <w:rPr>
          <w:rFonts w:ascii="Arial" w:hAnsi="Arial" w:cs="Arial"/>
          <w:b/>
          <w:sz w:val="24"/>
          <w:szCs w:val="24"/>
        </w:rPr>
        <w:t>able E</w:t>
      </w:r>
      <w:r>
        <w:rPr>
          <w:rFonts w:ascii="Arial" w:hAnsi="Arial" w:cs="Arial"/>
          <w:b/>
          <w:sz w:val="24"/>
          <w:szCs w:val="24"/>
        </w:rPr>
        <w:t>3</w:t>
      </w:r>
      <w:r>
        <w:rPr>
          <w:rFonts w:ascii="Arial" w:hAnsi="Arial" w:cs="Arial"/>
          <w:sz w:val="24"/>
          <w:szCs w:val="24"/>
        </w:rPr>
        <w:t>)</w:t>
      </w:r>
      <w:r w:rsidRPr="004F576A">
        <w:rPr>
          <w:rFonts w:ascii="Arial" w:hAnsi="Arial" w:cs="Arial"/>
          <w:sz w:val="24"/>
          <w:szCs w:val="24"/>
        </w:rPr>
        <w:t xml:space="preserve">. </w:t>
      </w:r>
      <w:r w:rsidRPr="00DF7C3D">
        <w:rPr>
          <w:rFonts w:ascii="Arial" w:hAnsi="Arial" w:cs="Arial"/>
          <w:sz w:val="24"/>
          <w:szCs w:val="24"/>
        </w:rPr>
        <w:t xml:space="preserve">Skin testing was consistent with clinical attribution of drug culpability in 37.4% (n= </w:t>
      </w:r>
      <w:r w:rsidRPr="00DF7C3D">
        <w:rPr>
          <w:rFonts w:ascii="Arial" w:hAnsi="Arial" w:cs="Arial"/>
          <w:sz w:val="24"/>
          <w:szCs w:val="24"/>
        </w:rPr>
        <w:lastRenderedPageBreak/>
        <w:t xml:space="preserve">74 of 198) [‘probable’ in 29.8% (n = 59 of 198) and ‘possible’ in 7.5% (n=15 of 198)] of PT and 36.5% (n=19 of 52) of IDT [‘possible’ in 25% (n=13 of 52) and ‘probable’ in 11.5% (n=6 of 52)]. It was not possible to determine level of confidence in drugs tested by SPT. In those tested </w:t>
      </w:r>
      <w:r w:rsidRPr="004F576A">
        <w:rPr>
          <w:rFonts w:ascii="Arial" w:hAnsi="Arial" w:cs="Arial"/>
          <w:sz w:val="24"/>
          <w:szCs w:val="24"/>
        </w:rPr>
        <w:t>with both PT and IDT (n=</w:t>
      </w:r>
      <w:r>
        <w:rPr>
          <w:rFonts w:ascii="Arial" w:hAnsi="Arial" w:cs="Arial"/>
          <w:sz w:val="24"/>
          <w:szCs w:val="24"/>
        </w:rPr>
        <w:t>21</w:t>
      </w:r>
      <w:r w:rsidRPr="004F576A">
        <w:rPr>
          <w:rFonts w:ascii="Arial" w:hAnsi="Arial" w:cs="Arial"/>
          <w:sz w:val="24"/>
          <w:szCs w:val="24"/>
        </w:rPr>
        <w:t xml:space="preserve">), </w:t>
      </w:r>
      <w:r>
        <w:rPr>
          <w:rFonts w:ascii="Arial" w:hAnsi="Arial" w:cs="Arial"/>
          <w:sz w:val="24"/>
          <w:szCs w:val="24"/>
        </w:rPr>
        <w:t>9</w:t>
      </w:r>
      <w:r w:rsidRPr="004F576A">
        <w:rPr>
          <w:rFonts w:ascii="Arial" w:hAnsi="Arial" w:cs="Arial"/>
          <w:sz w:val="24"/>
          <w:szCs w:val="24"/>
        </w:rPr>
        <w:t xml:space="preserve"> cases (</w:t>
      </w:r>
      <w:r>
        <w:rPr>
          <w:rFonts w:ascii="Arial" w:hAnsi="Arial" w:cs="Arial"/>
          <w:sz w:val="24"/>
          <w:szCs w:val="24"/>
        </w:rPr>
        <w:t>42.9</w:t>
      </w:r>
      <w:r w:rsidRPr="004F576A">
        <w:rPr>
          <w:rFonts w:ascii="Arial" w:hAnsi="Arial" w:cs="Arial"/>
          <w:sz w:val="24"/>
          <w:szCs w:val="24"/>
        </w:rPr>
        <w:t>%) were reported with negative PT and positive IDT</w:t>
      </w:r>
      <w:r>
        <w:rPr>
          <w:rFonts w:ascii="Arial" w:hAnsi="Arial" w:cs="Arial"/>
          <w:sz w:val="24"/>
          <w:szCs w:val="24"/>
        </w:rPr>
        <w:t>. One</w:t>
      </w:r>
      <w:r w:rsidRPr="004F576A">
        <w:rPr>
          <w:rFonts w:ascii="Arial" w:hAnsi="Arial" w:cs="Arial"/>
          <w:sz w:val="24"/>
          <w:szCs w:val="24"/>
        </w:rPr>
        <w:t xml:space="preserve"> case showe</w:t>
      </w:r>
      <w:r>
        <w:rPr>
          <w:rFonts w:ascii="Arial" w:hAnsi="Arial" w:cs="Arial"/>
          <w:sz w:val="24"/>
          <w:szCs w:val="24"/>
        </w:rPr>
        <w:t xml:space="preserve">d negative IDT and positive PT, and following accidental re-exposure to the same drug, developed an exanthem and liver blood test derangement. </w:t>
      </w:r>
      <w:r w:rsidRPr="004F576A">
        <w:rPr>
          <w:rFonts w:ascii="Arial" w:hAnsi="Arial" w:cs="Arial"/>
          <w:sz w:val="24"/>
          <w:szCs w:val="24"/>
        </w:rPr>
        <w:t xml:space="preserve">Clinical confidence in drug </w:t>
      </w:r>
      <w:proofErr w:type="spellStart"/>
      <w:r w:rsidRPr="004F576A">
        <w:rPr>
          <w:rFonts w:ascii="Arial" w:hAnsi="Arial" w:cs="Arial"/>
          <w:sz w:val="24"/>
          <w:szCs w:val="24"/>
        </w:rPr>
        <w:t>imputability</w:t>
      </w:r>
      <w:proofErr w:type="spellEnd"/>
      <w:r w:rsidRPr="004F576A">
        <w:rPr>
          <w:rFonts w:ascii="Arial" w:hAnsi="Arial" w:cs="Arial"/>
          <w:sz w:val="24"/>
          <w:szCs w:val="24"/>
        </w:rPr>
        <w:t xml:space="preserve"> was ‘probable’ in </w:t>
      </w:r>
      <w:r>
        <w:rPr>
          <w:rFonts w:ascii="Arial" w:hAnsi="Arial" w:cs="Arial"/>
          <w:sz w:val="24"/>
          <w:szCs w:val="24"/>
        </w:rPr>
        <w:t>59</w:t>
      </w:r>
      <w:r w:rsidRPr="004F576A">
        <w:rPr>
          <w:rFonts w:ascii="Arial" w:hAnsi="Arial" w:cs="Arial"/>
          <w:sz w:val="24"/>
          <w:szCs w:val="24"/>
        </w:rPr>
        <w:t xml:space="preserve"> </w:t>
      </w:r>
      <w:r>
        <w:rPr>
          <w:rFonts w:ascii="Arial" w:hAnsi="Arial" w:cs="Arial"/>
          <w:sz w:val="24"/>
          <w:szCs w:val="24"/>
        </w:rPr>
        <w:t xml:space="preserve">PT </w:t>
      </w:r>
      <w:r w:rsidRPr="004F576A">
        <w:rPr>
          <w:rFonts w:ascii="Arial" w:hAnsi="Arial" w:cs="Arial"/>
          <w:sz w:val="24"/>
          <w:szCs w:val="24"/>
        </w:rPr>
        <w:t xml:space="preserve">performed to 9 different </w:t>
      </w:r>
      <w:r w:rsidRPr="009B1B31">
        <w:rPr>
          <w:rFonts w:ascii="Arial" w:hAnsi="Arial" w:cs="Arial"/>
          <w:sz w:val="24"/>
          <w:szCs w:val="24"/>
        </w:rPr>
        <w:t>drugs (allopurinol, carbamazepine</w:t>
      </w:r>
      <w:r w:rsidRPr="004F576A">
        <w:rPr>
          <w:rFonts w:ascii="Arial" w:hAnsi="Arial" w:cs="Arial"/>
          <w:sz w:val="24"/>
          <w:szCs w:val="24"/>
        </w:rPr>
        <w:t xml:space="preserve">, </w:t>
      </w:r>
      <w:proofErr w:type="spellStart"/>
      <w:r w:rsidRPr="004F576A">
        <w:rPr>
          <w:rFonts w:ascii="Arial" w:hAnsi="Arial" w:cs="Arial"/>
          <w:sz w:val="24"/>
          <w:szCs w:val="24"/>
        </w:rPr>
        <w:t>cobimetinib</w:t>
      </w:r>
      <w:proofErr w:type="spellEnd"/>
      <w:r w:rsidRPr="004F576A">
        <w:rPr>
          <w:rFonts w:ascii="Arial" w:hAnsi="Arial" w:cs="Arial"/>
          <w:sz w:val="24"/>
          <w:szCs w:val="24"/>
        </w:rPr>
        <w:t xml:space="preserve">, </w:t>
      </w:r>
      <w:proofErr w:type="spellStart"/>
      <w:r w:rsidRPr="004F576A">
        <w:rPr>
          <w:rFonts w:ascii="Arial" w:hAnsi="Arial" w:cs="Arial"/>
          <w:sz w:val="24"/>
          <w:szCs w:val="24"/>
        </w:rPr>
        <w:t>fluoindione</w:t>
      </w:r>
      <w:proofErr w:type="spellEnd"/>
      <w:r w:rsidRPr="004F576A">
        <w:rPr>
          <w:rFonts w:ascii="Arial" w:hAnsi="Arial" w:cs="Arial"/>
          <w:sz w:val="24"/>
          <w:szCs w:val="24"/>
        </w:rPr>
        <w:t>, hydantoin,</w:t>
      </w:r>
      <w:r>
        <w:rPr>
          <w:rFonts w:ascii="Arial" w:hAnsi="Arial" w:cs="Arial"/>
          <w:sz w:val="24"/>
          <w:szCs w:val="24"/>
        </w:rPr>
        <w:t xml:space="preserve"> piperacillin-tazobactam,</w:t>
      </w:r>
      <w:r w:rsidRPr="004F576A">
        <w:rPr>
          <w:rFonts w:ascii="Arial" w:hAnsi="Arial" w:cs="Arial"/>
          <w:sz w:val="24"/>
          <w:szCs w:val="24"/>
        </w:rPr>
        <w:t xml:space="preserve"> phenobarbital, phenytoin, topiramate, vemurafenib). Of these, only </w:t>
      </w:r>
      <w:r>
        <w:rPr>
          <w:rFonts w:ascii="Arial" w:hAnsi="Arial" w:cs="Arial"/>
          <w:sz w:val="24"/>
          <w:szCs w:val="24"/>
        </w:rPr>
        <w:t>33.9</w:t>
      </w:r>
      <w:r w:rsidRPr="004F576A">
        <w:rPr>
          <w:rFonts w:ascii="Arial" w:hAnsi="Arial" w:cs="Arial"/>
          <w:sz w:val="24"/>
          <w:szCs w:val="24"/>
        </w:rPr>
        <w:t>% (n=</w:t>
      </w:r>
      <w:r>
        <w:rPr>
          <w:rFonts w:ascii="Arial" w:hAnsi="Arial" w:cs="Arial"/>
          <w:sz w:val="24"/>
          <w:szCs w:val="24"/>
        </w:rPr>
        <w:t>20</w:t>
      </w:r>
      <w:r w:rsidRPr="004F576A">
        <w:rPr>
          <w:rFonts w:ascii="Arial" w:hAnsi="Arial" w:cs="Arial"/>
          <w:sz w:val="24"/>
          <w:szCs w:val="24"/>
        </w:rPr>
        <w:t>) showed a corresponding positive PT result.</w:t>
      </w:r>
      <w:r>
        <w:rPr>
          <w:rFonts w:ascii="Arial" w:hAnsi="Arial" w:cs="Arial"/>
          <w:sz w:val="24"/>
          <w:szCs w:val="24"/>
        </w:rPr>
        <w:t xml:space="preserve">  </w:t>
      </w:r>
    </w:p>
    <w:p w14:paraId="009E3E5D" w14:textId="77777777" w:rsidR="003D56DD" w:rsidRPr="00E6299A" w:rsidRDefault="003D56DD" w:rsidP="004F576A">
      <w:pPr>
        <w:spacing w:line="480" w:lineRule="auto"/>
        <w:jc w:val="both"/>
        <w:rPr>
          <w:rFonts w:ascii="Arial" w:hAnsi="Arial" w:cs="Arial"/>
          <w:b/>
          <w:sz w:val="24"/>
          <w:szCs w:val="24"/>
        </w:rPr>
      </w:pPr>
      <w:r w:rsidRPr="00E6299A">
        <w:rPr>
          <w:rFonts w:ascii="Arial" w:hAnsi="Arial" w:cs="Arial"/>
          <w:b/>
          <w:sz w:val="24"/>
          <w:szCs w:val="24"/>
        </w:rPr>
        <w:t>Cross-reactivity</w:t>
      </w:r>
    </w:p>
    <w:p w14:paraId="78DE2DD0" w14:textId="568875A6" w:rsidR="003D56DD" w:rsidRDefault="003D56DD" w:rsidP="000B1882">
      <w:pPr>
        <w:spacing w:line="480" w:lineRule="auto"/>
        <w:jc w:val="both"/>
        <w:rPr>
          <w:rFonts w:ascii="Arial" w:hAnsi="Arial" w:cs="Arial"/>
          <w:b/>
          <w:sz w:val="24"/>
          <w:szCs w:val="24"/>
        </w:rPr>
        <w:sectPr w:rsidR="003D56DD" w:rsidSect="006974E2">
          <w:pgSz w:w="11906" w:h="16838"/>
          <w:pgMar w:top="1440" w:right="1440" w:bottom="1440" w:left="1440" w:header="708" w:footer="708" w:gutter="0"/>
          <w:lnNumType w:countBy="1" w:restart="continuous"/>
          <w:cols w:space="708"/>
          <w:docGrid w:linePitch="360"/>
        </w:sectPr>
      </w:pPr>
      <w:r w:rsidRPr="004F576A">
        <w:rPr>
          <w:rFonts w:ascii="Arial" w:hAnsi="Arial" w:cs="Arial"/>
          <w:sz w:val="24"/>
          <w:szCs w:val="24"/>
        </w:rPr>
        <w:t>Cross-reactivit</w:t>
      </w:r>
      <w:r>
        <w:rPr>
          <w:rFonts w:ascii="Arial" w:hAnsi="Arial" w:cs="Arial"/>
          <w:sz w:val="24"/>
          <w:szCs w:val="24"/>
        </w:rPr>
        <w:t xml:space="preserve">y was reported in 8 manuscripts </w:t>
      </w:r>
      <w:r>
        <w:rPr>
          <w:rFonts w:ascii="Arial" w:hAnsi="Arial" w:cs="Arial"/>
          <w:noProof/>
          <w:sz w:val="24"/>
          <w:szCs w:val="24"/>
        </w:rPr>
        <w:t>(18, 24, 28, 29, 34, 35, 38)</w:t>
      </w:r>
      <w:r w:rsidRPr="004F576A">
        <w:rPr>
          <w:rFonts w:ascii="Arial" w:hAnsi="Arial" w:cs="Arial"/>
          <w:sz w:val="24"/>
          <w:szCs w:val="24"/>
        </w:rPr>
        <w:t>, and was most frequently reported for anti-epileptic medications</w:t>
      </w:r>
      <w:r>
        <w:rPr>
          <w:rFonts w:ascii="Arial" w:hAnsi="Arial" w:cs="Arial"/>
          <w:sz w:val="24"/>
          <w:szCs w:val="24"/>
        </w:rPr>
        <w:t xml:space="preserve">, in particular carbamazepine with </w:t>
      </w:r>
      <w:proofErr w:type="spellStart"/>
      <w:r>
        <w:rPr>
          <w:rFonts w:ascii="Arial" w:hAnsi="Arial" w:cs="Arial"/>
          <w:sz w:val="24"/>
          <w:szCs w:val="24"/>
        </w:rPr>
        <w:t>oxcarbazapine</w:t>
      </w:r>
      <w:proofErr w:type="spellEnd"/>
      <w:r w:rsidRPr="004F576A">
        <w:rPr>
          <w:rFonts w:ascii="Arial" w:hAnsi="Arial" w:cs="Arial"/>
          <w:sz w:val="24"/>
          <w:szCs w:val="24"/>
        </w:rPr>
        <w:t xml:space="preserve">. </w:t>
      </w:r>
      <w:r w:rsidRPr="005A43AF">
        <w:rPr>
          <w:rFonts w:ascii="Arial" w:hAnsi="Arial" w:cs="Arial"/>
          <w:sz w:val="24"/>
          <w:szCs w:val="24"/>
        </w:rPr>
        <w:t>Reports showed evidence of cross-reactivity in DRESS by both PT (34/92, 37.0% positive) and IDT (21/52, 40.3% positive).</w:t>
      </w:r>
      <w:r>
        <w:rPr>
          <w:rFonts w:ascii="Arial" w:hAnsi="Arial" w:cs="Arial"/>
          <w:sz w:val="24"/>
          <w:szCs w:val="24"/>
        </w:rPr>
        <w:t xml:space="preserve"> </w:t>
      </w:r>
      <w:r w:rsidRPr="004F576A">
        <w:rPr>
          <w:rFonts w:ascii="Arial" w:hAnsi="Arial" w:cs="Arial"/>
          <w:sz w:val="24"/>
          <w:szCs w:val="24"/>
        </w:rPr>
        <w:t xml:space="preserve">In </w:t>
      </w:r>
      <w:r>
        <w:rPr>
          <w:rFonts w:ascii="Arial" w:hAnsi="Arial" w:cs="Arial"/>
          <w:sz w:val="24"/>
          <w:szCs w:val="24"/>
        </w:rPr>
        <w:t>8</w:t>
      </w:r>
      <w:r w:rsidRPr="004F576A">
        <w:rPr>
          <w:rFonts w:ascii="Arial" w:hAnsi="Arial" w:cs="Arial"/>
          <w:sz w:val="24"/>
          <w:szCs w:val="24"/>
        </w:rPr>
        <w:t xml:space="preserve"> cases, skin test result (PT or IDT) were compared to challenge testing and in all</w:t>
      </w:r>
      <w:r>
        <w:rPr>
          <w:rFonts w:ascii="Arial" w:hAnsi="Arial" w:cs="Arial"/>
          <w:sz w:val="24"/>
          <w:szCs w:val="24"/>
        </w:rPr>
        <w:t xml:space="preserve"> such</w:t>
      </w:r>
      <w:r w:rsidRPr="004F576A">
        <w:rPr>
          <w:rFonts w:ascii="Arial" w:hAnsi="Arial" w:cs="Arial"/>
          <w:sz w:val="24"/>
          <w:szCs w:val="24"/>
        </w:rPr>
        <w:t xml:space="preserve"> cases, skin testing </w:t>
      </w:r>
      <w:r>
        <w:rPr>
          <w:rFonts w:ascii="Arial" w:hAnsi="Arial" w:cs="Arial"/>
          <w:sz w:val="24"/>
          <w:szCs w:val="24"/>
        </w:rPr>
        <w:t xml:space="preserve">(PT or IDT) </w:t>
      </w:r>
      <w:r w:rsidRPr="004F576A">
        <w:rPr>
          <w:rFonts w:ascii="Arial" w:hAnsi="Arial" w:cs="Arial"/>
          <w:sz w:val="24"/>
          <w:szCs w:val="24"/>
        </w:rPr>
        <w:t>correlated with challenge outcome (</w:t>
      </w:r>
      <w:r w:rsidRPr="00CF17B2">
        <w:rPr>
          <w:rFonts w:ascii="Arial" w:hAnsi="Arial" w:cs="Arial"/>
          <w:b/>
          <w:bCs/>
          <w:sz w:val="24"/>
          <w:szCs w:val="24"/>
        </w:rPr>
        <w:t>T</w:t>
      </w:r>
      <w:r>
        <w:rPr>
          <w:rFonts w:ascii="Arial" w:hAnsi="Arial" w:cs="Arial"/>
          <w:b/>
          <w:sz w:val="24"/>
          <w:szCs w:val="24"/>
        </w:rPr>
        <w:t>able 6</w:t>
      </w:r>
      <w:r w:rsidRPr="004F576A">
        <w:rPr>
          <w:rFonts w:ascii="Arial" w:hAnsi="Arial" w:cs="Arial"/>
          <w:sz w:val="24"/>
          <w:szCs w:val="24"/>
        </w:rPr>
        <w:t xml:space="preserve">). </w:t>
      </w:r>
    </w:p>
    <w:p w14:paraId="7E9081C4" w14:textId="77777777" w:rsidR="003D56DD" w:rsidRPr="004F576A" w:rsidRDefault="003D56DD" w:rsidP="004F576A">
      <w:pPr>
        <w:spacing w:line="480" w:lineRule="auto"/>
        <w:rPr>
          <w:rFonts w:ascii="Arial" w:hAnsi="Arial" w:cs="Arial"/>
          <w:b/>
          <w:sz w:val="24"/>
          <w:szCs w:val="24"/>
        </w:rPr>
      </w:pPr>
      <w:r w:rsidRPr="004F576A">
        <w:rPr>
          <w:rFonts w:ascii="Arial" w:hAnsi="Arial" w:cs="Arial"/>
          <w:b/>
          <w:sz w:val="24"/>
          <w:szCs w:val="24"/>
        </w:rPr>
        <w:lastRenderedPageBreak/>
        <w:t>Discussion</w:t>
      </w:r>
    </w:p>
    <w:p w14:paraId="08CF2A20" w14:textId="441752E0" w:rsidR="003D56DD" w:rsidRDefault="003D56DD">
      <w:pPr>
        <w:shd w:val="clear" w:color="auto" w:fill="FFFFFF"/>
        <w:spacing w:line="480" w:lineRule="auto"/>
        <w:jc w:val="both"/>
        <w:rPr>
          <w:rFonts w:ascii="Arial" w:hAnsi="Arial" w:cs="Arial"/>
          <w:sz w:val="24"/>
          <w:szCs w:val="24"/>
        </w:rPr>
      </w:pPr>
      <w:r w:rsidRPr="006F2B0D">
        <w:rPr>
          <w:rFonts w:ascii="Arial" w:hAnsi="Arial" w:cs="Arial"/>
          <w:sz w:val="24"/>
          <w:szCs w:val="24"/>
        </w:rPr>
        <w:t xml:space="preserve">Skin tests are relatively straightforward, inexpensive and easy to perform, and are used routinely for the investigation of allergic contact dermatitis and type I </w:t>
      </w:r>
      <w:proofErr w:type="spellStart"/>
      <w:r w:rsidRPr="006F2B0D">
        <w:rPr>
          <w:rFonts w:ascii="Arial" w:hAnsi="Arial" w:cs="Arial"/>
          <w:sz w:val="24"/>
          <w:szCs w:val="24"/>
        </w:rPr>
        <w:t>IgE</w:t>
      </w:r>
      <w:proofErr w:type="spellEnd"/>
      <w:r w:rsidRPr="006F2B0D">
        <w:rPr>
          <w:rFonts w:ascii="Arial" w:hAnsi="Arial" w:cs="Arial"/>
          <w:sz w:val="24"/>
          <w:szCs w:val="24"/>
        </w:rPr>
        <w:t xml:space="preserve"> mediated hypersensitivities. </w:t>
      </w:r>
      <w:r w:rsidRPr="005F6D36">
        <w:rPr>
          <w:rFonts w:ascii="Arial" w:hAnsi="Arial" w:cs="Arial"/>
          <w:sz w:val="24"/>
          <w:szCs w:val="24"/>
        </w:rPr>
        <w:t xml:space="preserve">In this systematic review of the published literature, we set out </w:t>
      </w:r>
      <w:r>
        <w:rPr>
          <w:rFonts w:ascii="Arial" w:hAnsi="Arial" w:cs="Arial"/>
          <w:sz w:val="24"/>
          <w:szCs w:val="24"/>
        </w:rPr>
        <w:t xml:space="preserve">to </w:t>
      </w:r>
      <w:r w:rsidRPr="005F6D36">
        <w:rPr>
          <w:rFonts w:ascii="Arial" w:hAnsi="Arial" w:cs="Arial"/>
          <w:sz w:val="24"/>
          <w:szCs w:val="24"/>
        </w:rPr>
        <w:t xml:space="preserve">examine the evidence for diagnostic accuracy of skin testing modalities </w:t>
      </w:r>
      <w:r>
        <w:rPr>
          <w:rFonts w:ascii="Arial" w:hAnsi="Arial" w:cs="Arial"/>
          <w:sz w:val="24"/>
          <w:szCs w:val="24"/>
        </w:rPr>
        <w:t>in</w:t>
      </w:r>
      <w:r w:rsidRPr="005F6D36">
        <w:rPr>
          <w:rFonts w:ascii="Arial" w:hAnsi="Arial" w:cs="Arial"/>
          <w:sz w:val="24"/>
          <w:szCs w:val="24"/>
        </w:rPr>
        <w:t xml:space="preserve"> the investigation of</w:t>
      </w:r>
      <w:r>
        <w:rPr>
          <w:rFonts w:ascii="Arial" w:hAnsi="Arial" w:cs="Arial"/>
          <w:sz w:val="24"/>
          <w:szCs w:val="24"/>
        </w:rPr>
        <w:t xml:space="preserve"> DRESS</w:t>
      </w:r>
      <w:r w:rsidRPr="005F6D36">
        <w:rPr>
          <w:rFonts w:ascii="Arial" w:hAnsi="Arial" w:cs="Arial"/>
          <w:sz w:val="24"/>
          <w:szCs w:val="24"/>
        </w:rPr>
        <w:t xml:space="preserve">. As expected by </w:t>
      </w:r>
      <w:r>
        <w:rPr>
          <w:rFonts w:ascii="Arial" w:hAnsi="Arial" w:cs="Arial"/>
          <w:sz w:val="24"/>
          <w:szCs w:val="24"/>
        </w:rPr>
        <w:t xml:space="preserve">established </w:t>
      </w:r>
      <w:r w:rsidRPr="005F6D36">
        <w:rPr>
          <w:rFonts w:ascii="Arial" w:hAnsi="Arial" w:cs="Arial"/>
          <w:sz w:val="24"/>
          <w:szCs w:val="24"/>
        </w:rPr>
        <w:t>mechanistic understanding</w:t>
      </w:r>
      <w:r>
        <w:rPr>
          <w:rFonts w:ascii="Arial" w:hAnsi="Arial" w:cs="Arial"/>
          <w:sz w:val="24"/>
          <w:szCs w:val="24"/>
        </w:rPr>
        <w:t>,</w:t>
      </w:r>
      <w:r w:rsidRPr="005F6D36">
        <w:rPr>
          <w:rFonts w:ascii="Arial" w:hAnsi="Arial" w:cs="Arial"/>
          <w:sz w:val="24"/>
          <w:szCs w:val="24"/>
        </w:rPr>
        <w:t xml:space="preserve"> SPT </w:t>
      </w:r>
      <w:r>
        <w:rPr>
          <w:rFonts w:ascii="Arial" w:hAnsi="Arial" w:cs="Arial"/>
          <w:sz w:val="24"/>
          <w:szCs w:val="24"/>
        </w:rPr>
        <w:t xml:space="preserve">was used </w:t>
      </w:r>
      <w:proofErr w:type="gramStart"/>
      <w:r w:rsidRPr="005F6D36">
        <w:rPr>
          <w:rFonts w:ascii="Arial" w:hAnsi="Arial" w:cs="Arial"/>
          <w:sz w:val="24"/>
          <w:szCs w:val="24"/>
        </w:rPr>
        <w:t>less</w:t>
      </w:r>
      <w:r>
        <w:rPr>
          <w:rFonts w:ascii="Arial" w:hAnsi="Arial" w:cs="Arial"/>
          <w:sz w:val="24"/>
          <w:szCs w:val="24"/>
        </w:rPr>
        <w:t>,</w:t>
      </w:r>
      <w:r w:rsidRPr="005F6D36">
        <w:rPr>
          <w:rFonts w:ascii="Arial" w:hAnsi="Arial" w:cs="Arial"/>
          <w:sz w:val="24"/>
          <w:szCs w:val="24"/>
        </w:rPr>
        <w:t xml:space="preserve">  </w:t>
      </w:r>
      <w:r>
        <w:rPr>
          <w:rFonts w:ascii="Arial" w:hAnsi="Arial" w:cs="Arial"/>
          <w:sz w:val="24"/>
          <w:szCs w:val="24"/>
        </w:rPr>
        <w:t>which</w:t>
      </w:r>
      <w:proofErr w:type="gramEnd"/>
      <w:r>
        <w:rPr>
          <w:rFonts w:ascii="Arial" w:hAnsi="Arial" w:cs="Arial"/>
          <w:sz w:val="24"/>
          <w:szCs w:val="24"/>
        </w:rPr>
        <w:t xml:space="preserve"> is to be expected based on knowledge of pathophysiology of DRESS. However, the sample size was too small to definitely conclude that it is less useful as compared to IDT or PT. </w:t>
      </w:r>
      <w:r w:rsidRPr="005F6D36">
        <w:rPr>
          <w:rFonts w:ascii="Arial" w:hAnsi="Arial" w:cs="Arial"/>
          <w:sz w:val="24"/>
          <w:szCs w:val="24"/>
        </w:rPr>
        <w:t xml:space="preserve">It was notable that, in addition to other limitations, test methodology </w:t>
      </w:r>
      <w:r>
        <w:rPr>
          <w:rFonts w:ascii="Arial" w:hAnsi="Arial" w:cs="Arial"/>
          <w:sz w:val="24"/>
          <w:szCs w:val="24"/>
        </w:rPr>
        <w:t xml:space="preserve">was </w:t>
      </w:r>
      <w:r w:rsidRPr="005F6D36">
        <w:rPr>
          <w:rFonts w:ascii="Arial" w:hAnsi="Arial" w:cs="Arial"/>
          <w:sz w:val="24"/>
          <w:szCs w:val="24"/>
        </w:rPr>
        <w:t>variable across the published reports</w:t>
      </w:r>
      <w:r>
        <w:rPr>
          <w:rFonts w:ascii="Arial" w:hAnsi="Arial" w:cs="Arial"/>
          <w:sz w:val="24"/>
          <w:szCs w:val="24"/>
        </w:rPr>
        <w:t>,</w:t>
      </w:r>
      <w:r w:rsidRPr="005F6D36">
        <w:rPr>
          <w:rFonts w:ascii="Arial" w:hAnsi="Arial" w:cs="Arial"/>
          <w:sz w:val="24"/>
          <w:szCs w:val="24"/>
        </w:rPr>
        <w:t xml:space="preserve"> </w:t>
      </w:r>
      <w:r>
        <w:rPr>
          <w:rFonts w:ascii="Arial" w:hAnsi="Arial" w:cs="Arial"/>
          <w:sz w:val="24"/>
          <w:szCs w:val="24"/>
        </w:rPr>
        <w:t>including time to testing, concentrations used, testing to panels inclusive of drugs not clinically suspected, and duration of reviews incr</w:t>
      </w:r>
      <w:r w:rsidRPr="005F6D36">
        <w:rPr>
          <w:rFonts w:ascii="Arial" w:hAnsi="Arial" w:cs="Arial"/>
          <w:sz w:val="24"/>
          <w:szCs w:val="24"/>
        </w:rPr>
        <w:t>ease</w:t>
      </w:r>
      <w:r>
        <w:rPr>
          <w:rFonts w:ascii="Arial" w:hAnsi="Arial" w:cs="Arial"/>
          <w:sz w:val="24"/>
          <w:szCs w:val="24"/>
        </w:rPr>
        <w:t>d</w:t>
      </w:r>
      <w:r w:rsidRPr="005F6D36">
        <w:rPr>
          <w:rFonts w:ascii="Arial" w:hAnsi="Arial" w:cs="Arial"/>
          <w:sz w:val="24"/>
          <w:szCs w:val="24"/>
        </w:rPr>
        <w:t xml:space="preserve"> the risk of bias. </w:t>
      </w:r>
      <w:r>
        <w:rPr>
          <w:rFonts w:ascii="Arial" w:hAnsi="Arial" w:cs="Arial"/>
          <w:sz w:val="24"/>
          <w:szCs w:val="24"/>
        </w:rPr>
        <w:t>In addition, w</w:t>
      </w:r>
      <w:r w:rsidRPr="005F6D36">
        <w:rPr>
          <w:rFonts w:ascii="Arial" w:hAnsi="Arial" w:cs="Arial"/>
          <w:sz w:val="24"/>
          <w:szCs w:val="24"/>
        </w:rPr>
        <w:t xml:space="preserve">e identified that overall, the risk of selection bias in the reported </w:t>
      </w:r>
      <w:r>
        <w:rPr>
          <w:rFonts w:ascii="Arial" w:hAnsi="Arial" w:cs="Arial"/>
          <w:sz w:val="24"/>
          <w:szCs w:val="24"/>
        </w:rPr>
        <w:t>cohorts</w:t>
      </w:r>
      <w:r w:rsidRPr="005F6D36">
        <w:rPr>
          <w:rFonts w:ascii="Arial" w:hAnsi="Arial" w:cs="Arial"/>
          <w:sz w:val="24"/>
          <w:szCs w:val="24"/>
        </w:rPr>
        <w:t xml:space="preserve"> was very high. Principally this arose because few studies were prospective</w:t>
      </w:r>
      <w:r>
        <w:rPr>
          <w:rFonts w:ascii="Arial" w:hAnsi="Arial" w:cs="Arial"/>
          <w:sz w:val="24"/>
          <w:szCs w:val="24"/>
        </w:rPr>
        <w:t>. Therefore,</w:t>
      </w:r>
      <w:r w:rsidRPr="005F6D36">
        <w:rPr>
          <w:rFonts w:ascii="Arial" w:hAnsi="Arial" w:cs="Arial"/>
          <w:sz w:val="24"/>
          <w:szCs w:val="24"/>
        </w:rPr>
        <w:t xml:space="preserve"> although we report that proportions of positive responses </w:t>
      </w:r>
      <w:r>
        <w:rPr>
          <w:rFonts w:ascii="Arial" w:hAnsi="Arial" w:cs="Arial"/>
          <w:sz w:val="24"/>
          <w:szCs w:val="24"/>
        </w:rPr>
        <w:t xml:space="preserve">in </w:t>
      </w:r>
      <w:r w:rsidRPr="005F6D36">
        <w:rPr>
          <w:rFonts w:ascii="Arial" w:hAnsi="Arial" w:cs="Arial"/>
          <w:sz w:val="24"/>
          <w:szCs w:val="24"/>
        </w:rPr>
        <w:t>patch test and intradermal test</w:t>
      </w:r>
      <w:r>
        <w:rPr>
          <w:rFonts w:ascii="Arial" w:hAnsi="Arial" w:cs="Arial"/>
          <w:sz w:val="24"/>
          <w:szCs w:val="24"/>
        </w:rPr>
        <w:t>s</w:t>
      </w:r>
      <w:r w:rsidRPr="005F6D36">
        <w:rPr>
          <w:rFonts w:ascii="Arial" w:hAnsi="Arial" w:cs="Arial"/>
          <w:sz w:val="24"/>
          <w:szCs w:val="24"/>
        </w:rPr>
        <w:t xml:space="preserve"> were similar (56.7% vs 50%), the clinical interpretation needs significant caution because of potential bias </w:t>
      </w:r>
      <w:r>
        <w:rPr>
          <w:rFonts w:ascii="Arial" w:hAnsi="Arial" w:cs="Arial"/>
          <w:sz w:val="24"/>
          <w:szCs w:val="24"/>
        </w:rPr>
        <w:t xml:space="preserve">resulting from differences in the tested populations, including smaller number of patients IDT tested and to medications available in injectable formulations. Only a select number of patients from the same centres had IDT performed and in such cases, IDT may have been performed subsequent to PT, whereby duplicate testing modalities may not have been performed as positive results had already been excluded on PT. This would therefore reduce the apparent sensitivity of IDT. Such differences were </w:t>
      </w:r>
      <w:r w:rsidRPr="005F6D36">
        <w:rPr>
          <w:rFonts w:ascii="Arial" w:hAnsi="Arial" w:cs="Arial"/>
          <w:sz w:val="24"/>
          <w:szCs w:val="24"/>
        </w:rPr>
        <w:t xml:space="preserve">highlighted </w:t>
      </w:r>
      <w:r>
        <w:rPr>
          <w:rFonts w:ascii="Arial" w:hAnsi="Arial" w:cs="Arial"/>
          <w:sz w:val="24"/>
          <w:szCs w:val="24"/>
        </w:rPr>
        <w:t xml:space="preserve">most strongly </w:t>
      </w:r>
      <w:r w:rsidRPr="005F6D36">
        <w:rPr>
          <w:rFonts w:ascii="Arial" w:hAnsi="Arial" w:cs="Arial"/>
          <w:sz w:val="24"/>
          <w:szCs w:val="24"/>
        </w:rPr>
        <w:t xml:space="preserve">by the wide distribution of </w:t>
      </w:r>
      <w:r>
        <w:rPr>
          <w:rFonts w:ascii="Arial" w:hAnsi="Arial" w:cs="Arial"/>
          <w:sz w:val="24"/>
          <w:szCs w:val="24"/>
        </w:rPr>
        <w:t xml:space="preserve">percentage </w:t>
      </w:r>
      <w:r w:rsidRPr="005F6D36">
        <w:rPr>
          <w:rFonts w:ascii="Arial" w:hAnsi="Arial" w:cs="Arial"/>
          <w:sz w:val="24"/>
          <w:szCs w:val="24"/>
        </w:rPr>
        <w:t xml:space="preserve">positive assays </w:t>
      </w:r>
      <w:r>
        <w:rPr>
          <w:rFonts w:ascii="Arial" w:hAnsi="Arial" w:cs="Arial"/>
          <w:sz w:val="24"/>
          <w:szCs w:val="24"/>
        </w:rPr>
        <w:t xml:space="preserve">in different </w:t>
      </w:r>
      <w:r w:rsidRPr="005F6D36">
        <w:rPr>
          <w:rFonts w:ascii="Arial" w:hAnsi="Arial" w:cs="Arial"/>
          <w:sz w:val="24"/>
          <w:szCs w:val="24"/>
        </w:rPr>
        <w:t>manuscript</w:t>
      </w:r>
      <w:r>
        <w:rPr>
          <w:rFonts w:ascii="Arial" w:hAnsi="Arial" w:cs="Arial"/>
          <w:sz w:val="24"/>
          <w:szCs w:val="24"/>
        </w:rPr>
        <w:t>s</w:t>
      </w:r>
      <w:r w:rsidRPr="005F6D36">
        <w:rPr>
          <w:rFonts w:ascii="Arial" w:hAnsi="Arial" w:cs="Arial"/>
          <w:sz w:val="24"/>
          <w:szCs w:val="24"/>
        </w:rPr>
        <w:t>, where the range varied from 0-100%</w:t>
      </w:r>
      <w:r>
        <w:rPr>
          <w:rFonts w:ascii="Arial" w:hAnsi="Arial" w:cs="Arial"/>
          <w:sz w:val="24"/>
          <w:szCs w:val="24"/>
        </w:rPr>
        <w:t xml:space="preserve"> for PT and 28.6</w:t>
      </w:r>
      <w:r w:rsidRPr="004F576A">
        <w:rPr>
          <w:rFonts w:ascii="Arial" w:hAnsi="Arial" w:cs="Arial"/>
          <w:sz w:val="24"/>
          <w:szCs w:val="24"/>
        </w:rPr>
        <w:t>-100%</w:t>
      </w:r>
      <w:r>
        <w:rPr>
          <w:rFonts w:ascii="Arial" w:hAnsi="Arial" w:cs="Arial"/>
          <w:sz w:val="24"/>
          <w:szCs w:val="24"/>
        </w:rPr>
        <w:t xml:space="preserve"> for IDT</w:t>
      </w:r>
      <w:r w:rsidRPr="005F6D36">
        <w:rPr>
          <w:rFonts w:ascii="Arial" w:hAnsi="Arial" w:cs="Arial"/>
          <w:sz w:val="24"/>
          <w:szCs w:val="24"/>
        </w:rPr>
        <w:t xml:space="preserve">. </w:t>
      </w:r>
    </w:p>
    <w:p w14:paraId="3EA1B514" w14:textId="547769EA" w:rsidR="003D56DD" w:rsidRDefault="003D56DD">
      <w:pPr>
        <w:shd w:val="clear" w:color="auto" w:fill="FFFFFF"/>
        <w:spacing w:line="480" w:lineRule="auto"/>
        <w:jc w:val="both"/>
        <w:rPr>
          <w:rFonts w:ascii="Arial" w:hAnsi="Arial" w:cs="Arial"/>
          <w:sz w:val="24"/>
          <w:szCs w:val="24"/>
        </w:rPr>
      </w:pPr>
      <w:r w:rsidRPr="00116796">
        <w:rPr>
          <w:rFonts w:ascii="Arial" w:hAnsi="Arial" w:cs="Arial"/>
          <w:sz w:val="24"/>
          <w:szCs w:val="24"/>
        </w:rPr>
        <w:lastRenderedPageBreak/>
        <w:t xml:space="preserve">The frequent poor clinical characterisation of the index reaction is important as it is accepted that the </w:t>
      </w:r>
      <w:proofErr w:type="spellStart"/>
      <w:r w:rsidRPr="00116796">
        <w:rPr>
          <w:rFonts w:ascii="Arial" w:hAnsi="Arial" w:cs="Arial"/>
          <w:sz w:val="24"/>
          <w:szCs w:val="24"/>
        </w:rPr>
        <w:t>pathomechanisms</w:t>
      </w:r>
      <w:proofErr w:type="spellEnd"/>
      <w:r w:rsidRPr="00116796">
        <w:rPr>
          <w:rFonts w:ascii="Arial" w:hAnsi="Arial" w:cs="Arial"/>
          <w:sz w:val="24"/>
          <w:szCs w:val="24"/>
        </w:rPr>
        <w:t xml:space="preserve"> involved in SCAR phenotypes vary</w:t>
      </w:r>
      <w:r>
        <w:rPr>
          <w:rFonts w:ascii="Arial" w:hAnsi="Arial" w:cs="Arial"/>
          <w:sz w:val="24"/>
          <w:szCs w:val="24"/>
        </w:rPr>
        <w:t xml:space="preserve"> </w:t>
      </w:r>
      <w:r>
        <w:rPr>
          <w:rFonts w:ascii="Arial" w:hAnsi="Arial" w:cs="Arial"/>
          <w:noProof/>
          <w:sz w:val="24"/>
          <w:szCs w:val="24"/>
        </w:rPr>
        <w:t>(39)</w:t>
      </w:r>
      <w:r w:rsidRPr="00116796">
        <w:rPr>
          <w:rFonts w:ascii="Arial" w:hAnsi="Arial" w:cs="Arial"/>
          <w:sz w:val="24"/>
          <w:szCs w:val="24"/>
        </w:rPr>
        <w:t xml:space="preserve">, suggesting that investigational approaches will show differing pre-test probabilities. Therefore, detailed clinical information is critical for each patient:  classification of index </w:t>
      </w:r>
      <w:proofErr w:type="gramStart"/>
      <w:r w:rsidRPr="00116796">
        <w:rPr>
          <w:rFonts w:ascii="Arial" w:hAnsi="Arial" w:cs="Arial"/>
          <w:sz w:val="24"/>
          <w:szCs w:val="24"/>
        </w:rPr>
        <w:t>reaction</w:t>
      </w:r>
      <w:r>
        <w:rPr>
          <w:rFonts w:ascii="Arial" w:hAnsi="Arial" w:cs="Arial"/>
          <w:sz w:val="24"/>
          <w:szCs w:val="24"/>
          <w:vertAlign w:val="superscript"/>
        </w:rPr>
        <w:t xml:space="preserve"> </w:t>
      </w:r>
      <w:r w:rsidRPr="00116796">
        <w:rPr>
          <w:rFonts w:ascii="Arial" w:hAnsi="Arial" w:cs="Arial"/>
          <w:sz w:val="24"/>
          <w:szCs w:val="24"/>
        </w:rPr>
        <w:t>,</w:t>
      </w:r>
      <w:proofErr w:type="gramEnd"/>
      <w:r w:rsidRPr="00116796">
        <w:rPr>
          <w:rFonts w:ascii="Arial" w:hAnsi="Arial" w:cs="Arial"/>
          <w:sz w:val="24"/>
          <w:szCs w:val="24"/>
        </w:rPr>
        <w:t xml:space="preserve"> time between index reaction and test date, comorbidities (especially immune dysfunction or cancer), concurrent medications (especially immunosuppressant / immunomodulators) and prior allergic history.</w:t>
      </w:r>
      <w:r>
        <w:rPr>
          <w:rFonts w:ascii="Arial" w:hAnsi="Arial" w:cs="Arial"/>
          <w:sz w:val="24"/>
          <w:szCs w:val="24"/>
        </w:rPr>
        <w:t xml:space="preserve"> I</w:t>
      </w:r>
      <w:r w:rsidRPr="005F6D36">
        <w:rPr>
          <w:rFonts w:ascii="Arial" w:hAnsi="Arial" w:cs="Arial"/>
          <w:sz w:val="24"/>
          <w:szCs w:val="24"/>
        </w:rPr>
        <w:t xml:space="preserve">n comparing across classes, it is important to be mindful of </w:t>
      </w:r>
      <w:r>
        <w:rPr>
          <w:rFonts w:ascii="Arial" w:hAnsi="Arial" w:cs="Arial"/>
          <w:sz w:val="24"/>
          <w:szCs w:val="24"/>
        </w:rPr>
        <w:t xml:space="preserve">inevitable </w:t>
      </w:r>
      <w:r w:rsidRPr="005F6D36">
        <w:rPr>
          <w:rFonts w:ascii="Arial" w:hAnsi="Arial" w:cs="Arial"/>
          <w:sz w:val="24"/>
          <w:szCs w:val="24"/>
        </w:rPr>
        <w:t>selection bias</w:t>
      </w:r>
      <w:r>
        <w:rPr>
          <w:rFonts w:ascii="Arial" w:hAnsi="Arial" w:cs="Arial"/>
          <w:sz w:val="24"/>
          <w:szCs w:val="24"/>
        </w:rPr>
        <w:t>. F</w:t>
      </w:r>
      <w:r w:rsidRPr="005F6D36">
        <w:rPr>
          <w:rFonts w:ascii="Arial" w:hAnsi="Arial" w:cs="Arial"/>
          <w:sz w:val="24"/>
          <w:szCs w:val="24"/>
        </w:rPr>
        <w:t>or example</w:t>
      </w:r>
      <w:r>
        <w:rPr>
          <w:rFonts w:ascii="Arial" w:hAnsi="Arial" w:cs="Arial"/>
          <w:sz w:val="24"/>
          <w:szCs w:val="24"/>
        </w:rPr>
        <w:t>,</w:t>
      </w:r>
      <w:r w:rsidRPr="005F6D36">
        <w:rPr>
          <w:rFonts w:ascii="Arial" w:hAnsi="Arial" w:cs="Arial"/>
          <w:sz w:val="24"/>
          <w:szCs w:val="24"/>
        </w:rPr>
        <w:t xml:space="preserve"> of the 56 cases of DRESS who had PT to anti-epileptics, 37 (66%) were carbamazepine tests, where</w:t>
      </w:r>
      <w:r>
        <w:rPr>
          <w:rFonts w:ascii="Arial" w:hAnsi="Arial" w:cs="Arial"/>
          <w:sz w:val="24"/>
          <w:szCs w:val="24"/>
        </w:rPr>
        <w:t>as all other anti-epileptics made up only 5-11% of the data, which demonstrates the risk of bias by analysis of drug classes caused by skewed frequencies of testing.</w:t>
      </w:r>
      <w:r w:rsidRPr="005F6D36">
        <w:rPr>
          <w:rFonts w:ascii="Arial" w:hAnsi="Arial" w:cs="Arial"/>
          <w:sz w:val="24"/>
          <w:szCs w:val="24"/>
        </w:rPr>
        <w:t xml:space="preserve"> Furthermore,</w:t>
      </w:r>
      <w:r w:rsidRPr="00901368">
        <w:rPr>
          <w:rFonts w:ascii="Arial" w:hAnsi="Arial" w:cs="Arial"/>
          <w:sz w:val="24"/>
          <w:szCs w:val="24"/>
        </w:rPr>
        <w:t xml:space="preserve"> </w:t>
      </w:r>
      <w:r w:rsidRPr="005F6D36">
        <w:rPr>
          <w:rFonts w:ascii="Arial" w:hAnsi="Arial" w:cs="Arial"/>
          <w:sz w:val="24"/>
          <w:szCs w:val="24"/>
        </w:rPr>
        <w:t xml:space="preserve">even though </w:t>
      </w:r>
      <w:r>
        <w:rPr>
          <w:rFonts w:ascii="Arial" w:hAnsi="Arial" w:cs="Arial"/>
          <w:sz w:val="24"/>
          <w:szCs w:val="24"/>
        </w:rPr>
        <w:t>anti-epileptic</w:t>
      </w:r>
      <w:r w:rsidRPr="005F6D36">
        <w:rPr>
          <w:rFonts w:ascii="Arial" w:hAnsi="Arial" w:cs="Arial"/>
          <w:sz w:val="24"/>
          <w:szCs w:val="24"/>
        </w:rPr>
        <w:t xml:space="preserve"> </w:t>
      </w:r>
      <w:r>
        <w:rPr>
          <w:rFonts w:ascii="Arial" w:hAnsi="Arial" w:cs="Arial"/>
          <w:sz w:val="24"/>
          <w:szCs w:val="24"/>
        </w:rPr>
        <w:t>hypersensitivity</w:t>
      </w:r>
      <w:r w:rsidRPr="005F6D36">
        <w:rPr>
          <w:rFonts w:ascii="Arial" w:hAnsi="Arial" w:cs="Arial"/>
          <w:sz w:val="24"/>
          <w:szCs w:val="24"/>
        </w:rPr>
        <w:t xml:space="preserve"> account</w:t>
      </w:r>
      <w:r>
        <w:rPr>
          <w:rFonts w:ascii="Arial" w:hAnsi="Arial" w:cs="Arial"/>
          <w:sz w:val="24"/>
          <w:szCs w:val="24"/>
        </w:rPr>
        <w:t>s</w:t>
      </w:r>
      <w:r w:rsidRPr="005F6D36">
        <w:rPr>
          <w:rFonts w:ascii="Arial" w:hAnsi="Arial" w:cs="Arial"/>
          <w:sz w:val="24"/>
          <w:szCs w:val="24"/>
        </w:rPr>
        <w:t xml:space="preserve"> for a significant proportion of DRESS cases, the</w:t>
      </w:r>
      <w:r>
        <w:rPr>
          <w:rFonts w:ascii="Arial" w:hAnsi="Arial" w:cs="Arial"/>
          <w:sz w:val="24"/>
          <w:szCs w:val="24"/>
        </w:rPr>
        <w:t>re were no</w:t>
      </w:r>
      <w:r w:rsidRPr="005F6D36">
        <w:rPr>
          <w:rFonts w:ascii="Arial" w:hAnsi="Arial" w:cs="Arial"/>
          <w:sz w:val="24"/>
          <w:szCs w:val="24"/>
        </w:rPr>
        <w:t xml:space="preserve"> </w:t>
      </w:r>
      <w:r>
        <w:rPr>
          <w:rFonts w:ascii="Arial" w:hAnsi="Arial" w:cs="Arial"/>
          <w:sz w:val="24"/>
          <w:szCs w:val="24"/>
        </w:rPr>
        <w:t>IDT</w:t>
      </w:r>
      <w:r w:rsidRPr="005F6D36">
        <w:rPr>
          <w:rFonts w:ascii="Arial" w:hAnsi="Arial" w:cs="Arial"/>
          <w:sz w:val="24"/>
          <w:szCs w:val="24"/>
        </w:rPr>
        <w:t xml:space="preserve"> to compare with </w:t>
      </w:r>
      <w:r>
        <w:rPr>
          <w:rFonts w:ascii="Arial" w:hAnsi="Arial" w:cs="Arial"/>
          <w:sz w:val="24"/>
          <w:szCs w:val="24"/>
        </w:rPr>
        <w:t>PT. This</w:t>
      </w:r>
      <w:r w:rsidRPr="005F6D36">
        <w:rPr>
          <w:rFonts w:ascii="Arial" w:hAnsi="Arial" w:cs="Arial"/>
          <w:sz w:val="24"/>
          <w:szCs w:val="24"/>
        </w:rPr>
        <w:t xml:space="preserve"> likely reflects the limited availability of intravenous formulations</w:t>
      </w:r>
      <w:r>
        <w:rPr>
          <w:rFonts w:ascii="Arial" w:hAnsi="Arial" w:cs="Arial"/>
          <w:sz w:val="24"/>
          <w:szCs w:val="24"/>
        </w:rPr>
        <w:t xml:space="preserve">. </w:t>
      </w:r>
      <w:r w:rsidRPr="005F6D36">
        <w:rPr>
          <w:rFonts w:ascii="Arial" w:hAnsi="Arial" w:cs="Arial"/>
          <w:sz w:val="24"/>
          <w:szCs w:val="24"/>
        </w:rPr>
        <w:t>Potential cross-reactivity between different tested substances is an important issue clinically, and is essential to account for in a metanalysis approach to the data</w:t>
      </w:r>
      <w:r>
        <w:rPr>
          <w:rFonts w:ascii="Arial" w:hAnsi="Arial" w:cs="Arial"/>
          <w:sz w:val="24"/>
          <w:szCs w:val="24"/>
        </w:rPr>
        <w:t xml:space="preserve"> to prevent overestimation of positive detection caused by multiple positive tests from cross-reacting drugs</w:t>
      </w:r>
      <w:r w:rsidRPr="005F6D36">
        <w:rPr>
          <w:rFonts w:ascii="Arial" w:hAnsi="Arial" w:cs="Arial"/>
          <w:sz w:val="24"/>
          <w:szCs w:val="24"/>
        </w:rPr>
        <w:t xml:space="preserve">, but while </w:t>
      </w:r>
      <w:r>
        <w:rPr>
          <w:rFonts w:ascii="Arial" w:hAnsi="Arial" w:cs="Arial"/>
          <w:sz w:val="24"/>
          <w:szCs w:val="24"/>
        </w:rPr>
        <w:t>cross-reactivity</w:t>
      </w:r>
      <w:r w:rsidRPr="005F6D36">
        <w:rPr>
          <w:rFonts w:ascii="Arial" w:hAnsi="Arial" w:cs="Arial"/>
          <w:sz w:val="24"/>
          <w:szCs w:val="24"/>
        </w:rPr>
        <w:t xml:space="preserve"> was recorded in 8 publications</w:t>
      </w:r>
      <w:r>
        <w:rPr>
          <w:rFonts w:ascii="Arial" w:hAnsi="Arial" w:cs="Arial"/>
          <w:sz w:val="24"/>
          <w:szCs w:val="24"/>
        </w:rPr>
        <w:t xml:space="preserve"> </w:t>
      </w:r>
      <w:r w:rsidRPr="005F6D36">
        <w:rPr>
          <w:rFonts w:ascii="Arial" w:hAnsi="Arial" w:cs="Arial"/>
          <w:sz w:val="24"/>
          <w:szCs w:val="24"/>
        </w:rPr>
        <w:t xml:space="preserve">and showed similar utility for PT and IDT (37% vs. 40%), reporting of assessments </w:t>
      </w:r>
      <w:r>
        <w:rPr>
          <w:rFonts w:ascii="Arial" w:hAnsi="Arial" w:cs="Arial"/>
          <w:sz w:val="24"/>
          <w:szCs w:val="24"/>
        </w:rPr>
        <w:t xml:space="preserve">at a patient level </w:t>
      </w:r>
      <w:r w:rsidRPr="005F6D36">
        <w:rPr>
          <w:rFonts w:ascii="Arial" w:hAnsi="Arial" w:cs="Arial"/>
          <w:sz w:val="24"/>
          <w:szCs w:val="24"/>
        </w:rPr>
        <w:t xml:space="preserve">is not </w:t>
      </w:r>
      <w:r>
        <w:rPr>
          <w:rFonts w:ascii="Arial" w:hAnsi="Arial" w:cs="Arial"/>
          <w:sz w:val="24"/>
          <w:szCs w:val="24"/>
        </w:rPr>
        <w:t>routine</w:t>
      </w:r>
      <w:r w:rsidRPr="005F6D36">
        <w:rPr>
          <w:rFonts w:ascii="Arial" w:hAnsi="Arial" w:cs="Arial"/>
          <w:sz w:val="24"/>
          <w:szCs w:val="24"/>
        </w:rPr>
        <w:t xml:space="preserve"> and </w:t>
      </w:r>
      <w:r>
        <w:rPr>
          <w:rFonts w:ascii="Arial" w:hAnsi="Arial" w:cs="Arial"/>
          <w:sz w:val="24"/>
          <w:szCs w:val="24"/>
        </w:rPr>
        <w:t>hence there is a risk of bias from multiple testing to structurally related compounds in the same individual. T</w:t>
      </w:r>
      <w:r w:rsidRPr="005F6D36">
        <w:rPr>
          <w:rFonts w:ascii="Arial" w:hAnsi="Arial" w:cs="Arial"/>
          <w:sz w:val="24"/>
          <w:szCs w:val="24"/>
        </w:rPr>
        <w:t>herefore</w:t>
      </w:r>
      <w:r>
        <w:rPr>
          <w:rFonts w:ascii="Arial" w:hAnsi="Arial" w:cs="Arial"/>
          <w:sz w:val="24"/>
          <w:szCs w:val="24"/>
        </w:rPr>
        <w:t>,</w:t>
      </w:r>
      <w:r w:rsidRPr="005F6D36">
        <w:rPr>
          <w:rFonts w:ascii="Arial" w:hAnsi="Arial" w:cs="Arial"/>
          <w:sz w:val="24"/>
          <w:szCs w:val="24"/>
        </w:rPr>
        <w:t xml:space="preserve"> as earlier, the</w:t>
      </w:r>
      <w:r>
        <w:rPr>
          <w:rFonts w:ascii="Arial" w:hAnsi="Arial" w:cs="Arial"/>
          <w:sz w:val="24"/>
          <w:szCs w:val="24"/>
        </w:rPr>
        <w:t xml:space="preserve"> cross-reactive investigation</w:t>
      </w:r>
      <w:r w:rsidRPr="005F6D36">
        <w:rPr>
          <w:rFonts w:ascii="Arial" w:hAnsi="Arial" w:cs="Arial"/>
          <w:sz w:val="24"/>
          <w:szCs w:val="24"/>
        </w:rPr>
        <w:t xml:space="preserve"> data should be interpreted with caution.</w:t>
      </w:r>
      <w:r>
        <w:rPr>
          <w:rFonts w:ascii="Arial" w:hAnsi="Arial" w:cs="Arial"/>
          <w:sz w:val="24"/>
          <w:szCs w:val="24"/>
        </w:rPr>
        <w:t xml:space="preserve"> </w:t>
      </w:r>
    </w:p>
    <w:p w14:paraId="5CACA20C" w14:textId="30423B4A" w:rsidR="003D56DD" w:rsidRDefault="003D56DD" w:rsidP="000B0F29">
      <w:pPr>
        <w:shd w:val="clear" w:color="auto" w:fill="FFFFFF"/>
        <w:spacing w:line="480" w:lineRule="auto"/>
        <w:jc w:val="both"/>
        <w:rPr>
          <w:rFonts w:ascii="Arial" w:hAnsi="Arial" w:cs="Arial"/>
          <w:sz w:val="24"/>
          <w:szCs w:val="24"/>
        </w:rPr>
      </w:pPr>
      <w:r>
        <w:rPr>
          <w:rFonts w:ascii="Arial" w:hAnsi="Arial" w:cs="Arial"/>
          <w:sz w:val="24"/>
          <w:szCs w:val="24"/>
        </w:rPr>
        <w:t xml:space="preserve">These </w:t>
      </w:r>
      <w:r w:rsidRPr="00175162">
        <w:rPr>
          <w:rFonts w:ascii="Arial" w:hAnsi="Arial" w:cs="Arial"/>
          <w:sz w:val="24"/>
          <w:szCs w:val="24"/>
        </w:rPr>
        <w:t xml:space="preserve">results need to be interpreted with caution because of the inclusion of drugs that are unlikely to show positive results with skin tests. </w:t>
      </w:r>
      <w:r>
        <w:rPr>
          <w:rFonts w:ascii="Arial" w:hAnsi="Arial" w:cs="Arial"/>
          <w:sz w:val="24"/>
          <w:szCs w:val="24"/>
        </w:rPr>
        <w:t xml:space="preserve">Patch testing cohorts of known allergic individuals demonstrates that some drugs, for example carbamazepine, show </w:t>
      </w:r>
      <w:r>
        <w:rPr>
          <w:rFonts w:ascii="Arial" w:hAnsi="Arial" w:cs="Arial"/>
          <w:sz w:val="24"/>
          <w:szCs w:val="24"/>
        </w:rPr>
        <w:lastRenderedPageBreak/>
        <w:t>a strong correlation between patch testing results and clinically determined causality</w:t>
      </w:r>
      <w:r w:rsidRPr="00C43875">
        <w:rPr>
          <w:rFonts w:ascii="Arial" w:hAnsi="Arial" w:cs="Arial"/>
          <w:noProof/>
          <w:sz w:val="24"/>
          <w:szCs w:val="24"/>
          <w:vertAlign w:val="superscript"/>
        </w:rPr>
        <w:t>30, 40</w:t>
      </w:r>
      <w:r w:rsidRPr="004F576A">
        <w:rPr>
          <w:rFonts w:ascii="Arial" w:hAnsi="Arial" w:cs="Arial"/>
          <w:sz w:val="24"/>
          <w:szCs w:val="24"/>
        </w:rPr>
        <w:t xml:space="preserve">, </w:t>
      </w:r>
      <w:r>
        <w:rPr>
          <w:rFonts w:ascii="Arial" w:hAnsi="Arial" w:cs="Arial"/>
          <w:sz w:val="24"/>
          <w:szCs w:val="24"/>
        </w:rPr>
        <w:t>whereas others such as salazosulfapyridine</w:t>
      </w:r>
      <w:r w:rsidRPr="00C43875">
        <w:rPr>
          <w:rFonts w:ascii="Arial" w:hAnsi="Arial" w:cs="Arial"/>
          <w:noProof/>
          <w:sz w:val="24"/>
          <w:szCs w:val="24"/>
          <w:vertAlign w:val="superscript"/>
        </w:rPr>
        <w:t>41</w:t>
      </w:r>
      <w:r w:rsidRPr="00D1656E">
        <w:rPr>
          <w:rFonts w:ascii="Arial" w:hAnsi="Arial" w:cs="Arial"/>
          <w:sz w:val="24"/>
          <w:szCs w:val="24"/>
        </w:rPr>
        <w:t>,</w:t>
      </w:r>
      <w:r>
        <w:rPr>
          <w:rFonts w:ascii="Arial" w:hAnsi="Arial" w:cs="Arial"/>
          <w:sz w:val="24"/>
          <w:szCs w:val="24"/>
        </w:rPr>
        <w:t xml:space="preserve"> macrolides (except </w:t>
      </w:r>
      <w:proofErr w:type="spellStart"/>
      <w:r>
        <w:rPr>
          <w:rFonts w:ascii="Arial" w:hAnsi="Arial" w:cs="Arial"/>
          <w:sz w:val="24"/>
          <w:szCs w:val="24"/>
        </w:rPr>
        <w:t>spiramycin</w:t>
      </w:r>
      <w:proofErr w:type="spellEnd"/>
      <w:r>
        <w:rPr>
          <w:rFonts w:ascii="Arial" w:hAnsi="Arial" w:cs="Arial"/>
          <w:sz w:val="24"/>
          <w:szCs w:val="24"/>
        </w:rPr>
        <w:t>)</w:t>
      </w:r>
      <w:r w:rsidRPr="00C43875">
        <w:rPr>
          <w:rFonts w:ascii="Arial" w:hAnsi="Arial" w:cs="Arial"/>
          <w:noProof/>
          <w:sz w:val="24"/>
          <w:szCs w:val="24"/>
          <w:vertAlign w:val="superscript"/>
        </w:rPr>
        <w:t>4</w:t>
      </w:r>
      <w:r w:rsidR="00C43875">
        <w:rPr>
          <w:rFonts w:ascii="Arial" w:hAnsi="Arial" w:cs="Arial"/>
          <w:noProof/>
          <w:sz w:val="24"/>
          <w:szCs w:val="24"/>
          <w:vertAlign w:val="superscript"/>
        </w:rPr>
        <w:t>2</w:t>
      </w:r>
      <w:r>
        <w:rPr>
          <w:rFonts w:ascii="Arial" w:hAnsi="Arial" w:cs="Arial"/>
          <w:sz w:val="24"/>
          <w:szCs w:val="24"/>
        </w:rPr>
        <w:t>, salazopyrin</w:t>
      </w:r>
      <w:r w:rsidRPr="00C43875">
        <w:rPr>
          <w:rFonts w:ascii="Arial" w:hAnsi="Arial" w:cs="Arial"/>
          <w:noProof/>
          <w:sz w:val="24"/>
          <w:szCs w:val="24"/>
          <w:vertAlign w:val="superscript"/>
        </w:rPr>
        <w:t>16</w:t>
      </w:r>
      <w:r>
        <w:rPr>
          <w:rFonts w:ascii="Arial" w:hAnsi="Arial" w:cs="Arial"/>
          <w:sz w:val="24"/>
          <w:szCs w:val="24"/>
        </w:rPr>
        <w:t>, and allopurinol</w:t>
      </w:r>
      <w:r w:rsidRPr="00C43875">
        <w:rPr>
          <w:rFonts w:ascii="Arial" w:hAnsi="Arial" w:cs="Arial"/>
          <w:noProof/>
          <w:sz w:val="24"/>
          <w:szCs w:val="24"/>
          <w:vertAlign w:val="superscript"/>
        </w:rPr>
        <w:t>4, 18</w:t>
      </w:r>
      <w:r w:rsidRPr="00D1656E">
        <w:rPr>
          <w:rFonts w:ascii="Arial" w:hAnsi="Arial" w:cs="Arial"/>
          <w:sz w:val="24"/>
          <w:szCs w:val="24"/>
        </w:rPr>
        <w:t xml:space="preserve"> are </w:t>
      </w:r>
      <w:r>
        <w:rPr>
          <w:rFonts w:ascii="Arial" w:hAnsi="Arial" w:cs="Arial"/>
          <w:sz w:val="24"/>
          <w:szCs w:val="24"/>
        </w:rPr>
        <w:t>almost always</w:t>
      </w:r>
      <w:r w:rsidRPr="00D1656E">
        <w:rPr>
          <w:rFonts w:ascii="Arial" w:hAnsi="Arial" w:cs="Arial"/>
          <w:sz w:val="24"/>
          <w:szCs w:val="24"/>
        </w:rPr>
        <w:t xml:space="preserve"> negative</w:t>
      </w:r>
      <w:r>
        <w:rPr>
          <w:rFonts w:ascii="Arial" w:hAnsi="Arial" w:cs="Arial"/>
          <w:sz w:val="24"/>
          <w:szCs w:val="24"/>
        </w:rPr>
        <w:t xml:space="preserve"> even in ‘known </w:t>
      </w:r>
      <w:proofErr w:type="spellStart"/>
      <w:r>
        <w:rPr>
          <w:rFonts w:ascii="Arial" w:hAnsi="Arial" w:cs="Arial"/>
          <w:sz w:val="24"/>
          <w:szCs w:val="24"/>
        </w:rPr>
        <w:t>allergics</w:t>
      </w:r>
      <w:proofErr w:type="spellEnd"/>
      <w:r>
        <w:rPr>
          <w:rFonts w:ascii="Arial" w:hAnsi="Arial" w:cs="Arial"/>
          <w:sz w:val="24"/>
          <w:szCs w:val="24"/>
        </w:rPr>
        <w:t>’</w:t>
      </w:r>
      <w:r w:rsidRPr="00A441EA">
        <w:rPr>
          <w:rFonts w:ascii="Arial" w:hAnsi="Arial" w:cs="Arial"/>
          <w:sz w:val="24"/>
          <w:szCs w:val="24"/>
        </w:rPr>
        <w:t xml:space="preserve">. </w:t>
      </w:r>
      <w:r>
        <w:rPr>
          <w:rFonts w:ascii="Arial" w:hAnsi="Arial" w:cs="Arial"/>
          <w:sz w:val="24"/>
          <w:szCs w:val="24"/>
        </w:rPr>
        <w:t>In comparison, sensitivity between 57-100% has been reported with carbamazepine and 44-100% with amoxicillin, as two of the most frequently tested medications, as reported in a recent publication encompassing PT in different medication classes</w:t>
      </w:r>
      <w:r w:rsidRPr="00C43875">
        <w:rPr>
          <w:rFonts w:ascii="Arial" w:hAnsi="Arial" w:cs="Arial"/>
          <w:noProof/>
          <w:sz w:val="24"/>
          <w:szCs w:val="24"/>
          <w:vertAlign w:val="superscript"/>
        </w:rPr>
        <w:t>17</w:t>
      </w:r>
      <w:r>
        <w:rPr>
          <w:rFonts w:ascii="Arial" w:hAnsi="Arial" w:cs="Arial"/>
          <w:sz w:val="24"/>
          <w:szCs w:val="24"/>
        </w:rPr>
        <w:t xml:space="preserve">. </w:t>
      </w:r>
      <w:r w:rsidRPr="00A441EA">
        <w:rPr>
          <w:rFonts w:ascii="Arial" w:hAnsi="Arial" w:cs="Arial"/>
          <w:sz w:val="24"/>
          <w:szCs w:val="24"/>
        </w:rPr>
        <w:t xml:space="preserve">The </w:t>
      </w:r>
      <w:r>
        <w:rPr>
          <w:rFonts w:ascii="Arial" w:hAnsi="Arial" w:cs="Arial"/>
          <w:sz w:val="24"/>
          <w:szCs w:val="24"/>
        </w:rPr>
        <w:t xml:space="preserve">precise </w:t>
      </w:r>
      <w:r w:rsidRPr="00A441EA">
        <w:rPr>
          <w:rFonts w:ascii="Arial" w:hAnsi="Arial" w:cs="Arial"/>
          <w:sz w:val="24"/>
          <w:szCs w:val="24"/>
        </w:rPr>
        <w:t>reasons for th</w:t>
      </w:r>
      <w:r>
        <w:rPr>
          <w:rFonts w:ascii="Arial" w:hAnsi="Arial" w:cs="Arial"/>
          <w:sz w:val="24"/>
          <w:szCs w:val="24"/>
        </w:rPr>
        <w:t xml:space="preserve">ese phenomena </w:t>
      </w:r>
      <w:r w:rsidRPr="00A441EA">
        <w:rPr>
          <w:rFonts w:ascii="Arial" w:hAnsi="Arial" w:cs="Arial"/>
          <w:sz w:val="24"/>
          <w:szCs w:val="24"/>
        </w:rPr>
        <w:t xml:space="preserve">need to be </w:t>
      </w:r>
      <w:r>
        <w:rPr>
          <w:rFonts w:ascii="Arial" w:hAnsi="Arial" w:cs="Arial"/>
          <w:sz w:val="24"/>
          <w:szCs w:val="24"/>
        </w:rPr>
        <w:t>fully evaluated to clarify how different drugs rank in their suitability to patch testing. It may be that modifications to the standard technique, such as increasing concentrations, using different vehicles, testing drug metabolites, or disruption of the stratum corneum permeability barrier by tape stripping will facilitate PT for drugs where penetration is limiting. However, even with multiple approaches, some reports have shown that this is not always possible</w:t>
      </w:r>
      <w:r w:rsidRPr="00C43875">
        <w:rPr>
          <w:rFonts w:ascii="Arial" w:hAnsi="Arial" w:cs="Arial"/>
          <w:noProof/>
          <w:sz w:val="24"/>
          <w:szCs w:val="24"/>
          <w:vertAlign w:val="superscript"/>
        </w:rPr>
        <w:t>18</w:t>
      </w:r>
      <w:r>
        <w:rPr>
          <w:rFonts w:ascii="Arial" w:hAnsi="Arial" w:cs="Arial"/>
          <w:sz w:val="24"/>
          <w:szCs w:val="24"/>
        </w:rPr>
        <w:t xml:space="preserve">. </w:t>
      </w:r>
    </w:p>
    <w:p w14:paraId="65D181C5" w14:textId="0113521B" w:rsidR="003D56DD" w:rsidRPr="00AE7A75" w:rsidRDefault="003D56DD" w:rsidP="00AE7A75">
      <w:pPr>
        <w:shd w:val="clear" w:color="auto" w:fill="FFFFFF"/>
        <w:spacing w:line="480" w:lineRule="auto"/>
        <w:jc w:val="both"/>
        <w:rPr>
          <w:rFonts w:ascii="Arial" w:hAnsi="Arial" w:cs="Arial"/>
          <w:sz w:val="24"/>
          <w:szCs w:val="24"/>
        </w:rPr>
      </w:pPr>
      <w:r>
        <w:rPr>
          <w:rFonts w:ascii="Arial" w:hAnsi="Arial" w:cs="Arial"/>
          <w:sz w:val="24"/>
          <w:szCs w:val="24"/>
        </w:rPr>
        <w:t>O</w:t>
      </w:r>
      <w:r w:rsidRPr="004F576A">
        <w:rPr>
          <w:rFonts w:ascii="Arial" w:hAnsi="Arial" w:cs="Arial"/>
          <w:sz w:val="24"/>
          <w:szCs w:val="24"/>
        </w:rPr>
        <w:t>ther factors may contribute to</w:t>
      </w:r>
      <w:r>
        <w:rPr>
          <w:rFonts w:ascii="Arial" w:hAnsi="Arial" w:cs="Arial"/>
          <w:sz w:val="24"/>
          <w:szCs w:val="24"/>
        </w:rPr>
        <w:t xml:space="preserve"> differences in PT sensitivity including </w:t>
      </w:r>
      <w:r w:rsidRPr="004F576A">
        <w:rPr>
          <w:rFonts w:ascii="Arial" w:hAnsi="Arial" w:cs="Arial"/>
          <w:sz w:val="24"/>
          <w:szCs w:val="24"/>
        </w:rPr>
        <w:t>irritant concentration</w:t>
      </w:r>
      <w:r>
        <w:rPr>
          <w:rFonts w:ascii="Arial" w:hAnsi="Arial" w:cs="Arial"/>
          <w:sz w:val="24"/>
          <w:szCs w:val="24"/>
        </w:rPr>
        <w:t xml:space="preserve"> (which may be a more critical issue for IDT)</w:t>
      </w:r>
      <w:r w:rsidRPr="004F576A">
        <w:rPr>
          <w:rFonts w:ascii="Arial" w:hAnsi="Arial" w:cs="Arial"/>
          <w:sz w:val="24"/>
          <w:szCs w:val="24"/>
        </w:rPr>
        <w:t xml:space="preserve">, requirement for skin metabolism to </w:t>
      </w:r>
      <w:r>
        <w:rPr>
          <w:rFonts w:ascii="Arial" w:hAnsi="Arial" w:cs="Arial"/>
          <w:sz w:val="24"/>
          <w:szCs w:val="24"/>
        </w:rPr>
        <w:t>generat</w:t>
      </w:r>
      <w:r w:rsidRPr="004F576A">
        <w:rPr>
          <w:rFonts w:ascii="Arial" w:hAnsi="Arial" w:cs="Arial"/>
          <w:sz w:val="24"/>
          <w:szCs w:val="24"/>
        </w:rPr>
        <w:t xml:space="preserve">e the drug antigen, formulation of drug </w:t>
      </w:r>
      <w:r>
        <w:rPr>
          <w:rFonts w:ascii="Arial" w:hAnsi="Arial" w:cs="Arial"/>
          <w:sz w:val="24"/>
          <w:szCs w:val="24"/>
        </w:rPr>
        <w:t xml:space="preserve">used </w:t>
      </w:r>
      <w:r w:rsidRPr="004F576A">
        <w:rPr>
          <w:rFonts w:ascii="Arial" w:hAnsi="Arial" w:cs="Arial"/>
          <w:sz w:val="24"/>
          <w:szCs w:val="24"/>
        </w:rPr>
        <w:t>for testing,</w:t>
      </w:r>
      <w:r>
        <w:rPr>
          <w:rFonts w:ascii="Arial" w:hAnsi="Arial" w:cs="Arial"/>
          <w:sz w:val="24"/>
          <w:szCs w:val="24"/>
        </w:rPr>
        <w:t xml:space="preserve"> and</w:t>
      </w:r>
      <w:r w:rsidRPr="004F576A">
        <w:rPr>
          <w:rFonts w:ascii="Arial" w:hAnsi="Arial" w:cs="Arial"/>
          <w:sz w:val="24"/>
          <w:szCs w:val="24"/>
        </w:rPr>
        <w:t xml:space="preserve"> differing thresholds for </w:t>
      </w:r>
      <w:r>
        <w:rPr>
          <w:rFonts w:ascii="Arial" w:hAnsi="Arial" w:cs="Arial"/>
          <w:sz w:val="24"/>
          <w:szCs w:val="24"/>
        </w:rPr>
        <w:t xml:space="preserve">positive test </w:t>
      </w:r>
      <w:r w:rsidRPr="004F576A">
        <w:rPr>
          <w:rFonts w:ascii="Arial" w:hAnsi="Arial" w:cs="Arial"/>
          <w:sz w:val="24"/>
          <w:szCs w:val="24"/>
        </w:rPr>
        <w:t>classification</w:t>
      </w:r>
      <w:r w:rsidRPr="00C43875">
        <w:rPr>
          <w:rFonts w:ascii="Arial" w:hAnsi="Arial" w:cs="Arial"/>
          <w:noProof/>
          <w:sz w:val="24"/>
          <w:szCs w:val="24"/>
          <w:vertAlign w:val="superscript"/>
        </w:rPr>
        <w:t>15, 22, 43</w:t>
      </w:r>
      <w:r>
        <w:rPr>
          <w:rFonts w:ascii="Arial" w:hAnsi="Arial" w:cs="Arial"/>
          <w:sz w:val="24"/>
          <w:szCs w:val="24"/>
        </w:rPr>
        <w:t xml:space="preserve">. Concentration used should ideally be one which does not cause a reaction in controls but can elicit a response in allergic subjects. However, an aspect for consideration is that the reactiveness of an individual DRESS patient is likely to correlate with the degree to which they are sensitised. However, because pre-test determination of optimal test dose in an individual patient is unlikely to be feasible, a fixed concentration approach for testing will result in some false negative responses. Commencing at a low concentration, such as 0.1-1% and </w:t>
      </w:r>
      <w:proofErr w:type="gramStart"/>
      <w:r>
        <w:rPr>
          <w:rFonts w:ascii="Arial" w:hAnsi="Arial" w:cs="Arial"/>
          <w:sz w:val="24"/>
          <w:szCs w:val="24"/>
        </w:rPr>
        <w:t>step-wise</w:t>
      </w:r>
      <w:proofErr w:type="gramEnd"/>
      <w:r>
        <w:rPr>
          <w:rFonts w:ascii="Arial" w:hAnsi="Arial" w:cs="Arial"/>
          <w:sz w:val="24"/>
          <w:szCs w:val="24"/>
        </w:rPr>
        <w:t xml:space="preserve"> dose increments would be desirable until the highest non-irritant dose is achieved. Such dose-titration measures can complicate the testing process. </w:t>
      </w:r>
      <w:r w:rsidRPr="00AE7A75">
        <w:rPr>
          <w:rFonts w:ascii="Arial" w:hAnsi="Arial" w:cs="Arial"/>
          <w:sz w:val="24"/>
          <w:szCs w:val="24"/>
        </w:rPr>
        <w:t xml:space="preserve">Final drug concentrations in prepared PT reagents have been observed to </w:t>
      </w:r>
      <w:r w:rsidRPr="00AE7A75">
        <w:rPr>
          <w:rFonts w:ascii="Arial" w:hAnsi="Arial" w:cs="Arial"/>
          <w:sz w:val="24"/>
          <w:szCs w:val="24"/>
        </w:rPr>
        <w:lastRenderedPageBreak/>
        <w:t>be variable, reported to be between 0.05% to 30% in one study</w:t>
      </w:r>
      <w:r w:rsidRPr="00C43875">
        <w:rPr>
          <w:rFonts w:ascii="Arial" w:hAnsi="Arial" w:cs="Arial"/>
          <w:noProof/>
          <w:sz w:val="24"/>
          <w:szCs w:val="24"/>
          <w:vertAlign w:val="superscript"/>
        </w:rPr>
        <w:t>44</w:t>
      </w:r>
      <w:r w:rsidRPr="00AE7A75">
        <w:rPr>
          <w:rFonts w:ascii="Arial" w:hAnsi="Arial" w:cs="Arial"/>
          <w:sz w:val="24"/>
          <w:szCs w:val="24"/>
        </w:rPr>
        <w:t xml:space="preserve">. Commercially prepared patches are available for a limited number of drugs from </w:t>
      </w:r>
      <w:proofErr w:type="spellStart"/>
      <w:r w:rsidRPr="00AE7A75">
        <w:rPr>
          <w:rFonts w:ascii="Arial" w:hAnsi="Arial" w:cs="Arial"/>
          <w:sz w:val="24"/>
          <w:szCs w:val="24"/>
        </w:rPr>
        <w:t>Chemotechnique</w:t>
      </w:r>
      <w:proofErr w:type="spellEnd"/>
      <w:r w:rsidRPr="00AE7A75">
        <w:rPr>
          <w:rFonts w:ascii="Arial" w:hAnsi="Arial" w:cs="Arial"/>
          <w:sz w:val="24"/>
          <w:szCs w:val="24"/>
        </w:rPr>
        <w:t xml:space="preserve"> Diagnostics (</w:t>
      </w:r>
      <w:proofErr w:type="spellStart"/>
      <w:r w:rsidRPr="00AE7A75">
        <w:rPr>
          <w:rFonts w:ascii="Arial" w:hAnsi="Arial" w:cs="Arial"/>
          <w:sz w:val="24"/>
          <w:szCs w:val="24"/>
        </w:rPr>
        <w:t>Vellinge</w:t>
      </w:r>
      <w:proofErr w:type="spellEnd"/>
      <w:r w:rsidRPr="00AE7A75">
        <w:rPr>
          <w:rFonts w:ascii="Arial" w:hAnsi="Arial" w:cs="Arial"/>
          <w:sz w:val="24"/>
          <w:szCs w:val="24"/>
        </w:rPr>
        <w:t xml:space="preserve">, Sweden), but for a comprehensive approach investigating centres typically require the support of pharmacy services to prepare PT, which limits widespread availability. However, </w:t>
      </w:r>
      <w:proofErr w:type="spellStart"/>
      <w:r w:rsidRPr="00AE7A75">
        <w:rPr>
          <w:rFonts w:ascii="Arial" w:hAnsi="Arial" w:cs="Arial"/>
          <w:sz w:val="24"/>
          <w:szCs w:val="24"/>
        </w:rPr>
        <w:t>Assier</w:t>
      </w:r>
      <w:proofErr w:type="spellEnd"/>
      <w:r w:rsidRPr="00AE7A75">
        <w:rPr>
          <w:rFonts w:ascii="Arial" w:hAnsi="Arial" w:cs="Arial"/>
          <w:sz w:val="24"/>
          <w:szCs w:val="24"/>
        </w:rPr>
        <w:t xml:space="preserve"> et al.</w:t>
      </w:r>
      <w:r w:rsidRPr="00C43875">
        <w:rPr>
          <w:rFonts w:ascii="Arial" w:hAnsi="Arial" w:cs="Arial"/>
          <w:noProof/>
          <w:sz w:val="24"/>
          <w:szCs w:val="24"/>
          <w:vertAlign w:val="superscript"/>
        </w:rPr>
        <w:t>37</w:t>
      </w:r>
      <w:r w:rsidRPr="00AE7A75">
        <w:rPr>
          <w:rFonts w:ascii="Arial" w:hAnsi="Arial" w:cs="Arial"/>
          <w:sz w:val="24"/>
          <w:szCs w:val="24"/>
        </w:rPr>
        <w:t xml:space="preserve"> performed conventional patch testing alongside extemporaneous testing of crushed, patient-provided medication, and showed that crushed tablets are a valid tool for PT.</w:t>
      </w:r>
    </w:p>
    <w:p w14:paraId="00829542" w14:textId="4BBF8791" w:rsidR="003D56DD" w:rsidRPr="00145F4C" w:rsidRDefault="003D56DD" w:rsidP="00D1656E">
      <w:pPr>
        <w:shd w:val="clear" w:color="auto" w:fill="FFFFFF"/>
        <w:spacing w:line="480" w:lineRule="auto"/>
        <w:jc w:val="both"/>
        <w:rPr>
          <w:rFonts w:ascii="Arial" w:hAnsi="Arial" w:cs="Arial"/>
          <w:sz w:val="24"/>
          <w:szCs w:val="24"/>
        </w:rPr>
      </w:pPr>
      <w:r>
        <w:rPr>
          <w:rFonts w:ascii="Arial" w:hAnsi="Arial" w:cs="Arial"/>
          <w:sz w:val="24"/>
          <w:szCs w:val="24"/>
        </w:rPr>
        <w:t>Additionally, without inter-</w:t>
      </w:r>
      <w:proofErr w:type="spellStart"/>
      <w:r>
        <w:rPr>
          <w:rFonts w:ascii="Arial" w:hAnsi="Arial" w:cs="Arial"/>
          <w:sz w:val="24"/>
          <w:szCs w:val="24"/>
        </w:rPr>
        <w:t>center</w:t>
      </w:r>
      <w:proofErr w:type="spellEnd"/>
      <w:r>
        <w:rPr>
          <w:rFonts w:ascii="Arial" w:hAnsi="Arial" w:cs="Arial"/>
          <w:sz w:val="24"/>
          <w:szCs w:val="24"/>
        </w:rPr>
        <w:t xml:space="preserve"> agreement as to maximum non-irritant dose for testing of individual drugs, cumulative comparison of results per drug is impossible. The optimal duration of testing is an area of interest but there remains insufficient information with regards this. Whilst generally skin tests are avoided during the acute and resolution phase, it would be of interest to determine if tests performed at the </w:t>
      </w:r>
      <w:proofErr w:type="gramStart"/>
      <w:r>
        <w:rPr>
          <w:rFonts w:ascii="Arial" w:hAnsi="Arial" w:cs="Arial"/>
          <w:sz w:val="24"/>
          <w:szCs w:val="24"/>
        </w:rPr>
        <w:t>six week</w:t>
      </w:r>
      <w:proofErr w:type="gramEnd"/>
      <w:r>
        <w:rPr>
          <w:rFonts w:ascii="Arial" w:hAnsi="Arial" w:cs="Arial"/>
          <w:sz w:val="24"/>
          <w:szCs w:val="24"/>
        </w:rPr>
        <w:t xml:space="preserve"> mark post resolution or even six weeks after onset of symptoms differs from that performed six months after. As more global broad-ranging timeframes are reported in published data, it was not possible to determine if there would be signification variability in test results or intensity of reaction with longer interval from index reaction.  </w:t>
      </w:r>
      <w:r w:rsidRPr="00116796">
        <w:rPr>
          <w:rFonts w:ascii="Arial" w:hAnsi="Arial" w:cs="Arial"/>
          <w:sz w:val="24"/>
          <w:szCs w:val="24"/>
        </w:rPr>
        <w:t>A promising aspect of the data reported here shows that skin responsiveness appears to be long-lasting, up to 11 years</w:t>
      </w:r>
      <w:r w:rsidRPr="00C43875">
        <w:rPr>
          <w:rFonts w:ascii="Arial" w:hAnsi="Arial" w:cs="Arial"/>
          <w:noProof/>
          <w:sz w:val="24"/>
          <w:szCs w:val="24"/>
          <w:vertAlign w:val="superscript"/>
        </w:rPr>
        <w:t>16</w:t>
      </w:r>
      <w:r w:rsidRPr="00116796">
        <w:rPr>
          <w:rFonts w:ascii="Arial" w:hAnsi="Arial" w:cs="Arial"/>
          <w:sz w:val="24"/>
          <w:szCs w:val="24"/>
        </w:rPr>
        <w:t>, suggesting that testing can be undertaken</w:t>
      </w:r>
      <w:r>
        <w:rPr>
          <w:rFonts w:ascii="Arial" w:hAnsi="Arial" w:cs="Arial"/>
          <w:sz w:val="24"/>
          <w:szCs w:val="24"/>
        </w:rPr>
        <w:t xml:space="preserve"> even if there has been an interval </w:t>
      </w:r>
      <w:r w:rsidRPr="00116796">
        <w:rPr>
          <w:rFonts w:ascii="Arial" w:hAnsi="Arial" w:cs="Arial"/>
          <w:sz w:val="24"/>
          <w:szCs w:val="24"/>
        </w:rPr>
        <w:t>after the acute event.</w:t>
      </w:r>
      <w:r>
        <w:rPr>
          <w:rFonts w:ascii="Arial" w:hAnsi="Arial" w:cs="Arial"/>
          <w:sz w:val="24"/>
          <w:szCs w:val="24"/>
        </w:rPr>
        <w:t xml:space="preserve"> Limitations in interpretation of IDT are highlighted by the fact that there are far fewer reports of IDT used in DRESS compared to PT (total IDT performed equivalent to 12.7% of all PT reports). Even in cases where there was reported a</w:t>
      </w:r>
      <w:r w:rsidRPr="004F576A">
        <w:rPr>
          <w:rFonts w:ascii="Arial" w:hAnsi="Arial" w:cs="Arial"/>
          <w:sz w:val="24"/>
          <w:szCs w:val="24"/>
        </w:rPr>
        <w:t xml:space="preserve"> high clinical confidence on drug culpability, only 1/3 of skin tests were positive </w:t>
      </w:r>
      <w:r>
        <w:rPr>
          <w:rFonts w:ascii="Arial" w:hAnsi="Arial" w:cs="Arial"/>
          <w:sz w:val="24"/>
          <w:szCs w:val="24"/>
        </w:rPr>
        <w:t xml:space="preserve">on IDT </w:t>
      </w:r>
      <w:r w:rsidRPr="004F576A">
        <w:rPr>
          <w:rFonts w:ascii="Arial" w:hAnsi="Arial" w:cs="Arial"/>
          <w:sz w:val="24"/>
          <w:szCs w:val="24"/>
        </w:rPr>
        <w:t>to these medications. Whether this poor concordance is due to</w:t>
      </w:r>
      <w:r>
        <w:rPr>
          <w:rFonts w:ascii="Arial" w:hAnsi="Arial" w:cs="Arial"/>
          <w:sz w:val="24"/>
          <w:szCs w:val="24"/>
        </w:rPr>
        <w:t xml:space="preserve"> incorrect diagnosis, </w:t>
      </w:r>
      <w:r w:rsidRPr="004F576A">
        <w:rPr>
          <w:rFonts w:ascii="Arial" w:hAnsi="Arial" w:cs="Arial"/>
          <w:sz w:val="24"/>
          <w:szCs w:val="24"/>
        </w:rPr>
        <w:t>lack of skin metabolism of the medications</w:t>
      </w:r>
      <w:r>
        <w:rPr>
          <w:rFonts w:ascii="Arial" w:hAnsi="Arial" w:cs="Arial"/>
          <w:sz w:val="24"/>
          <w:szCs w:val="24"/>
        </w:rPr>
        <w:t>,</w:t>
      </w:r>
      <w:r w:rsidRPr="004F576A">
        <w:rPr>
          <w:rFonts w:ascii="Arial" w:hAnsi="Arial" w:cs="Arial"/>
          <w:sz w:val="24"/>
          <w:szCs w:val="24"/>
        </w:rPr>
        <w:t xml:space="preserve"> absence of critical co-factors (e.g. concurrent viral infection) during the testing process, </w:t>
      </w:r>
      <w:r>
        <w:rPr>
          <w:rFonts w:ascii="Arial" w:hAnsi="Arial" w:cs="Arial"/>
          <w:sz w:val="24"/>
          <w:szCs w:val="24"/>
        </w:rPr>
        <w:t xml:space="preserve">or poor choice of </w:t>
      </w:r>
      <w:r>
        <w:rPr>
          <w:rFonts w:ascii="Arial" w:hAnsi="Arial" w:cs="Arial"/>
          <w:sz w:val="24"/>
          <w:szCs w:val="24"/>
        </w:rPr>
        <w:lastRenderedPageBreak/>
        <w:t xml:space="preserve">tested medications </w:t>
      </w:r>
      <w:r w:rsidRPr="004F576A">
        <w:rPr>
          <w:rFonts w:ascii="Arial" w:hAnsi="Arial" w:cs="Arial"/>
          <w:sz w:val="24"/>
          <w:szCs w:val="24"/>
        </w:rPr>
        <w:t xml:space="preserve">remains unclear. </w:t>
      </w:r>
      <w:r>
        <w:rPr>
          <w:rFonts w:ascii="Arial" w:hAnsi="Arial" w:cs="Arial"/>
          <w:sz w:val="24"/>
          <w:szCs w:val="24"/>
        </w:rPr>
        <w:t xml:space="preserve">Safety concerns regarding the possibility of re-elicitation also results in limited centres performing skin tests in DRESS. </w:t>
      </w:r>
      <w:r w:rsidRPr="004F576A">
        <w:rPr>
          <w:rFonts w:ascii="Arial" w:hAnsi="Arial" w:cs="Arial"/>
          <w:sz w:val="24"/>
          <w:szCs w:val="24"/>
        </w:rPr>
        <w:t xml:space="preserve">Importantly, </w:t>
      </w:r>
      <w:r>
        <w:rPr>
          <w:rFonts w:ascii="Arial" w:hAnsi="Arial" w:cs="Arial"/>
          <w:sz w:val="24"/>
          <w:szCs w:val="24"/>
        </w:rPr>
        <w:t>whilst recurrence of rash can occur</w:t>
      </w:r>
      <w:r w:rsidRPr="00C43875">
        <w:rPr>
          <w:rFonts w:ascii="Arial" w:hAnsi="Arial" w:cs="Arial"/>
          <w:noProof/>
          <w:sz w:val="24"/>
          <w:szCs w:val="24"/>
          <w:vertAlign w:val="superscript"/>
        </w:rPr>
        <w:t>45</w:t>
      </w:r>
      <w:r>
        <w:rPr>
          <w:rFonts w:ascii="Arial" w:hAnsi="Arial" w:cs="Arial"/>
          <w:sz w:val="24"/>
          <w:szCs w:val="24"/>
        </w:rPr>
        <w:t>, serious adverse events are very uncommon. Of the 290 patients who underwent skin tests in the publications reviewed, a</w:t>
      </w:r>
      <w:r w:rsidRPr="004F576A">
        <w:rPr>
          <w:rFonts w:ascii="Arial" w:hAnsi="Arial" w:cs="Arial"/>
          <w:sz w:val="24"/>
          <w:szCs w:val="24"/>
        </w:rPr>
        <w:t xml:space="preserve"> single subject was noted by </w:t>
      </w:r>
      <w:proofErr w:type="spellStart"/>
      <w:r w:rsidRPr="004F576A">
        <w:rPr>
          <w:rFonts w:ascii="Arial" w:hAnsi="Arial" w:cs="Arial"/>
          <w:sz w:val="24"/>
          <w:szCs w:val="24"/>
        </w:rPr>
        <w:t>Barb</w:t>
      </w:r>
      <w:r>
        <w:rPr>
          <w:rFonts w:ascii="Arial" w:hAnsi="Arial" w:cs="Arial"/>
          <w:sz w:val="24"/>
          <w:szCs w:val="24"/>
        </w:rPr>
        <w:t>a</w:t>
      </w:r>
      <w:r w:rsidRPr="004F576A">
        <w:rPr>
          <w:rFonts w:ascii="Arial" w:hAnsi="Arial" w:cs="Arial"/>
          <w:sz w:val="24"/>
          <w:szCs w:val="24"/>
        </w:rPr>
        <w:t>ud</w:t>
      </w:r>
      <w:proofErr w:type="spellEnd"/>
      <w:r w:rsidRPr="004F576A">
        <w:rPr>
          <w:rFonts w:ascii="Arial" w:hAnsi="Arial" w:cs="Arial"/>
          <w:sz w:val="24"/>
          <w:szCs w:val="24"/>
        </w:rPr>
        <w:t xml:space="preserve"> et al. to have a flare on IDT</w:t>
      </w:r>
      <w:r w:rsidRPr="00C43875">
        <w:rPr>
          <w:rFonts w:ascii="Arial" w:hAnsi="Arial" w:cs="Arial"/>
          <w:noProof/>
          <w:sz w:val="24"/>
          <w:szCs w:val="24"/>
          <w:vertAlign w:val="superscript"/>
        </w:rPr>
        <w:t>16</w:t>
      </w:r>
      <w:r>
        <w:rPr>
          <w:rFonts w:ascii="Arial" w:hAnsi="Arial" w:cs="Arial"/>
          <w:sz w:val="24"/>
          <w:szCs w:val="24"/>
        </w:rPr>
        <w:t>. We have previously reported a case with systemic symptoms (</w:t>
      </w:r>
      <w:proofErr w:type="spellStart"/>
      <w:r>
        <w:rPr>
          <w:rFonts w:ascii="Arial" w:hAnsi="Arial" w:cs="Arial"/>
          <w:sz w:val="24"/>
          <w:szCs w:val="24"/>
        </w:rPr>
        <w:t>lymphopaenia</w:t>
      </w:r>
      <w:proofErr w:type="spellEnd"/>
      <w:r>
        <w:rPr>
          <w:rFonts w:ascii="Arial" w:hAnsi="Arial" w:cs="Arial"/>
          <w:sz w:val="24"/>
          <w:szCs w:val="24"/>
        </w:rPr>
        <w:t>, facial swelling, lymphadenopathy) on PT several years after index reaction, which resolved within 72 hours without resultant sequelae</w:t>
      </w:r>
      <w:r w:rsidRPr="00C43875">
        <w:rPr>
          <w:rFonts w:ascii="Arial" w:hAnsi="Arial" w:cs="Arial"/>
          <w:noProof/>
          <w:sz w:val="24"/>
          <w:szCs w:val="24"/>
          <w:vertAlign w:val="superscript"/>
        </w:rPr>
        <w:t>46</w:t>
      </w:r>
      <w:r w:rsidRPr="004F576A">
        <w:rPr>
          <w:rFonts w:ascii="Arial" w:hAnsi="Arial" w:cs="Arial"/>
          <w:sz w:val="24"/>
          <w:szCs w:val="24"/>
        </w:rPr>
        <w:t xml:space="preserve">. </w:t>
      </w:r>
      <w:r>
        <w:rPr>
          <w:rFonts w:ascii="Arial" w:hAnsi="Arial" w:cs="Arial"/>
          <w:sz w:val="24"/>
          <w:szCs w:val="24"/>
        </w:rPr>
        <w:t>G</w:t>
      </w:r>
      <w:r w:rsidRPr="004F576A">
        <w:rPr>
          <w:rFonts w:ascii="Arial" w:hAnsi="Arial" w:cs="Arial"/>
          <w:sz w:val="24"/>
          <w:szCs w:val="24"/>
        </w:rPr>
        <w:t xml:space="preserve">eneralised systemic reactions have been </w:t>
      </w:r>
      <w:r>
        <w:rPr>
          <w:rFonts w:ascii="Arial" w:hAnsi="Arial" w:cs="Arial"/>
          <w:sz w:val="24"/>
          <w:szCs w:val="24"/>
        </w:rPr>
        <w:t xml:space="preserve">primarily </w:t>
      </w:r>
      <w:r w:rsidRPr="004F576A">
        <w:rPr>
          <w:rFonts w:ascii="Arial" w:hAnsi="Arial" w:cs="Arial"/>
          <w:sz w:val="24"/>
          <w:szCs w:val="24"/>
        </w:rPr>
        <w:t>reported following PT to anti-tuberculous drugs in HIV</w:t>
      </w:r>
      <w:r>
        <w:rPr>
          <w:rFonts w:ascii="Arial" w:hAnsi="Arial" w:cs="Arial"/>
          <w:sz w:val="24"/>
          <w:szCs w:val="24"/>
        </w:rPr>
        <w:t xml:space="preserve"> patients</w:t>
      </w:r>
      <w:r w:rsidRPr="00C43875">
        <w:rPr>
          <w:rFonts w:ascii="Arial" w:hAnsi="Arial" w:cs="Arial"/>
          <w:noProof/>
          <w:sz w:val="24"/>
          <w:szCs w:val="24"/>
          <w:vertAlign w:val="superscript"/>
        </w:rPr>
        <w:t>47</w:t>
      </w:r>
      <w:r w:rsidRPr="004F576A">
        <w:rPr>
          <w:rFonts w:ascii="Arial" w:hAnsi="Arial" w:cs="Arial"/>
          <w:sz w:val="24"/>
          <w:szCs w:val="24"/>
        </w:rPr>
        <w:t>. In contrast, abacavir PT has been widely performed in HIV without similar issues</w:t>
      </w:r>
      <w:r w:rsidRPr="00C43875">
        <w:rPr>
          <w:rFonts w:ascii="Arial" w:hAnsi="Arial" w:cs="Arial"/>
          <w:noProof/>
          <w:sz w:val="24"/>
          <w:szCs w:val="24"/>
          <w:vertAlign w:val="superscript"/>
        </w:rPr>
        <w:t>48-50</w:t>
      </w:r>
      <w:r w:rsidRPr="004F576A">
        <w:rPr>
          <w:rFonts w:ascii="Arial" w:hAnsi="Arial" w:cs="Arial"/>
          <w:sz w:val="24"/>
          <w:szCs w:val="24"/>
        </w:rPr>
        <w:t xml:space="preserve">. </w:t>
      </w:r>
      <w:r>
        <w:rPr>
          <w:rFonts w:ascii="Arial" w:hAnsi="Arial" w:cs="Arial"/>
          <w:sz w:val="24"/>
          <w:szCs w:val="24"/>
        </w:rPr>
        <w:t xml:space="preserve">A further consideration is the pathway for allergy testing. Although, from a safety perspective it may make sense to consider PT safer than IDT, there is little evidence to support this assertion. </w:t>
      </w:r>
    </w:p>
    <w:p w14:paraId="477B7DD9" w14:textId="148183D4" w:rsidR="003D56DD" w:rsidRPr="006F09CD" w:rsidRDefault="003D56DD" w:rsidP="006F09CD">
      <w:pPr>
        <w:spacing w:line="480" w:lineRule="auto"/>
        <w:jc w:val="both"/>
        <w:rPr>
          <w:rFonts w:ascii="Arial" w:hAnsi="Arial" w:cs="Arial"/>
          <w:sz w:val="24"/>
          <w:szCs w:val="24"/>
        </w:rPr>
      </w:pPr>
      <w:r w:rsidRPr="00332CE2">
        <w:rPr>
          <w:rFonts w:ascii="Arial" w:hAnsi="Arial" w:cs="Arial"/>
          <w:sz w:val="24"/>
          <w:szCs w:val="24"/>
        </w:rPr>
        <w:t>In conclusion, the principal conclusion from this systematic review is that the quality of published evidence for the role of skin testing in DRESS is low. This is mainly because of test protocol and reporting heterogeneity. This work underscores the importance for the allergy community to harmonising test protocols. In addition, it is clear that there are differences between the suitability of different drugs for different test modalities, therefore reports need to be made on a per drug basis.</w:t>
      </w:r>
      <w:r>
        <w:rPr>
          <w:rFonts w:ascii="Arial" w:hAnsi="Arial" w:cs="Arial"/>
          <w:sz w:val="24"/>
          <w:szCs w:val="24"/>
        </w:rPr>
        <w:t xml:space="preserve"> </w:t>
      </w:r>
      <w:r w:rsidRPr="00332CE2">
        <w:rPr>
          <w:rFonts w:ascii="Arial" w:hAnsi="Arial" w:cs="Arial"/>
          <w:sz w:val="24"/>
          <w:szCs w:val="24"/>
        </w:rPr>
        <w:t xml:space="preserve">Here, we demonstrate the limitations of the current published literature on DRESS. Importantly, skin test utility is likely to be modified by the hypersensitivity </w:t>
      </w:r>
      <w:proofErr w:type="gramStart"/>
      <w:r w:rsidRPr="00332CE2">
        <w:rPr>
          <w:rFonts w:ascii="Arial" w:hAnsi="Arial" w:cs="Arial"/>
          <w:sz w:val="24"/>
          <w:szCs w:val="24"/>
        </w:rPr>
        <w:t>phenotype</w:t>
      </w:r>
      <w:proofErr w:type="gramEnd"/>
      <w:r w:rsidRPr="00332CE2">
        <w:rPr>
          <w:rFonts w:ascii="Arial" w:hAnsi="Arial" w:cs="Arial"/>
          <w:sz w:val="24"/>
          <w:szCs w:val="24"/>
        </w:rPr>
        <w:t xml:space="preserve"> so it is critical that studies compare across tightly defined phenotypes </w:t>
      </w:r>
      <w:proofErr w:type="spellStart"/>
      <w:r w:rsidRPr="00332CE2">
        <w:rPr>
          <w:rFonts w:ascii="Arial" w:hAnsi="Arial" w:cs="Arial"/>
          <w:sz w:val="24"/>
          <w:szCs w:val="24"/>
        </w:rPr>
        <w:t>eg</w:t>
      </w:r>
      <w:r>
        <w:rPr>
          <w:rFonts w:ascii="Arial" w:hAnsi="Arial" w:cs="Arial"/>
          <w:sz w:val="24"/>
          <w:szCs w:val="24"/>
        </w:rPr>
        <w:t>.</w:t>
      </w:r>
      <w:proofErr w:type="spellEnd"/>
      <w:r w:rsidRPr="00332CE2">
        <w:rPr>
          <w:rFonts w:ascii="Arial" w:hAnsi="Arial" w:cs="Arial"/>
          <w:sz w:val="24"/>
          <w:szCs w:val="24"/>
        </w:rPr>
        <w:t xml:space="preserve"> DRESS. Many journals now subscribe to the Standards for Reporting Diagnostic </w:t>
      </w:r>
      <w:r>
        <w:rPr>
          <w:rFonts w:ascii="Arial" w:hAnsi="Arial" w:cs="Arial"/>
          <w:sz w:val="24"/>
          <w:szCs w:val="24"/>
        </w:rPr>
        <w:t>A</w:t>
      </w:r>
      <w:r w:rsidRPr="00332CE2">
        <w:rPr>
          <w:rFonts w:ascii="Arial" w:hAnsi="Arial" w:cs="Arial"/>
          <w:sz w:val="24"/>
          <w:szCs w:val="24"/>
        </w:rPr>
        <w:t xml:space="preserve">ccuracy </w:t>
      </w:r>
      <w:r>
        <w:rPr>
          <w:rFonts w:ascii="Arial" w:hAnsi="Arial" w:cs="Arial"/>
          <w:sz w:val="24"/>
          <w:szCs w:val="24"/>
        </w:rPr>
        <w:t>S</w:t>
      </w:r>
      <w:r w:rsidRPr="00332CE2">
        <w:rPr>
          <w:rFonts w:ascii="Arial" w:hAnsi="Arial" w:cs="Arial"/>
          <w:sz w:val="24"/>
          <w:szCs w:val="24"/>
        </w:rPr>
        <w:t>tudies</w:t>
      </w:r>
      <w:r>
        <w:rPr>
          <w:rFonts w:ascii="Arial" w:hAnsi="Arial" w:cs="Arial"/>
          <w:sz w:val="24"/>
          <w:szCs w:val="24"/>
        </w:rPr>
        <w:t xml:space="preserve"> (STARD)</w:t>
      </w:r>
      <w:r w:rsidRPr="00C43875">
        <w:rPr>
          <w:rFonts w:ascii="Arial" w:hAnsi="Arial" w:cs="Arial"/>
          <w:noProof/>
          <w:sz w:val="24"/>
          <w:szCs w:val="24"/>
          <w:vertAlign w:val="superscript"/>
        </w:rPr>
        <w:t>21</w:t>
      </w:r>
      <w:r w:rsidRPr="00332CE2">
        <w:rPr>
          <w:rFonts w:ascii="Arial" w:hAnsi="Arial" w:cs="Arial"/>
          <w:sz w:val="24"/>
          <w:szCs w:val="24"/>
        </w:rPr>
        <w:t xml:space="preserve">, and we support their application to drug hypersensitivity. A critical next step will be international collaboration to define a drug hypersensitivity testing protocol, thereby </w:t>
      </w:r>
      <w:r w:rsidRPr="00332CE2">
        <w:rPr>
          <w:rFonts w:ascii="Arial" w:hAnsi="Arial" w:cs="Arial"/>
          <w:sz w:val="24"/>
          <w:szCs w:val="24"/>
        </w:rPr>
        <w:lastRenderedPageBreak/>
        <w:t xml:space="preserve">allowing meta-analysis of data between reports. </w:t>
      </w:r>
      <w:r w:rsidRPr="006F2B0D">
        <w:rPr>
          <w:rFonts w:ascii="Arial" w:hAnsi="Arial" w:cs="Arial"/>
          <w:sz w:val="24"/>
          <w:szCs w:val="24"/>
        </w:rPr>
        <w:t>To address these shortfalls in our understanding of the appropriateness of individual drugs for skin tests, it is essential that centres with special interest in drug hypersensitivity test and publish their experience, inclusive of negative results as this provides invaluable guidance to other centres.</w:t>
      </w:r>
      <w:r>
        <w:rPr>
          <w:rFonts w:ascii="Arial" w:hAnsi="Arial" w:cs="Arial"/>
          <w:sz w:val="24"/>
          <w:szCs w:val="24"/>
        </w:rPr>
        <w:t xml:space="preserve"> Overall evidence would suggest skin tests may have a role in determination of drug culpability when performed in cases where drugs in questions are essential for patient treatment, particularly when antiepileptics and beta-lactam antibiotics are suspected. Where intravenous formulations as available, IDT could be performed in place of PT. Testing should be performed by clinicians with experience in interpretation of test results in context of clinical history to avoid overinterpretation of results.</w:t>
      </w:r>
      <w:r>
        <w:rPr>
          <w:rFonts w:ascii="Arial" w:hAnsi="Arial" w:cs="Arial"/>
          <w:b/>
          <w:sz w:val="24"/>
          <w:szCs w:val="24"/>
        </w:rPr>
        <w:br w:type="page"/>
      </w:r>
    </w:p>
    <w:p w14:paraId="6797BBA5" w14:textId="77777777" w:rsidR="003D56DD" w:rsidRPr="00A82433" w:rsidRDefault="003D56DD" w:rsidP="008E4655">
      <w:pPr>
        <w:spacing w:line="480" w:lineRule="auto"/>
        <w:rPr>
          <w:rFonts w:ascii="Arial" w:hAnsi="Arial" w:cs="Arial"/>
          <w:b/>
          <w:sz w:val="24"/>
          <w:szCs w:val="24"/>
        </w:rPr>
      </w:pPr>
      <w:r w:rsidRPr="00A82433">
        <w:rPr>
          <w:rFonts w:ascii="Arial" w:hAnsi="Arial" w:cs="Arial"/>
          <w:b/>
          <w:sz w:val="24"/>
          <w:szCs w:val="24"/>
        </w:rPr>
        <w:lastRenderedPageBreak/>
        <w:t>Figure</w:t>
      </w:r>
      <w:r>
        <w:rPr>
          <w:rFonts w:ascii="Arial" w:hAnsi="Arial" w:cs="Arial"/>
          <w:b/>
          <w:sz w:val="24"/>
          <w:szCs w:val="24"/>
        </w:rPr>
        <w:t xml:space="preserve"> Legends</w:t>
      </w:r>
    </w:p>
    <w:p w14:paraId="430687F3" w14:textId="47AB20CD" w:rsidR="003D56DD" w:rsidRDefault="003D56DD" w:rsidP="008E4655">
      <w:pPr>
        <w:spacing w:line="480" w:lineRule="auto"/>
        <w:jc w:val="both"/>
        <w:rPr>
          <w:rFonts w:ascii="Arial" w:hAnsi="Arial" w:cs="Arial"/>
          <w:sz w:val="20"/>
          <w:szCs w:val="20"/>
        </w:rPr>
      </w:pPr>
      <w:r w:rsidRPr="00FA1E45">
        <w:rPr>
          <w:rFonts w:ascii="Arial" w:hAnsi="Arial" w:cs="Arial"/>
          <w:b/>
          <w:sz w:val="20"/>
          <w:szCs w:val="20"/>
        </w:rPr>
        <w:t>Figure 1.</w:t>
      </w:r>
      <w:r w:rsidRPr="00FA1E45">
        <w:rPr>
          <w:rFonts w:ascii="Arial" w:hAnsi="Arial" w:cs="Arial"/>
          <w:sz w:val="20"/>
          <w:szCs w:val="20"/>
        </w:rPr>
        <w:t xml:space="preserve"> Flow diagram of study selection.</w:t>
      </w:r>
    </w:p>
    <w:p w14:paraId="49E3A7A6" w14:textId="21A01197" w:rsidR="003D56DD" w:rsidRPr="00C43875" w:rsidRDefault="003D56DD">
      <w:pPr>
        <w:rPr>
          <w:rFonts w:ascii="Arial" w:eastAsia="Calibri" w:hAnsi="Arial" w:cs="Arial"/>
          <w:sz w:val="20"/>
          <w:szCs w:val="20"/>
        </w:rPr>
      </w:pPr>
      <w:r w:rsidRPr="00F45E4D">
        <w:rPr>
          <w:rFonts w:ascii="Arial" w:eastAsia="Calibri" w:hAnsi="Arial" w:cs="Arial"/>
          <w:b/>
          <w:sz w:val="20"/>
          <w:szCs w:val="20"/>
        </w:rPr>
        <w:t xml:space="preserve">Figure </w:t>
      </w:r>
      <w:r>
        <w:rPr>
          <w:rFonts w:ascii="Arial" w:eastAsia="Calibri" w:hAnsi="Arial" w:cs="Arial"/>
          <w:b/>
          <w:sz w:val="20"/>
          <w:szCs w:val="20"/>
        </w:rPr>
        <w:t>2</w:t>
      </w:r>
      <w:r w:rsidRPr="00F45E4D">
        <w:rPr>
          <w:rFonts w:ascii="Arial" w:eastAsia="Calibri" w:hAnsi="Arial" w:cs="Arial"/>
          <w:b/>
          <w:sz w:val="20"/>
          <w:szCs w:val="20"/>
        </w:rPr>
        <w:t xml:space="preserve">. </w:t>
      </w:r>
      <w:r w:rsidRPr="00F45E4D">
        <w:rPr>
          <w:rFonts w:ascii="Arial" w:eastAsia="Calibri" w:hAnsi="Arial" w:cs="Arial"/>
          <w:sz w:val="20"/>
          <w:szCs w:val="20"/>
        </w:rPr>
        <w:t>Evaluation of included studies against relevant items of Standards for Reporting Diagnostic accuracy studies (STARD)</w:t>
      </w:r>
      <w:r>
        <w:rPr>
          <w:rFonts w:ascii="Arial" w:eastAsia="Calibri" w:hAnsi="Arial" w:cs="Arial"/>
          <w:sz w:val="20"/>
          <w:szCs w:val="20"/>
        </w:rPr>
        <w:t xml:space="preserve"> and risk of bias.</w:t>
      </w:r>
      <w:r>
        <w:rPr>
          <w:rFonts w:ascii="Arial" w:hAnsi="Arial" w:cs="Arial"/>
          <w:b/>
          <w:sz w:val="24"/>
          <w:szCs w:val="24"/>
        </w:rPr>
        <w:br w:type="page"/>
      </w:r>
    </w:p>
    <w:p w14:paraId="3DA35842" w14:textId="77777777" w:rsidR="003D56DD" w:rsidRDefault="003D56DD" w:rsidP="004F576A">
      <w:pPr>
        <w:spacing w:line="480" w:lineRule="auto"/>
        <w:rPr>
          <w:rFonts w:ascii="Arial" w:hAnsi="Arial" w:cs="Arial"/>
          <w:b/>
          <w:sz w:val="24"/>
          <w:szCs w:val="24"/>
        </w:rPr>
      </w:pPr>
      <w:r w:rsidRPr="00A82433">
        <w:rPr>
          <w:rFonts w:ascii="Arial" w:hAnsi="Arial" w:cs="Arial"/>
          <w:b/>
          <w:sz w:val="24"/>
          <w:szCs w:val="24"/>
        </w:rPr>
        <w:lastRenderedPageBreak/>
        <w:t>Tables</w:t>
      </w:r>
    </w:p>
    <w:p w14:paraId="3E7DA45C" w14:textId="77777777" w:rsidR="003D56DD" w:rsidRPr="00E05940" w:rsidRDefault="003D56DD" w:rsidP="00A54C67">
      <w:pPr>
        <w:rPr>
          <w:rFonts w:ascii="Arial" w:hAnsi="Arial" w:cs="Arial"/>
          <w:b/>
          <w:sz w:val="20"/>
          <w:szCs w:val="20"/>
        </w:rPr>
      </w:pPr>
      <w:r w:rsidRPr="00E05940">
        <w:rPr>
          <w:rFonts w:ascii="Arial" w:eastAsia="Calibri" w:hAnsi="Arial" w:cs="Arial"/>
          <w:b/>
          <w:sz w:val="20"/>
          <w:szCs w:val="20"/>
        </w:rPr>
        <w:t xml:space="preserve">Table 1. </w:t>
      </w:r>
      <w:r w:rsidRPr="00E05940">
        <w:rPr>
          <w:rFonts w:ascii="Arial" w:hAnsi="Arial" w:cs="Arial"/>
          <w:sz w:val="20"/>
          <w:szCs w:val="20"/>
        </w:rPr>
        <w:t>Inclusion and exclusion criteria of screened articles</w:t>
      </w:r>
    </w:p>
    <w:tbl>
      <w:tblPr>
        <w:tblStyle w:val="TableGrid"/>
        <w:tblpPr w:leftFromText="180" w:rightFromText="180" w:vertAnchor="page" w:horzAnchor="margin" w:tblpY="2821"/>
        <w:tblW w:w="9356" w:type="dxa"/>
        <w:tblLook w:val="04A0" w:firstRow="1" w:lastRow="0" w:firstColumn="1" w:lastColumn="0" w:noHBand="0" w:noVBand="1"/>
      </w:tblPr>
      <w:tblGrid>
        <w:gridCol w:w="4678"/>
        <w:gridCol w:w="4678"/>
      </w:tblGrid>
      <w:tr w:rsidR="003D56DD" w:rsidRPr="00F45E4D" w14:paraId="6B7B116F" w14:textId="77777777" w:rsidTr="00A54C67">
        <w:trPr>
          <w:trHeight w:val="252"/>
        </w:trPr>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1722BA" w14:textId="77777777" w:rsidR="003D56DD" w:rsidRPr="00DC0C9F" w:rsidRDefault="003D56DD" w:rsidP="00A54C67">
            <w:pPr>
              <w:jc w:val="center"/>
              <w:rPr>
                <w:rFonts w:ascii="Arial" w:hAnsi="Arial" w:cs="Arial"/>
                <w:b/>
                <w:bCs/>
                <w:sz w:val="20"/>
                <w:szCs w:val="20"/>
              </w:rPr>
            </w:pPr>
            <w:r w:rsidRPr="00DC0C9F">
              <w:rPr>
                <w:rFonts w:ascii="Arial" w:hAnsi="Arial" w:cs="Arial"/>
                <w:b/>
                <w:bCs/>
                <w:sz w:val="20"/>
                <w:szCs w:val="20"/>
              </w:rPr>
              <w:t>Inclusion criteria</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9C3A73" w14:textId="77777777" w:rsidR="003D56DD" w:rsidRPr="00DC0C9F" w:rsidRDefault="003D56DD" w:rsidP="00A54C67">
            <w:pPr>
              <w:jc w:val="center"/>
              <w:rPr>
                <w:rFonts w:ascii="Arial" w:hAnsi="Arial" w:cs="Arial"/>
                <w:b/>
                <w:bCs/>
                <w:sz w:val="20"/>
                <w:szCs w:val="20"/>
              </w:rPr>
            </w:pPr>
            <w:r w:rsidRPr="00DC0C9F">
              <w:rPr>
                <w:rFonts w:ascii="Arial" w:hAnsi="Arial" w:cs="Arial"/>
                <w:b/>
                <w:bCs/>
                <w:sz w:val="20"/>
                <w:szCs w:val="20"/>
              </w:rPr>
              <w:t>Exclusion criteria</w:t>
            </w:r>
          </w:p>
        </w:tc>
      </w:tr>
      <w:tr w:rsidR="003D56DD" w:rsidRPr="00F45E4D" w14:paraId="3F8A7BCC" w14:textId="77777777" w:rsidTr="00A54C67">
        <w:trPr>
          <w:trHeight w:val="1489"/>
        </w:trPr>
        <w:tc>
          <w:tcPr>
            <w:tcW w:w="4678" w:type="dxa"/>
            <w:tcBorders>
              <w:top w:val="single" w:sz="4" w:space="0" w:color="auto"/>
              <w:left w:val="single" w:sz="4" w:space="0" w:color="auto"/>
              <w:bottom w:val="single" w:sz="4" w:space="0" w:color="auto"/>
              <w:right w:val="single" w:sz="4" w:space="0" w:color="auto"/>
            </w:tcBorders>
            <w:hideMark/>
          </w:tcPr>
          <w:p w14:paraId="6B58D059" w14:textId="77777777" w:rsidR="003D56DD" w:rsidRPr="00DC0C9F" w:rsidRDefault="003D56DD" w:rsidP="00A54C67">
            <w:pPr>
              <w:rPr>
                <w:rFonts w:ascii="Arial" w:hAnsi="Arial" w:cs="Arial"/>
                <w:sz w:val="20"/>
                <w:szCs w:val="20"/>
              </w:rPr>
            </w:pPr>
          </w:p>
          <w:p w14:paraId="493DDE71" w14:textId="77777777" w:rsidR="003D56DD" w:rsidRPr="00DC0C9F" w:rsidRDefault="003D56DD" w:rsidP="00A54C67">
            <w:pPr>
              <w:pStyle w:val="ListParagraph"/>
              <w:numPr>
                <w:ilvl w:val="0"/>
                <w:numId w:val="11"/>
              </w:numPr>
              <w:rPr>
                <w:rFonts w:ascii="Arial" w:hAnsi="Arial" w:cs="Arial"/>
                <w:sz w:val="20"/>
                <w:szCs w:val="20"/>
              </w:rPr>
            </w:pPr>
            <w:r w:rsidRPr="00DC0C9F">
              <w:rPr>
                <w:rFonts w:ascii="Arial" w:hAnsi="Arial" w:cs="Arial"/>
                <w:sz w:val="20"/>
                <w:szCs w:val="20"/>
              </w:rPr>
              <w:t>Clear diagnosis of DRESS/DIHS/anticonvulsant hypersensitivity</w:t>
            </w:r>
          </w:p>
          <w:p w14:paraId="658B757B" w14:textId="77777777" w:rsidR="003D56DD" w:rsidRDefault="003D56DD" w:rsidP="00A54C67">
            <w:pPr>
              <w:pStyle w:val="ListParagraph"/>
              <w:numPr>
                <w:ilvl w:val="0"/>
                <w:numId w:val="11"/>
              </w:numPr>
              <w:rPr>
                <w:rFonts w:ascii="Arial" w:hAnsi="Arial" w:cs="Arial"/>
                <w:sz w:val="20"/>
                <w:szCs w:val="20"/>
              </w:rPr>
            </w:pPr>
            <w:r w:rsidRPr="00DC0C9F">
              <w:rPr>
                <w:rFonts w:ascii="Arial" w:hAnsi="Arial" w:cs="Arial"/>
                <w:sz w:val="20"/>
                <w:szCs w:val="20"/>
              </w:rPr>
              <w:t xml:space="preserve">Skin testing (prick, intradermal, patch) performed </w:t>
            </w:r>
          </w:p>
          <w:p w14:paraId="3226E71F" w14:textId="77777777" w:rsidR="003D56DD" w:rsidRDefault="003D56DD" w:rsidP="00A54C67">
            <w:pPr>
              <w:pStyle w:val="ListParagraph"/>
              <w:numPr>
                <w:ilvl w:val="0"/>
                <w:numId w:val="11"/>
              </w:numPr>
              <w:rPr>
                <w:rFonts w:ascii="Arial" w:hAnsi="Arial" w:cs="Arial"/>
                <w:sz w:val="20"/>
                <w:szCs w:val="20"/>
              </w:rPr>
            </w:pPr>
            <w:r>
              <w:rPr>
                <w:rFonts w:ascii="Arial" w:hAnsi="Arial" w:cs="Arial"/>
                <w:sz w:val="20"/>
                <w:szCs w:val="20"/>
              </w:rPr>
              <w:t>Publications after 1996 (when DRESS first reported as a clinical entity)</w:t>
            </w:r>
          </w:p>
          <w:p w14:paraId="197D5845" w14:textId="77777777" w:rsidR="003D56DD" w:rsidRDefault="003D56DD" w:rsidP="00A54C67">
            <w:pPr>
              <w:pStyle w:val="ListParagraph"/>
              <w:numPr>
                <w:ilvl w:val="0"/>
                <w:numId w:val="11"/>
              </w:numPr>
              <w:rPr>
                <w:rFonts w:ascii="Arial" w:hAnsi="Arial" w:cs="Arial"/>
                <w:sz w:val="20"/>
                <w:szCs w:val="20"/>
              </w:rPr>
            </w:pPr>
            <w:r>
              <w:rPr>
                <w:rFonts w:ascii="Arial" w:hAnsi="Arial" w:cs="Arial"/>
                <w:sz w:val="20"/>
                <w:szCs w:val="20"/>
              </w:rPr>
              <w:t xml:space="preserve">Agreement by both </w:t>
            </w:r>
            <w:proofErr w:type="gramStart"/>
            <w:r>
              <w:rPr>
                <w:rFonts w:ascii="Arial" w:hAnsi="Arial" w:cs="Arial"/>
                <w:sz w:val="20"/>
                <w:szCs w:val="20"/>
              </w:rPr>
              <w:t>reviewers</w:t>
            </w:r>
            <w:proofErr w:type="gramEnd"/>
            <w:r>
              <w:rPr>
                <w:rFonts w:ascii="Arial" w:hAnsi="Arial" w:cs="Arial"/>
                <w:sz w:val="20"/>
                <w:szCs w:val="20"/>
              </w:rPr>
              <w:t xml:space="preserve"> article appropriate for inclusion</w:t>
            </w:r>
          </w:p>
          <w:p w14:paraId="78B017E5" w14:textId="77777777" w:rsidR="003D56DD" w:rsidRDefault="003D56DD" w:rsidP="00A54C67">
            <w:pPr>
              <w:pStyle w:val="ListParagraph"/>
              <w:rPr>
                <w:rFonts w:ascii="Arial" w:hAnsi="Arial" w:cs="Arial"/>
                <w:sz w:val="20"/>
                <w:szCs w:val="20"/>
              </w:rPr>
            </w:pPr>
          </w:p>
          <w:p w14:paraId="16919B50" w14:textId="77777777" w:rsidR="003D56DD" w:rsidRPr="00DC0C9F" w:rsidRDefault="003D56DD" w:rsidP="00A54C67">
            <w:pPr>
              <w:pStyle w:val="ListParagraph"/>
              <w:rPr>
                <w:rFonts w:ascii="Arial" w:hAnsi="Arial" w:cs="Arial"/>
                <w:sz w:val="20"/>
                <w:szCs w:val="20"/>
              </w:rPr>
            </w:pPr>
          </w:p>
        </w:tc>
        <w:tc>
          <w:tcPr>
            <w:tcW w:w="4678" w:type="dxa"/>
            <w:tcBorders>
              <w:top w:val="single" w:sz="4" w:space="0" w:color="auto"/>
              <w:left w:val="single" w:sz="4" w:space="0" w:color="auto"/>
              <w:bottom w:val="single" w:sz="4" w:space="0" w:color="auto"/>
              <w:right w:val="single" w:sz="4" w:space="0" w:color="auto"/>
            </w:tcBorders>
          </w:tcPr>
          <w:p w14:paraId="6B000DEC" w14:textId="77777777" w:rsidR="003D56DD" w:rsidRPr="00DC0C9F" w:rsidRDefault="003D56DD" w:rsidP="00A54C67">
            <w:pPr>
              <w:rPr>
                <w:rFonts w:ascii="Arial" w:hAnsi="Arial" w:cs="Arial"/>
                <w:sz w:val="20"/>
                <w:szCs w:val="20"/>
              </w:rPr>
            </w:pPr>
          </w:p>
          <w:p w14:paraId="7C2309F9" w14:textId="77777777" w:rsidR="003D56DD" w:rsidRPr="00DC0C9F" w:rsidRDefault="003D56DD" w:rsidP="00A54C67">
            <w:pPr>
              <w:pStyle w:val="ListParagraph"/>
              <w:numPr>
                <w:ilvl w:val="0"/>
                <w:numId w:val="11"/>
              </w:numPr>
              <w:rPr>
                <w:rFonts w:ascii="Arial" w:hAnsi="Arial" w:cs="Arial"/>
                <w:sz w:val="20"/>
                <w:szCs w:val="20"/>
              </w:rPr>
            </w:pPr>
            <w:r w:rsidRPr="00DC0C9F">
              <w:rPr>
                <w:rFonts w:ascii="Arial" w:hAnsi="Arial" w:cs="Arial"/>
                <w:sz w:val="20"/>
                <w:szCs w:val="20"/>
              </w:rPr>
              <w:t>Case reports or series with 1-2 DRESS cases</w:t>
            </w:r>
          </w:p>
          <w:p w14:paraId="67427D61" w14:textId="77777777" w:rsidR="003D56DD" w:rsidRPr="00DC0C9F" w:rsidRDefault="003D56DD" w:rsidP="00A54C67">
            <w:pPr>
              <w:pStyle w:val="ListParagraph"/>
              <w:numPr>
                <w:ilvl w:val="0"/>
                <w:numId w:val="11"/>
              </w:numPr>
              <w:rPr>
                <w:rFonts w:ascii="Arial" w:hAnsi="Arial" w:cs="Arial"/>
                <w:sz w:val="20"/>
                <w:szCs w:val="20"/>
              </w:rPr>
            </w:pPr>
            <w:r w:rsidRPr="00DC0C9F">
              <w:rPr>
                <w:rFonts w:ascii="Arial" w:hAnsi="Arial" w:cs="Arial"/>
                <w:sz w:val="20"/>
                <w:szCs w:val="20"/>
              </w:rPr>
              <w:t>Conference abstracts</w:t>
            </w:r>
          </w:p>
          <w:p w14:paraId="7CD0F00A" w14:textId="77777777" w:rsidR="003D56DD" w:rsidRPr="00DC0C9F" w:rsidRDefault="003D56DD" w:rsidP="00A54C67">
            <w:pPr>
              <w:pStyle w:val="ListParagraph"/>
              <w:numPr>
                <w:ilvl w:val="0"/>
                <w:numId w:val="11"/>
              </w:numPr>
              <w:rPr>
                <w:rFonts w:ascii="Arial" w:hAnsi="Arial" w:cs="Arial"/>
                <w:sz w:val="20"/>
                <w:szCs w:val="20"/>
              </w:rPr>
            </w:pPr>
            <w:r w:rsidRPr="00DC0C9F">
              <w:rPr>
                <w:rFonts w:ascii="Arial" w:hAnsi="Arial" w:cs="Arial"/>
                <w:sz w:val="20"/>
                <w:szCs w:val="20"/>
              </w:rPr>
              <w:t>Review article or guidelines without new DRESS cases tested</w:t>
            </w:r>
          </w:p>
          <w:p w14:paraId="7695AEDC" w14:textId="77777777" w:rsidR="003D56DD" w:rsidRPr="00DC0C9F" w:rsidRDefault="003D56DD" w:rsidP="00A54C67">
            <w:pPr>
              <w:pStyle w:val="ListParagraph"/>
              <w:numPr>
                <w:ilvl w:val="0"/>
                <w:numId w:val="11"/>
              </w:numPr>
              <w:rPr>
                <w:rFonts w:ascii="Arial" w:hAnsi="Arial" w:cs="Arial"/>
                <w:sz w:val="20"/>
                <w:szCs w:val="20"/>
              </w:rPr>
            </w:pPr>
            <w:r w:rsidRPr="00DC0C9F">
              <w:rPr>
                <w:rFonts w:ascii="Arial" w:hAnsi="Arial" w:cs="Arial"/>
                <w:sz w:val="20"/>
                <w:szCs w:val="20"/>
              </w:rPr>
              <w:t>Results of entire DRESS cohort not reported</w:t>
            </w:r>
          </w:p>
          <w:p w14:paraId="6762183E" w14:textId="77777777" w:rsidR="003D56DD" w:rsidRPr="00DC0C9F" w:rsidRDefault="003D56DD" w:rsidP="00A54C67">
            <w:pPr>
              <w:pStyle w:val="ListParagraph"/>
              <w:numPr>
                <w:ilvl w:val="0"/>
                <w:numId w:val="11"/>
              </w:numPr>
              <w:rPr>
                <w:rFonts w:ascii="Arial" w:hAnsi="Arial" w:cs="Arial"/>
                <w:sz w:val="20"/>
                <w:szCs w:val="20"/>
              </w:rPr>
            </w:pPr>
            <w:r w:rsidRPr="00DC0C9F">
              <w:rPr>
                <w:rFonts w:ascii="Arial" w:hAnsi="Arial" w:cs="Arial"/>
                <w:sz w:val="20"/>
                <w:szCs w:val="20"/>
              </w:rPr>
              <w:t>Unclear phenotype of tested subject</w:t>
            </w:r>
          </w:p>
          <w:p w14:paraId="3948F923" w14:textId="77777777" w:rsidR="003D56DD" w:rsidRPr="00DC0C9F" w:rsidRDefault="003D56DD" w:rsidP="00A54C67">
            <w:pPr>
              <w:rPr>
                <w:rFonts w:ascii="Arial" w:hAnsi="Arial" w:cs="Arial"/>
                <w:sz w:val="20"/>
                <w:szCs w:val="20"/>
              </w:rPr>
            </w:pPr>
          </w:p>
        </w:tc>
      </w:tr>
    </w:tbl>
    <w:p w14:paraId="3EBC10E9" w14:textId="77777777" w:rsidR="003D56DD" w:rsidRDefault="003D56DD">
      <w:pPr>
        <w:rPr>
          <w:rFonts w:ascii="Arial" w:hAnsi="Arial" w:cs="Arial"/>
          <w:b/>
          <w:sz w:val="20"/>
          <w:szCs w:val="20"/>
        </w:rPr>
      </w:pPr>
      <w:r>
        <w:rPr>
          <w:rFonts w:ascii="Arial" w:hAnsi="Arial" w:cs="Arial"/>
          <w:b/>
          <w:sz w:val="20"/>
          <w:szCs w:val="20"/>
        </w:rPr>
        <w:br w:type="page"/>
      </w:r>
    </w:p>
    <w:p w14:paraId="4FE17F47" w14:textId="77777777" w:rsidR="003D56DD" w:rsidRPr="00A82433" w:rsidRDefault="003D56DD" w:rsidP="00A82433">
      <w:pPr>
        <w:rPr>
          <w:rFonts w:ascii="Arial" w:hAnsi="Arial" w:cs="Arial"/>
          <w:sz w:val="20"/>
          <w:szCs w:val="20"/>
        </w:rPr>
      </w:pPr>
      <w:r w:rsidRPr="00A82433">
        <w:rPr>
          <w:rFonts w:ascii="Arial" w:hAnsi="Arial" w:cs="Arial"/>
          <w:b/>
          <w:sz w:val="20"/>
          <w:szCs w:val="20"/>
        </w:rPr>
        <w:lastRenderedPageBreak/>
        <w:t xml:space="preserve">Table </w:t>
      </w:r>
      <w:r>
        <w:rPr>
          <w:rFonts w:ascii="Arial" w:hAnsi="Arial" w:cs="Arial"/>
          <w:b/>
          <w:sz w:val="20"/>
          <w:szCs w:val="20"/>
        </w:rPr>
        <w:t>2</w:t>
      </w:r>
      <w:r w:rsidRPr="00A82433">
        <w:rPr>
          <w:rFonts w:ascii="Arial" w:hAnsi="Arial" w:cs="Arial"/>
          <w:b/>
          <w:sz w:val="20"/>
          <w:szCs w:val="20"/>
        </w:rPr>
        <w:t xml:space="preserve">: </w:t>
      </w:r>
      <w:r w:rsidRPr="00A82433">
        <w:rPr>
          <w:rFonts w:ascii="Arial" w:hAnsi="Arial" w:cs="Arial"/>
          <w:sz w:val="20"/>
          <w:szCs w:val="20"/>
        </w:rPr>
        <w:t>Tests performed in included publications</w:t>
      </w:r>
    </w:p>
    <w:tbl>
      <w:tblPr>
        <w:tblStyle w:val="TableGrid"/>
        <w:tblW w:w="9547" w:type="dxa"/>
        <w:tblInd w:w="-5" w:type="dxa"/>
        <w:tblLayout w:type="fixed"/>
        <w:tblLook w:val="04A0" w:firstRow="1" w:lastRow="0" w:firstColumn="1" w:lastColumn="0" w:noHBand="0" w:noVBand="1"/>
      </w:tblPr>
      <w:tblGrid>
        <w:gridCol w:w="1693"/>
        <w:gridCol w:w="589"/>
        <w:gridCol w:w="825"/>
        <w:gridCol w:w="664"/>
        <w:gridCol w:w="1024"/>
        <w:gridCol w:w="931"/>
        <w:gridCol w:w="932"/>
        <w:gridCol w:w="971"/>
        <w:gridCol w:w="922"/>
        <w:gridCol w:w="996"/>
      </w:tblGrid>
      <w:tr w:rsidR="003D56DD" w:rsidRPr="00677626" w14:paraId="4249C6D4" w14:textId="77777777" w:rsidTr="006F167D">
        <w:trPr>
          <w:trHeight w:val="632"/>
        </w:trPr>
        <w:tc>
          <w:tcPr>
            <w:tcW w:w="1693" w:type="dxa"/>
            <w:shd w:val="clear" w:color="auto" w:fill="E7E6E6" w:themeFill="background2"/>
          </w:tcPr>
          <w:p w14:paraId="18DCAF52" w14:textId="77777777" w:rsidR="003D56DD" w:rsidRPr="00677626" w:rsidRDefault="003D56DD" w:rsidP="006F167D">
            <w:pPr>
              <w:jc w:val="center"/>
              <w:rPr>
                <w:b/>
                <w:sz w:val="16"/>
                <w:szCs w:val="16"/>
              </w:rPr>
            </w:pPr>
            <w:r w:rsidRPr="00677626">
              <w:rPr>
                <w:b/>
                <w:sz w:val="16"/>
                <w:szCs w:val="16"/>
              </w:rPr>
              <w:t>Publication</w:t>
            </w:r>
          </w:p>
        </w:tc>
        <w:tc>
          <w:tcPr>
            <w:tcW w:w="589" w:type="dxa"/>
            <w:shd w:val="clear" w:color="auto" w:fill="E7E6E6" w:themeFill="background2"/>
          </w:tcPr>
          <w:p w14:paraId="653E9F2C" w14:textId="77777777" w:rsidR="003D56DD" w:rsidRPr="00677626" w:rsidRDefault="003D56DD" w:rsidP="006F167D">
            <w:pPr>
              <w:spacing w:before="2" w:after="2"/>
              <w:jc w:val="center"/>
              <w:rPr>
                <w:b/>
                <w:sz w:val="16"/>
                <w:szCs w:val="16"/>
              </w:rPr>
            </w:pPr>
            <w:r w:rsidRPr="00677626">
              <w:rPr>
                <w:b/>
                <w:sz w:val="16"/>
                <w:szCs w:val="16"/>
              </w:rPr>
              <w:t>Cases</w:t>
            </w:r>
          </w:p>
        </w:tc>
        <w:tc>
          <w:tcPr>
            <w:tcW w:w="825" w:type="dxa"/>
            <w:shd w:val="clear" w:color="auto" w:fill="E7E6E6" w:themeFill="background2"/>
          </w:tcPr>
          <w:p w14:paraId="2E6D58A4" w14:textId="77777777" w:rsidR="003D56DD" w:rsidRPr="00677626" w:rsidRDefault="003D56DD" w:rsidP="006F167D">
            <w:pPr>
              <w:jc w:val="center"/>
              <w:rPr>
                <w:b/>
                <w:sz w:val="16"/>
                <w:szCs w:val="16"/>
              </w:rPr>
            </w:pPr>
            <w:r w:rsidRPr="00677626">
              <w:rPr>
                <w:b/>
                <w:sz w:val="16"/>
                <w:szCs w:val="16"/>
              </w:rPr>
              <w:t>Mean age (range)</w:t>
            </w:r>
          </w:p>
        </w:tc>
        <w:tc>
          <w:tcPr>
            <w:tcW w:w="664" w:type="dxa"/>
            <w:shd w:val="clear" w:color="auto" w:fill="E7E6E6" w:themeFill="background2"/>
          </w:tcPr>
          <w:p w14:paraId="33EE5682" w14:textId="77777777" w:rsidR="003D56DD" w:rsidRPr="00677626" w:rsidRDefault="003D56DD" w:rsidP="006F167D">
            <w:pPr>
              <w:jc w:val="center"/>
              <w:rPr>
                <w:b/>
                <w:sz w:val="16"/>
                <w:szCs w:val="16"/>
              </w:rPr>
            </w:pPr>
            <w:r w:rsidRPr="00677626">
              <w:rPr>
                <w:b/>
                <w:sz w:val="16"/>
                <w:szCs w:val="16"/>
              </w:rPr>
              <w:t>Sex (</w:t>
            </w:r>
            <w:proofErr w:type="gramStart"/>
            <w:r w:rsidRPr="00677626">
              <w:rPr>
                <w:b/>
                <w:sz w:val="16"/>
                <w:szCs w:val="16"/>
              </w:rPr>
              <w:t>M:F</w:t>
            </w:r>
            <w:proofErr w:type="gramEnd"/>
            <w:r w:rsidRPr="00677626">
              <w:rPr>
                <w:b/>
                <w:sz w:val="16"/>
                <w:szCs w:val="16"/>
              </w:rPr>
              <w:t>)</w:t>
            </w:r>
          </w:p>
        </w:tc>
        <w:tc>
          <w:tcPr>
            <w:tcW w:w="1024" w:type="dxa"/>
            <w:shd w:val="clear" w:color="auto" w:fill="E7E6E6" w:themeFill="background2"/>
          </w:tcPr>
          <w:p w14:paraId="59798547" w14:textId="77777777" w:rsidR="003D56DD" w:rsidRPr="00677626" w:rsidRDefault="003D56DD" w:rsidP="006F167D">
            <w:pPr>
              <w:jc w:val="center"/>
              <w:rPr>
                <w:b/>
                <w:sz w:val="16"/>
                <w:szCs w:val="16"/>
              </w:rPr>
            </w:pPr>
            <w:r w:rsidRPr="00677626">
              <w:rPr>
                <w:b/>
                <w:sz w:val="16"/>
                <w:szCs w:val="16"/>
              </w:rPr>
              <w:t>Medication class</w:t>
            </w:r>
          </w:p>
        </w:tc>
        <w:tc>
          <w:tcPr>
            <w:tcW w:w="931" w:type="dxa"/>
            <w:shd w:val="clear" w:color="auto" w:fill="E7E6E6" w:themeFill="background2"/>
          </w:tcPr>
          <w:p w14:paraId="25FADCA5" w14:textId="77777777" w:rsidR="003D56DD" w:rsidRPr="00677626" w:rsidRDefault="003D56DD" w:rsidP="006F167D">
            <w:pPr>
              <w:jc w:val="center"/>
              <w:rPr>
                <w:b/>
                <w:sz w:val="16"/>
                <w:szCs w:val="16"/>
              </w:rPr>
            </w:pPr>
            <w:r w:rsidRPr="00677626">
              <w:rPr>
                <w:b/>
                <w:sz w:val="16"/>
                <w:szCs w:val="16"/>
              </w:rPr>
              <w:t>Duration to testing</w:t>
            </w:r>
          </w:p>
        </w:tc>
        <w:tc>
          <w:tcPr>
            <w:tcW w:w="932" w:type="dxa"/>
            <w:shd w:val="clear" w:color="auto" w:fill="E7E6E6" w:themeFill="background2"/>
          </w:tcPr>
          <w:p w14:paraId="23EF7657" w14:textId="77777777" w:rsidR="003D56DD" w:rsidRPr="00677626" w:rsidRDefault="003D56DD" w:rsidP="006F167D">
            <w:pPr>
              <w:jc w:val="center"/>
              <w:rPr>
                <w:b/>
                <w:sz w:val="16"/>
                <w:szCs w:val="16"/>
              </w:rPr>
            </w:pPr>
            <w:r w:rsidRPr="00677626">
              <w:rPr>
                <w:b/>
                <w:sz w:val="16"/>
                <w:szCs w:val="16"/>
              </w:rPr>
              <w:t xml:space="preserve">Skin prick test </w:t>
            </w:r>
          </w:p>
          <w:p w14:paraId="349BBDA0" w14:textId="77777777" w:rsidR="003D56DD" w:rsidRPr="00677626" w:rsidRDefault="003D56DD" w:rsidP="006F167D">
            <w:pPr>
              <w:jc w:val="center"/>
              <w:rPr>
                <w:b/>
                <w:sz w:val="16"/>
                <w:szCs w:val="16"/>
              </w:rPr>
            </w:pPr>
            <w:r w:rsidRPr="00677626">
              <w:rPr>
                <w:b/>
                <w:sz w:val="16"/>
                <w:szCs w:val="16"/>
              </w:rPr>
              <w:t>n (positive; %)</w:t>
            </w:r>
          </w:p>
        </w:tc>
        <w:tc>
          <w:tcPr>
            <w:tcW w:w="971" w:type="dxa"/>
            <w:shd w:val="clear" w:color="auto" w:fill="E7E6E6" w:themeFill="background2"/>
          </w:tcPr>
          <w:p w14:paraId="55C66AAE" w14:textId="77777777" w:rsidR="003D56DD" w:rsidRPr="00677626" w:rsidRDefault="003D56DD" w:rsidP="006F167D">
            <w:pPr>
              <w:jc w:val="center"/>
              <w:rPr>
                <w:b/>
                <w:sz w:val="16"/>
                <w:szCs w:val="16"/>
              </w:rPr>
            </w:pPr>
            <w:r w:rsidRPr="00677626">
              <w:rPr>
                <w:b/>
                <w:sz w:val="16"/>
                <w:szCs w:val="16"/>
              </w:rPr>
              <w:t>Patch test</w:t>
            </w:r>
          </w:p>
          <w:p w14:paraId="37F780F5" w14:textId="77777777" w:rsidR="003D56DD" w:rsidRPr="00677626" w:rsidRDefault="003D56DD" w:rsidP="006F167D">
            <w:pPr>
              <w:jc w:val="center"/>
              <w:rPr>
                <w:b/>
                <w:sz w:val="16"/>
                <w:szCs w:val="16"/>
              </w:rPr>
            </w:pPr>
            <w:r w:rsidRPr="00677626">
              <w:rPr>
                <w:b/>
                <w:sz w:val="16"/>
                <w:szCs w:val="16"/>
              </w:rPr>
              <w:t>n (positive; %)</w:t>
            </w:r>
          </w:p>
        </w:tc>
        <w:tc>
          <w:tcPr>
            <w:tcW w:w="922" w:type="dxa"/>
            <w:shd w:val="clear" w:color="auto" w:fill="E7E6E6" w:themeFill="background2"/>
          </w:tcPr>
          <w:p w14:paraId="2D1B187D" w14:textId="77777777" w:rsidR="003D56DD" w:rsidRPr="00677626" w:rsidRDefault="003D56DD" w:rsidP="006F167D">
            <w:pPr>
              <w:jc w:val="center"/>
              <w:rPr>
                <w:b/>
                <w:sz w:val="16"/>
                <w:szCs w:val="16"/>
              </w:rPr>
            </w:pPr>
            <w:r w:rsidRPr="00677626">
              <w:rPr>
                <w:b/>
                <w:sz w:val="16"/>
                <w:szCs w:val="16"/>
              </w:rPr>
              <w:t>Intradermal test</w:t>
            </w:r>
          </w:p>
          <w:p w14:paraId="038732F4" w14:textId="77777777" w:rsidR="003D56DD" w:rsidRPr="00677626" w:rsidRDefault="003D56DD" w:rsidP="006F167D">
            <w:pPr>
              <w:jc w:val="center"/>
              <w:rPr>
                <w:b/>
                <w:sz w:val="16"/>
                <w:szCs w:val="16"/>
              </w:rPr>
            </w:pPr>
            <w:r w:rsidRPr="00677626">
              <w:rPr>
                <w:b/>
                <w:sz w:val="16"/>
                <w:szCs w:val="16"/>
              </w:rPr>
              <w:t>n (positive; %)</w:t>
            </w:r>
          </w:p>
        </w:tc>
        <w:tc>
          <w:tcPr>
            <w:tcW w:w="996" w:type="dxa"/>
            <w:shd w:val="clear" w:color="auto" w:fill="E7E6E6" w:themeFill="background2"/>
          </w:tcPr>
          <w:p w14:paraId="74BA6F50" w14:textId="77777777" w:rsidR="003D56DD" w:rsidRPr="00677626" w:rsidRDefault="003D56DD" w:rsidP="006F167D">
            <w:pPr>
              <w:jc w:val="center"/>
              <w:rPr>
                <w:b/>
                <w:sz w:val="16"/>
                <w:szCs w:val="16"/>
              </w:rPr>
            </w:pPr>
            <w:r w:rsidRPr="00677626">
              <w:rPr>
                <w:b/>
                <w:sz w:val="16"/>
                <w:szCs w:val="16"/>
              </w:rPr>
              <w:t>Correlation skin test with oral challenge</w:t>
            </w:r>
          </w:p>
          <w:p w14:paraId="2F4D4481" w14:textId="77777777" w:rsidR="003D56DD" w:rsidRPr="00677626" w:rsidRDefault="003D56DD" w:rsidP="006F167D">
            <w:pPr>
              <w:jc w:val="center"/>
              <w:rPr>
                <w:b/>
                <w:sz w:val="16"/>
                <w:szCs w:val="16"/>
              </w:rPr>
            </w:pPr>
            <w:r w:rsidRPr="00677626">
              <w:rPr>
                <w:b/>
                <w:sz w:val="16"/>
                <w:szCs w:val="16"/>
              </w:rPr>
              <w:t>n (positive; %)</w:t>
            </w:r>
          </w:p>
        </w:tc>
      </w:tr>
      <w:tr w:rsidR="003D56DD" w:rsidRPr="00677626" w14:paraId="2AFEC239" w14:textId="77777777" w:rsidTr="006F167D">
        <w:trPr>
          <w:trHeight w:val="198"/>
        </w:trPr>
        <w:tc>
          <w:tcPr>
            <w:tcW w:w="1693" w:type="dxa"/>
          </w:tcPr>
          <w:p w14:paraId="235D952C" w14:textId="77777777" w:rsidR="003D56DD" w:rsidRPr="00677626" w:rsidRDefault="003D56DD" w:rsidP="006F167D">
            <w:pPr>
              <w:rPr>
                <w:sz w:val="16"/>
                <w:szCs w:val="16"/>
              </w:rPr>
            </w:pPr>
            <w:proofErr w:type="spellStart"/>
            <w:r w:rsidRPr="00677626">
              <w:rPr>
                <w:sz w:val="16"/>
                <w:szCs w:val="16"/>
              </w:rPr>
              <w:t>Assier</w:t>
            </w:r>
            <w:proofErr w:type="spellEnd"/>
            <w:r w:rsidRPr="00677626">
              <w:rPr>
                <w:sz w:val="16"/>
                <w:szCs w:val="16"/>
              </w:rPr>
              <w:t xml:space="preserve"> et al. 2017</w:t>
            </w:r>
          </w:p>
        </w:tc>
        <w:tc>
          <w:tcPr>
            <w:tcW w:w="589" w:type="dxa"/>
            <w:vAlign w:val="center"/>
          </w:tcPr>
          <w:p w14:paraId="583090E0" w14:textId="77777777" w:rsidR="003D56DD" w:rsidRPr="00677626" w:rsidRDefault="003D56DD" w:rsidP="006F167D">
            <w:pPr>
              <w:spacing w:before="2" w:after="2"/>
              <w:jc w:val="center"/>
              <w:rPr>
                <w:sz w:val="16"/>
                <w:szCs w:val="16"/>
              </w:rPr>
            </w:pPr>
            <w:r w:rsidRPr="00677626">
              <w:rPr>
                <w:sz w:val="16"/>
                <w:szCs w:val="16"/>
              </w:rPr>
              <w:t>9</w:t>
            </w:r>
          </w:p>
        </w:tc>
        <w:tc>
          <w:tcPr>
            <w:tcW w:w="825" w:type="dxa"/>
            <w:vAlign w:val="center"/>
          </w:tcPr>
          <w:p w14:paraId="5A32BDAF" w14:textId="77777777" w:rsidR="003D56DD" w:rsidRPr="00677626" w:rsidRDefault="003D56DD" w:rsidP="006F167D">
            <w:pPr>
              <w:jc w:val="center"/>
              <w:rPr>
                <w:rFonts w:ascii="Calibri" w:hAnsi="Calibri"/>
                <w:color w:val="000000"/>
                <w:sz w:val="16"/>
                <w:szCs w:val="16"/>
              </w:rPr>
            </w:pPr>
            <w:r w:rsidRPr="00677626">
              <w:rPr>
                <w:sz w:val="16"/>
                <w:szCs w:val="16"/>
              </w:rPr>
              <w:t>UNK</w:t>
            </w:r>
          </w:p>
        </w:tc>
        <w:tc>
          <w:tcPr>
            <w:tcW w:w="664" w:type="dxa"/>
            <w:vAlign w:val="center"/>
          </w:tcPr>
          <w:p w14:paraId="67A3DA62" w14:textId="77777777" w:rsidR="003D56DD" w:rsidRPr="00677626" w:rsidRDefault="003D56DD" w:rsidP="006F167D">
            <w:pPr>
              <w:jc w:val="center"/>
              <w:rPr>
                <w:sz w:val="16"/>
                <w:szCs w:val="16"/>
              </w:rPr>
            </w:pPr>
            <w:r w:rsidRPr="00677626">
              <w:rPr>
                <w:sz w:val="16"/>
                <w:szCs w:val="16"/>
              </w:rPr>
              <w:t>UNK</w:t>
            </w:r>
          </w:p>
        </w:tc>
        <w:tc>
          <w:tcPr>
            <w:tcW w:w="1024" w:type="dxa"/>
          </w:tcPr>
          <w:p w14:paraId="13FDCC74" w14:textId="77777777" w:rsidR="003D56DD" w:rsidRPr="00677626" w:rsidRDefault="003D56DD" w:rsidP="006F167D">
            <w:pPr>
              <w:jc w:val="center"/>
              <w:rPr>
                <w:sz w:val="16"/>
                <w:szCs w:val="16"/>
              </w:rPr>
            </w:pPr>
            <w:r w:rsidRPr="00677626">
              <w:rPr>
                <w:sz w:val="16"/>
                <w:szCs w:val="16"/>
              </w:rPr>
              <w:t>Various</w:t>
            </w:r>
          </w:p>
        </w:tc>
        <w:tc>
          <w:tcPr>
            <w:tcW w:w="931" w:type="dxa"/>
          </w:tcPr>
          <w:p w14:paraId="0A99325F" w14:textId="77777777" w:rsidR="003D56DD" w:rsidRPr="00677626" w:rsidRDefault="003D56DD" w:rsidP="006F167D">
            <w:pPr>
              <w:jc w:val="center"/>
              <w:rPr>
                <w:sz w:val="16"/>
                <w:szCs w:val="16"/>
              </w:rPr>
            </w:pPr>
            <w:r w:rsidRPr="00677626">
              <w:rPr>
                <w:sz w:val="16"/>
                <w:szCs w:val="16"/>
              </w:rPr>
              <w:t>6 months</w:t>
            </w:r>
          </w:p>
        </w:tc>
        <w:tc>
          <w:tcPr>
            <w:tcW w:w="932" w:type="dxa"/>
            <w:vAlign w:val="center"/>
          </w:tcPr>
          <w:p w14:paraId="322E0AC7"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2B604AD6" w14:textId="77777777" w:rsidR="003D56DD" w:rsidRDefault="003D56DD" w:rsidP="006F167D">
            <w:pPr>
              <w:jc w:val="center"/>
              <w:rPr>
                <w:sz w:val="16"/>
                <w:szCs w:val="16"/>
              </w:rPr>
            </w:pPr>
            <w:r w:rsidRPr="00677626">
              <w:rPr>
                <w:sz w:val="16"/>
                <w:szCs w:val="16"/>
              </w:rPr>
              <w:t xml:space="preserve">9 </w:t>
            </w:r>
          </w:p>
          <w:p w14:paraId="2823C5B7" w14:textId="77777777" w:rsidR="003D56DD" w:rsidRPr="00677626" w:rsidRDefault="003D56DD" w:rsidP="006F167D">
            <w:pPr>
              <w:jc w:val="center"/>
              <w:rPr>
                <w:sz w:val="16"/>
                <w:szCs w:val="16"/>
              </w:rPr>
            </w:pPr>
            <w:r w:rsidRPr="00677626">
              <w:rPr>
                <w:sz w:val="16"/>
                <w:szCs w:val="16"/>
              </w:rPr>
              <w:t>(1; 11.1%)</w:t>
            </w:r>
          </w:p>
        </w:tc>
        <w:tc>
          <w:tcPr>
            <w:tcW w:w="922" w:type="dxa"/>
            <w:vAlign w:val="center"/>
          </w:tcPr>
          <w:p w14:paraId="7F64CC60" w14:textId="77777777" w:rsidR="003D56DD" w:rsidRPr="00677626" w:rsidRDefault="003D56DD" w:rsidP="006F167D">
            <w:pPr>
              <w:jc w:val="center"/>
              <w:rPr>
                <w:sz w:val="16"/>
                <w:szCs w:val="16"/>
              </w:rPr>
            </w:pPr>
            <w:r w:rsidRPr="00677626">
              <w:rPr>
                <w:sz w:val="16"/>
                <w:szCs w:val="16"/>
              </w:rPr>
              <w:t xml:space="preserve">NP </w:t>
            </w:r>
          </w:p>
        </w:tc>
        <w:tc>
          <w:tcPr>
            <w:tcW w:w="996" w:type="dxa"/>
          </w:tcPr>
          <w:p w14:paraId="59018957" w14:textId="77777777" w:rsidR="003D56DD" w:rsidRPr="00677626" w:rsidRDefault="003D56DD" w:rsidP="006F167D">
            <w:pPr>
              <w:jc w:val="center"/>
              <w:rPr>
                <w:sz w:val="16"/>
                <w:szCs w:val="16"/>
              </w:rPr>
            </w:pPr>
          </w:p>
        </w:tc>
      </w:tr>
      <w:tr w:rsidR="003D56DD" w:rsidRPr="00677626" w14:paraId="14DF5374" w14:textId="77777777" w:rsidTr="006F167D">
        <w:trPr>
          <w:trHeight w:val="467"/>
        </w:trPr>
        <w:tc>
          <w:tcPr>
            <w:tcW w:w="1693" w:type="dxa"/>
          </w:tcPr>
          <w:p w14:paraId="0A6DC29A" w14:textId="77777777" w:rsidR="003D56DD" w:rsidRPr="00677626" w:rsidRDefault="003D56DD" w:rsidP="006F167D">
            <w:pPr>
              <w:rPr>
                <w:sz w:val="16"/>
                <w:szCs w:val="16"/>
              </w:rPr>
            </w:pPr>
            <w:proofErr w:type="spellStart"/>
            <w:r w:rsidRPr="00677626">
              <w:rPr>
                <w:sz w:val="16"/>
                <w:szCs w:val="16"/>
              </w:rPr>
              <w:t>Barb</w:t>
            </w:r>
            <w:r>
              <w:rPr>
                <w:sz w:val="16"/>
                <w:szCs w:val="16"/>
              </w:rPr>
              <w:t>a</w:t>
            </w:r>
            <w:r w:rsidRPr="00677626">
              <w:rPr>
                <w:sz w:val="16"/>
                <w:szCs w:val="16"/>
              </w:rPr>
              <w:t>ud</w:t>
            </w:r>
            <w:proofErr w:type="spellEnd"/>
            <w:r w:rsidRPr="00677626">
              <w:rPr>
                <w:sz w:val="16"/>
                <w:szCs w:val="16"/>
              </w:rPr>
              <w:t xml:space="preserve"> et al. 2012</w:t>
            </w:r>
          </w:p>
        </w:tc>
        <w:tc>
          <w:tcPr>
            <w:tcW w:w="589" w:type="dxa"/>
            <w:vAlign w:val="center"/>
          </w:tcPr>
          <w:p w14:paraId="2FCF42C5" w14:textId="77777777" w:rsidR="003D56DD" w:rsidRPr="00677626" w:rsidRDefault="003D56DD" w:rsidP="006F167D">
            <w:pPr>
              <w:spacing w:before="2" w:after="2"/>
              <w:jc w:val="center"/>
              <w:rPr>
                <w:sz w:val="16"/>
                <w:szCs w:val="16"/>
              </w:rPr>
            </w:pPr>
            <w:r w:rsidRPr="00677626">
              <w:rPr>
                <w:sz w:val="16"/>
                <w:szCs w:val="16"/>
              </w:rPr>
              <w:t>72</w:t>
            </w:r>
          </w:p>
        </w:tc>
        <w:tc>
          <w:tcPr>
            <w:tcW w:w="825" w:type="dxa"/>
            <w:vAlign w:val="center"/>
          </w:tcPr>
          <w:p w14:paraId="3D415B94" w14:textId="77777777" w:rsidR="003D56DD" w:rsidRDefault="003D56DD" w:rsidP="006F167D">
            <w:pPr>
              <w:jc w:val="center"/>
              <w:rPr>
                <w:rFonts w:ascii="Calibri" w:hAnsi="Calibri"/>
                <w:color w:val="000000"/>
                <w:sz w:val="16"/>
                <w:szCs w:val="16"/>
              </w:rPr>
            </w:pPr>
            <w:r w:rsidRPr="00677626">
              <w:rPr>
                <w:rFonts w:ascii="Calibri" w:hAnsi="Calibri"/>
                <w:color w:val="000000"/>
                <w:sz w:val="16"/>
                <w:szCs w:val="16"/>
              </w:rPr>
              <w:t xml:space="preserve">51.2 </w:t>
            </w:r>
          </w:p>
          <w:p w14:paraId="0F6318B5"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(17-76)</w:t>
            </w:r>
          </w:p>
        </w:tc>
        <w:tc>
          <w:tcPr>
            <w:tcW w:w="664" w:type="dxa"/>
            <w:vAlign w:val="center"/>
          </w:tcPr>
          <w:p w14:paraId="67B7865B" w14:textId="77777777" w:rsidR="003D56DD" w:rsidRPr="00677626" w:rsidRDefault="003D56DD" w:rsidP="006F167D">
            <w:pPr>
              <w:jc w:val="center"/>
              <w:rPr>
                <w:sz w:val="16"/>
                <w:szCs w:val="16"/>
              </w:rPr>
            </w:pPr>
            <w:r w:rsidRPr="00677626">
              <w:rPr>
                <w:sz w:val="16"/>
                <w:szCs w:val="16"/>
              </w:rPr>
              <w:t>26:46</w:t>
            </w:r>
          </w:p>
        </w:tc>
        <w:tc>
          <w:tcPr>
            <w:tcW w:w="1024" w:type="dxa"/>
          </w:tcPr>
          <w:p w14:paraId="06AA5084" w14:textId="77777777" w:rsidR="003D56DD" w:rsidRPr="00677626" w:rsidRDefault="003D56DD" w:rsidP="006F167D">
            <w:pPr>
              <w:jc w:val="center"/>
              <w:rPr>
                <w:sz w:val="16"/>
                <w:szCs w:val="16"/>
              </w:rPr>
            </w:pPr>
            <w:r w:rsidRPr="00677626">
              <w:rPr>
                <w:sz w:val="16"/>
                <w:szCs w:val="16"/>
              </w:rPr>
              <w:t>Various</w:t>
            </w:r>
          </w:p>
        </w:tc>
        <w:tc>
          <w:tcPr>
            <w:tcW w:w="931" w:type="dxa"/>
          </w:tcPr>
          <w:p w14:paraId="4EDF8A4E"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12 months- 11 years</w:t>
            </w:r>
          </w:p>
        </w:tc>
        <w:tc>
          <w:tcPr>
            <w:tcW w:w="932" w:type="dxa"/>
            <w:vAlign w:val="center"/>
          </w:tcPr>
          <w:p w14:paraId="70C9AE92" w14:textId="77777777" w:rsidR="003D56DD" w:rsidRDefault="003D56DD" w:rsidP="006F167D">
            <w:pPr>
              <w:jc w:val="center"/>
              <w:rPr>
                <w:sz w:val="16"/>
                <w:szCs w:val="16"/>
              </w:rPr>
            </w:pPr>
            <w:r w:rsidRPr="00677626">
              <w:rPr>
                <w:sz w:val="16"/>
                <w:szCs w:val="16"/>
              </w:rPr>
              <w:t>4</w:t>
            </w:r>
          </w:p>
          <w:p w14:paraId="043B07E3" w14:textId="77777777" w:rsidR="003D56DD" w:rsidRPr="00677626" w:rsidRDefault="003D56DD" w:rsidP="006F167D">
            <w:pPr>
              <w:jc w:val="center"/>
              <w:rPr>
                <w:sz w:val="16"/>
                <w:szCs w:val="16"/>
              </w:rPr>
            </w:pPr>
            <w:r w:rsidRPr="00677626">
              <w:rPr>
                <w:sz w:val="16"/>
                <w:szCs w:val="16"/>
              </w:rPr>
              <w:t>(2; 50%)</w:t>
            </w:r>
          </w:p>
        </w:tc>
        <w:tc>
          <w:tcPr>
            <w:tcW w:w="971" w:type="dxa"/>
            <w:vAlign w:val="center"/>
          </w:tcPr>
          <w:p w14:paraId="67AA31DB" w14:textId="77777777" w:rsidR="003D56DD" w:rsidRDefault="003D56DD" w:rsidP="006F167D">
            <w:pPr>
              <w:jc w:val="center"/>
              <w:rPr>
                <w:sz w:val="16"/>
                <w:szCs w:val="16"/>
              </w:rPr>
            </w:pPr>
            <w:r w:rsidRPr="00677626">
              <w:rPr>
                <w:sz w:val="16"/>
                <w:szCs w:val="16"/>
              </w:rPr>
              <w:t xml:space="preserve">72 </w:t>
            </w:r>
          </w:p>
          <w:p w14:paraId="074786B6" w14:textId="77777777" w:rsidR="003D56DD" w:rsidRPr="00677626" w:rsidRDefault="003D56DD" w:rsidP="006F167D">
            <w:pPr>
              <w:jc w:val="center"/>
              <w:rPr>
                <w:sz w:val="16"/>
                <w:szCs w:val="16"/>
              </w:rPr>
            </w:pPr>
            <w:r w:rsidRPr="00677626">
              <w:rPr>
                <w:sz w:val="16"/>
                <w:szCs w:val="16"/>
              </w:rPr>
              <w:t>(46; 63.9%)</w:t>
            </w:r>
          </w:p>
        </w:tc>
        <w:tc>
          <w:tcPr>
            <w:tcW w:w="922" w:type="dxa"/>
            <w:vAlign w:val="center"/>
          </w:tcPr>
          <w:p w14:paraId="5E07BA06" w14:textId="77777777" w:rsidR="003D56DD" w:rsidRDefault="003D56DD" w:rsidP="006F167D">
            <w:pPr>
              <w:jc w:val="center"/>
              <w:rPr>
                <w:sz w:val="16"/>
                <w:szCs w:val="16"/>
              </w:rPr>
            </w:pPr>
            <w:r w:rsidRPr="00677626">
              <w:rPr>
                <w:sz w:val="16"/>
                <w:szCs w:val="16"/>
              </w:rPr>
              <w:t xml:space="preserve">4 </w:t>
            </w:r>
          </w:p>
          <w:p w14:paraId="69786413" w14:textId="77777777" w:rsidR="003D56DD" w:rsidRPr="00677626" w:rsidRDefault="003D56DD" w:rsidP="006F167D">
            <w:pPr>
              <w:jc w:val="center"/>
              <w:rPr>
                <w:sz w:val="16"/>
                <w:szCs w:val="16"/>
              </w:rPr>
            </w:pPr>
            <w:r w:rsidRPr="00677626">
              <w:rPr>
                <w:sz w:val="16"/>
                <w:szCs w:val="16"/>
              </w:rPr>
              <w:t>(3; 75%)</w:t>
            </w:r>
          </w:p>
        </w:tc>
        <w:tc>
          <w:tcPr>
            <w:tcW w:w="996" w:type="dxa"/>
          </w:tcPr>
          <w:p w14:paraId="4AA41C52" w14:textId="77777777" w:rsidR="003D56DD" w:rsidRPr="00677626" w:rsidRDefault="003D56DD" w:rsidP="006F167D">
            <w:pPr>
              <w:jc w:val="center"/>
              <w:rPr>
                <w:sz w:val="16"/>
                <w:szCs w:val="16"/>
              </w:rPr>
            </w:pPr>
          </w:p>
        </w:tc>
      </w:tr>
      <w:tr w:rsidR="003D56DD" w:rsidRPr="00677626" w14:paraId="41FDAABC" w14:textId="77777777" w:rsidTr="006F167D">
        <w:trPr>
          <w:trHeight w:val="232"/>
        </w:trPr>
        <w:tc>
          <w:tcPr>
            <w:tcW w:w="1693" w:type="dxa"/>
          </w:tcPr>
          <w:p w14:paraId="56913E90" w14:textId="77777777" w:rsidR="003D56DD" w:rsidRPr="00677626" w:rsidRDefault="003D56DD" w:rsidP="006F167D">
            <w:pPr>
              <w:rPr>
                <w:sz w:val="16"/>
                <w:szCs w:val="16"/>
              </w:rPr>
            </w:pPr>
            <w:r w:rsidRPr="00677626">
              <w:rPr>
                <w:sz w:val="16"/>
                <w:szCs w:val="16"/>
              </w:rPr>
              <w:t>Ben Mahmoud et al. 2017</w:t>
            </w:r>
          </w:p>
        </w:tc>
        <w:tc>
          <w:tcPr>
            <w:tcW w:w="589" w:type="dxa"/>
            <w:vAlign w:val="center"/>
          </w:tcPr>
          <w:p w14:paraId="1D1A07B6" w14:textId="77777777" w:rsidR="003D56DD" w:rsidRPr="00677626" w:rsidRDefault="003D56DD" w:rsidP="006F167D">
            <w:pPr>
              <w:spacing w:before="2" w:after="2"/>
              <w:jc w:val="center"/>
              <w:rPr>
                <w:sz w:val="16"/>
                <w:szCs w:val="16"/>
              </w:rPr>
            </w:pPr>
            <w:r w:rsidRPr="00677626">
              <w:rPr>
                <w:sz w:val="16"/>
                <w:szCs w:val="16"/>
              </w:rPr>
              <w:t>5</w:t>
            </w:r>
          </w:p>
        </w:tc>
        <w:tc>
          <w:tcPr>
            <w:tcW w:w="825" w:type="dxa"/>
            <w:vAlign w:val="center"/>
          </w:tcPr>
          <w:p w14:paraId="0AA68C17"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UNK</w:t>
            </w:r>
          </w:p>
        </w:tc>
        <w:tc>
          <w:tcPr>
            <w:tcW w:w="664" w:type="dxa"/>
            <w:vAlign w:val="center"/>
          </w:tcPr>
          <w:p w14:paraId="3258FFF6" w14:textId="77777777" w:rsidR="003D56DD" w:rsidRPr="00677626" w:rsidRDefault="003D56DD" w:rsidP="006F167D">
            <w:pPr>
              <w:jc w:val="center"/>
              <w:rPr>
                <w:sz w:val="16"/>
                <w:szCs w:val="16"/>
              </w:rPr>
            </w:pPr>
            <w:r w:rsidRPr="00677626">
              <w:rPr>
                <w:sz w:val="16"/>
                <w:szCs w:val="16"/>
              </w:rPr>
              <w:t>UNK</w:t>
            </w:r>
          </w:p>
        </w:tc>
        <w:tc>
          <w:tcPr>
            <w:tcW w:w="1024" w:type="dxa"/>
          </w:tcPr>
          <w:p w14:paraId="1B603D49" w14:textId="77777777" w:rsidR="003D56DD" w:rsidRPr="00677626" w:rsidRDefault="003D56DD" w:rsidP="006F167D">
            <w:pPr>
              <w:jc w:val="center"/>
              <w:rPr>
                <w:sz w:val="16"/>
                <w:szCs w:val="16"/>
              </w:rPr>
            </w:pPr>
            <w:r w:rsidRPr="00677626">
              <w:rPr>
                <w:sz w:val="16"/>
                <w:szCs w:val="16"/>
              </w:rPr>
              <w:t>AED</w:t>
            </w:r>
          </w:p>
        </w:tc>
        <w:tc>
          <w:tcPr>
            <w:tcW w:w="931" w:type="dxa"/>
          </w:tcPr>
          <w:p w14:paraId="561BE6D8"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UNK</w:t>
            </w:r>
            <w:r w:rsidRPr="003A5EAF">
              <w:rPr>
                <w:sz w:val="20"/>
                <w:szCs w:val="20"/>
                <w:vertAlign w:val="superscript"/>
              </w:rPr>
              <w:t>†</w:t>
            </w:r>
          </w:p>
        </w:tc>
        <w:tc>
          <w:tcPr>
            <w:tcW w:w="932" w:type="dxa"/>
            <w:vAlign w:val="center"/>
          </w:tcPr>
          <w:p w14:paraId="0773D7B2"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0226785F" w14:textId="77777777" w:rsidR="003D56DD" w:rsidRDefault="003D56DD" w:rsidP="006F167D">
            <w:pPr>
              <w:jc w:val="center"/>
              <w:rPr>
                <w:sz w:val="16"/>
                <w:szCs w:val="16"/>
              </w:rPr>
            </w:pPr>
            <w:r w:rsidRPr="00677626">
              <w:rPr>
                <w:sz w:val="16"/>
                <w:szCs w:val="16"/>
              </w:rPr>
              <w:t xml:space="preserve">5 </w:t>
            </w:r>
          </w:p>
          <w:p w14:paraId="18E48A8A" w14:textId="77777777" w:rsidR="003D56DD" w:rsidRPr="00677626" w:rsidRDefault="003D56DD" w:rsidP="006F167D">
            <w:pPr>
              <w:jc w:val="center"/>
              <w:rPr>
                <w:sz w:val="16"/>
                <w:szCs w:val="16"/>
              </w:rPr>
            </w:pPr>
            <w:r w:rsidRPr="00677626">
              <w:rPr>
                <w:sz w:val="16"/>
                <w:szCs w:val="16"/>
              </w:rPr>
              <w:t>(5; 100%)</w:t>
            </w:r>
          </w:p>
        </w:tc>
        <w:tc>
          <w:tcPr>
            <w:tcW w:w="922" w:type="dxa"/>
            <w:vAlign w:val="center"/>
          </w:tcPr>
          <w:p w14:paraId="12A38231" w14:textId="77777777" w:rsidR="003D56DD" w:rsidRPr="00677626" w:rsidRDefault="003D56DD" w:rsidP="006F167D">
            <w:pPr>
              <w:jc w:val="center"/>
              <w:rPr>
                <w:sz w:val="16"/>
                <w:szCs w:val="16"/>
              </w:rPr>
            </w:pPr>
            <w:r w:rsidRPr="00677626">
              <w:rPr>
                <w:sz w:val="16"/>
                <w:szCs w:val="16"/>
              </w:rPr>
              <w:t>NP</w:t>
            </w:r>
          </w:p>
        </w:tc>
        <w:tc>
          <w:tcPr>
            <w:tcW w:w="996" w:type="dxa"/>
          </w:tcPr>
          <w:p w14:paraId="25C642CE" w14:textId="77777777" w:rsidR="003D56DD" w:rsidRPr="00677626" w:rsidRDefault="003D56DD" w:rsidP="006F167D">
            <w:pPr>
              <w:jc w:val="center"/>
              <w:rPr>
                <w:sz w:val="16"/>
                <w:szCs w:val="16"/>
              </w:rPr>
            </w:pPr>
          </w:p>
        </w:tc>
      </w:tr>
      <w:tr w:rsidR="003D56DD" w:rsidRPr="00677626" w14:paraId="503CF7C8" w14:textId="77777777" w:rsidTr="006F167D">
        <w:trPr>
          <w:trHeight w:val="344"/>
        </w:trPr>
        <w:tc>
          <w:tcPr>
            <w:tcW w:w="1693" w:type="dxa"/>
            <w:vAlign w:val="bottom"/>
          </w:tcPr>
          <w:p w14:paraId="3B8BB63B" w14:textId="77777777" w:rsidR="003D56DD" w:rsidRPr="00677626" w:rsidRDefault="003D56DD" w:rsidP="006F167D">
            <w:pPr>
              <w:rPr>
                <w:rFonts w:ascii="Calibri" w:hAnsi="Calibri"/>
                <w:color w:val="000000"/>
                <w:sz w:val="16"/>
                <w:szCs w:val="16"/>
              </w:rPr>
            </w:pPr>
            <w:r w:rsidRPr="00677626">
              <w:rPr>
                <w:rFonts w:ascii="Calibri" w:hAnsi="Calibri"/>
                <w:color w:val="000000"/>
                <w:sz w:val="16"/>
                <w:szCs w:val="16"/>
              </w:rPr>
              <w:t>Ben-Said et al.  2015</w:t>
            </w:r>
          </w:p>
        </w:tc>
        <w:tc>
          <w:tcPr>
            <w:tcW w:w="589" w:type="dxa"/>
            <w:vAlign w:val="center"/>
          </w:tcPr>
          <w:p w14:paraId="79DAB74B" w14:textId="77777777" w:rsidR="003D56DD" w:rsidRPr="00677626" w:rsidRDefault="003D56DD" w:rsidP="006F167D">
            <w:pPr>
              <w:spacing w:before="2" w:after="2"/>
              <w:jc w:val="center"/>
              <w:rPr>
                <w:sz w:val="16"/>
                <w:szCs w:val="16"/>
              </w:rPr>
            </w:pPr>
            <w:r w:rsidRPr="00677626">
              <w:rPr>
                <w:sz w:val="16"/>
                <w:szCs w:val="16"/>
              </w:rPr>
              <w:t>10</w:t>
            </w:r>
          </w:p>
        </w:tc>
        <w:tc>
          <w:tcPr>
            <w:tcW w:w="825" w:type="dxa"/>
            <w:vAlign w:val="center"/>
          </w:tcPr>
          <w:p w14:paraId="56B6AB7C"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UNK</w:t>
            </w:r>
          </w:p>
        </w:tc>
        <w:tc>
          <w:tcPr>
            <w:tcW w:w="664" w:type="dxa"/>
            <w:vAlign w:val="center"/>
          </w:tcPr>
          <w:p w14:paraId="38DD9BF9" w14:textId="77777777" w:rsidR="003D56DD" w:rsidRPr="00677626" w:rsidRDefault="003D56DD" w:rsidP="006F167D">
            <w:pPr>
              <w:jc w:val="center"/>
              <w:rPr>
                <w:sz w:val="16"/>
                <w:szCs w:val="16"/>
              </w:rPr>
            </w:pPr>
            <w:r w:rsidRPr="00677626">
              <w:rPr>
                <w:sz w:val="16"/>
                <w:szCs w:val="16"/>
              </w:rPr>
              <w:t>5:5</w:t>
            </w:r>
          </w:p>
        </w:tc>
        <w:tc>
          <w:tcPr>
            <w:tcW w:w="1024" w:type="dxa"/>
          </w:tcPr>
          <w:p w14:paraId="28B576D3" w14:textId="77777777" w:rsidR="003D56DD" w:rsidRPr="00677626" w:rsidRDefault="003D56DD" w:rsidP="006F167D">
            <w:pPr>
              <w:jc w:val="center"/>
              <w:rPr>
                <w:sz w:val="16"/>
                <w:szCs w:val="16"/>
              </w:rPr>
            </w:pPr>
            <w:r w:rsidRPr="00677626">
              <w:rPr>
                <w:sz w:val="16"/>
                <w:szCs w:val="16"/>
              </w:rPr>
              <w:t>Antibiotics</w:t>
            </w:r>
          </w:p>
        </w:tc>
        <w:tc>
          <w:tcPr>
            <w:tcW w:w="931" w:type="dxa"/>
          </w:tcPr>
          <w:p w14:paraId="549C4E8C"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4 weeks after resolution</w:t>
            </w:r>
          </w:p>
        </w:tc>
        <w:tc>
          <w:tcPr>
            <w:tcW w:w="932" w:type="dxa"/>
            <w:vAlign w:val="center"/>
          </w:tcPr>
          <w:p w14:paraId="0B7E3F28"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0549A366" w14:textId="77777777" w:rsidR="003D56DD" w:rsidRDefault="003D56DD" w:rsidP="006F167D">
            <w:pPr>
              <w:jc w:val="center"/>
              <w:rPr>
                <w:sz w:val="16"/>
                <w:szCs w:val="16"/>
              </w:rPr>
            </w:pPr>
            <w:r w:rsidRPr="00677626">
              <w:rPr>
                <w:sz w:val="16"/>
                <w:szCs w:val="16"/>
              </w:rPr>
              <w:t xml:space="preserve">10 </w:t>
            </w:r>
          </w:p>
          <w:p w14:paraId="750E2691" w14:textId="77777777" w:rsidR="003D56DD" w:rsidRPr="00677626" w:rsidRDefault="003D56DD" w:rsidP="006F167D">
            <w:pPr>
              <w:jc w:val="center"/>
              <w:rPr>
                <w:sz w:val="16"/>
                <w:szCs w:val="16"/>
              </w:rPr>
            </w:pPr>
            <w:r w:rsidRPr="00677626">
              <w:rPr>
                <w:sz w:val="16"/>
                <w:szCs w:val="16"/>
              </w:rPr>
              <w:t>(9; 90%)</w:t>
            </w:r>
          </w:p>
        </w:tc>
        <w:tc>
          <w:tcPr>
            <w:tcW w:w="922" w:type="dxa"/>
            <w:vAlign w:val="center"/>
          </w:tcPr>
          <w:p w14:paraId="3AEA7074" w14:textId="77777777" w:rsidR="003D56DD" w:rsidRPr="00677626" w:rsidRDefault="003D56DD" w:rsidP="006F167D">
            <w:pPr>
              <w:jc w:val="center"/>
              <w:rPr>
                <w:sz w:val="16"/>
                <w:szCs w:val="16"/>
              </w:rPr>
            </w:pPr>
            <w:r w:rsidRPr="00677626">
              <w:rPr>
                <w:sz w:val="16"/>
                <w:szCs w:val="16"/>
              </w:rPr>
              <w:t>NP</w:t>
            </w:r>
          </w:p>
        </w:tc>
        <w:tc>
          <w:tcPr>
            <w:tcW w:w="996" w:type="dxa"/>
          </w:tcPr>
          <w:p w14:paraId="4EE8DBA5" w14:textId="77777777" w:rsidR="003D56DD" w:rsidRDefault="003D56DD" w:rsidP="006F167D">
            <w:pPr>
              <w:jc w:val="center"/>
              <w:rPr>
                <w:sz w:val="16"/>
                <w:szCs w:val="16"/>
              </w:rPr>
            </w:pPr>
            <w:r w:rsidRPr="00677626">
              <w:rPr>
                <w:sz w:val="16"/>
                <w:szCs w:val="16"/>
              </w:rPr>
              <w:t xml:space="preserve">1 </w:t>
            </w:r>
          </w:p>
          <w:p w14:paraId="563F2A0C" w14:textId="77777777" w:rsidR="003D56DD" w:rsidRPr="00677626" w:rsidRDefault="003D56DD" w:rsidP="006F167D">
            <w:pPr>
              <w:jc w:val="center"/>
              <w:rPr>
                <w:sz w:val="16"/>
                <w:szCs w:val="16"/>
              </w:rPr>
            </w:pPr>
            <w:r w:rsidRPr="00677626">
              <w:rPr>
                <w:sz w:val="16"/>
                <w:szCs w:val="16"/>
              </w:rPr>
              <w:t>(1; 100%)</w:t>
            </w:r>
          </w:p>
        </w:tc>
      </w:tr>
      <w:tr w:rsidR="003D56DD" w:rsidRPr="00677626" w14:paraId="02DCF6C1" w14:textId="77777777" w:rsidTr="006F167D">
        <w:trPr>
          <w:trHeight w:val="327"/>
        </w:trPr>
        <w:tc>
          <w:tcPr>
            <w:tcW w:w="1693" w:type="dxa"/>
            <w:vAlign w:val="bottom"/>
          </w:tcPr>
          <w:p w14:paraId="4DFAA34D" w14:textId="77777777" w:rsidR="003D56DD" w:rsidRPr="00677626" w:rsidRDefault="003D56DD" w:rsidP="006F167D">
            <w:pPr>
              <w:spacing w:after="160" w:line="259" w:lineRule="auto"/>
              <w:rPr>
                <w:rFonts w:ascii="Calibri" w:hAnsi="Calibri"/>
                <w:color w:val="000000"/>
                <w:sz w:val="16"/>
                <w:szCs w:val="16"/>
              </w:rPr>
            </w:pPr>
            <w:proofErr w:type="spellStart"/>
            <w:r w:rsidRPr="00677626">
              <w:rPr>
                <w:rFonts w:ascii="Calibri" w:hAnsi="Calibri"/>
                <w:color w:val="000000"/>
                <w:sz w:val="16"/>
                <w:szCs w:val="16"/>
              </w:rPr>
              <w:t>Br</w:t>
            </w:r>
            <w:r>
              <w:rPr>
                <w:rFonts w:ascii="Calibri" w:hAnsi="Calibri"/>
                <w:color w:val="000000"/>
                <w:sz w:val="16"/>
                <w:szCs w:val="16"/>
              </w:rPr>
              <w:t>ég</w:t>
            </w:r>
            <w:r w:rsidRPr="00677626">
              <w:rPr>
                <w:rFonts w:ascii="Calibri" w:hAnsi="Calibri"/>
                <w:color w:val="000000"/>
                <w:sz w:val="16"/>
                <w:szCs w:val="16"/>
              </w:rPr>
              <w:t>eon</w:t>
            </w:r>
            <w:proofErr w:type="spellEnd"/>
            <w:r w:rsidRPr="00677626">
              <w:rPr>
                <w:rFonts w:ascii="Calibri" w:hAnsi="Calibri"/>
                <w:color w:val="000000"/>
                <w:sz w:val="16"/>
                <w:szCs w:val="16"/>
              </w:rPr>
              <w:t xml:space="preserve"> et al. 2019</w:t>
            </w:r>
          </w:p>
        </w:tc>
        <w:tc>
          <w:tcPr>
            <w:tcW w:w="589" w:type="dxa"/>
            <w:vAlign w:val="center"/>
          </w:tcPr>
          <w:p w14:paraId="23578D2D" w14:textId="77777777" w:rsidR="003D56DD" w:rsidRPr="00677626" w:rsidRDefault="003D56DD" w:rsidP="006F167D">
            <w:pPr>
              <w:spacing w:before="2" w:after="2"/>
              <w:jc w:val="center"/>
              <w:rPr>
                <w:sz w:val="16"/>
                <w:szCs w:val="16"/>
              </w:rPr>
            </w:pPr>
            <w:r w:rsidRPr="00677626">
              <w:rPr>
                <w:sz w:val="16"/>
                <w:szCs w:val="16"/>
              </w:rPr>
              <w:t>11</w:t>
            </w:r>
          </w:p>
        </w:tc>
        <w:tc>
          <w:tcPr>
            <w:tcW w:w="825" w:type="dxa"/>
            <w:vAlign w:val="center"/>
          </w:tcPr>
          <w:p w14:paraId="70CFC6C5" w14:textId="77777777" w:rsidR="003D56DD" w:rsidRDefault="003D56DD" w:rsidP="006F167D">
            <w:pPr>
              <w:jc w:val="center"/>
              <w:rPr>
                <w:sz w:val="16"/>
                <w:szCs w:val="16"/>
              </w:rPr>
            </w:pPr>
            <w:r w:rsidRPr="00677626">
              <w:rPr>
                <w:sz w:val="16"/>
                <w:szCs w:val="16"/>
              </w:rPr>
              <w:t xml:space="preserve">62.7 </w:t>
            </w:r>
          </w:p>
          <w:p w14:paraId="6E096215" w14:textId="77777777" w:rsidR="003D56DD" w:rsidRPr="00677626" w:rsidRDefault="003D56DD" w:rsidP="006F167D">
            <w:pPr>
              <w:jc w:val="center"/>
              <w:rPr>
                <w:sz w:val="16"/>
                <w:szCs w:val="16"/>
              </w:rPr>
            </w:pPr>
            <w:r w:rsidRPr="00677626">
              <w:rPr>
                <w:sz w:val="16"/>
                <w:szCs w:val="16"/>
              </w:rPr>
              <w:t>(34-81)</w:t>
            </w:r>
          </w:p>
        </w:tc>
        <w:tc>
          <w:tcPr>
            <w:tcW w:w="664" w:type="dxa"/>
            <w:vAlign w:val="center"/>
          </w:tcPr>
          <w:p w14:paraId="7904BCD5" w14:textId="77777777" w:rsidR="003D56DD" w:rsidRPr="00677626" w:rsidRDefault="003D56DD" w:rsidP="006F167D">
            <w:pPr>
              <w:jc w:val="center"/>
              <w:rPr>
                <w:sz w:val="16"/>
                <w:szCs w:val="16"/>
              </w:rPr>
            </w:pPr>
            <w:r w:rsidRPr="00677626">
              <w:rPr>
                <w:sz w:val="16"/>
                <w:szCs w:val="16"/>
              </w:rPr>
              <w:t>3:8</w:t>
            </w:r>
          </w:p>
        </w:tc>
        <w:tc>
          <w:tcPr>
            <w:tcW w:w="1024" w:type="dxa"/>
          </w:tcPr>
          <w:p w14:paraId="45CD254C" w14:textId="77777777" w:rsidR="003D56DD" w:rsidRPr="00677626" w:rsidRDefault="003D56DD" w:rsidP="006F167D">
            <w:pPr>
              <w:jc w:val="center"/>
              <w:rPr>
                <w:sz w:val="16"/>
                <w:szCs w:val="16"/>
              </w:rPr>
            </w:pPr>
            <w:r w:rsidRPr="00677626">
              <w:rPr>
                <w:sz w:val="16"/>
                <w:szCs w:val="16"/>
              </w:rPr>
              <w:t>Chemotherapy</w:t>
            </w:r>
          </w:p>
        </w:tc>
        <w:tc>
          <w:tcPr>
            <w:tcW w:w="931" w:type="dxa"/>
          </w:tcPr>
          <w:p w14:paraId="6A1CC06E" w14:textId="77777777" w:rsidR="003D56DD" w:rsidRPr="00677626" w:rsidRDefault="003D56DD" w:rsidP="006F167D">
            <w:pPr>
              <w:jc w:val="center"/>
              <w:rPr>
                <w:sz w:val="16"/>
                <w:szCs w:val="16"/>
              </w:rPr>
            </w:pPr>
            <w:r w:rsidRPr="00677626">
              <w:rPr>
                <w:sz w:val="16"/>
                <w:szCs w:val="16"/>
              </w:rPr>
              <w:t>UNK</w:t>
            </w:r>
          </w:p>
        </w:tc>
        <w:tc>
          <w:tcPr>
            <w:tcW w:w="932" w:type="dxa"/>
            <w:vAlign w:val="center"/>
          </w:tcPr>
          <w:p w14:paraId="6C0F2469"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1BF4B1EE" w14:textId="77777777" w:rsidR="003D56DD" w:rsidRDefault="003D56DD" w:rsidP="006F167D">
            <w:pPr>
              <w:jc w:val="center"/>
              <w:rPr>
                <w:sz w:val="16"/>
                <w:szCs w:val="16"/>
              </w:rPr>
            </w:pPr>
            <w:r w:rsidRPr="00677626">
              <w:rPr>
                <w:sz w:val="16"/>
                <w:szCs w:val="16"/>
              </w:rPr>
              <w:t xml:space="preserve">3 </w:t>
            </w:r>
          </w:p>
          <w:p w14:paraId="155AAC97" w14:textId="77777777" w:rsidR="003D56DD" w:rsidRPr="00677626" w:rsidRDefault="003D56DD" w:rsidP="006F167D">
            <w:pPr>
              <w:jc w:val="center"/>
              <w:rPr>
                <w:sz w:val="16"/>
                <w:szCs w:val="16"/>
              </w:rPr>
            </w:pPr>
            <w:r w:rsidRPr="00677626">
              <w:rPr>
                <w:sz w:val="16"/>
                <w:szCs w:val="16"/>
              </w:rPr>
              <w:t>(0; 0%)</w:t>
            </w:r>
          </w:p>
        </w:tc>
        <w:tc>
          <w:tcPr>
            <w:tcW w:w="922" w:type="dxa"/>
            <w:vAlign w:val="center"/>
          </w:tcPr>
          <w:p w14:paraId="529BC803" w14:textId="77777777" w:rsidR="003D56DD" w:rsidRPr="00677626" w:rsidRDefault="003D56DD" w:rsidP="006F167D">
            <w:pPr>
              <w:jc w:val="center"/>
              <w:rPr>
                <w:sz w:val="16"/>
                <w:szCs w:val="16"/>
              </w:rPr>
            </w:pPr>
            <w:r w:rsidRPr="00677626">
              <w:rPr>
                <w:sz w:val="16"/>
                <w:szCs w:val="16"/>
              </w:rPr>
              <w:t>NP</w:t>
            </w:r>
          </w:p>
        </w:tc>
        <w:tc>
          <w:tcPr>
            <w:tcW w:w="996" w:type="dxa"/>
          </w:tcPr>
          <w:p w14:paraId="3D550CE8" w14:textId="77777777" w:rsidR="003D56DD" w:rsidRPr="00677626" w:rsidRDefault="003D56DD" w:rsidP="006F167D">
            <w:pPr>
              <w:jc w:val="center"/>
              <w:rPr>
                <w:sz w:val="16"/>
                <w:szCs w:val="16"/>
              </w:rPr>
            </w:pPr>
          </w:p>
        </w:tc>
      </w:tr>
      <w:tr w:rsidR="003D56DD" w:rsidRPr="00677626" w14:paraId="721A24B9" w14:textId="77777777" w:rsidTr="006F167D">
        <w:trPr>
          <w:trHeight w:val="327"/>
        </w:trPr>
        <w:tc>
          <w:tcPr>
            <w:tcW w:w="1693" w:type="dxa"/>
            <w:vAlign w:val="bottom"/>
          </w:tcPr>
          <w:p w14:paraId="71F2EEC0" w14:textId="77777777" w:rsidR="003D56DD" w:rsidRPr="00677626" w:rsidRDefault="003D56DD" w:rsidP="006F167D">
            <w:pPr>
              <w:rPr>
                <w:rFonts w:ascii="Calibri" w:hAnsi="Calibri"/>
                <w:color w:val="000000"/>
                <w:sz w:val="16"/>
                <w:szCs w:val="16"/>
              </w:rPr>
            </w:pPr>
            <w:r>
              <w:rPr>
                <w:rFonts w:ascii="Calibri" w:hAnsi="Calibri"/>
                <w:color w:val="000000"/>
                <w:sz w:val="16"/>
                <w:szCs w:val="16"/>
              </w:rPr>
              <w:t>Cabañas et al. 2014</w:t>
            </w:r>
          </w:p>
        </w:tc>
        <w:tc>
          <w:tcPr>
            <w:tcW w:w="589" w:type="dxa"/>
            <w:vAlign w:val="center"/>
          </w:tcPr>
          <w:p w14:paraId="0FBE3524" w14:textId="77777777" w:rsidR="003D56DD" w:rsidRPr="00677626" w:rsidRDefault="003D56DD" w:rsidP="006F167D">
            <w:pPr>
              <w:spacing w:before="2" w:after="2"/>
              <w:jc w:val="center"/>
              <w:rPr>
                <w:sz w:val="16"/>
                <w:szCs w:val="16"/>
              </w:rPr>
            </w:pPr>
            <w:r>
              <w:rPr>
                <w:sz w:val="16"/>
                <w:szCs w:val="16"/>
              </w:rPr>
              <w:t>8</w:t>
            </w:r>
          </w:p>
        </w:tc>
        <w:tc>
          <w:tcPr>
            <w:tcW w:w="825" w:type="dxa"/>
            <w:vAlign w:val="center"/>
          </w:tcPr>
          <w:p w14:paraId="0F09542A" w14:textId="77777777" w:rsidR="003D56DD" w:rsidRDefault="003D56DD" w:rsidP="006F167D">
            <w:pPr>
              <w:jc w:val="center"/>
              <w:rPr>
                <w:sz w:val="16"/>
                <w:szCs w:val="16"/>
              </w:rPr>
            </w:pPr>
            <w:r>
              <w:rPr>
                <w:sz w:val="16"/>
                <w:szCs w:val="16"/>
              </w:rPr>
              <w:t>62.7</w:t>
            </w:r>
          </w:p>
          <w:p w14:paraId="73EE7791" w14:textId="77777777" w:rsidR="003D56DD" w:rsidRPr="00677626" w:rsidRDefault="003D56DD" w:rsidP="006F167D">
            <w:pPr>
              <w:jc w:val="center"/>
              <w:rPr>
                <w:sz w:val="16"/>
                <w:szCs w:val="16"/>
              </w:rPr>
            </w:pPr>
            <w:r>
              <w:rPr>
                <w:sz w:val="16"/>
                <w:szCs w:val="16"/>
              </w:rPr>
              <w:t>(39-83)</w:t>
            </w:r>
          </w:p>
        </w:tc>
        <w:tc>
          <w:tcPr>
            <w:tcW w:w="664" w:type="dxa"/>
            <w:vAlign w:val="center"/>
          </w:tcPr>
          <w:p w14:paraId="1E6DEB3E" w14:textId="77777777" w:rsidR="003D56DD" w:rsidRPr="00677626" w:rsidRDefault="003D56DD" w:rsidP="006F167D">
            <w:pPr>
              <w:jc w:val="center"/>
              <w:rPr>
                <w:sz w:val="16"/>
                <w:szCs w:val="16"/>
              </w:rPr>
            </w:pPr>
            <w:r>
              <w:rPr>
                <w:sz w:val="16"/>
                <w:szCs w:val="16"/>
              </w:rPr>
              <w:t>5:3</w:t>
            </w:r>
          </w:p>
        </w:tc>
        <w:tc>
          <w:tcPr>
            <w:tcW w:w="1024" w:type="dxa"/>
          </w:tcPr>
          <w:p w14:paraId="79E65CD9" w14:textId="77777777" w:rsidR="003D56DD" w:rsidRPr="00677626" w:rsidRDefault="003D56DD" w:rsidP="006F167D">
            <w:pPr>
              <w:jc w:val="center"/>
              <w:rPr>
                <w:sz w:val="16"/>
                <w:szCs w:val="16"/>
              </w:rPr>
            </w:pPr>
            <w:r>
              <w:rPr>
                <w:sz w:val="16"/>
                <w:szCs w:val="16"/>
              </w:rPr>
              <w:t>Antibiotics</w:t>
            </w:r>
          </w:p>
        </w:tc>
        <w:tc>
          <w:tcPr>
            <w:tcW w:w="931" w:type="dxa"/>
          </w:tcPr>
          <w:p w14:paraId="1584DAEF" w14:textId="77777777" w:rsidR="003D56DD" w:rsidRPr="00677626" w:rsidRDefault="003D56DD" w:rsidP="006F167D">
            <w:pPr>
              <w:jc w:val="center"/>
              <w:rPr>
                <w:sz w:val="16"/>
                <w:szCs w:val="16"/>
              </w:rPr>
            </w:pPr>
            <w:r>
              <w:rPr>
                <w:sz w:val="16"/>
                <w:szCs w:val="16"/>
              </w:rPr>
              <w:t>4 weeks after resolution</w:t>
            </w:r>
          </w:p>
        </w:tc>
        <w:tc>
          <w:tcPr>
            <w:tcW w:w="932" w:type="dxa"/>
            <w:vAlign w:val="center"/>
          </w:tcPr>
          <w:p w14:paraId="24CFBE18" w14:textId="77777777" w:rsidR="003D56DD" w:rsidRPr="00677626" w:rsidRDefault="003D56DD" w:rsidP="003A5EAF">
            <w:pPr>
              <w:jc w:val="center"/>
              <w:rPr>
                <w:sz w:val="16"/>
                <w:szCs w:val="16"/>
              </w:rPr>
            </w:pPr>
            <w:r>
              <w:rPr>
                <w:sz w:val="16"/>
                <w:szCs w:val="16"/>
              </w:rPr>
              <w:t>UNK</w:t>
            </w:r>
            <w:r>
              <w:rPr>
                <w:sz w:val="16"/>
                <w:szCs w:val="16"/>
                <w:vertAlign w:val="superscript"/>
              </w:rPr>
              <w:t>Δ</w:t>
            </w:r>
          </w:p>
        </w:tc>
        <w:tc>
          <w:tcPr>
            <w:tcW w:w="971" w:type="dxa"/>
            <w:vAlign w:val="center"/>
          </w:tcPr>
          <w:p w14:paraId="50BC6C32" w14:textId="77777777" w:rsidR="003D56DD" w:rsidRDefault="003D56DD" w:rsidP="006F167D">
            <w:pPr>
              <w:jc w:val="center"/>
              <w:rPr>
                <w:sz w:val="16"/>
                <w:szCs w:val="16"/>
              </w:rPr>
            </w:pPr>
            <w:r>
              <w:rPr>
                <w:sz w:val="16"/>
                <w:szCs w:val="16"/>
              </w:rPr>
              <w:t>4</w:t>
            </w:r>
          </w:p>
          <w:p w14:paraId="678F8CF5" w14:textId="77777777" w:rsidR="003D56DD" w:rsidRPr="00677626" w:rsidRDefault="003D56DD" w:rsidP="006F167D">
            <w:pPr>
              <w:jc w:val="center"/>
              <w:rPr>
                <w:sz w:val="16"/>
                <w:szCs w:val="16"/>
              </w:rPr>
            </w:pPr>
            <w:r>
              <w:rPr>
                <w:sz w:val="16"/>
                <w:szCs w:val="16"/>
              </w:rPr>
              <w:t>(1; 25%)</w:t>
            </w:r>
          </w:p>
        </w:tc>
        <w:tc>
          <w:tcPr>
            <w:tcW w:w="922" w:type="dxa"/>
            <w:vAlign w:val="center"/>
          </w:tcPr>
          <w:p w14:paraId="091F8832" w14:textId="77777777" w:rsidR="003D56DD" w:rsidRDefault="003D56DD" w:rsidP="006F167D">
            <w:pPr>
              <w:jc w:val="center"/>
              <w:rPr>
                <w:sz w:val="16"/>
                <w:szCs w:val="16"/>
              </w:rPr>
            </w:pPr>
            <w:r>
              <w:rPr>
                <w:sz w:val="16"/>
                <w:szCs w:val="16"/>
              </w:rPr>
              <w:t>4</w:t>
            </w:r>
          </w:p>
          <w:p w14:paraId="19B89CF0" w14:textId="77777777" w:rsidR="003D56DD" w:rsidRPr="00677626" w:rsidRDefault="003D56DD" w:rsidP="006F167D">
            <w:pPr>
              <w:jc w:val="center"/>
              <w:rPr>
                <w:sz w:val="16"/>
                <w:szCs w:val="16"/>
              </w:rPr>
            </w:pPr>
            <w:r>
              <w:rPr>
                <w:sz w:val="16"/>
                <w:szCs w:val="16"/>
              </w:rPr>
              <w:t>(3; 75%)</w:t>
            </w:r>
          </w:p>
        </w:tc>
        <w:tc>
          <w:tcPr>
            <w:tcW w:w="996" w:type="dxa"/>
          </w:tcPr>
          <w:p w14:paraId="5A69748F" w14:textId="77777777" w:rsidR="003D56DD" w:rsidRDefault="003D56DD" w:rsidP="006F167D">
            <w:pPr>
              <w:jc w:val="center"/>
              <w:rPr>
                <w:sz w:val="16"/>
                <w:szCs w:val="16"/>
              </w:rPr>
            </w:pPr>
            <w:r>
              <w:rPr>
                <w:sz w:val="16"/>
                <w:szCs w:val="16"/>
              </w:rPr>
              <w:t>1</w:t>
            </w:r>
          </w:p>
          <w:p w14:paraId="1AA975D5" w14:textId="77777777" w:rsidR="003D56DD" w:rsidRPr="00677626" w:rsidRDefault="003D56DD" w:rsidP="006F167D">
            <w:pPr>
              <w:jc w:val="center"/>
              <w:rPr>
                <w:sz w:val="16"/>
                <w:szCs w:val="16"/>
              </w:rPr>
            </w:pPr>
            <w:r>
              <w:rPr>
                <w:sz w:val="16"/>
                <w:szCs w:val="16"/>
              </w:rPr>
              <w:t>(1; 100%)</w:t>
            </w:r>
          </w:p>
        </w:tc>
      </w:tr>
      <w:tr w:rsidR="003D56DD" w:rsidRPr="00677626" w14:paraId="59266E59" w14:textId="77777777" w:rsidTr="006F167D">
        <w:trPr>
          <w:trHeight w:val="308"/>
        </w:trPr>
        <w:tc>
          <w:tcPr>
            <w:tcW w:w="1693" w:type="dxa"/>
            <w:vAlign w:val="bottom"/>
          </w:tcPr>
          <w:p w14:paraId="6FFFBDD2" w14:textId="77777777" w:rsidR="003D56DD" w:rsidRPr="00677626" w:rsidRDefault="003D56DD" w:rsidP="006F167D">
            <w:pPr>
              <w:spacing w:after="160" w:line="259" w:lineRule="auto"/>
              <w:rPr>
                <w:rFonts w:ascii="Calibri" w:hAnsi="Calibri"/>
                <w:sz w:val="16"/>
                <w:szCs w:val="16"/>
              </w:rPr>
            </w:pPr>
            <w:proofErr w:type="spellStart"/>
            <w:r w:rsidRPr="00677626">
              <w:rPr>
                <w:rFonts w:ascii="Calibri" w:hAnsi="Calibri"/>
                <w:sz w:val="16"/>
                <w:szCs w:val="16"/>
              </w:rPr>
              <w:t>Daveluy</w:t>
            </w:r>
            <w:proofErr w:type="spellEnd"/>
            <w:r w:rsidRPr="00677626">
              <w:rPr>
                <w:rFonts w:ascii="Calibri" w:hAnsi="Calibri"/>
                <w:sz w:val="16"/>
                <w:szCs w:val="16"/>
              </w:rPr>
              <w:t xml:space="preserve"> et al. 2011</w:t>
            </w:r>
            <w:r w:rsidRPr="003A5EAF">
              <w:rPr>
                <w:rFonts w:ascii="Calibri" w:hAnsi="Calibri"/>
                <w:sz w:val="16"/>
                <w:szCs w:val="16"/>
                <w:vertAlign w:val="superscript"/>
              </w:rPr>
              <w:t>‡</w:t>
            </w:r>
          </w:p>
        </w:tc>
        <w:tc>
          <w:tcPr>
            <w:tcW w:w="589" w:type="dxa"/>
            <w:vAlign w:val="center"/>
          </w:tcPr>
          <w:p w14:paraId="412221CB" w14:textId="77777777" w:rsidR="003D56DD" w:rsidRPr="00677626" w:rsidRDefault="003D56DD" w:rsidP="006F167D">
            <w:pPr>
              <w:spacing w:before="2" w:after="2"/>
              <w:jc w:val="center"/>
              <w:rPr>
                <w:sz w:val="16"/>
                <w:szCs w:val="16"/>
              </w:rPr>
            </w:pPr>
            <w:r w:rsidRPr="00677626">
              <w:rPr>
                <w:sz w:val="16"/>
                <w:szCs w:val="16"/>
              </w:rPr>
              <w:t>36</w:t>
            </w:r>
          </w:p>
        </w:tc>
        <w:tc>
          <w:tcPr>
            <w:tcW w:w="825" w:type="dxa"/>
            <w:vAlign w:val="center"/>
          </w:tcPr>
          <w:p w14:paraId="55773000" w14:textId="77777777" w:rsidR="003D56DD" w:rsidRDefault="003D56DD" w:rsidP="006F167D">
            <w:pPr>
              <w:jc w:val="center"/>
              <w:rPr>
                <w:rFonts w:ascii="Calibri" w:hAnsi="Calibri"/>
                <w:color w:val="000000"/>
                <w:sz w:val="16"/>
                <w:szCs w:val="16"/>
              </w:rPr>
            </w:pPr>
            <w:r w:rsidRPr="00677626">
              <w:rPr>
                <w:rFonts w:ascii="Calibri" w:hAnsi="Calibri"/>
                <w:color w:val="000000"/>
                <w:sz w:val="16"/>
                <w:szCs w:val="16"/>
              </w:rPr>
              <w:t xml:space="preserve">65 </w:t>
            </w:r>
          </w:p>
          <w:p w14:paraId="5879663C"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(28-95)</w:t>
            </w:r>
          </w:p>
        </w:tc>
        <w:tc>
          <w:tcPr>
            <w:tcW w:w="664" w:type="dxa"/>
            <w:vAlign w:val="center"/>
          </w:tcPr>
          <w:p w14:paraId="4453FDC3" w14:textId="77777777" w:rsidR="003D56DD" w:rsidRPr="00677626" w:rsidRDefault="003D56DD" w:rsidP="006F167D">
            <w:pPr>
              <w:jc w:val="center"/>
              <w:rPr>
                <w:sz w:val="16"/>
                <w:szCs w:val="16"/>
              </w:rPr>
            </w:pPr>
            <w:r w:rsidRPr="00677626">
              <w:rPr>
                <w:sz w:val="16"/>
                <w:szCs w:val="16"/>
              </w:rPr>
              <w:t>19:17</w:t>
            </w:r>
          </w:p>
        </w:tc>
        <w:tc>
          <w:tcPr>
            <w:tcW w:w="1024" w:type="dxa"/>
          </w:tcPr>
          <w:p w14:paraId="653B063E" w14:textId="77777777" w:rsidR="003D56DD" w:rsidRPr="00677626" w:rsidRDefault="003D56DD" w:rsidP="006F167D">
            <w:pPr>
              <w:jc w:val="center"/>
              <w:rPr>
                <w:sz w:val="16"/>
                <w:szCs w:val="16"/>
              </w:rPr>
            </w:pPr>
            <w:r w:rsidRPr="00677626">
              <w:rPr>
                <w:sz w:val="16"/>
                <w:szCs w:val="16"/>
              </w:rPr>
              <w:t>Vitamin K antagonist</w:t>
            </w:r>
          </w:p>
        </w:tc>
        <w:tc>
          <w:tcPr>
            <w:tcW w:w="931" w:type="dxa"/>
          </w:tcPr>
          <w:p w14:paraId="246B61A6"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UNK</w:t>
            </w:r>
          </w:p>
        </w:tc>
        <w:tc>
          <w:tcPr>
            <w:tcW w:w="932" w:type="dxa"/>
            <w:vAlign w:val="center"/>
          </w:tcPr>
          <w:p w14:paraId="468DF113"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4E664297" w14:textId="77777777" w:rsidR="003D56DD" w:rsidRDefault="003D56DD" w:rsidP="006F167D">
            <w:pPr>
              <w:jc w:val="center"/>
              <w:rPr>
                <w:sz w:val="16"/>
                <w:szCs w:val="16"/>
              </w:rPr>
            </w:pPr>
            <w:r w:rsidRPr="00677626">
              <w:rPr>
                <w:sz w:val="16"/>
                <w:szCs w:val="16"/>
              </w:rPr>
              <w:t xml:space="preserve">10 </w:t>
            </w:r>
          </w:p>
          <w:p w14:paraId="441568C8" w14:textId="77777777" w:rsidR="003D56DD" w:rsidRPr="00677626" w:rsidRDefault="003D56DD" w:rsidP="006F167D">
            <w:pPr>
              <w:jc w:val="center"/>
              <w:rPr>
                <w:sz w:val="16"/>
                <w:szCs w:val="16"/>
              </w:rPr>
            </w:pPr>
            <w:r w:rsidRPr="00677626">
              <w:rPr>
                <w:sz w:val="16"/>
                <w:szCs w:val="16"/>
              </w:rPr>
              <w:t>(9; 90%)</w:t>
            </w:r>
          </w:p>
        </w:tc>
        <w:tc>
          <w:tcPr>
            <w:tcW w:w="922" w:type="dxa"/>
            <w:vAlign w:val="center"/>
          </w:tcPr>
          <w:p w14:paraId="046196E7" w14:textId="77777777" w:rsidR="003D56DD" w:rsidRDefault="003D56DD" w:rsidP="006F167D">
            <w:pPr>
              <w:jc w:val="center"/>
              <w:rPr>
                <w:sz w:val="16"/>
                <w:szCs w:val="16"/>
              </w:rPr>
            </w:pPr>
            <w:r w:rsidRPr="00677626">
              <w:rPr>
                <w:sz w:val="16"/>
                <w:szCs w:val="16"/>
              </w:rPr>
              <w:t xml:space="preserve">1 </w:t>
            </w:r>
          </w:p>
          <w:p w14:paraId="2EE6D204" w14:textId="77777777" w:rsidR="003D56DD" w:rsidRPr="00677626" w:rsidRDefault="003D56DD" w:rsidP="006F167D">
            <w:pPr>
              <w:jc w:val="center"/>
              <w:rPr>
                <w:sz w:val="16"/>
                <w:szCs w:val="16"/>
              </w:rPr>
            </w:pPr>
            <w:r w:rsidRPr="00677626">
              <w:rPr>
                <w:sz w:val="16"/>
                <w:szCs w:val="16"/>
              </w:rPr>
              <w:t>(1; 100%)</w:t>
            </w:r>
          </w:p>
        </w:tc>
        <w:tc>
          <w:tcPr>
            <w:tcW w:w="996" w:type="dxa"/>
          </w:tcPr>
          <w:p w14:paraId="6813C2D6" w14:textId="77777777" w:rsidR="003D56DD" w:rsidRPr="00677626" w:rsidRDefault="003D56DD" w:rsidP="006F167D">
            <w:pPr>
              <w:jc w:val="center"/>
              <w:rPr>
                <w:sz w:val="16"/>
                <w:szCs w:val="16"/>
              </w:rPr>
            </w:pPr>
          </w:p>
        </w:tc>
      </w:tr>
      <w:tr w:rsidR="003D56DD" w:rsidRPr="00677626" w14:paraId="7B7C981D" w14:textId="77777777" w:rsidTr="006F167D">
        <w:trPr>
          <w:trHeight w:val="408"/>
        </w:trPr>
        <w:tc>
          <w:tcPr>
            <w:tcW w:w="1693" w:type="dxa"/>
            <w:vAlign w:val="bottom"/>
          </w:tcPr>
          <w:p w14:paraId="326427AC" w14:textId="77777777" w:rsidR="003D56DD" w:rsidRPr="00677626" w:rsidRDefault="003D56DD" w:rsidP="006F167D">
            <w:pPr>
              <w:spacing w:after="160" w:line="259" w:lineRule="auto"/>
              <w:rPr>
                <w:rFonts w:ascii="Calibri" w:hAnsi="Calibri"/>
                <w:sz w:val="16"/>
                <w:szCs w:val="16"/>
              </w:rPr>
            </w:pPr>
            <w:r w:rsidRPr="00677626">
              <w:rPr>
                <w:rFonts w:ascii="Calibri" w:hAnsi="Calibri"/>
                <w:sz w:val="16"/>
                <w:szCs w:val="16"/>
              </w:rPr>
              <w:t>Ingen-</w:t>
            </w:r>
            <w:proofErr w:type="spellStart"/>
            <w:r w:rsidRPr="00677626">
              <w:rPr>
                <w:rFonts w:ascii="Calibri" w:hAnsi="Calibri"/>
                <w:sz w:val="16"/>
                <w:szCs w:val="16"/>
              </w:rPr>
              <w:t>Housz</w:t>
            </w:r>
            <w:proofErr w:type="spellEnd"/>
            <w:r w:rsidRPr="00677626">
              <w:rPr>
                <w:rFonts w:ascii="Calibri" w:hAnsi="Calibri"/>
                <w:sz w:val="16"/>
                <w:szCs w:val="16"/>
              </w:rPr>
              <w:t>-Oro et al. 2018</w:t>
            </w:r>
          </w:p>
        </w:tc>
        <w:tc>
          <w:tcPr>
            <w:tcW w:w="589" w:type="dxa"/>
            <w:vAlign w:val="center"/>
          </w:tcPr>
          <w:p w14:paraId="4752B512" w14:textId="77777777" w:rsidR="003D56DD" w:rsidRPr="00677626" w:rsidRDefault="003D56DD" w:rsidP="006F167D">
            <w:pPr>
              <w:spacing w:before="2" w:after="2"/>
              <w:jc w:val="center"/>
              <w:rPr>
                <w:sz w:val="16"/>
                <w:szCs w:val="16"/>
              </w:rPr>
            </w:pPr>
            <w:r w:rsidRPr="00677626">
              <w:rPr>
                <w:sz w:val="16"/>
                <w:szCs w:val="16"/>
              </w:rPr>
              <w:t>3</w:t>
            </w:r>
          </w:p>
        </w:tc>
        <w:tc>
          <w:tcPr>
            <w:tcW w:w="825" w:type="dxa"/>
            <w:vAlign w:val="center"/>
          </w:tcPr>
          <w:p w14:paraId="4AF9473C" w14:textId="77777777" w:rsidR="003D56DD" w:rsidRPr="00677626" w:rsidRDefault="003D56DD" w:rsidP="006F167D">
            <w:pPr>
              <w:jc w:val="center"/>
              <w:rPr>
                <w:sz w:val="16"/>
                <w:szCs w:val="16"/>
              </w:rPr>
            </w:pPr>
            <w:r w:rsidRPr="00677626">
              <w:rPr>
                <w:sz w:val="16"/>
                <w:szCs w:val="16"/>
              </w:rPr>
              <w:t>UNK</w:t>
            </w:r>
          </w:p>
        </w:tc>
        <w:tc>
          <w:tcPr>
            <w:tcW w:w="664" w:type="dxa"/>
            <w:vAlign w:val="center"/>
          </w:tcPr>
          <w:p w14:paraId="582E9E84" w14:textId="77777777" w:rsidR="003D56DD" w:rsidRPr="00677626" w:rsidRDefault="003D56DD" w:rsidP="006F167D">
            <w:pPr>
              <w:jc w:val="center"/>
              <w:rPr>
                <w:sz w:val="16"/>
                <w:szCs w:val="16"/>
              </w:rPr>
            </w:pPr>
            <w:r w:rsidRPr="00677626">
              <w:rPr>
                <w:sz w:val="16"/>
                <w:szCs w:val="16"/>
              </w:rPr>
              <w:t>1:2</w:t>
            </w:r>
          </w:p>
        </w:tc>
        <w:tc>
          <w:tcPr>
            <w:tcW w:w="1024" w:type="dxa"/>
          </w:tcPr>
          <w:p w14:paraId="0F840001" w14:textId="77777777" w:rsidR="003D56DD" w:rsidRPr="00677626" w:rsidRDefault="003D56DD" w:rsidP="006F167D">
            <w:pPr>
              <w:jc w:val="center"/>
              <w:rPr>
                <w:sz w:val="16"/>
                <w:szCs w:val="16"/>
              </w:rPr>
            </w:pPr>
            <w:r w:rsidRPr="00677626">
              <w:rPr>
                <w:sz w:val="16"/>
                <w:szCs w:val="16"/>
              </w:rPr>
              <w:t>Various</w:t>
            </w:r>
          </w:p>
        </w:tc>
        <w:tc>
          <w:tcPr>
            <w:tcW w:w="931" w:type="dxa"/>
          </w:tcPr>
          <w:p w14:paraId="5600D5DE" w14:textId="77777777" w:rsidR="003D56DD" w:rsidRPr="00677626" w:rsidRDefault="003D56DD" w:rsidP="006F167D">
            <w:pPr>
              <w:jc w:val="center"/>
              <w:rPr>
                <w:sz w:val="16"/>
                <w:szCs w:val="16"/>
              </w:rPr>
            </w:pPr>
            <w:r w:rsidRPr="00677626">
              <w:rPr>
                <w:sz w:val="16"/>
                <w:szCs w:val="16"/>
              </w:rPr>
              <w:t>3-6 months</w:t>
            </w:r>
          </w:p>
        </w:tc>
        <w:tc>
          <w:tcPr>
            <w:tcW w:w="932" w:type="dxa"/>
            <w:vAlign w:val="center"/>
          </w:tcPr>
          <w:p w14:paraId="791985A1"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6328657A" w14:textId="77777777" w:rsidR="003D56DD" w:rsidRDefault="003D56DD" w:rsidP="006F167D">
            <w:pPr>
              <w:jc w:val="center"/>
              <w:rPr>
                <w:sz w:val="16"/>
                <w:szCs w:val="16"/>
              </w:rPr>
            </w:pPr>
            <w:r w:rsidRPr="00677626">
              <w:rPr>
                <w:sz w:val="16"/>
                <w:szCs w:val="16"/>
              </w:rPr>
              <w:t xml:space="preserve">3 </w:t>
            </w:r>
          </w:p>
          <w:p w14:paraId="1FC9DA0E" w14:textId="77777777" w:rsidR="003D56DD" w:rsidRPr="00677626" w:rsidRDefault="003D56DD" w:rsidP="006F167D">
            <w:pPr>
              <w:jc w:val="center"/>
              <w:rPr>
                <w:sz w:val="16"/>
                <w:szCs w:val="16"/>
              </w:rPr>
            </w:pPr>
            <w:r w:rsidRPr="00677626">
              <w:rPr>
                <w:sz w:val="16"/>
                <w:szCs w:val="16"/>
              </w:rPr>
              <w:t>(3; 100%)</w:t>
            </w:r>
          </w:p>
        </w:tc>
        <w:tc>
          <w:tcPr>
            <w:tcW w:w="922" w:type="dxa"/>
            <w:vAlign w:val="center"/>
          </w:tcPr>
          <w:p w14:paraId="1DBF11AC" w14:textId="77777777" w:rsidR="003D56DD" w:rsidRPr="00677626" w:rsidRDefault="003D56DD" w:rsidP="006F167D">
            <w:pPr>
              <w:jc w:val="center"/>
              <w:rPr>
                <w:sz w:val="16"/>
                <w:szCs w:val="16"/>
              </w:rPr>
            </w:pPr>
            <w:r w:rsidRPr="00677626">
              <w:rPr>
                <w:sz w:val="16"/>
                <w:szCs w:val="16"/>
              </w:rPr>
              <w:t>NP</w:t>
            </w:r>
          </w:p>
        </w:tc>
        <w:tc>
          <w:tcPr>
            <w:tcW w:w="996" w:type="dxa"/>
          </w:tcPr>
          <w:p w14:paraId="4615AB02" w14:textId="77777777" w:rsidR="003D56DD" w:rsidRDefault="003D56DD" w:rsidP="006F167D">
            <w:pPr>
              <w:jc w:val="center"/>
              <w:rPr>
                <w:sz w:val="16"/>
                <w:szCs w:val="16"/>
              </w:rPr>
            </w:pPr>
            <w:r w:rsidRPr="00677626">
              <w:rPr>
                <w:sz w:val="16"/>
                <w:szCs w:val="16"/>
              </w:rPr>
              <w:t xml:space="preserve">2 </w:t>
            </w:r>
          </w:p>
          <w:p w14:paraId="484E360E" w14:textId="77777777" w:rsidR="003D56DD" w:rsidRPr="00677626" w:rsidRDefault="003D56DD" w:rsidP="006F167D">
            <w:pPr>
              <w:jc w:val="center"/>
              <w:rPr>
                <w:sz w:val="16"/>
                <w:szCs w:val="16"/>
              </w:rPr>
            </w:pPr>
            <w:r w:rsidRPr="00677626">
              <w:rPr>
                <w:sz w:val="16"/>
                <w:szCs w:val="16"/>
              </w:rPr>
              <w:t>(2; 100%)</w:t>
            </w:r>
          </w:p>
        </w:tc>
      </w:tr>
      <w:tr w:rsidR="003D56DD" w:rsidRPr="00677626" w14:paraId="63AD5C91" w14:textId="77777777" w:rsidTr="006F167D">
        <w:trPr>
          <w:trHeight w:val="327"/>
        </w:trPr>
        <w:tc>
          <w:tcPr>
            <w:tcW w:w="1693" w:type="dxa"/>
            <w:vAlign w:val="bottom"/>
          </w:tcPr>
          <w:p w14:paraId="75E4995A" w14:textId="77777777" w:rsidR="003D56DD" w:rsidRPr="00677626" w:rsidRDefault="003D56DD" w:rsidP="006F167D">
            <w:pPr>
              <w:rPr>
                <w:rFonts w:ascii="Calibri" w:hAnsi="Calibri"/>
                <w:sz w:val="16"/>
                <w:szCs w:val="16"/>
              </w:rPr>
            </w:pPr>
            <w:r w:rsidRPr="00677626">
              <w:rPr>
                <w:rFonts w:ascii="Calibri" w:hAnsi="Calibri"/>
                <w:sz w:val="16"/>
                <w:szCs w:val="16"/>
              </w:rPr>
              <w:t xml:space="preserve">Lin et al 2013 </w:t>
            </w:r>
          </w:p>
        </w:tc>
        <w:tc>
          <w:tcPr>
            <w:tcW w:w="589" w:type="dxa"/>
            <w:vAlign w:val="center"/>
          </w:tcPr>
          <w:p w14:paraId="5DDC059C" w14:textId="77777777" w:rsidR="003D56DD" w:rsidRPr="00677626" w:rsidRDefault="003D56DD" w:rsidP="006F167D">
            <w:pPr>
              <w:spacing w:before="2" w:after="2"/>
              <w:jc w:val="center"/>
              <w:rPr>
                <w:sz w:val="16"/>
                <w:szCs w:val="16"/>
              </w:rPr>
            </w:pPr>
            <w:r w:rsidRPr="00677626">
              <w:rPr>
                <w:sz w:val="16"/>
                <w:szCs w:val="16"/>
              </w:rPr>
              <w:t>10</w:t>
            </w:r>
          </w:p>
        </w:tc>
        <w:tc>
          <w:tcPr>
            <w:tcW w:w="825" w:type="dxa"/>
            <w:vAlign w:val="center"/>
          </w:tcPr>
          <w:p w14:paraId="5CD00B82" w14:textId="77777777" w:rsidR="003D56DD" w:rsidRDefault="003D56DD" w:rsidP="006F167D">
            <w:pPr>
              <w:jc w:val="center"/>
              <w:rPr>
                <w:rFonts w:ascii="Calibri" w:hAnsi="Calibri"/>
                <w:color w:val="000000"/>
                <w:sz w:val="16"/>
                <w:szCs w:val="16"/>
              </w:rPr>
            </w:pPr>
            <w:r w:rsidRPr="00677626">
              <w:rPr>
                <w:rFonts w:ascii="Calibri" w:hAnsi="Calibri"/>
                <w:color w:val="000000"/>
                <w:sz w:val="16"/>
                <w:szCs w:val="16"/>
              </w:rPr>
              <w:t xml:space="preserve">55.4 </w:t>
            </w:r>
          </w:p>
          <w:p w14:paraId="34567243"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(25-84)</w:t>
            </w:r>
          </w:p>
        </w:tc>
        <w:tc>
          <w:tcPr>
            <w:tcW w:w="664" w:type="dxa"/>
            <w:vAlign w:val="center"/>
          </w:tcPr>
          <w:p w14:paraId="736A4DBA" w14:textId="77777777" w:rsidR="003D56DD" w:rsidRPr="00677626" w:rsidRDefault="003D56DD" w:rsidP="006F167D">
            <w:pPr>
              <w:jc w:val="center"/>
              <w:rPr>
                <w:sz w:val="16"/>
                <w:szCs w:val="16"/>
              </w:rPr>
            </w:pPr>
            <w:r w:rsidRPr="00677626">
              <w:rPr>
                <w:sz w:val="16"/>
                <w:szCs w:val="16"/>
              </w:rPr>
              <w:t>3:7</w:t>
            </w:r>
          </w:p>
        </w:tc>
        <w:tc>
          <w:tcPr>
            <w:tcW w:w="1024" w:type="dxa"/>
          </w:tcPr>
          <w:p w14:paraId="5034CD28" w14:textId="77777777" w:rsidR="003D56DD" w:rsidRPr="00677626" w:rsidRDefault="003D56DD" w:rsidP="006F167D">
            <w:pPr>
              <w:jc w:val="center"/>
              <w:rPr>
                <w:sz w:val="16"/>
                <w:szCs w:val="16"/>
              </w:rPr>
            </w:pPr>
            <w:r w:rsidRPr="00677626">
              <w:rPr>
                <w:sz w:val="16"/>
                <w:szCs w:val="16"/>
              </w:rPr>
              <w:t>AED</w:t>
            </w:r>
          </w:p>
        </w:tc>
        <w:tc>
          <w:tcPr>
            <w:tcW w:w="931" w:type="dxa"/>
          </w:tcPr>
          <w:p w14:paraId="14AF69A6"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1-6 months</w:t>
            </w:r>
          </w:p>
        </w:tc>
        <w:tc>
          <w:tcPr>
            <w:tcW w:w="932" w:type="dxa"/>
            <w:vAlign w:val="center"/>
          </w:tcPr>
          <w:p w14:paraId="2874D149"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248D980A" w14:textId="77777777" w:rsidR="003D56DD" w:rsidRDefault="003D56DD" w:rsidP="006F167D">
            <w:pPr>
              <w:jc w:val="center"/>
              <w:rPr>
                <w:sz w:val="16"/>
                <w:szCs w:val="16"/>
              </w:rPr>
            </w:pPr>
            <w:r w:rsidRPr="00677626">
              <w:rPr>
                <w:sz w:val="16"/>
                <w:szCs w:val="16"/>
              </w:rPr>
              <w:t xml:space="preserve">10 </w:t>
            </w:r>
          </w:p>
          <w:p w14:paraId="670E8C26" w14:textId="77777777" w:rsidR="003D56DD" w:rsidRPr="00677626" w:rsidRDefault="003D56DD" w:rsidP="006F167D">
            <w:pPr>
              <w:jc w:val="center"/>
              <w:rPr>
                <w:sz w:val="16"/>
                <w:szCs w:val="16"/>
              </w:rPr>
            </w:pPr>
            <w:r w:rsidRPr="00677626">
              <w:rPr>
                <w:sz w:val="16"/>
                <w:szCs w:val="16"/>
              </w:rPr>
              <w:t>(7; 70%)</w:t>
            </w:r>
          </w:p>
        </w:tc>
        <w:tc>
          <w:tcPr>
            <w:tcW w:w="922" w:type="dxa"/>
            <w:vAlign w:val="center"/>
          </w:tcPr>
          <w:p w14:paraId="342389D0" w14:textId="77777777" w:rsidR="003D56DD" w:rsidRPr="00677626" w:rsidRDefault="003D56DD" w:rsidP="006F167D">
            <w:pPr>
              <w:jc w:val="center"/>
              <w:rPr>
                <w:sz w:val="16"/>
                <w:szCs w:val="16"/>
              </w:rPr>
            </w:pPr>
            <w:r w:rsidRPr="00677626">
              <w:rPr>
                <w:sz w:val="16"/>
                <w:szCs w:val="16"/>
              </w:rPr>
              <w:t>NP</w:t>
            </w:r>
          </w:p>
        </w:tc>
        <w:tc>
          <w:tcPr>
            <w:tcW w:w="996" w:type="dxa"/>
          </w:tcPr>
          <w:p w14:paraId="526ABBA4" w14:textId="77777777" w:rsidR="003D56DD" w:rsidRPr="00677626" w:rsidRDefault="003D56DD" w:rsidP="006F167D">
            <w:pPr>
              <w:jc w:val="center"/>
              <w:rPr>
                <w:sz w:val="16"/>
                <w:szCs w:val="16"/>
              </w:rPr>
            </w:pPr>
          </w:p>
        </w:tc>
      </w:tr>
      <w:tr w:rsidR="003D56DD" w:rsidRPr="00677626" w14:paraId="7B4C57D5" w14:textId="77777777" w:rsidTr="006F167D">
        <w:trPr>
          <w:trHeight w:val="521"/>
        </w:trPr>
        <w:tc>
          <w:tcPr>
            <w:tcW w:w="1693" w:type="dxa"/>
            <w:vAlign w:val="bottom"/>
          </w:tcPr>
          <w:p w14:paraId="0CC5064A" w14:textId="77777777" w:rsidR="003D56DD" w:rsidRPr="00677626" w:rsidRDefault="003D56DD" w:rsidP="006F167D">
            <w:pPr>
              <w:rPr>
                <w:rFonts w:ascii="Calibri" w:hAnsi="Calibri"/>
                <w:sz w:val="16"/>
                <w:szCs w:val="16"/>
              </w:rPr>
            </w:pPr>
            <w:proofErr w:type="spellStart"/>
            <w:r w:rsidRPr="00677626">
              <w:rPr>
                <w:rFonts w:ascii="Calibri" w:hAnsi="Calibri"/>
                <w:sz w:val="16"/>
                <w:szCs w:val="16"/>
              </w:rPr>
              <w:t>Ohtoshi</w:t>
            </w:r>
            <w:proofErr w:type="spellEnd"/>
            <w:r w:rsidRPr="00677626">
              <w:rPr>
                <w:rFonts w:ascii="Calibri" w:hAnsi="Calibri"/>
                <w:sz w:val="16"/>
                <w:szCs w:val="16"/>
              </w:rPr>
              <w:t xml:space="preserve"> et al. 2013</w:t>
            </w:r>
          </w:p>
        </w:tc>
        <w:tc>
          <w:tcPr>
            <w:tcW w:w="589" w:type="dxa"/>
            <w:vAlign w:val="center"/>
          </w:tcPr>
          <w:p w14:paraId="7D8EEFAA" w14:textId="77777777" w:rsidR="003D56DD" w:rsidRPr="00677626" w:rsidRDefault="003D56DD" w:rsidP="006F167D">
            <w:pPr>
              <w:spacing w:before="2" w:after="2"/>
              <w:jc w:val="center"/>
              <w:rPr>
                <w:sz w:val="16"/>
                <w:szCs w:val="16"/>
              </w:rPr>
            </w:pPr>
            <w:r w:rsidRPr="00677626">
              <w:rPr>
                <w:sz w:val="16"/>
                <w:szCs w:val="16"/>
              </w:rPr>
              <w:t>16</w:t>
            </w:r>
          </w:p>
        </w:tc>
        <w:tc>
          <w:tcPr>
            <w:tcW w:w="825" w:type="dxa"/>
            <w:vAlign w:val="center"/>
          </w:tcPr>
          <w:p w14:paraId="6F8D4218"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UNK</w:t>
            </w:r>
          </w:p>
        </w:tc>
        <w:tc>
          <w:tcPr>
            <w:tcW w:w="664" w:type="dxa"/>
            <w:vAlign w:val="center"/>
          </w:tcPr>
          <w:p w14:paraId="192D7DF2" w14:textId="77777777" w:rsidR="003D56DD" w:rsidRPr="00677626" w:rsidRDefault="003D56DD" w:rsidP="006F167D">
            <w:pPr>
              <w:jc w:val="center"/>
              <w:rPr>
                <w:sz w:val="16"/>
                <w:szCs w:val="16"/>
              </w:rPr>
            </w:pPr>
            <w:r w:rsidRPr="00677626">
              <w:rPr>
                <w:sz w:val="16"/>
                <w:szCs w:val="16"/>
              </w:rPr>
              <w:t>UNK</w:t>
            </w:r>
          </w:p>
        </w:tc>
        <w:tc>
          <w:tcPr>
            <w:tcW w:w="1024" w:type="dxa"/>
          </w:tcPr>
          <w:p w14:paraId="01455DB2" w14:textId="77777777" w:rsidR="003D56DD" w:rsidRPr="00677626" w:rsidRDefault="003D56DD" w:rsidP="006F167D">
            <w:pPr>
              <w:jc w:val="center"/>
              <w:rPr>
                <w:sz w:val="16"/>
                <w:szCs w:val="16"/>
              </w:rPr>
            </w:pPr>
            <w:r w:rsidRPr="00677626">
              <w:rPr>
                <w:sz w:val="16"/>
                <w:szCs w:val="16"/>
              </w:rPr>
              <w:t>Various</w:t>
            </w:r>
          </w:p>
        </w:tc>
        <w:tc>
          <w:tcPr>
            <w:tcW w:w="931" w:type="dxa"/>
          </w:tcPr>
          <w:p w14:paraId="5D2832A7"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2 weeks – 4 months post onset</w:t>
            </w:r>
          </w:p>
        </w:tc>
        <w:tc>
          <w:tcPr>
            <w:tcW w:w="932" w:type="dxa"/>
            <w:vAlign w:val="center"/>
          </w:tcPr>
          <w:p w14:paraId="6A2C2B53"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3B8701B8" w14:textId="77777777" w:rsidR="003D56DD" w:rsidRDefault="003D56DD" w:rsidP="006F167D">
            <w:pPr>
              <w:jc w:val="center"/>
              <w:rPr>
                <w:sz w:val="16"/>
                <w:szCs w:val="16"/>
              </w:rPr>
            </w:pPr>
            <w:r w:rsidRPr="00677626">
              <w:rPr>
                <w:sz w:val="16"/>
                <w:szCs w:val="16"/>
              </w:rPr>
              <w:t xml:space="preserve">16 </w:t>
            </w:r>
          </w:p>
          <w:p w14:paraId="4559BF45" w14:textId="77777777" w:rsidR="003D56DD" w:rsidRPr="00677626" w:rsidRDefault="003D56DD" w:rsidP="006F167D">
            <w:pPr>
              <w:jc w:val="center"/>
              <w:rPr>
                <w:sz w:val="16"/>
                <w:szCs w:val="16"/>
              </w:rPr>
            </w:pPr>
            <w:r w:rsidRPr="00677626">
              <w:rPr>
                <w:sz w:val="16"/>
                <w:szCs w:val="16"/>
              </w:rPr>
              <w:t>(9; 56.3%)</w:t>
            </w:r>
          </w:p>
        </w:tc>
        <w:tc>
          <w:tcPr>
            <w:tcW w:w="922" w:type="dxa"/>
            <w:vAlign w:val="center"/>
          </w:tcPr>
          <w:p w14:paraId="1F0B823A" w14:textId="77777777" w:rsidR="003D56DD" w:rsidRPr="00677626" w:rsidRDefault="003D56DD" w:rsidP="006F167D">
            <w:pPr>
              <w:jc w:val="center"/>
              <w:rPr>
                <w:sz w:val="16"/>
                <w:szCs w:val="16"/>
              </w:rPr>
            </w:pPr>
            <w:r w:rsidRPr="00677626">
              <w:rPr>
                <w:sz w:val="16"/>
                <w:szCs w:val="16"/>
              </w:rPr>
              <w:t>NP</w:t>
            </w:r>
          </w:p>
        </w:tc>
        <w:tc>
          <w:tcPr>
            <w:tcW w:w="996" w:type="dxa"/>
          </w:tcPr>
          <w:p w14:paraId="178F9B7A" w14:textId="77777777" w:rsidR="003D56DD" w:rsidRPr="00677626" w:rsidRDefault="003D56DD" w:rsidP="006F167D">
            <w:pPr>
              <w:jc w:val="center"/>
              <w:rPr>
                <w:sz w:val="16"/>
                <w:szCs w:val="16"/>
              </w:rPr>
            </w:pPr>
          </w:p>
        </w:tc>
      </w:tr>
      <w:tr w:rsidR="003D56DD" w:rsidRPr="00677626" w14:paraId="17EA7C38" w14:textId="77777777" w:rsidTr="006F167D">
        <w:trPr>
          <w:trHeight w:val="419"/>
        </w:trPr>
        <w:tc>
          <w:tcPr>
            <w:tcW w:w="1693" w:type="dxa"/>
            <w:vAlign w:val="bottom"/>
          </w:tcPr>
          <w:p w14:paraId="3AD26F47" w14:textId="77777777" w:rsidR="003D56DD" w:rsidRPr="00677626" w:rsidRDefault="003D56DD" w:rsidP="006F167D">
            <w:pPr>
              <w:rPr>
                <w:rFonts w:ascii="Calibri" w:hAnsi="Calibri"/>
                <w:color w:val="000000"/>
                <w:sz w:val="16"/>
                <w:szCs w:val="16"/>
              </w:rPr>
            </w:pPr>
            <w:proofErr w:type="spellStart"/>
            <w:r w:rsidRPr="00677626">
              <w:rPr>
                <w:rFonts w:ascii="Calibri" w:hAnsi="Calibri"/>
                <w:color w:val="000000"/>
                <w:sz w:val="16"/>
                <w:szCs w:val="16"/>
              </w:rPr>
              <w:t>Pinho</w:t>
            </w:r>
            <w:proofErr w:type="spellEnd"/>
            <w:r w:rsidRPr="00677626">
              <w:rPr>
                <w:rFonts w:ascii="Calibri" w:hAnsi="Calibri"/>
                <w:color w:val="000000"/>
                <w:sz w:val="16"/>
                <w:szCs w:val="16"/>
              </w:rPr>
              <w:t xml:space="preserve"> et al.  2016</w:t>
            </w:r>
          </w:p>
        </w:tc>
        <w:tc>
          <w:tcPr>
            <w:tcW w:w="589" w:type="dxa"/>
            <w:vAlign w:val="center"/>
          </w:tcPr>
          <w:p w14:paraId="3603DC06" w14:textId="77777777" w:rsidR="003D56DD" w:rsidRPr="00677626" w:rsidRDefault="003D56DD" w:rsidP="006F167D">
            <w:pPr>
              <w:spacing w:before="2" w:after="2"/>
              <w:jc w:val="center"/>
              <w:rPr>
                <w:sz w:val="16"/>
                <w:szCs w:val="16"/>
              </w:rPr>
            </w:pPr>
            <w:r w:rsidRPr="00677626">
              <w:rPr>
                <w:sz w:val="16"/>
                <w:szCs w:val="16"/>
              </w:rPr>
              <w:t>19</w:t>
            </w:r>
          </w:p>
        </w:tc>
        <w:tc>
          <w:tcPr>
            <w:tcW w:w="825" w:type="dxa"/>
            <w:vAlign w:val="center"/>
          </w:tcPr>
          <w:p w14:paraId="4D1C94DE" w14:textId="77777777" w:rsidR="003D56DD" w:rsidRPr="00677626" w:rsidRDefault="003D56DD" w:rsidP="006F167D">
            <w:pPr>
              <w:spacing w:before="2" w:after="2"/>
              <w:jc w:val="center"/>
              <w:rPr>
                <w:sz w:val="16"/>
                <w:szCs w:val="16"/>
              </w:rPr>
            </w:pPr>
            <w:r w:rsidRPr="00677626">
              <w:rPr>
                <w:rFonts w:ascii="Calibri" w:hAnsi="Calibri"/>
                <w:color w:val="000000"/>
                <w:sz w:val="16"/>
                <w:szCs w:val="16"/>
              </w:rPr>
              <w:t>UNK</w:t>
            </w:r>
          </w:p>
        </w:tc>
        <w:tc>
          <w:tcPr>
            <w:tcW w:w="664" w:type="dxa"/>
            <w:vAlign w:val="center"/>
          </w:tcPr>
          <w:p w14:paraId="5C87D573" w14:textId="77777777" w:rsidR="003D56DD" w:rsidRPr="00677626" w:rsidRDefault="003D56DD" w:rsidP="006F167D">
            <w:pPr>
              <w:spacing w:before="2" w:after="2"/>
              <w:jc w:val="center"/>
              <w:rPr>
                <w:sz w:val="16"/>
                <w:szCs w:val="16"/>
              </w:rPr>
            </w:pPr>
            <w:r w:rsidRPr="00677626">
              <w:rPr>
                <w:sz w:val="16"/>
                <w:szCs w:val="16"/>
              </w:rPr>
              <w:t>UNK</w:t>
            </w:r>
          </w:p>
        </w:tc>
        <w:tc>
          <w:tcPr>
            <w:tcW w:w="1024" w:type="dxa"/>
          </w:tcPr>
          <w:p w14:paraId="62147D95" w14:textId="77777777" w:rsidR="003D56DD" w:rsidRPr="00677626" w:rsidRDefault="003D56DD" w:rsidP="006F167D">
            <w:pPr>
              <w:jc w:val="center"/>
              <w:rPr>
                <w:sz w:val="16"/>
                <w:szCs w:val="16"/>
              </w:rPr>
            </w:pPr>
            <w:r w:rsidRPr="00677626">
              <w:rPr>
                <w:sz w:val="16"/>
                <w:szCs w:val="16"/>
              </w:rPr>
              <w:t>Various</w:t>
            </w:r>
          </w:p>
        </w:tc>
        <w:tc>
          <w:tcPr>
            <w:tcW w:w="931" w:type="dxa"/>
          </w:tcPr>
          <w:p w14:paraId="4722B10B" w14:textId="77777777" w:rsidR="003D56DD" w:rsidRPr="00677626" w:rsidRDefault="003D56DD" w:rsidP="006F167D">
            <w:pPr>
              <w:spacing w:before="2" w:after="2"/>
              <w:jc w:val="center"/>
              <w:rPr>
                <w:sz w:val="16"/>
                <w:szCs w:val="16"/>
              </w:rPr>
            </w:pPr>
            <w:r w:rsidRPr="00677626">
              <w:rPr>
                <w:rFonts w:ascii="Calibri" w:hAnsi="Calibri"/>
                <w:color w:val="000000"/>
                <w:sz w:val="16"/>
                <w:szCs w:val="16"/>
              </w:rPr>
              <w:t>6 weeks – 6 months post onset</w:t>
            </w:r>
          </w:p>
        </w:tc>
        <w:tc>
          <w:tcPr>
            <w:tcW w:w="932" w:type="dxa"/>
            <w:vAlign w:val="center"/>
          </w:tcPr>
          <w:p w14:paraId="18EECCC3" w14:textId="77777777" w:rsidR="003D56DD" w:rsidRPr="00677626" w:rsidRDefault="003D56DD" w:rsidP="006F167D">
            <w:pPr>
              <w:spacing w:before="2" w:after="2"/>
              <w:jc w:val="center"/>
              <w:rPr>
                <w:sz w:val="16"/>
                <w:szCs w:val="16"/>
              </w:rPr>
            </w:pPr>
            <w:r w:rsidRPr="00677626">
              <w:rPr>
                <w:sz w:val="16"/>
                <w:szCs w:val="16"/>
              </w:rPr>
              <w:t>NP</w:t>
            </w:r>
          </w:p>
        </w:tc>
        <w:tc>
          <w:tcPr>
            <w:tcW w:w="971" w:type="dxa"/>
            <w:vAlign w:val="center"/>
          </w:tcPr>
          <w:p w14:paraId="1C321F8C" w14:textId="77777777" w:rsidR="003D56DD" w:rsidRDefault="003D56DD" w:rsidP="006F167D">
            <w:pPr>
              <w:spacing w:before="2" w:after="2"/>
              <w:jc w:val="center"/>
              <w:rPr>
                <w:sz w:val="16"/>
                <w:szCs w:val="16"/>
              </w:rPr>
            </w:pPr>
            <w:r w:rsidRPr="00677626">
              <w:rPr>
                <w:sz w:val="16"/>
                <w:szCs w:val="16"/>
              </w:rPr>
              <w:t xml:space="preserve">19 </w:t>
            </w:r>
          </w:p>
          <w:p w14:paraId="49F0F502" w14:textId="77777777" w:rsidR="003D56DD" w:rsidRPr="00677626" w:rsidRDefault="003D56DD" w:rsidP="006F167D">
            <w:pPr>
              <w:spacing w:before="2" w:after="2"/>
              <w:jc w:val="center"/>
              <w:rPr>
                <w:sz w:val="16"/>
                <w:szCs w:val="16"/>
              </w:rPr>
            </w:pPr>
            <w:r w:rsidRPr="00677626">
              <w:rPr>
                <w:sz w:val="16"/>
                <w:szCs w:val="16"/>
              </w:rPr>
              <w:t>(6; 31.6%)</w:t>
            </w:r>
          </w:p>
        </w:tc>
        <w:tc>
          <w:tcPr>
            <w:tcW w:w="922" w:type="dxa"/>
            <w:vAlign w:val="center"/>
          </w:tcPr>
          <w:p w14:paraId="3BF41B94" w14:textId="77777777" w:rsidR="003D56DD" w:rsidRPr="00677626" w:rsidRDefault="003D56DD" w:rsidP="006F167D">
            <w:pPr>
              <w:spacing w:before="2" w:after="2"/>
              <w:jc w:val="center"/>
              <w:rPr>
                <w:sz w:val="16"/>
                <w:szCs w:val="16"/>
              </w:rPr>
            </w:pPr>
            <w:r w:rsidRPr="00677626">
              <w:rPr>
                <w:sz w:val="16"/>
                <w:szCs w:val="16"/>
              </w:rPr>
              <w:t>NP</w:t>
            </w:r>
          </w:p>
        </w:tc>
        <w:tc>
          <w:tcPr>
            <w:tcW w:w="996" w:type="dxa"/>
          </w:tcPr>
          <w:p w14:paraId="1ED2CC0B" w14:textId="77777777" w:rsidR="003D56DD" w:rsidRPr="00677626" w:rsidRDefault="003D56DD" w:rsidP="006F167D">
            <w:pPr>
              <w:jc w:val="center"/>
              <w:rPr>
                <w:sz w:val="16"/>
                <w:szCs w:val="16"/>
              </w:rPr>
            </w:pPr>
          </w:p>
        </w:tc>
      </w:tr>
      <w:tr w:rsidR="003D56DD" w:rsidRPr="00677626" w14:paraId="00868902" w14:textId="77777777" w:rsidTr="006F167D">
        <w:trPr>
          <w:trHeight w:val="219"/>
        </w:trPr>
        <w:tc>
          <w:tcPr>
            <w:tcW w:w="1693" w:type="dxa"/>
            <w:vAlign w:val="bottom"/>
          </w:tcPr>
          <w:p w14:paraId="19AC28FE" w14:textId="77777777" w:rsidR="003D56DD" w:rsidRPr="00677626" w:rsidRDefault="003D56DD" w:rsidP="006F167D">
            <w:pPr>
              <w:rPr>
                <w:rFonts w:ascii="Calibri" w:hAnsi="Calibri"/>
                <w:color w:val="000000"/>
                <w:sz w:val="16"/>
                <w:szCs w:val="16"/>
              </w:rPr>
            </w:pPr>
            <w:proofErr w:type="spellStart"/>
            <w:r w:rsidRPr="00677626">
              <w:rPr>
                <w:rFonts w:ascii="Calibri" w:hAnsi="Calibri"/>
                <w:color w:val="000000"/>
                <w:sz w:val="16"/>
                <w:szCs w:val="16"/>
              </w:rPr>
              <w:t>Pinho</w:t>
            </w:r>
            <w:proofErr w:type="spellEnd"/>
            <w:r w:rsidRPr="00677626">
              <w:rPr>
                <w:rFonts w:ascii="Calibri" w:hAnsi="Calibri"/>
                <w:color w:val="000000"/>
                <w:sz w:val="16"/>
                <w:szCs w:val="16"/>
              </w:rPr>
              <w:t xml:space="preserve"> et al. 2017</w:t>
            </w:r>
          </w:p>
        </w:tc>
        <w:tc>
          <w:tcPr>
            <w:tcW w:w="589" w:type="dxa"/>
            <w:vAlign w:val="center"/>
          </w:tcPr>
          <w:p w14:paraId="7CAD5809" w14:textId="77777777" w:rsidR="003D56DD" w:rsidRPr="00677626" w:rsidRDefault="003D56DD" w:rsidP="006F167D">
            <w:pPr>
              <w:spacing w:before="2" w:after="2"/>
              <w:jc w:val="center"/>
              <w:rPr>
                <w:sz w:val="16"/>
                <w:szCs w:val="16"/>
              </w:rPr>
            </w:pPr>
            <w:r w:rsidRPr="00677626">
              <w:rPr>
                <w:sz w:val="16"/>
                <w:szCs w:val="16"/>
              </w:rPr>
              <w:t>3</w:t>
            </w:r>
          </w:p>
        </w:tc>
        <w:tc>
          <w:tcPr>
            <w:tcW w:w="825" w:type="dxa"/>
            <w:vAlign w:val="center"/>
          </w:tcPr>
          <w:p w14:paraId="21174137" w14:textId="77777777" w:rsidR="003D56DD" w:rsidRDefault="003D56DD" w:rsidP="006F167D">
            <w:pPr>
              <w:spacing w:before="2" w:after="2"/>
              <w:jc w:val="center"/>
              <w:rPr>
                <w:rFonts w:ascii="Calibri" w:hAnsi="Calibri"/>
                <w:color w:val="000000"/>
                <w:sz w:val="16"/>
                <w:szCs w:val="16"/>
              </w:rPr>
            </w:pPr>
            <w:r w:rsidRPr="00677626">
              <w:rPr>
                <w:rFonts w:ascii="Calibri" w:hAnsi="Calibri"/>
                <w:color w:val="000000"/>
                <w:sz w:val="16"/>
                <w:szCs w:val="16"/>
              </w:rPr>
              <w:t xml:space="preserve">75 </w:t>
            </w:r>
          </w:p>
          <w:p w14:paraId="142D9CD8" w14:textId="77777777" w:rsidR="003D56DD" w:rsidRPr="00677626" w:rsidRDefault="003D56DD" w:rsidP="006F167D">
            <w:pPr>
              <w:spacing w:before="2" w:after="2"/>
              <w:jc w:val="center"/>
              <w:rPr>
                <w:rFonts w:ascii="Calibri" w:hAnsi="Calibri"/>
                <w:color w:val="000000"/>
                <w:sz w:val="16"/>
                <w:szCs w:val="16"/>
              </w:rPr>
            </w:pPr>
            <w:r w:rsidRPr="00677626">
              <w:rPr>
                <w:rFonts w:ascii="Calibri" w:hAnsi="Calibri"/>
                <w:color w:val="000000"/>
                <w:sz w:val="16"/>
                <w:szCs w:val="16"/>
              </w:rPr>
              <w:t>(61-82)</w:t>
            </w:r>
          </w:p>
        </w:tc>
        <w:tc>
          <w:tcPr>
            <w:tcW w:w="664" w:type="dxa"/>
            <w:vAlign w:val="center"/>
          </w:tcPr>
          <w:p w14:paraId="34E6D759" w14:textId="77777777" w:rsidR="003D56DD" w:rsidRPr="00677626" w:rsidRDefault="003D56DD" w:rsidP="006F167D">
            <w:pPr>
              <w:spacing w:before="2" w:after="2"/>
              <w:jc w:val="center"/>
              <w:rPr>
                <w:sz w:val="16"/>
                <w:szCs w:val="16"/>
              </w:rPr>
            </w:pPr>
            <w:r w:rsidRPr="00677626">
              <w:rPr>
                <w:sz w:val="16"/>
                <w:szCs w:val="16"/>
              </w:rPr>
              <w:t>1:2</w:t>
            </w:r>
          </w:p>
        </w:tc>
        <w:tc>
          <w:tcPr>
            <w:tcW w:w="1024" w:type="dxa"/>
          </w:tcPr>
          <w:p w14:paraId="16E032BF" w14:textId="77777777" w:rsidR="003D56DD" w:rsidRPr="00677626" w:rsidRDefault="003D56DD" w:rsidP="006F167D">
            <w:pPr>
              <w:jc w:val="center"/>
              <w:rPr>
                <w:sz w:val="16"/>
                <w:szCs w:val="16"/>
              </w:rPr>
            </w:pPr>
            <w:r w:rsidRPr="00677626">
              <w:rPr>
                <w:sz w:val="16"/>
                <w:szCs w:val="16"/>
              </w:rPr>
              <w:t>Various</w:t>
            </w:r>
          </w:p>
        </w:tc>
        <w:tc>
          <w:tcPr>
            <w:tcW w:w="931" w:type="dxa"/>
          </w:tcPr>
          <w:p w14:paraId="320792D1" w14:textId="77777777" w:rsidR="003D56DD" w:rsidRPr="00677626" w:rsidRDefault="003D56DD" w:rsidP="006F167D">
            <w:pPr>
              <w:spacing w:before="2" w:after="2"/>
              <w:jc w:val="center"/>
              <w:rPr>
                <w:rFonts w:ascii="Calibri" w:hAnsi="Calibri"/>
                <w:color w:val="000000"/>
                <w:sz w:val="16"/>
                <w:szCs w:val="16"/>
              </w:rPr>
            </w:pPr>
            <w:r w:rsidRPr="00677626">
              <w:rPr>
                <w:rFonts w:ascii="Calibri" w:hAnsi="Calibri"/>
                <w:color w:val="000000"/>
                <w:sz w:val="16"/>
                <w:szCs w:val="16"/>
              </w:rPr>
              <w:t>UNK</w:t>
            </w:r>
          </w:p>
        </w:tc>
        <w:tc>
          <w:tcPr>
            <w:tcW w:w="932" w:type="dxa"/>
            <w:vAlign w:val="center"/>
          </w:tcPr>
          <w:p w14:paraId="67983610" w14:textId="77777777" w:rsidR="003D56DD" w:rsidRPr="00677626" w:rsidRDefault="003D56DD" w:rsidP="006F167D">
            <w:pPr>
              <w:spacing w:before="2" w:after="2"/>
              <w:jc w:val="center"/>
              <w:rPr>
                <w:sz w:val="16"/>
                <w:szCs w:val="16"/>
              </w:rPr>
            </w:pPr>
            <w:r w:rsidRPr="00677626">
              <w:rPr>
                <w:sz w:val="16"/>
                <w:szCs w:val="16"/>
              </w:rPr>
              <w:t>NP</w:t>
            </w:r>
          </w:p>
        </w:tc>
        <w:tc>
          <w:tcPr>
            <w:tcW w:w="971" w:type="dxa"/>
            <w:vAlign w:val="center"/>
          </w:tcPr>
          <w:p w14:paraId="555EF15B" w14:textId="77777777" w:rsidR="003D56DD" w:rsidRDefault="003D56DD" w:rsidP="006F167D">
            <w:pPr>
              <w:spacing w:before="2" w:after="2"/>
              <w:jc w:val="center"/>
              <w:rPr>
                <w:sz w:val="16"/>
                <w:szCs w:val="16"/>
              </w:rPr>
            </w:pPr>
            <w:r w:rsidRPr="00677626">
              <w:rPr>
                <w:sz w:val="16"/>
                <w:szCs w:val="16"/>
              </w:rPr>
              <w:t xml:space="preserve">3 </w:t>
            </w:r>
          </w:p>
          <w:p w14:paraId="365E1F54" w14:textId="77777777" w:rsidR="003D56DD" w:rsidRPr="00677626" w:rsidRDefault="003D56DD" w:rsidP="006F167D">
            <w:pPr>
              <w:spacing w:before="2" w:after="2"/>
              <w:jc w:val="center"/>
              <w:rPr>
                <w:sz w:val="16"/>
                <w:szCs w:val="16"/>
              </w:rPr>
            </w:pPr>
            <w:r w:rsidRPr="00677626">
              <w:rPr>
                <w:sz w:val="16"/>
                <w:szCs w:val="16"/>
              </w:rPr>
              <w:t>(2; 66.7%)</w:t>
            </w:r>
          </w:p>
        </w:tc>
        <w:tc>
          <w:tcPr>
            <w:tcW w:w="922" w:type="dxa"/>
            <w:vAlign w:val="center"/>
          </w:tcPr>
          <w:p w14:paraId="53E4A93D" w14:textId="77777777" w:rsidR="003D56DD" w:rsidRPr="00677626" w:rsidRDefault="003D56DD" w:rsidP="006F167D">
            <w:pPr>
              <w:spacing w:before="2" w:after="2"/>
              <w:jc w:val="center"/>
              <w:rPr>
                <w:sz w:val="16"/>
                <w:szCs w:val="16"/>
              </w:rPr>
            </w:pPr>
            <w:r w:rsidRPr="00677626">
              <w:rPr>
                <w:sz w:val="16"/>
                <w:szCs w:val="16"/>
              </w:rPr>
              <w:t>NP</w:t>
            </w:r>
          </w:p>
        </w:tc>
        <w:tc>
          <w:tcPr>
            <w:tcW w:w="996" w:type="dxa"/>
          </w:tcPr>
          <w:p w14:paraId="063D6D31" w14:textId="77777777" w:rsidR="003D56DD" w:rsidRDefault="003D56DD" w:rsidP="006F167D">
            <w:pPr>
              <w:jc w:val="center"/>
              <w:rPr>
                <w:sz w:val="16"/>
                <w:szCs w:val="16"/>
              </w:rPr>
            </w:pPr>
            <w:r>
              <w:rPr>
                <w:sz w:val="16"/>
                <w:szCs w:val="16"/>
              </w:rPr>
              <w:t>2</w:t>
            </w:r>
          </w:p>
          <w:p w14:paraId="7D92B715" w14:textId="77777777" w:rsidR="003D56DD" w:rsidRPr="00677626" w:rsidRDefault="003D56DD" w:rsidP="006F167D">
            <w:pPr>
              <w:jc w:val="center"/>
              <w:rPr>
                <w:sz w:val="16"/>
                <w:szCs w:val="16"/>
              </w:rPr>
            </w:pPr>
            <w:r w:rsidRPr="00677626">
              <w:rPr>
                <w:sz w:val="16"/>
                <w:szCs w:val="16"/>
              </w:rPr>
              <w:t>(2; 100%)</w:t>
            </w:r>
          </w:p>
        </w:tc>
      </w:tr>
      <w:tr w:rsidR="003D56DD" w:rsidRPr="00677626" w14:paraId="389A0A3D" w14:textId="77777777" w:rsidTr="006F167D">
        <w:trPr>
          <w:trHeight w:val="504"/>
        </w:trPr>
        <w:tc>
          <w:tcPr>
            <w:tcW w:w="1693" w:type="dxa"/>
            <w:vAlign w:val="bottom"/>
          </w:tcPr>
          <w:p w14:paraId="4442C640" w14:textId="77777777" w:rsidR="003D56DD" w:rsidRPr="00677626" w:rsidRDefault="003D56DD" w:rsidP="006F167D">
            <w:pPr>
              <w:rPr>
                <w:rFonts w:ascii="Calibri" w:hAnsi="Calibri"/>
                <w:color w:val="000000"/>
                <w:sz w:val="16"/>
                <w:szCs w:val="16"/>
              </w:rPr>
            </w:pPr>
            <w:r w:rsidRPr="00677626">
              <w:rPr>
                <w:rFonts w:ascii="Calibri" w:hAnsi="Calibri"/>
                <w:color w:val="000000"/>
                <w:sz w:val="16"/>
                <w:szCs w:val="16"/>
              </w:rPr>
              <w:t>Santiago et al. 2010</w:t>
            </w:r>
          </w:p>
        </w:tc>
        <w:tc>
          <w:tcPr>
            <w:tcW w:w="589" w:type="dxa"/>
            <w:vAlign w:val="center"/>
          </w:tcPr>
          <w:p w14:paraId="50BC6BC1" w14:textId="77777777" w:rsidR="003D56DD" w:rsidRPr="00677626" w:rsidRDefault="003D56DD" w:rsidP="006F167D">
            <w:pPr>
              <w:spacing w:before="2" w:after="2"/>
              <w:jc w:val="center"/>
              <w:rPr>
                <w:sz w:val="16"/>
                <w:szCs w:val="16"/>
              </w:rPr>
            </w:pPr>
            <w:r w:rsidRPr="00677626">
              <w:rPr>
                <w:sz w:val="16"/>
                <w:szCs w:val="16"/>
              </w:rPr>
              <w:t>56</w:t>
            </w:r>
          </w:p>
        </w:tc>
        <w:tc>
          <w:tcPr>
            <w:tcW w:w="825" w:type="dxa"/>
            <w:vAlign w:val="center"/>
          </w:tcPr>
          <w:p w14:paraId="677E9CA2" w14:textId="77777777" w:rsidR="003D56DD" w:rsidRDefault="003D56DD" w:rsidP="006F167D">
            <w:pPr>
              <w:jc w:val="center"/>
              <w:rPr>
                <w:rFonts w:ascii="Calibri" w:hAnsi="Calibri"/>
                <w:color w:val="000000"/>
                <w:sz w:val="16"/>
                <w:szCs w:val="16"/>
              </w:rPr>
            </w:pPr>
            <w:r w:rsidRPr="00677626">
              <w:rPr>
                <w:rFonts w:ascii="Calibri" w:hAnsi="Calibri"/>
                <w:color w:val="000000"/>
                <w:sz w:val="16"/>
                <w:szCs w:val="16"/>
              </w:rPr>
              <w:t xml:space="preserve">52.9 </w:t>
            </w:r>
          </w:p>
          <w:p w14:paraId="7F4BE4AA"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(12-93)</w:t>
            </w:r>
          </w:p>
        </w:tc>
        <w:tc>
          <w:tcPr>
            <w:tcW w:w="664" w:type="dxa"/>
            <w:vAlign w:val="center"/>
          </w:tcPr>
          <w:p w14:paraId="1D904A97" w14:textId="77777777" w:rsidR="003D56DD" w:rsidRPr="00677626" w:rsidRDefault="003D56DD" w:rsidP="006F167D">
            <w:pPr>
              <w:jc w:val="center"/>
              <w:rPr>
                <w:sz w:val="16"/>
                <w:szCs w:val="16"/>
              </w:rPr>
            </w:pPr>
            <w:r w:rsidRPr="00677626">
              <w:rPr>
                <w:sz w:val="16"/>
                <w:szCs w:val="16"/>
              </w:rPr>
              <w:t>18:38</w:t>
            </w:r>
          </w:p>
        </w:tc>
        <w:tc>
          <w:tcPr>
            <w:tcW w:w="1024" w:type="dxa"/>
          </w:tcPr>
          <w:p w14:paraId="438A4E02" w14:textId="77777777" w:rsidR="003D56DD" w:rsidRPr="00677626" w:rsidRDefault="003D56DD" w:rsidP="006F167D">
            <w:pPr>
              <w:jc w:val="center"/>
              <w:rPr>
                <w:sz w:val="16"/>
                <w:szCs w:val="16"/>
              </w:rPr>
            </w:pPr>
            <w:r w:rsidRPr="00677626">
              <w:rPr>
                <w:sz w:val="16"/>
                <w:szCs w:val="16"/>
              </w:rPr>
              <w:t>Various</w:t>
            </w:r>
          </w:p>
        </w:tc>
        <w:tc>
          <w:tcPr>
            <w:tcW w:w="931" w:type="dxa"/>
          </w:tcPr>
          <w:p w14:paraId="2BDF83AF"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6 weeks – 6 months post resolution</w:t>
            </w:r>
          </w:p>
        </w:tc>
        <w:tc>
          <w:tcPr>
            <w:tcW w:w="932" w:type="dxa"/>
            <w:vAlign w:val="center"/>
          </w:tcPr>
          <w:p w14:paraId="38CBAC10"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7894B355" w14:textId="77777777" w:rsidR="003D56DD" w:rsidRDefault="003D56DD" w:rsidP="006F167D">
            <w:pPr>
              <w:jc w:val="center"/>
              <w:rPr>
                <w:sz w:val="16"/>
                <w:szCs w:val="16"/>
              </w:rPr>
            </w:pPr>
            <w:r w:rsidRPr="00677626">
              <w:rPr>
                <w:sz w:val="16"/>
                <w:szCs w:val="16"/>
              </w:rPr>
              <w:t xml:space="preserve">56 </w:t>
            </w:r>
          </w:p>
          <w:p w14:paraId="7BB0B5B1" w14:textId="77777777" w:rsidR="003D56DD" w:rsidRPr="00677626" w:rsidRDefault="003D56DD" w:rsidP="006F167D">
            <w:pPr>
              <w:jc w:val="center"/>
              <w:rPr>
                <w:sz w:val="16"/>
                <w:szCs w:val="16"/>
              </w:rPr>
            </w:pPr>
            <w:r w:rsidRPr="00677626">
              <w:rPr>
                <w:sz w:val="16"/>
                <w:szCs w:val="16"/>
              </w:rPr>
              <w:t>(18; 32.1%)</w:t>
            </w:r>
          </w:p>
        </w:tc>
        <w:tc>
          <w:tcPr>
            <w:tcW w:w="922" w:type="dxa"/>
            <w:vAlign w:val="center"/>
          </w:tcPr>
          <w:p w14:paraId="45374435" w14:textId="77777777" w:rsidR="003D56DD" w:rsidRPr="00677626" w:rsidRDefault="003D56DD" w:rsidP="006F167D">
            <w:pPr>
              <w:jc w:val="center"/>
              <w:rPr>
                <w:sz w:val="16"/>
                <w:szCs w:val="16"/>
              </w:rPr>
            </w:pPr>
            <w:r w:rsidRPr="00677626">
              <w:rPr>
                <w:sz w:val="16"/>
                <w:szCs w:val="16"/>
              </w:rPr>
              <w:t>NP</w:t>
            </w:r>
          </w:p>
        </w:tc>
        <w:tc>
          <w:tcPr>
            <w:tcW w:w="996" w:type="dxa"/>
          </w:tcPr>
          <w:p w14:paraId="7440774C" w14:textId="77777777" w:rsidR="003D56DD" w:rsidRDefault="003D56DD" w:rsidP="006F167D">
            <w:pPr>
              <w:jc w:val="center"/>
              <w:rPr>
                <w:sz w:val="16"/>
                <w:szCs w:val="16"/>
              </w:rPr>
            </w:pPr>
            <w:r w:rsidRPr="00677626">
              <w:rPr>
                <w:sz w:val="16"/>
                <w:szCs w:val="16"/>
              </w:rPr>
              <w:t xml:space="preserve">2 </w:t>
            </w:r>
          </w:p>
          <w:p w14:paraId="682D9AD7" w14:textId="77777777" w:rsidR="003D56DD" w:rsidRPr="00677626" w:rsidRDefault="003D56DD" w:rsidP="006F167D">
            <w:pPr>
              <w:jc w:val="center"/>
              <w:rPr>
                <w:sz w:val="16"/>
                <w:szCs w:val="16"/>
              </w:rPr>
            </w:pPr>
            <w:r w:rsidRPr="00677626">
              <w:rPr>
                <w:sz w:val="16"/>
                <w:szCs w:val="16"/>
              </w:rPr>
              <w:t>(0; 0%)</w:t>
            </w:r>
          </w:p>
        </w:tc>
      </w:tr>
      <w:tr w:rsidR="003D56DD" w:rsidRPr="00677626" w14:paraId="76F1F72B" w14:textId="77777777" w:rsidTr="006F167D">
        <w:trPr>
          <w:trHeight w:val="419"/>
        </w:trPr>
        <w:tc>
          <w:tcPr>
            <w:tcW w:w="1693" w:type="dxa"/>
            <w:vAlign w:val="bottom"/>
          </w:tcPr>
          <w:p w14:paraId="0887A1BA" w14:textId="77777777" w:rsidR="003D56DD" w:rsidRPr="00677626" w:rsidRDefault="003D56DD" w:rsidP="006F167D">
            <w:pPr>
              <w:rPr>
                <w:rFonts w:ascii="Calibri" w:hAnsi="Calibri"/>
                <w:color w:val="000000"/>
                <w:sz w:val="16"/>
                <w:szCs w:val="16"/>
              </w:rPr>
            </w:pPr>
            <w:r w:rsidRPr="00677626">
              <w:rPr>
                <w:rFonts w:ascii="Calibri" w:hAnsi="Calibri"/>
                <w:color w:val="000000"/>
                <w:sz w:val="16"/>
                <w:szCs w:val="16"/>
              </w:rPr>
              <w:t>Santiago et al. 2020</w:t>
            </w:r>
          </w:p>
        </w:tc>
        <w:tc>
          <w:tcPr>
            <w:tcW w:w="589" w:type="dxa"/>
            <w:vAlign w:val="center"/>
          </w:tcPr>
          <w:p w14:paraId="56540EB2" w14:textId="77777777" w:rsidR="003D56DD" w:rsidRPr="00677626" w:rsidRDefault="003D56DD" w:rsidP="006F167D">
            <w:pPr>
              <w:spacing w:before="2" w:after="2"/>
              <w:jc w:val="center"/>
              <w:rPr>
                <w:sz w:val="16"/>
                <w:szCs w:val="16"/>
              </w:rPr>
            </w:pPr>
            <w:r w:rsidRPr="00677626">
              <w:rPr>
                <w:sz w:val="16"/>
                <w:szCs w:val="16"/>
              </w:rPr>
              <w:t>17</w:t>
            </w:r>
          </w:p>
        </w:tc>
        <w:tc>
          <w:tcPr>
            <w:tcW w:w="825" w:type="dxa"/>
            <w:vAlign w:val="center"/>
          </w:tcPr>
          <w:p w14:paraId="71C4B05B" w14:textId="77777777" w:rsidR="003D56DD" w:rsidRDefault="003D56DD" w:rsidP="006F167D">
            <w:pPr>
              <w:jc w:val="center"/>
              <w:rPr>
                <w:rFonts w:ascii="Calibri" w:hAnsi="Calibri"/>
                <w:color w:val="000000"/>
                <w:sz w:val="16"/>
                <w:szCs w:val="16"/>
              </w:rPr>
            </w:pPr>
            <w:r w:rsidRPr="00677626">
              <w:rPr>
                <w:rFonts w:ascii="Calibri" w:hAnsi="Calibri"/>
                <w:color w:val="000000"/>
                <w:sz w:val="16"/>
                <w:szCs w:val="16"/>
              </w:rPr>
              <w:t xml:space="preserve">47.4 </w:t>
            </w:r>
          </w:p>
          <w:p w14:paraId="21AE9044"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(10-89)</w:t>
            </w:r>
          </w:p>
        </w:tc>
        <w:tc>
          <w:tcPr>
            <w:tcW w:w="664" w:type="dxa"/>
            <w:vAlign w:val="center"/>
          </w:tcPr>
          <w:p w14:paraId="40E14843" w14:textId="77777777" w:rsidR="003D56DD" w:rsidRPr="00677626" w:rsidRDefault="003D56DD" w:rsidP="006F167D">
            <w:pPr>
              <w:jc w:val="center"/>
              <w:rPr>
                <w:sz w:val="16"/>
                <w:szCs w:val="16"/>
              </w:rPr>
            </w:pPr>
            <w:r w:rsidRPr="00677626">
              <w:rPr>
                <w:sz w:val="16"/>
                <w:szCs w:val="16"/>
              </w:rPr>
              <w:t>9:8</w:t>
            </w:r>
          </w:p>
        </w:tc>
        <w:tc>
          <w:tcPr>
            <w:tcW w:w="1024" w:type="dxa"/>
          </w:tcPr>
          <w:p w14:paraId="1D9DF7BA" w14:textId="77777777" w:rsidR="003D56DD" w:rsidRPr="00677626" w:rsidRDefault="003D56DD" w:rsidP="006F167D">
            <w:pPr>
              <w:jc w:val="center"/>
              <w:rPr>
                <w:sz w:val="16"/>
                <w:szCs w:val="16"/>
              </w:rPr>
            </w:pPr>
            <w:r w:rsidRPr="00677626">
              <w:rPr>
                <w:sz w:val="16"/>
                <w:szCs w:val="16"/>
              </w:rPr>
              <w:t>Various</w:t>
            </w:r>
          </w:p>
        </w:tc>
        <w:tc>
          <w:tcPr>
            <w:tcW w:w="931" w:type="dxa"/>
          </w:tcPr>
          <w:p w14:paraId="503555B0" w14:textId="77777777" w:rsidR="003D56DD" w:rsidRPr="00677626" w:rsidRDefault="003D56DD" w:rsidP="003A5EAF">
            <w:pPr>
              <w:jc w:val="center"/>
              <w:rPr>
                <w:rFonts w:ascii="Calibri" w:hAnsi="Calibri"/>
                <w:color w:val="000000"/>
                <w:sz w:val="16"/>
                <w:szCs w:val="16"/>
              </w:rPr>
            </w:pPr>
            <w:r w:rsidRPr="00677626">
              <w:rPr>
                <w:rFonts w:ascii="Calibri" w:hAnsi="Calibri"/>
                <w:color w:val="000000"/>
                <w:sz w:val="16"/>
                <w:szCs w:val="16"/>
              </w:rPr>
              <w:t>6 weeks – 6 months</w:t>
            </w:r>
            <w:r w:rsidRPr="003A5EAF">
              <w:rPr>
                <w:rFonts w:ascii="Calibri" w:hAnsi="Calibri"/>
                <w:color w:val="000000"/>
                <w:sz w:val="16"/>
                <w:szCs w:val="16"/>
                <w:vertAlign w:val="superscript"/>
              </w:rPr>
              <w:t>§</w:t>
            </w:r>
          </w:p>
        </w:tc>
        <w:tc>
          <w:tcPr>
            <w:tcW w:w="932" w:type="dxa"/>
            <w:vAlign w:val="center"/>
          </w:tcPr>
          <w:p w14:paraId="292526D7"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114FE126" w14:textId="77777777" w:rsidR="003D56DD" w:rsidRDefault="003D56DD" w:rsidP="006F167D">
            <w:pPr>
              <w:jc w:val="center"/>
              <w:rPr>
                <w:sz w:val="16"/>
                <w:szCs w:val="16"/>
              </w:rPr>
            </w:pPr>
            <w:r w:rsidRPr="00677626">
              <w:rPr>
                <w:sz w:val="16"/>
                <w:szCs w:val="16"/>
              </w:rPr>
              <w:t xml:space="preserve">17 </w:t>
            </w:r>
          </w:p>
          <w:p w14:paraId="407D1684" w14:textId="77777777" w:rsidR="003D56DD" w:rsidRPr="00677626" w:rsidRDefault="003D56DD" w:rsidP="006F167D">
            <w:pPr>
              <w:jc w:val="center"/>
              <w:rPr>
                <w:sz w:val="16"/>
                <w:szCs w:val="16"/>
              </w:rPr>
            </w:pPr>
            <w:r w:rsidRPr="00677626">
              <w:rPr>
                <w:sz w:val="16"/>
                <w:szCs w:val="16"/>
              </w:rPr>
              <w:t>(17; 100%)</w:t>
            </w:r>
          </w:p>
        </w:tc>
        <w:tc>
          <w:tcPr>
            <w:tcW w:w="922" w:type="dxa"/>
            <w:vAlign w:val="center"/>
          </w:tcPr>
          <w:p w14:paraId="19D5AA23" w14:textId="77777777" w:rsidR="003D56DD" w:rsidRPr="00677626" w:rsidRDefault="003D56DD" w:rsidP="006F167D">
            <w:pPr>
              <w:jc w:val="center"/>
              <w:rPr>
                <w:sz w:val="16"/>
                <w:szCs w:val="16"/>
              </w:rPr>
            </w:pPr>
            <w:r w:rsidRPr="00677626">
              <w:rPr>
                <w:sz w:val="16"/>
                <w:szCs w:val="16"/>
              </w:rPr>
              <w:t>NP</w:t>
            </w:r>
          </w:p>
        </w:tc>
        <w:tc>
          <w:tcPr>
            <w:tcW w:w="996" w:type="dxa"/>
          </w:tcPr>
          <w:p w14:paraId="34ECAE92" w14:textId="77777777" w:rsidR="003D56DD" w:rsidRPr="00677626" w:rsidRDefault="003D56DD" w:rsidP="006F167D">
            <w:pPr>
              <w:jc w:val="center"/>
              <w:rPr>
                <w:sz w:val="16"/>
                <w:szCs w:val="16"/>
              </w:rPr>
            </w:pPr>
          </w:p>
        </w:tc>
      </w:tr>
      <w:tr w:rsidR="003D56DD" w:rsidRPr="00677626" w14:paraId="4EBE97D1" w14:textId="77777777" w:rsidTr="006F167D">
        <w:trPr>
          <w:trHeight w:val="479"/>
        </w:trPr>
        <w:tc>
          <w:tcPr>
            <w:tcW w:w="1693" w:type="dxa"/>
            <w:vAlign w:val="bottom"/>
          </w:tcPr>
          <w:p w14:paraId="3BA42E8C" w14:textId="77777777" w:rsidR="003D56DD" w:rsidRPr="00677626" w:rsidRDefault="003D56DD" w:rsidP="006F167D">
            <w:pPr>
              <w:rPr>
                <w:rFonts w:ascii="Calibri" w:hAnsi="Calibri"/>
                <w:color w:val="000000"/>
                <w:sz w:val="16"/>
                <w:szCs w:val="16"/>
              </w:rPr>
            </w:pPr>
            <w:r w:rsidRPr="00677626">
              <w:rPr>
                <w:rFonts w:ascii="Calibri" w:hAnsi="Calibri"/>
                <w:color w:val="000000"/>
                <w:sz w:val="16"/>
                <w:szCs w:val="16"/>
              </w:rPr>
              <w:t>Soria et al. 2019</w:t>
            </w:r>
          </w:p>
        </w:tc>
        <w:tc>
          <w:tcPr>
            <w:tcW w:w="589" w:type="dxa"/>
            <w:vAlign w:val="center"/>
          </w:tcPr>
          <w:p w14:paraId="249A8980" w14:textId="77777777" w:rsidR="003D56DD" w:rsidRPr="00677626" w:rsidRDefault="003D56DD" w:rsidP="006F167D">
            <w:pPr>
              <w:spacing w:before="2" w:after="2"/>
              <w:jc w:val="center"/>
              <w:rPr>
                <w:sz w:val="16"/>
                <w:szCs w:val="16"/>
              </w:rPr>
            </w:pPr>
            <w:r w:rsidRPr="00677626">
              <w:rPr>
                <w:sz w:val="16"/>
                <w:szCs w:val="16"/>
              </w:rPr>
              <w:t>14</w:t>
            </w:r>
          </w:p>
        </w:tc>
        <w:tc>
          <w:tcPr>
            <w:tcW w:w="825" w:type="dxa"/>
            <w:vAlign w:val="center"/>
          </w:tcPr>
          <w:p w14:paraId="5799C8C4" w14:textId="77777777" w:rsidR="003D56DD" w:rsidRDefault="003D56DD" w:rsidP="006F167D">
            <w:pPr>
              <w:jc w:val="center"/>
              <w:rPr>
                <w:rFonts w:ascii="Calibri" w:hAnsi="Calibri"/>
                <w:color w:val="000000"/>
                <w:sz w:val="16"/>
                <w:szCs w:val="16"/>
              </w:rPr>
            </w:pPr>
            <w:r w:rsidRPr="00677626">
              <w:rPr>
                <w:rFonts w:ascii="Calibri" w:hAnsi="Calibri"/>
                <w:color w:val="000000"/>
                <w:sz w:val="16"/>
                <w:szCs w:val="16"/>
              </w:rPr>
              <w:t xml:space="preserve">58 </w:t>
            </w:r>
          </w:p>
          <w:p w14:paraId="41B7FC2B"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(35-89)</w:t>
            </w:r>
          </w:p>
        </w:tc>
        <w:tc>
          <w:tcPr>
            <w:tcW w:w="664" w:type="dxa"/>
            <w:vAlign w:val="center"/>
          </w:tcPr>
          <w:p w14:paraId="4A51C5DA" w14:textId="77777777" w:rsidR="003D56DD" w:rsidRPr="00677626" w:rsidRDefault="003D56DD" w:rsidP="006F167D">
            <w:pPr>
              <w:jc w:val="center"/>
              <w:rPr>
                <w:sz w:val="16"/>
                <w:szCs w:val="16"/>
              </w:rPr>
            </w:pPr>
            <w:r w:rsidRPr="00677626">
              <w:rPr>
                <w:sz w:val="16"/>
                <w:szCs w:val="16"/>
              </w:rPr>
              <w:t>9:5</w:t>
            </w:r>
          </w:p>
        </w:tc>
        <w:tc>
          <w:tcPr>
            <w:tcW w:w="1024" w:type="dxa"/>
          </w:tcPr>
          <w:p w14:paraId="3E2019EE" w14:textId="77777777" w:rsidR="003D56DD" w:rsidRPr="00677626" w:rsidRDefault="003D56DD" w:rsidP="006F167D">
            <w:pPr>
              <w:jc w:val="center"/>
              <w:rPr>
                <w:sz w:val="16"/>
                <w:szCs w:val="16"/>
              </w:rPr>
            </w:pPr>
            <w:r w:rsidRPr="00677626">
              <w:rPr>
                <w:sz w:val="16"/>
                <w:szCs w:val="16"/>
              </w:rPr>
              <w:t>Various</w:t>
            </w:r>
          </w:p>
        </w:tc>
        <w:tc>
          <w:tcPr>
            <w:tcW w:w="931" w:type="dxa"/>
          </w:tcPr>
          <w:p w14:paraId="708FA237" w14:textId="77777777" w:rsidR="003D56DD" w:rsidRPr="00677626" w:rsidRDefault="003D56DD" w:rsidP="006F167D">
            <w:pPr>
              <w:jc w:val="center"/>
              <w:rPr>
                <w:rFonts w:ascii="Calibri" w:hAnsi="Calibri"/>
                <w:color w:val="000000"/>
                <w:sz w:val="16"/>
                <w:szCs w:val="16"/>
              </w:rPr>
            </w:pPr>
            <w:r w:rsidRPr="00677626">
              <w:rPr>
                <w:rFonts w:ascii="Calibri" w:hAnsi="Calibri"/>
                <w:color w:val="000000"/>
                <w:sz w:val="16"/>
                <w:szCs w:val="16"/>
              </w:rPr>
              <w:t>1 – 53 months post resolution</w:t>
            </w:r>
          </w:p>
        </w:tc>
        <w:tc>
          <w:tcPr>
            <w:tcW w:w="932" w:type="dxa"/>
            <w:vAlign w:val="center"/>
          </w:tcPr>
          <w:p w14:paraId="514F0141" w14:textId="77777777" w:rsidR="003D56DD" w:rsidRDefault="003D56DD" w:rsidP="006F167D">
            <w:pPr>
              <w:jc w:val="center"/>
              <w:rPr>
                <w:sz w:val="16"/>
                <w:szCs w:val="16"/>
              </w:rPr>
            </w:pPr>
            <w:r w:rsidRPr="00677626">
              <w:rPr>
                <w:sz w:val="16"/>
                <w:szCs w:val="16"/>
              </w:rPr>
              <w:t xml:space="preserve">5 </w:t>
            </w:r>
          </w:p>
          <w:p w14:paraId="5EEFFC65" w14:textId="77777777" w:rsidR="003D56DD" w:rsidRPr="00677626" w:rsidRDefault="003D56DD" w:rsidP="006F167D">
            <w:pPr>
              <w:jc w:val="center"/>
              <w:rPr>
                <w:sz w:val="16"/>
                <w:szCs w:val="16"/>
              </w:rPr>
            </w:pPr>
            <w:r w:rsidRPr="00677626">
              <w:rPr>
                <w:sz w:val="16"/>
                <w:szCs w:val="16"/>
              </w:rPr>
              <w:t>(0; 0%)</w:t>
            </w:r>
          </w:p>
        </w:tc>
        <w:tc>
          <w:tcPr>
            <w:tcW w:w="971" w:type="dxa"/>
            <w:vAlign w:val="center"/>
          </w:tcPr>
          <w:p w14:paraId="37B28A1B" w14:textId="77777777" w:rsidR="003D56DD" w:rsidRDefault="003D56DD" w:rsidP="006F167D">
            <w:pPr>
              <w:jc w:val="center"/>
              <w:rPr>
                <w:sz w:val="16"/>
                <w:szCs w:val="16"/>
              </w:rPr>
            </w:pPr>
            <w:r w:rsidRPr="00677626">
              <w:rPr>
                <w:sz w:val="16"/>
                <w:szCs w:val="16"/>
              </w:rPr>
              <w:t xml:space="preserve">14 </w:t>
            </w:r>
          </w:p>
          <w:p w14:paraId="5768F85C" w14:textId="77777777" w:rsidR="003D56DD" w:rsidRPr="00677626" w:rsidRDefault="003D56DD" w:rsidP="006F167D">
            <w:pPr>
              <w:jc w:val="center"/>
              <w:rPr>
                <w:sz w:val="16"/>
                <w:szCs w:val="16"/>
              </w:rPr>
            </w:pPr>
            <w:r w:rsidRPr="00677626">
              <w:rPr>
                <w:sz w:val="16"/>
                <w:szCs w:val="16"/>
              </w:rPr>
              <w:t>(7; 50%)</w:t>
            </w:r>
          </w:p>
        </w:tc>
        <w:tc>
          <w:tcPr>
            <w:tcW w:w="922" w:type="dxa"/>
            <w:vAlign w:val="center"/>
          </w:tcPr>
          <w:p w14:paraId="710CD75B" w14:textId="77777777" w:rsidR="003D56DD" w:rsidRDefault="003D56DD" w:rsidP="006F167D">
            <w:pPr>
              <w:jc w:val="center"/>
              <w:rPr>
                <w:sz w:val="16"/>
                <w:szCs w:val="16"/>
              </w:rPr>
            </w:pPr>
            <w:r w:rsidRPr="00677626">
              <w:rPr>
                <w:sz w:val="16"/>
                <w:szCs w:val="16"/>
              </w:rPr>
              <w:t xml:space="preserve">14 </w:t>
            </w:r>
          </w:p>
          <w:p w14:paraId="14AEBA84" w14:textId="77777777" w:rsidR="003D56DD" w:rsidRPr="00677626" w:rsidRDefault="003D56DD" w:rsidP="006F167D">
            <w:pPr>
              <w:jc w:val="center"/>
              <w:rPr>
                <w:sz w:val="16"/>
                <w:szCs w:val="16"/>
              </w:rPr>
            </w:pPr>
            <w:r w:rsidRPr="00677626">
              <w:rPr>
                <w:sz w:val="16"/>
                <w:szCs w:val="16"/>
              </w:rPr>
              <w:t>(4; 28.5%)</w:t>
            </w:r>
          </w:p>
        </w:tc>
        <w:tc>
          <w:tcPr>
            <w:tcW w:w="996" w:type="dxa"/>
          </w:tcPr>
          <w:p w14:paraId="0E36288E" w14:textId="77777777" w:rsidR="003D56DD" w:rsidRPr="00677626" w:rsidRDefault="003D56DD" w:rsidP="006F167D">
            <w:pPr>
              <w:jc w:val="center"/>
              <w:rPr>
                <w:sz w:val="16"/>
                <w:szCs w:val="16"/>
              </w:rPr>
            </w:pPr>
          </w:p>
        </w:tc>
      </w:tr>
      <w:tr w:rsidR="003D56DD" w:rsidRPr="00677626" w14:paraId="4FDDF53E" w14:textId="77777777" w:rsidTr="006F167D">
        <w:trPr>
          <w:trHeight w:val="419"/>
        </w:trPr>
        <w:tc>
          <w:tcPr>
            <w:tcW w:w="1693" w:type="dxa"/>
          </w:tcPr>
          <w:p w14:paraId="00D30AAA" w14:textId="77777777" w:rsidR="003D56DD" w:rsidRPr="00677626" w:rsidRDefault="003D56DD" w:rsidP="006F167D">
            <w:pPr>
              <w:rPr>
                <w:sz w:val="16"/>
                <w:szCs w:val="16"/>
              </w:rPr>
            </w:pPr>
            <w:proofErr w:type="spellStart"/>
            <w:r w:rsidRPr="00677626">
              <w:rPr>
                <w:sz w:val="16"/>
                <w:szCs w:val="16"/>
              </w:rPr>
              <w:t>Tanno</w:t>
            </w:r>
            <w:proofErr w:type="spellEnd"/>
            <w:r w:rsidRPr="00677626">
              <w:rPr>
                <w:sz w:val="16"/>
                <w:szCs w:val="16"/>
              </w:rPr>
              <w:t xml:space="preserve"> et al. 2015</w:t>
            </w:r>
          </w:p>
        </w:tc>
        <w:tc>
          <w:tcPr>
            <w:tcW w:w="589" w:type="dxa"/>
            <w:vAlign w:val="center"/>
          </w:tcPr>
          <w:p w14:paraId="3B4CD827" w14:textId="77777777" w:rsidR="003D56DD" w:rsidRPr="00677626" w:rsidRDefault="003D56DD" w:rsidP="006F167D">
            <w:pPr>
              <w:spacing w:before="2" w:after="2"/>
              <w:jc w:val="center"/>
              <w:rPr>
                <w:sz w:val="16"/>
                <w:szCs w:val="16"/>
              </w:rPr>
            </w:pPr>
            <w:r w:rsidRPr="00677626">
              <w:rPr>
                <w:sz w:val="16"/>
                <w:szCs w:val="16"/>
              </w:rPr>
              <w:t>32</w:t>
            </w:r>
          </w:p>
        </w:tc>
        <w:tc>
          <w:tcPr>
            <w:tcW w:w="825" w:type="dxa"/>
            <w:vAlign w:val="center"/>
          </w:tcPr>
          <w:p w14:paraId="0E0D1315" w14:textId="77777777" w:rsidR="003D56DD" w:rsidRPr="00677626" w:rsidRDefault="003D56DD" w:rsidP="006F167D">
            <w:pPr>
              <w:jc w:val="center"/>
              <w:rPr>
                <w:rFonts w:ascii="Calibri" w:hAnsi="Calibri" w:cs="Calibri"/>
                <w:color w:val="000000"/>
                <w:sz w:val="16"/>
                <w:szCs w:val="16"/>
              </w:rPr>
            </w:pPr>
            <w:r w:rsidRPr="00677626">
              <w:rPr>
                <w:rFonts w:ascii="Calibri" w:hAnsi="Calibri" w:cs="Calibri"/>
                <w:color w:val="000000"/>
                <w:sz w:val="16"/>
                <w:szCs w:val="16"/>
              </w:rPr>
              <w:t>49.7</w:t>
            </w:r>
            <w:r w:rsidRPr="003A5EAF">
              <w:rPr>
                <w:rFonts w:ascii="Calibri" w:hAnsi="Calibri" w:cs="Calibri"/>
                <w:color w:val="000000"/>
                <w:sz w:val="16"/>
                <w:szCs w:val="16"/>
                <w:vertAlign w:val="superscript"/>
              </w:rPr>
              <w:t>¶</w:t>
            </w:r>
          </w:p>
        </w:tc>
        <w:tc>
          <w:tcPr>
            <w:tcW w:w="664" w:type="dxa"/>
            <w:vAlign w:val="center"/>
          </w:tcPr>
          <w:p w14:paraId="26A1D370" w14:textId="77777777" w:rsidR="003D56DD" w:rsidRPr="00677626" w:rsidRDefault="003D56DD" w:rsidP="006F167D">
            <w:pPr>
              <w:jc w:val="center"/>
              <w:rPr>
                <w:sz w:val="16"/>
                <w:szCs w:val="16"/>
              </w:rPr>
            </w:pPr>
            <w:r w:rsidRPr="00677626">
              <w:rPr>
                <w:sz w:val="16"/>
                <w:szCs w:val="16"/>
              </w:rPr>
              <w:t>26:6</w:t>
            </w:r>
          </w:p>
        </w:tc>
        <w:tc>
          <w:tcPr>
            <w:tcW w:w="1024" w:type="dxa"/>
          </w:tcPr>
          <w:p w14:paraId="29393C1E" w14:textId="77777777" w:rsidR="003D56DD" w:rsidRPr="00677626" w:rsidRDefault="003D56DD" w:rsidP="006F167D">
            <w:pPr>
              <w:jc w:val="center"/>
              <w:rPr>
                <w:sz w:val="16"/>
                <w:szCs w:val="16"/>
              </w:rPr>
            </w:pPr>
            <w:r w:rsidRPr="00677626">
              <w:rPr>
                <w:sz w:val="16"/>
                <w:szCs w:val="16"/>
              </w:rPr>
              <w:t>AED</w:t>
            </w:r>
          </w:p>
        </w:tc>
        <w:tc>
          <w:tcPr>
            <w:tcW w:w="931" w:type="dxa"/>
          </w:tcPr>
          <w:p w14:paraId="13C408DE" w14:textId="77777777" w:rsidR="003D56DD" w:rsidRPr="00677626" w:rsidRDefault="003D56DD" w:rsidP="006F167D">
            <w:pPr>
              <w:jc w:val="center"/>
              <w:rPr>
                <w:rFonts w:ascii="Calibri" w:hAnsi="Calibri" w:cs="Calibri"/>
                <w:color w:val="000000"/>
                <w:sz w:val="16"/>
                <w:szCs w:val="16"/>
              </w:rPr>
            </w:pPr>
            <w:r w:rsidRPr="00677626">
              <w:rPr>
                <w:rFonts w:ascii="Calibri" w:hAnsi="Calibri"/>
                <w:color w:val="000000"/>
                <w:sz w:val="16"/>
                <w:szCs w:val="16"/>
              </w:rPr>
              <w:t>6 weeks – 6 months</w:t>
            </w:r>
          </w:p>
        </w:tc>
        <w:tc>
          <w:tcPr>
            <w:tcW w:w="932" w:type="dxa"/>
            <w:vAlign w:val="center"/>
          </w:tcPr>
          <w:p w14:paraId="6294E870"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05A60EF2" w14:textId="77777777" w:rsidR="003D56DD" w:rsidRDefault="003D56DD" w:rsidP="006F167D">
            <w:pPr>
              <w:jc w:val="center"/>
              <w:rPr>
                <w:sz w:val="16"/>
                <w:szCs w:val="16"/>
              </w:rPr>
            </w:pPr>
            <w:r w:rsidRPr="00677626">
              <w:rPr>
                <w:sz w:val="16"/>
                <w:szCs w:val="16"/>
              </w:rPr>
              <w:t xml:space="preserve">25 </w:t>
            </w:r>
          </w:p>
          <w:p w14:paraId="4E980FDD" w14:textId="77777777" w:rsidR="003D56DD" w:rsidRPr="00677626" w:rsidRDefault="003D56DD" w:rsidP="006F167D">
            <w:pPr>
              <w:jc w:val="center"/>
              <w:rPr>
                <w:sz w:val="16"/>
                <w:szCs w:val="16"/>
              </w:rPr>
            </w:pPr>
            <w:r w:rsidRPr="00677626">
              <w:rPr>
                <w:sz w:val="16"/>
                <w:szCs w:val="16"/>
              </w:rPr>
              <w:t>(18; 72%)</w:t>
            </w:r>
          </w:p>
        </w:tc>
        <w:tc>
          <w:tcPr>
            <w:tcW w:w="922" w:type="dxa"/>
            <w:vAlign w:val="center"/>
          </w:tcPr>
          <w:p w14:paraId="3AA562BC" w14:textId="77777777" w:rsidR="003D56DD" w:rsidRPr="00677626" w:rsidRDefault="003D56DD" w:rsidP="006F167D">
            <w:pPr>
              <w:jc w:val="center"/>
              <w:rPr>
                <w:sz w:val="16"/>
                <w:szCs w:val="16"/>
              </w:rPr>
            </w:pPr>
            <w:r w:rsidRPr="00677626">
              <w:rPr>
                <w:sz w:val="16"/>
                <w:szCs w:val="16"/>
              </w:rPr>
              <w:t>NP</w:t>
            </w:r>
          </w:p>
        </w:tc>
        <w:tc>
          <w:tcPr>
            <w:tcW w:w="996" w:type="dxa"/>
          </w:tcPr>
          <w:p w14:paraId="75C98AC7" w14:textId="77777777" w:rsidR="003D56DD" w:rsidRPr="00677626" w:rsidRDefault="003D56DD" w:rsidP="006F167D">
            <w:pPr>
              <w:jc w:val="center"/>
              <w:rPr>
                <w:sz w:val="16"/>
                <w:szCs w:val="16"/>
              </w:rPr>
            </w:pPr>
          </w:p>
        </w:tc>
      </w:tr>
      <w:tr w:rsidR="003D56DD" w:rsidRPr="00677626" w14:paraId="067C80F9" w14:textId="77777777" w:rsidTr="006F167D">
        <w:trPr>
          <w:trHeight w:val="199"/>
        </w:trPr>
        <w:tc>
          <w:tcPr>
            <w:tcW w:w="1693" w:type="dxa"/>
          </w:tcPr>
          <w:p w14:paraId="11163C98" w14:textId="77777777" w:rsidR="003D56DD" w:rsidRPr="00677626" w:rsidRDefault="003D56DD" w:rsidP="006F167D">
            <w:pPr>
              <w:rPr>
                <w:sz w:val="16"/>
                <w:szCs w:val="16"/>
              </w:rPr>
            </w:pPr>
            <w:proofErr w:type="spellStart"/>
            <w:r w:rsidRPr="00677626">
              <w:rPr>
                <w:sz w:val="16"/>
                <w:szCs w:val="16"/>
              </w:rPr>
              <w:t>Trubiano</w:t>
            </w:r>
            <w:proofErr w:type="spellEnd"/>
            <w:r w:rsidRPr="00677626">
              <w:rPr>
                <w:sz w:val="16"/>
                <w:szCs w:val="16"/>
              </w:rPr>
              <w:t xml:space="preserve"> et al. 2018</w:t>
            </w:r>
          </w:p>
        </w:tc>
        <w:tc>
          <w:tcPr>
            <w:tcW w:w="589" w:type="dxa"/>
            <w:vAlign w:val="center"/>
          </w:tcPr>
          <w:p w14:paraId="1D1F4A5E" w14:textId="77777777" w:rsidR="003D56DD" w:rsidRPr="00677626" w:rsidRDefault="003D56DD" w:rsidP="006F167D">
            <w:pPr>
              <w:spacing w:before="2" w:after="2"/>
              <w:jc w:val="center"/>
              <w:rPr>
                <w:sz w:val="16"/>
                <w:szCs w:val="16"/>
              </w:rPr>
            </w:pPr>
            <w:r w:rsidRPr="00677626">
              <w:rPr>
                <w:sz w:val="16"/>
                <w:szCs w:val="16"/>
              </w:rPr>
              <w:t>14</w:t>
            </w:r>
          </w:p>
        </w:tc>
        <w:tc>
          <w:tcPr>
            <w:tcW w:w="825" w:type="dxa"/>
            <w:vAlign w:val="center"/>
          </w:tcPr>
          <w:p w14:paraId="5474C5FF" w14:textId="77777777" w:rsidR="003D56DD" w:rsidRDefault="003D56DD" w:rsidP="006F167D">
            <w:pPr>
              <w:jc w:val="center"/>
              <w:rPr>
                <w:rFonts w:ascii="Calibri" w:hAnsi="Calibri" w:cs="Calibri"/>
                <w:color w:val="000000"/>
                <w:sz w:val="16"/>
                <w:szCs w:val="16"/>
              </w:rPr>
            </w:pPr>
            <w:r w:rsidRPr="00677626">
              <w:rPr>
                <w:rFonts w:ascii="Calibri" w:hAnsi="Calibri" w:cs="Calibri"/>
                <w:color w:val="000000"/>
                <w:sz w:val="16"/>
                <w:szCs w:val="16"/>
              </w:rPr>
              <w:t xml:space="preserve">60.2 </w:t>
            </w:r>
          </w:p>
          <w:p w14:paraId="1EDCBD47" w14:textId="77777777" w:rsidR="003D56DD" w:rsidRPr="00677626" w:rsidRDefault="003D56DD" w:rsidP="006F167D">
            <w:pPr>
              <w:jc w:val="center"/>
              <w:rPr>
                <w:rFonts w:ascii="Calibri" w:hAnsi="Calibri" w:cs="Calibri"/>
                <w:color w:val="000000"/>
                <w:sz w:val="16"/>
                <w:szCs w:val="16"/>
              </w:rPr>
            </w:pPr>
            <w:r w:rsidRPr="00677626">
              <w:rPr>
                <w:rFonts w:ascii="Calibri" w:hAnsi="Calibri" w:cs="Calibri"/>
                <w:color w:val="000000"/>
                <w:sz w:val="16"/>
                <w:szCs w:val="16"/>
              </w:rPr>
              <w:t>(38-75)</w:t>
            </w:r>
          </w:p>
        </w:tc>
        <w:tc>
          <w:tcPr>
            <w:tcW w:w="664" w:type="dxa"/>
            <w:vAlign w:val="center"/>
          </w:tcPr>
          <w:p w14:paraId="15560704" w14:textId="77777777" w:rsidR="003D56DD" w:rsidRPr="00677626" w:rsidRDefault="003D56DD" w:rsidP="006F167D">
            <w:pPr>
              <w:jc w:val="center"/>
              <w:rPr>
                <w:sz w:val="16"/>
                <w:szCs w:val="16"/>
              </w:rPr>
            </w:pPr>
            <w:r w:rsidRPr="00677626">
              <w:rPr>
                <w:sz w:val="16"/>
                <w:szCs w:val="16"/>
              </w:rPr>
              <w:t>9:5</w:t>
            </w:r>
          </w:p>
        </w:tc>
        <w:tc>
          <w:tcPr>
            <w:tcW w:w="1024" w:type="dxa"/>
          </w:tcPr>
          <w:p w14:paraId="2057DD1A" w14:textId="77777777" w:rsidR="003D56DD" w:rsidRPr="00677626" w:rsidRDefault="003D56DD" w:rsidP="006F167D">
            <w:pPr>
              <w:jc w:val="center"/>
              <w:rPr>
                <w:sz w:val="16"/>
                <w:szCs w:val="16"/>
              </w:rPr>
            </w:pPr>
            <w:r w:rsidRPr="00677626">
              <w:rPr>
                <w:sz w:val="16"/>
                <w:szCs w:val="16"/>
              </w:rPr>
              <w:t>Antibiotics</w:t>
            </w:r>
          </w:p>
        </w:tc>
        <w:tc>
          <w:tcPr>
            <w:tcW w:w="931" w:type="dxa"/>
          </w:tcPr>
          <w:p w14:paraId="65C9EE35" w14:textId="77777777" w:rsidR="003D56DD" w:rsidRPr="00677626" w:rsidRDefault="003D56DD" w:rsidP="006F167D">
            <w:pPr>
              <w:jc w:val="center"/>
              <w:rPr>
                <w:rFonts w:ascii="Calibri" w:hAnsi="Calibri" w:cs="Calibri"/>
                <w:color w:val="000000"/>
                <w:sz w:val="16"/>
                <w:szCs w:val="16"/>
              </w:rPr>
            </w:pPr>
            <w:r w:rsidRPr="00677626">
              <w:rPr>
                <w:sz w:val="16"/>
                <w:szCs w:val="16"/>
              </w:rPr>
              <w:t>≥6 weeks</w:t>
            </w:r>
          </w:p>
        </w:tc>
        <w:tc>
          <w:tcPr>
            <w:tcW w:w="932" w:type="dxa"/>
            <w:vAlign w:val="center"/>
          </w:tcPr>
          <w:p w14:paraId="0EC45733" w14:textId="77777777" w:rsidR="003D56DD" w:rsidRPr="00677626" w:rsidRDefault="003D56DD" w:rsidP="006F167D">
            <w:pPr>
              <w:jc w:val="center"/>
              <w:rPr>
                <w:sz w:val="16"/>
                <w:szCs w:val="16"/>
              </w:rPr>
            </w:pPr>
            <w:r w:rsidRPr="00677626">
              <w:rPr>
                <w:sz w:val="16"/>
                <w:szCs w:val="16"/>
              </w:rPr>
              <w:t>NP</w:t>
            </w:r>
          </w:p>
        </w:tc>
        <w:tc>
          <w:tcPr>
            <w:tcW w:w="971" w:type="dxa"/>
            <w:vAlign w:val="center"/>
          </w:tcPr>
          <w:p w14:paraId="1D52013E" w14:textId="77777777" w:rsidR="003D56DD" w:rsidRDefault="003D56DD" w:rsidP="006F167D">
            <w:pPr>
              <w:jc w:val="center"/>
              <w:rPr>
                <w:sz w:val="16"/>
                <w:szCs w:val="16"/>
              </w:rPr>
            </w:pPr>
            <w:r w:rsidRPr="00677626">
              <w:rPr>
                <w:sz w:val="16"/>
                <w:szCs w:val="16"/>
              </w:rPr>
              <w:t xml:space="preserve">6 </w:t>
            </w:r>
          </w:p>
          <w:p w14:paraId="6E066676" w14:textId="77777777" w:rsidR="003D56DD" w:rsidRPr="00677626" w:rsidRDefault="003D56DD" w:rsidP="006F167D">
            <w:pPr>
              <w:jc w:val="center"/>
              <w:rPr>
                <w:sz w:val="16"/>
                <w:szCs w:val="16"/>
              </w:rPr>
            </w:pPr>
            <w:r w:rsidRPr="00677626">
              <w:rPr>
                <w:sz w:val="16"/>
                <w:szCs w:val="16"/>
              </w:rPr>
              <w:t>(2; 33.3%)</w:t>
            </w:r>
          </w:p>
        </w:tc>
        <w:tc>
          <w:tcPr>
            <w:tcW w:w="922" w:type="dxa"/>
            <w:vAlign w:val="center"/>
          </w:tcPr>
          <w:p w14:paraId="0695ACE4" w14:textId="77777777" w:rsidR="003D56DD" w:rsidRDefault="003D56DD" w:rsidP="006F167D">
            <w:pPr>
              <w:jc w:val="center"/>
              <w:rPr>
                <w:sz w:val="16"/>
                <w:szCs w:val="16"/>
              </w:rPr>
            </w:pPr>
            <w:r w:rsidRPr="00677626">
              <w:rPr>
                <w:sz w:val="16"/>
                <w:szCs w:val="16"/>
              </w:rPr>
              <w:t xml:space="preserve">13 </w:t>
            </w:r>
          </w:p>
          <w:p w14:paraId="37164939" w14:textId="77777777" w:rsidR="003D56DD" w:rsidRPr="00677626" w:rsidRDefault="003D56DD" w:rsidP="006F167D">
            <w:pPr>
              <w:jc w:val="center"/>
              <w:rPr>
                <w:sz w:val="16"/>
                <w:szCs w:val="16"/>
              </w:rPr>
            </w:pPr>
            <w:r w:rsidRPr="00677626">
              <w:rPr>
                <w:sz w:val="16"/>
                <w:szCs w:val="16"/>
              </w:rPr>
              <w:t>(7; 53.8%)</w:t>
            </w:r>
          </w:p>
        </w:tc>
        <w:tc>
          <w:tcPr>
            <w:tcW w:w="996" w:type="dxa"/>
          </w:tcPr>
          <w:p w14:paraId="6D03D17E" w14:textId="77777777" w:rsidR="003D56DD" w:rsidRDefault="003D56DD" w:rsidP="006F167D">
            <w:pPr>
              <w:jc w:val="center"/>
              <w:rPr>
                <w:sz w:val="16"/>
                <w:szCs w:val="16"/>
              </w:rPr>
            </w:pPr>
            <w:r w:rsidRPr="00677626">
              <w:rPr>
                <w:sz w:val="16"/>
                <w:szCs w:val="16"/>
              </w:rPr>
              <w:t xml:space="preserve">4 </w:t>
            </w:r>
          </w:p>
          <w:p w14:paraId="4688BB0B" w14:textId="77777777" w:rsidR="003D56DD" w:rsidRPr="00677626" w:rsidRDefault="003D56DD" w:rsidP="006F167D">
            <w:pPr>
              <w:jc w:val="center"/>
              <w:rPr>
                <w:sz w:val="16"/>
                <w:szCs w:val="16"/>
              </w:rPr>
            </w:pPr>
            <w:r w:rsidRPr="00677626">
              <w:rPr>
                <w:sz w:val="16"/>
                <w:szCs w:val="16"/>
              </w:rPr>
              <w:t>(4; 100%)</w:t>
            </w:r>
          </w:p>
        </w:tc>
      </w:tr>
    </w:tbl>
    <w:p w14:paraId="716C7A1D" w14:textId="77777777" w:rsidR="003D56DD" w:rsidRDefault="003D56DD">
      <w:pPr>
        <w:rPr>
          <w:rFonts w:ascii="Arial" w:hAnsi="Arial" w:cs="Arial"/>
          <w:sz w:val="24"/>
          <w:szCs w:val="24"/>
        </w:rPr>
      </w:pPr>
      <w:r w:rsidRPr="00F846DA">
        <w:rPr>
          <w:sz w:val="20"/>
          <w:szCs w:val="20"/>
        </w:rPr>
        <w:t>AED = anti-epileptic drugs; UNK = unknown, details not included in manuscript;</w:t>
      </w:r>
      <w:r w:rsidRPr="00F846DA">
        <w:rPr>
          <w:sz w:val="20"/>
          <w:szCs w:val="20"/>
          <w:vertAlign w:val="superscript"/>
        </w:rPr>
        <w:t xml:space="preserve"> </w:t>
      </w:r>
      <w:r w:rsidRPr="003A5EAF">
        <w:rPr>
          <w:sz w:val="20"/>
          <w:szCs w:val="20"/>
          <w:vertAlign w:val="superscript"/>
        </w:rPr>
        <w:t>†</w:t>
      </w:r>
      <w:r w:rsidRPr="00F846DA">
        <w:rPr>
          <w:sz w:val="20"/>
          <w:szCs w:val="20"/>
        </w:rPr>
        <w:t>= duration reported from drug exposure but not in relation to resolution or symptom onset;</w:t>
      </w:r>
      <w:r>
        <w:rPr>
          <w:sz w:val="20"/>
          <w:szCs w:val="20"/>
          <w:vertAlign w:val="superscript"/>
        </w:rPr>
        <w:t xml:space="preserve"> </w:t>
      </w:r>
      <w:r w:rsidRPr="003A5EAF">
        <w:rPr>
          <w:sz w:val="20"/>
          <w:szCs w:val="20"/>
          <w:vertAlign w:val="superscript"/>
        </w:rPr>
        <w:t>‡</w:t>
      </w:r>
      <w:r w:rsidRPr="00F846DA">
        <w:rPr>
          <w:sz w:val="20"/>
          <w:szCs w:val="20"/>
        </w:rPr>
        <w:t xml:space="preserve"> = other skin tests performed not specified;</w:t>
      </w:r>
      <w:r w:rsidRPr="003A5EAF">
        <w:t xml:space="preserve"> </w:t>
      </w:r>
      <w:r w:rsidRPr="003A5EAF">
        <w:rPr>
          <w:sz w:val="20"/>
          <w:szCs w:val="20"/>
        </w:rPr>
        <w:t>§</w:t>
      </w:r>
      <w:r w:rsidRPr="00F846DA">
        <w:rPr>
          <w:sz w:val="20"/>
          <w:szCs w:val="20"/>
        </w:rPr>
        <w:t xml:space="preserve"> = repeat testing performed 2-5 years after initial test; </w:t>
      </w:r>
      <w:r w:rsidRPr="003A5EAF">
        <w:rPr>
          <w:sz w:val="20"/>
          <w:szCs w:val="20"/>
        </w:rPr>
        <w:t>¶</w:t>
      </w:r>
      <w:r w:rsidRPr="00F846DA">
        <w:rPr>
          <w:sz w:val="20"/>
          <w:szCs w:val="20"/>
          <w:vertAlign w:val="superscript"/>
        </w:rPr>
        <w:t xml:space="preserve"> </w:t>
      </w:r>
      <w:r w:rsidRPr="00F846DA">
        <w:rPr>
          <w:sz w:val="20"/>
          <w:szCs w:val="20"/>
        </w:rPr>
        <w:t>= age range not published</w:t>
      </w:r>
      <w:r>
        <w:rPr>
          <w:sz w:val="20"/>
          <w:szCs w:val="20"/>
        </w:rPr>
        <w:t>; Δ</w:t>
      </w:r>
      <w:r w:rsidRPr="00A005FE">
        <w:rPr>
          <w:sz w:val="20"/>
          <w:szCs w:val="20"/>
        </w:rPr>
        <w:t xml:space="preserve"> = skin prick test results not reported</w:t>
      </w:r>
      <w:r>
        <w:rPr>
          <w:rFonts w:ascii="Arial" w:hAnsi="Arial" w:cs="Arial"/>
          <w:sz w:val="24"/>
          <w:szCs w:val="24"/>
        </w:rPr>
        <w:br w:type="page"/>
      </w:r>
    </w:p>
    <w:p w14:paraId="6995AA6F" w14:textId="77777777" w:rsidR="003D56DD" w:rsidRPr="00F36ECA" w:rsidRDefault="003D56DD" w:rsidP="00A82433">
      <w:pPr>
        <w:jc w:val="both"/>
        <w:rPr>
          <w:rFonts w:ascii="Arial" w:hAnsi="Arial" w:cs="Arial"/>
          <w:bCs/>
          <w:sz w:val="20"/>
          <w:szCs w:val="20"/>
        </w:rPr>
      </w:pPr>
      <w:r w:rsidRPr="00F36ECA">
        <w:rPr>
          <w:rFonts w:ascii="Arial" w:hAnsi="Arial" w:cs="Arial"/>
          <w:b/>
          <w:sz w:val="20"/>
          <w:szCs w:val="20"/>
        </w:rPr>
        <w:lastRenderedPageBreak/>
        <w:t xml:space="preserve">Table </w:t>
      </w:r>
      <w:r>
        <w:rPr>
          <w:rFonts w:ascii="Arial" w:hAnsi="Arial" w:cs="Arial"/>
          <w:b/>
          <w:sz w:val="20"/>
          <w:szCs w:val="20"/>
        </w:rPr>
        <w:t>3</w:t>
      </w:r>
      <w:r w:rsidRPr="00F36ECA">
        <w:rPr>
          <w:rFonts w:ascii="Arial" w:hAnsi="Arial" w:cs="Arial"/>
          <w:b/>
          <w:sz w:val="20"/>
          <w:szCs w:val="20"/>
        </w:rPr>
        <w:t xml:space="preserve">. </w:t>
      </w:r>
      <w:r w:rsidRPr="00F36ECA">
        <w:rPr>
          <w:rFonts w:ascii="Arial" w:hAnsi="Arial" w:cs="Arial"/>
          <w:bCs/>
          <w:sz w:val="20"/>
          <w:szCs w:val="20"/>
        </w:rPr>
        <w:t>Cases investigated with challenge test</w:t>
      </w:r>
    </w:p>
    <w:tbl>
      <w:tblPr>
        <w:tblStyle w:val="TableGrid"/>
        <w:tblW w:w="9209" w:type="dxa"/>
        <w:tblLook w:val="04A0" w:firstRow="1" w:lastRow="0" w:firstColumn="1" w:lastColumn="0" w:noHBand="0" w:noVBand="1"/>
      </w:tblPr>
      <w:tblGrid>
        <w:gridCol w:w="1542"/>
        <w:gridCol w:w="438"/>
        <w:gridCol w:w="1726"/>
        <w:gridCol w:w="1676"/>
        <w:gridCol w:w="1409"/>
        <w:gridCol w:w="1284"/>
        <w:gridCol w:w="1134"/>
      </w:tblGrid>
      <w:tr w:rsidR="003D56DD" w14:paraId="459172C3" w14:textId="77777777" w:rsidTr="006F167D">
        <w:tc>
          <w:tcPr>
            <w:tcW w:w="1542" w:type="dxa"/>
            <w:tcBorders>
              <w:top w:val="single" w:sz="4" w:space="0" w:color="auto"/>
              <w:left w:val="single" w:sz="4" w:space="0" w:color="auto"/>
              <w:bottom w:val="single" w:sz="4" w:space="0" w:color="auto"/>
              <w:right w:val="single" w:sz="4" w:space="0" w:color="auto"/>
            </w:tcBorders>
          </w:tcPr>
          <w:p w14:paraId="2DB866ED" w14:textId="77777777" w:rsidR="003D56DD" w:rsidRPr="00EB79D2" w:rsidRDefault="003D56DD" w:rsidP="006F167D">
            <w:pPr>
              <w:rPr>
                <w:sz w:val="16"/>
                <w:szCs w:val="16"/>
              </w:rPr>
            </w:pPr>
          </w:p>
        </w:tc>
        <w:tc>
          <w:tcPr>
            <w:tcW w:w="438" w:type="dxa"/>
            <w:tcBorders>
              <w:top w:val="single" w:sz="4" w:space="0" w:color="auto"/>
              <w:left w:val="single" w:sz="4" w:space="0" w:color="auto"/>
              <w:bottom w:val="single" w:sz="4" w:space="0" w:color="auto"/>
              <w:right w:val="single" w:sz="4" w:space="0" w:color="auto"/>
            </w:tcBorders>
            <w:hideMark/>
          </w:tcPr>
          <w:p w14:paraId="16515C94" w14:textId="77777777" w:rsidR="003D56DD" w:rsidRPr="00EB79D2" w:rsidRDefault="003D56DD" w:rsidP="006F167D">
            <w:pPr>
              <w:rPr>
                <w:b/>
                <w:bCs/>
                <w:sz w:val="16"/>
                <w:szCs w:val="16"/>
              </w:rPr>
            </w:pPr>
            <w:r>
              <w:rPr>
                <w:b/>
                <w:bCs/>
                <w:sz w:val="16"/>
                <w:szCs w:val="16"/>
              </w:rPr>
              <w:t>n</w:t>
            </w:r>
          </w:p>
        </w:tc>
        <w:tc>
          <w:tcPr>
            <w:tcW w:w="1726" w:type="dxa"/>
            <w:tcBorders>
              <w:top w:val="single" w:sz="4" w:space="0" w:color="auto"/>
              <w:left w:val="single" w:sz="4" w:space="0" w:color="auto"/>
              <w:bottom w:val="single" w:sz="4" w:space="0" w:color="auto"/>
              <w:right w:val="single" w:sz="4" w:space="0" w:color="auto"/>
            </w:tcBorders>
            <w:hideMark/>
          </w:tcPr>
          <w:p w14:paraId="4A59625F" w14:textId="77777777" w:rsidR="003D56DD" w:rsidRPr="00EB79D2" w:rsidRDefault="003D56DD" w:rsidP="006F167D">
            <w:pPr>
              <w:rPr>
                <w:b/>
                <w:bCs/>
                <w:sz w:val="16"/>
                <w:szCs w:val="16"/>
              </w:rPr>
            </w:pPr>
            <w:r w:rsidRPr="00EB79D2">
              <w:rPr>
                <w:b/>
                <w:bCs/>
                <w:sz w:val="16"/>
                <w:szCs w:val="16"/>
              </w:rPr>
              <w:t>Challenge outcome</w:t>
            </w:r>
          </w:p>
        </w:tc>
        <w:tc>
          <w:tcPr>
            <w:tcW w:w="1676" w:type="dxa"/>
            <w:tcBorders>
              <w:top w:val="single" w:sz="4" w:space="0" w:color="auto"/>
              <w:left w:val="single" w:sz="4" w:space="0" w:color="auto"/>
              <w:bottom w:val="single" w:sz="4" w:space="0" w:color="auto"/>
              <w:right w:val="single" w:sz="4" w:space="0" w:color="auto"/>
            </w:tcBorders>
            <w:hideMark/>
          </w:tcPr>
          <w:p w14:paraId="621FB0B9" w14:textId="77777777" w:rsidR="003D56DD" w:rsidRPr="00EB79D2" w:rsidRDefault="003D56DD" w:rsidP="006F167D">
            <w:pPr>
              <w:rPr>
                <w:b/>
                <w:bCs/>
                <w:sz w:val="16"/>
                <w:szCs w:val="16"/>
              </w:rPr>
            </w:pPr>
            <w:r w:rsidRPr="00EB79D2">
              <w:rPr>
                <w:b/>
                <w:bCs/>
                <w:sz w:val="16"/>
                <w:szCs w:val="16"/>
              </w:rPr>
              <w:t>Medication</w:t>
            </w:r>
          </w:p>
        </w:tc>
        <w:tc>
          <w:tcPr>
            <w:tcW w:w="1409" w:type="dxa"/>
            <w:tcBorders>
              <w:top w:val="single" w:sz="4" w:space="0" w:color="auto"/>
              <w:left w:val="single" w:sz="4" w:space="0" w:color="auto"/>
              <w:bottom w:val="single" w:sz="4" w:space="0" w:color="auto"/>
              <w:right w:val="single" w:sz="4" w:space="0" w:color="auto"/>
            </w:tcBorders>
            <w:hideMark/>
          </w:tcPr>
          <w:p w14:paraId="74CB9DB8" w14:textId="77777777" w:rsidR="003D56DD" w:rsidRPr="00EB79D2" w:rsidRDefault="003D56DD" w:rsidP="006F167D">
            <w:pPr>
              <w:rPr>
                <w:b/>
                <w:bCs/>
                <w:sz w:val="16"/>
                <w:szCs w:val="16"/>
              </w:rPr>
            </w:pPr>
            <w:r>
              <w:rPr>
                <w:b/>
                <w:bCs/>
                <w:sz w:val="16"/>
                <w:szCs w:val="16"/>
              </w:rPr>
              <w:t xml:space="preserve">Drug </w:t>
            </w:r>
            <w:proofErr w:type="spellStart"/>
            <w:r>
              <w:rPr>
                <w:b/>
                <w:bCs/>
                <w:sz w:val="16"/>
                <w:szCs w:val="16"/>
              </w:rPr>
              <w:t>imputability</w:t>
            </w:r>
            <w:proofErr w:type="spellEnd"/>
            <w:r>
              <w:rPr>
                <w:b/>
                <w:bCs/>
                <w:sz w:val="16"/>
                <w:szCs w:val="16"/>
              </w:rPr>
              <w:t xml:space="preserve"> pre-challenge*</w:t>
            </w:r>
          </w:p>
        </w:tc>
        <w:tc>
          <w:tcPr>
            <w:tcW w:w="1284" w:type="dxa"/>
            <w:tcBorders>
              <w:top w:val="single" w:sz="4" w:space="0" w:color="auto"/>
              <w:left w:val="single" w:sz="4" w:space="0" w:color="auto"/>
              <w:bottom w:val="single" w:sz="4" w:space="0" w:color="auto"/>
              <w:right w:val="single" w:sz="4" w:space="0" w:color="auto"/>
            </w:tcBorders>
            <w:hideMark/>
          </w:tcPr>
          <w:p w14:paraId="426E86FE" w14:textId="77777777" w:rsidR="003D56DD" w:rsidRPr="00EB79D2" w:rsidRDefault="003D56DD" w:rsidP="006F167D">
            <w:pPr>
              <w:rPr>
                <w:b/>
                <w:bCs/>
                <w:sz w:val="16"/>
                <w:szCs w:val="16"/>
              </w:rPr>
            </w:pPr>
            <w:r w:rsidRPr="00EB79D2">
              <w:rPr>
                <w:b/>
                <w:bCs/>
                <w:sz w:val="16"/>
                <w:szCs w:val="16"/>
              </w:rPr>
              <w:t>PT result</w:t>
            </w:r>
          </w:p>
        </w:tc>
        <w:tc>
          <w:tcPr>
            <w:tcW w:w="1134" w:type="dxa"/>
            <w:tcBorders>
              <w:top w:val="single" w:sz="4" w:space="0" w:color="auto"/>
              <w:left w:val="single" w:sz="4" w:space="0" w:color="auto"/>
              <w:bottom w:val="single" w:sz="4" w:space="0" w:color="auto"/>
              <w:right w:val="single" w:sz="4" w:space="0" w:color="auto"/>
            </w:tcBorders>
            <w:hideMark/>
          </w:tcPr>
          <w:p w14:paraId="253D8E86" w14:textId="77777777" w:rsidR="003D56DD" w:rsidRPr="00EB79D2" w:rsidRDefault="003D56DD" w:rsidP="006F167D">
            <w:pPr>
              <w:rPr>
                <w:b/>
                <w:bCs/>
                <w:sz w:val="16"/>
                <w:szCs w:val="16"/>
              </w:rPr>
            </w:pPr>
            <w:r w:rsidRPr="00EB79D2">
              <w:rPr>
                <w:b/>
                <w:bCs/>
                <w:sz w:val="16"/>
                <w:szCs w:val="16"/>
              </w:rPr>
              <w:t>IDT result</w:t>
            </w:r>
          </w:p>
        </w:tc>
      </w:tr>
      <w:tr w:rsidR="003D56DD" w14:paraId="159B95FD" w14:textId="77777777" w:rsidTr="006F167D">
        <w:tc>
          <w:tcPr>
            <w:tcW w:w="1542" w:type="dxa"/>
            <w:tcBorders>
              <w:top w:val="single" w:sz="4" w:space="0" w:color="auto"/>
              <w:left w:val="single" w:sz="4" w:space="0" w:color="auto"/>
              <w:bottom w:val="single" w:sz="4" w:space="0" w:color="auto"/>
              <w:right w:val="single" w:sz="4" w:space="0" w:color="auto"/>
            </w:tcBorders>
            <w:hideMark/>
          </w:tcPr>
          <w:p w14:paraId="77EC72A3" w14:textId="77777777" w:rsidR="003D56DD" w:rsidRPr="00EB79D2" w:rsidRDefault="003D56DD" w:rsidP="006F167D">
            <w:pPr>
              <w:rPr>
                <w:sz w:val="16"/>
                <w:szCs w:val="16"/>
              </w:rPr>
            </w:pPr>
            <w:r w:rsidRPr="00EB79D2">
              <w:rPr>
                <w:sz w:val="16"/>
                <w:szCs w:val="16"/>
              </w:rPr>
              <w:t>Ben Said et al. 2015</w:t>
            </w:r>
          </w:p>
        </w:tc>
        <w:tc>
          <w:tcPr>
            <w:tcW w:w="438" w:type="dxa"/>
            <w:tcBorders>
              <w:top w:val="single" w:sz="4" w:space="0" w:color="auto"/>
              <w:left w:val="single" w:sz="4" w:space="0" w:color="auto"/>
              <w:bottom w:val="single" w:sz="4" w:space="0" w:color="auto"/>
              <w:right w:val="single" w:sz="4" w:space="0" w:color="auto"/>
            </w:tcBorders>
            <w:hideMark/>
          </w:tcPr>
          <w:p w14:paraId="44F6C236" w14:textId="77777777" w:rsidR="003D56DD" w:rsidRPr="00EB79D2" w:rsidRDefault="003D56DD" w:rsidP="006F167D">
            <w:pPr>
              <w:rPr>
                <w:sz w:val="16"/>
                <w:szCs w:val="16"/>
              </w:rPr>
            </w:pPr>
            <w:r w:rsidRPr="00EB79D2">
              <w:rPr>
                <w:sz w:val="16"/>
                <w:szCs w:val="16"/>
              </w:rPr>
              <w:t>1</w:t>
            </w:r>
          </w:p>
        </w:tc>
        <w:tc>
          <w:tcPr>
            <w:tcW w:w="1726" w:type="dxa"/>
            <w:tcBorders>
              <w:top w:val="single" w:sz="4" w:space="0" w:color="auto"/>
              <w:left w:val="single" w:sz="4" w:space="0" w:color="auto"/>
              <w:bottom w:val="single" w:sz="4" w:space="0" w:color="auto"/>
              <w:right w:val="single" w:sz="4" w:space="0" w:color="auto"/>
            </w:tcBorders>
            <w:hideMark/>
          </w:tcPr>
          <w:p w14:paraId="49857A24" w14:textId="77777777" w:rsidR="003D56DD" w:rsidRPr="00EB79D2" w:rsidRDefault="003D56DD" w:rsidP="006F167D">
            <w:pPr>
              <w:rPr>
                <w:sz w:val="16"/>
                <w:szCs w:val="16"/>
              </w:rPr>
            </w:pPr>
            <w:r w:rsidRPr="00EB79D2">
              <w:rPr>
                <w:sz w:val="16"/>
                <w:szCs w:val="16"/>
              </w:rPr>
              <w:t>Tolerated</w:t>
            </w:r>
          </w:p>
        </w:tc>
        <w:tc>
          <w:tcPr>
            <w:tcW w:w="1676" w:type="dxa"/>
            <w:tcBorders>
              <w:top w:val="single" w:sz="4" w:space="0" w:color="auto"/>
              <w:left w:val="single" w:sz="4" w:space="0" w:color="auto"/>
              <w:bottom w:val="single" w:sz="4" w:space="0" w:color="auto"/>
              <w:right w:val="single" w:sz="4" w:space="0" w:color="auto"/>
            </w:tcBorders>
            <w:hideMark/>
          </w:tcPr>
          <w:p w14:paraId="20AB9FD5" w14:textId="77777777" w:rsidR="003D56DD" w:rsidRPr="00EB79D2" w:rsidRDefault="003D56DD" w:rsidP="006F167D">
            <w:pPr>
              <w:rPr>
                <w:sz w:val="16"/>
                <w:szCs w:val="16"/>
              </w:rPr>
            </w:pPr>
            <w:proofErr w:type="spellStart"/>
            <w:r w:rsidRPr="00EB79D2">
              <w:rPr>
                <w:sz w:val="16"/>
                <w:szCs w:val="16"/>
              </w:rPr>
              <w:t>Cefixim</w:t>
            </w:r>
            <w:proofErr w:type="spellEnd"/>
          </w:p>
        </w:tc>
        <w:tc>
          <w:tcPr>
            <w:tcW w:w="1409" w:type="dxa"/>
            <w:tcBorders>
              <w:top w:val="single" w:sz="4" w:space="0" w:color="auto"/>
              <w:left w:val="single" w:sz="4" w:space="0" w:color="auto"/>
              <w:bottom w:val="single" w:sz="4" w:space="0" w:color="auto"/>
              <w:right w:val="single" w:sz="4" w:space="0" w:color="auto"/>
            </w:tcBorders>
            <w:hideMark/>
          </w:tcPr>
          <w:p w14:paraId="731F5F4E"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159824A1" w14:textId="77777777" w:rsidR="003D56DD" w:rsidRPr="00EB79D2" w:rsidRDefault="003D56DD" w:rsidP="006F167D">
            <w:pPr>
              <w:rPr>
                <w:sz w:val="16"/>
                <w:szCs w:val="16"/>
              </w:rPr>
            </w:pPr>
            <w:r w:rsidRPr="00EB79D2">
              <w:rPr>
                <w:sz w:val="16"/>
                <w:szCs w:val="16"/>
              </w:rPr>
              <w:t>Negative</w:t>
            </w:r>
          </w:p>
        </w:tc>
        <w:tc>
          <w:tcPr>
            <w:tcW w:w="1134" w:type="dxa"/>
            <w:tcBorders>
              <w:top w:val="single" w:sz="4" w:space="0" w:color="auto"/>
              <w:left w:val="single" w:sz="4" w:space="0" w:color="auto"/>
              <w:bottom w:val="single" w:sz="4" w:space="0" w:color="auto"/>
              <w:right w:val="single" w:sz="4" w:space="0" w:color="auto"/>
            </w:tcBorders>
            <w:hideMark/>
          </w:tcPr>
          <w:p w14:paraId="08C2008B" w14:textId="77777777" w:rsidR="003D56DD" w:rsidRPr="00EB79D2" w:rsidRDefault="003D56DD" w:rsidP="006F167D">
            <w:pPr>
              <w:rPr>
                <w:sz w:val="16"/>
                <w:szCs w:val="16"/>
              </w:rPr>
            </w:pPr>
            <w:r w:rsidRPr="00EB79D2">
              <w:rPr>
                <w:sz w:val="16"/>
                <w:szCs w:val="16"/>
              </w:rPr>
              <w:t>NP</w:t>
            </w:r>
          </w:p>
        </w:tc>
      </w:tr>
      <w:tr w:rsidR="003D56DD" w14:paraId="0561DC17" w14:textId="77777777" w:rsidTr="006F167D">
        <w:tc>
          <w:tcPr>
            <w:tcW w:w="1542" w:type="dxa"/>
          </w:tcPr>
          <w:p w14:paraId="0CD5B4F3" w14:textId="77777777" w:rsidR="003D56DD" w:rsidRPr="00000B5E" w:rsidRDefault="003D56DD" w:rsidP="006F167D">
            <w:pPr>
              <w:rPr>
                <w:sz w:val="16"/>
                <w:szCs w:val="16"/>
              </w:rPr>
            </w:pPr>
            <w:r>
              <w:rPr>
                <w:sz w:val="16"/>
                <w:szCs w:val="16"/>
              </w:rPr>
              <w:t>Cabañ</w:t>
            </w:r>
            <w:r w:rsidRPr="00000B5E">
              <w:rPr>
                <w:sz w:val="16"/>
                <w:szCs w:val="16"/>
              </w:rPr>
              <w:t>as et al. 2014</w:t>
            </w:r>
          </w:p>
        </w:tc>
        <w:tc>
          <w:tcPr>
            <w:tcW w:w="438" w:type="dxa"/>
          </w:tcPr>
          <w:p w14:paraId="7D8B7DEE" w14:textId="77777777" w:rsidR="003D56DD" w:rsidRPr="00000B5E" w:rsidRDefault="003D56DD" w:rsidP="006F167D">
            <w:pPr>
              <w:rPr>
                <w:sz w:val="16"/>
                <w:szCs w:val="16"/>
              </w:rPr>
            </w:pPr>
            <w:r w:rsidRPr="00000B5E">
              <w:rPr>
                <w:sz w:val="16"/>
                <w:szCs w:val="16"/>
              </w:rPr>
              <w:t>1</w:t>
            </w:r>
          </w:p>
        </w:tc>
        <w:tc>
          <w:tcPr>
            <w:tcW w:w="1726" w:type="dxa"/>
          </w:tcPr>
          <w:p w14:paraId="6B6B0161" w14:textId="77777777" w:rsidR="003D56DD" w:rsidRPr="00000B5E" w:rsidRDefault="003D56DD" w:rsidP="006F167D">
            <w:pPr>
              <w:rPr>
                <w:sz w:val="16"/>
                <w:szCs w:val="16"/>
              </w:rPr>
            </w:pPr>
            <w:r w:rsidRPr="00000B5E">
              <w:rPr>
                <w:sz w:val="16"/>
                <w:szCs w:val="16"/>
              </w:rPr>
              <w:t>DRESS</w:t>
            </w:r>
          </w:p>
        </w:tc>
        <w:tc>
          <w:tcPr>
            <w:tcW w:w="1676" w:type="dxa"/>
          </w:tcPr>
          <w:p w14:paraId="0320D210" w14:textId="77777777" w:rsidR="003D56DD" w:rsidRPr="00000B5E" w:rsidRDefault="003D56DD" w:rsidP="006F167D">
            <w:pPr>
              <w:rPr>
                <w:sz w:val="16"/>
                <w:szCs w:val="16"/>
              </w:rPr>
            </w:pPr>
            <w:r w:rsidRPr="00000B5E">
              <w:rPr>
                <w:sz w:val="16"/>
                <w:szCs w:val="16"/>
              </w:rPr>
              <w:t>Piperacillin-tazobactam</w:t>
            </w:r>
          </w:p>
        </w:tc>
        <w:tc>
          <w:tcPr>
            <w:tcW w:w="1409" w:type="dxa"/>
          </w:tcPr>
          <w:p w14:paraId="1D2771FA" w14:textId="77777777" w:rsidR="003D56DD" w:rsidRPr="00000B5E" w:rsidRDefault="003D56DD" w:rsidP="006F167D">
            <w:pPr>
              <w:rPr>
                <w:sz w:val="16"/>
                <w:szCs w:val="16"/>
              </w:rPr>
            </w:pPr>
            <w:r w:rsidRPr="00000B5E">
              <w:rPr>
                <w:sz w:val="16"/>
                <w:szCs w:val="16"/>
              </w:rPr>
              <w:t>Probable</w:t>
            </w:r>
          </w:p>
        </w:tc>
        <w:tc>
          <w:tcPr>
            <w:tcW w:w="1284" w:type="dxa"/>
          </w:tcPr>
          <w:p w14:paraId="0D4C4636" w14:textId="77777777" w:rsidR="003D56DD" w:rsidRPr="00000B5E" w:rsidRDefault="003D56DD" w:rsidP="006F167D">
            <w:pPr>
              <w:rPr>
                <w:sz w:val="16"/>
                <w:szCs w:val="16"/>
              </w:rPr>
            </w:pPr>
            <w:r w:rsidRPr="00000B5E">
              <w:rPr>
                <w:sz w:val="16"/>
                <w:szCs w:val="16"/>
              </w:rPr>
              <w:t>Positive</w:t>
            </w:r>
          </w:p>
        </w:tc>
        <w:tc>
          <w:tcPr>
            <w:tcW w:w="1134" w:type="dxa"/>
          </w:tcPr>
          <w:p w14:paraId="422E4D8C" w14:textId="77777777" w:rsidR="003D56DD" w:rsidRPr="00000B5E" w:rsidRDefault="003D56DD" w:rsidP="006F167D">
            <w:pPr>
              <w:rPr>
                <w:sz w:val="16"/>
                <w:szCs w:val="16"/>
              </w:rPr>
            </w:pPr>
            <w:r w:rsidRPr="00000B5E">
              <w:rPr>
                <w:sz w:val="16"/>
                <w:szCs w:val="16"/>
              </w:rPr>
              <w:t>Negative</w:t>
            </w:r>
          </w:p>
        </w:tc>
      </w:tr>
      <w:tr w:rsidR="003D56DD" w14:paraId="4C03832E" w14:textId="77777777" w:rsidTr="006F167D">
        <w:trPr>
          <w:trHeight w:val="270"/>
        </w:trPr>
        <w:tc>
          <w:tcPr>
            <w:tcW w:w="1542" w:type="dxa"/>
            <w:vMerge w:val="restart"/>
            <w:tcBorders>
              <w:top w:val="single" w:sz="4" w:space="0" w:color="auto"/>
              <w:left w:val="single" w:sz="4" w:space="0" w:color="auto"/>
              <w:bottom w:val="single" w:sz="4" w:space="0" w:color="auto"/>
              <w:right w:val="single" w:sz="4" w:space="0" w:color="auto"/>
            </w:tcBorders>
            <w:hideMark/>
          </w:tcPr>
          <w:p w14:paraId="164504DF" w14:textId="77777777" w:rsidR="003D56DD" w:rsidRPr="00EB79D2" w:rsidRDefault="003D56DD" w:rsidP="006F167D">
            <w:pPr>
              <w:rPr>
                <w:sz w:val="16"/>
                <w:szCs w:val="16"/>
              </w:rPr>
            </w:pPr>
            <w:r w:rsidRPr="00EB79D2">
              <w:rPr>
                <w:rFonts w:ascii="Calibri" w:hAnsi="Calibri"/>
                <w:sz w:val="16"/>
                <w:szCs w:val="16"/>
              </w:rPr>
              <w:t>Ingen-</w:t>
            </w:r>
            <w:proofErr w:type="spellStart"/>
            <w:r w:rsidRPr="00EB79D2">
              <w:rPr>
                <w:rFonts w:ascii="Calibri" w:hAnsi="Calibri"/>
                <w:sz w:val="16"/>
                <w:szCs w:val="16"/>
              </w:rPr>
              <w:t>Housz</w:t>
            </w:r>
            <w:proofErr w:type="spellEnd"/>
            <w:r w:rsidRPr="00EB79D2">
              <w:rPr>
                <w:rFonts w:ascii="Calibri" w:hAnsi="Calibri"/>
                <w:sz w:val="16"/>
                <w:szCs w:val="16"/>
              </w:rPr>
              <w:t>-Oro et al. 2018</w:t>
            </w:r>
          </w:p>
        </w:tc>
        <w:tc>
          <w:tcPr>
            <w:tcW w:w="438" w:type="dxa"/>
            <w:vMerge w:val="restart"/>
            <w:tcBorders>
              <w:top w:val="single" w:sz="4" w:space="0" w:color="auto"/>
              <w:left w:val="single" w:sz="4" w:space="0" w:color="auto"/>
              <w:bottom w:val="single" w:sz="4" w:space="0" w:color="auto"/>
              <w:right w:val="single" w:sz="4" w:space="0" w:color="auto"/>
            </w:tcBorders>
            <w:hideMark/>
          </w:tcPr>
          <w:p w14:paraId="70D8A06C" w14:textId="77777777" w:rsidR="003D56DD" w:rsidRPr="00EB79D2" w:rsidRDefault="003D56DD" w:rsidP="006F167D">
            <w:pPr>
              <w:rPr>
                <w:sz w:val="16"/>
                <w:szCs w:val="16"/>
              </w:rPr>
            </w:pPr>
            <w:r w:rsidRPr="00EB79D2">
              <w:rPr>
                <w:sz w:val="16"/>
                <w:szCs w:val="16"/>
              </w:rPr>
              <w:t>2</w:t>
            </w:r>
          </w:p>
        </w:tc>
        <w:tc>
          <w:tcPr>
            <w:tcW w:w="1726" w:type="dxa"/>
            <w:tcBorders>
              <w:top w:val="single" w:sz="4" w:space="0" w:color="auto"/>
              <w:left w:val="single" w:sz="4" w:space="0" w:color="auto"/>
              <w:bottom w:val="single" w:sz="4" w:space="0" w:color="auto"/>
              <w:right w:val="single" w:sz="4" w:space="0" w:color="auto"/>
            </w:tcBorders>
            <w:hideMark/>
          </w:tcPr>
          <w:p w14:paraId="418F3F07" w14:textId="77777777" w:rsidR="003D56DD" w:rsidRPr="00EB79D2" w:rsidRDefault="003D56DD" w:rsidP="006F167D">
            <w:pPr>
              <w:rPr>
                <w:sz w:val="16"/>
                <w:szCs w:val="16"/>
              </w:rPr>
            </w:pPr>
            <w:r w:rsidRPr="00EB79D2">
              <w:rPr>
                <w:sz w:val="16"/>
                <w:szCs w:val="16"/>
              </w:rPr>
              <w:t>DRESS</w:t>
            </w:r>
          </w:p>
        </w:tc>
        <w:tc>
          <w:tcPr>
            <w:tcW w:w="1676" w:type="dxa"/>
            <w:tcBorders>
              <w:top w:val="single" w:sz="4" w:space="0" w:color="auto"/>
              <w:left w:val="single" w:sz="4" w:space="0" w:color="auto"/>
              <w:bottom w:val="single" w:sz="4" w:space="0" w:color="auto"/>
              <w:right w:val="single" w:sz="4" w:space="0" w:color="auto"/>
            </w:tcBorders>
            <w:hideMark/>
          </w:tcPr>
          <w:p w14:paraId="2F71C9AF" w14:textId="77777777" w:rsidR="003D56DD" w:rsidRPr="00EB79D2" w:rsidRDefault="003D56DD" w:rsidP="006F167D">
            <w:pPr>
              <w:rPr>
                <w:sz w:val="16"/>
                <w:szCs w:val="16"/>
              </w:rPr>
            </w:pPr>
            <w:r w:rsidRPr="00EB79D2">
              <w:rPr>
                <w:sz w:val="16"/>
                <w:szCs w:val="16"/>
              </w:rPr>
              <w:t>Valaciclovir</w:t>
            </w:r>
          </w:p>
        </w:tc>
        <w:tc>
          <w:tcPr>
            <w:tcW w:w="1409" w:type="dxa"/>
            <w:tcBorders>
              <w:top w:val="single" w:sz="4" w:space="0" w:color="auto"/>
              <w:left w:val="single" w:sz="4" w:space="0" w:color="auto"/>
              <w:bottom w:val="single" w:sz="4" w:space="0" w:color="auto"/>
              <w:right w:val="single" w:sz="4" w:space="0" w:color="auto"/>
            </w:tcBorders>
            <w:hideMark/>
          </w:tcPr>
          <w:p w14:paraId="3B5305C2"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7B10AC61" w14:textId="77777777" w:rsidR="003D56DD" w:rsidRPr="00EB79D2" w:rsidRDefault="003D56DD" w:rsidP="006F167D">
            <w:pPr>
              <w:rPr>
                <w:sz w:val="16"/>
                <w:szCs w:val="16"/>
              </w:rPr>
            </w:pPr>
            <w:r w:rsidRPr="00EB79D2">
              <w:rPr>
                <w:sz w:val="16"/>
                <w:szCs w:val="16"/>
              </w:rPr>
              <w:t>Positive</w:t>
            </w:r>
          </w:p>
        </w:tc>
        <w:tc>
          <w:tcPr>
            <w:tcW w:w="1134" w:type="dxa"/>
            <w:tcBorders>
              <w:top w:val="single" w:sz="4" w:space="0" w:color="auto"/>
              <w:left w:val="single" w:sz="4" w:space="0" w:color="auto"/>
              <w:bottom w:val="single" w:sz="4" w:space="0" w:color="auto"/>
              <w:right w:val="single" w:sz="4" w:space="0" w:color="auto"/>
            </w:tcBorders>
            <w:hideMark/>
          </w:tcPr>
          <w:p w14:paraId="49B1FB53" w14:textId="77777777" w:rsidR="003D56DD" w:rsidRPr="00EB79D2" w:rsidRDefault="003D56DD" w:rsidP="006F167D">
            <w:pPr>
              <w:rPr>
                <w:sz w:val="16"/>
                <w:szCs w:val="16"/>
              </w:rPr>
            </w:pPr>
            <w:r w:rsidRPr="00EB79D2">
              <w:rPr>
                <w:sz w:val="16"/>
                <w:szCs w:val="16"/>
              </w:rPr>
              <w:t>NP</w:t>
            </w:r>
          </w:p>
        </w:tc>
      </w:tr>
      <w:tr w:rsidR="003D56DD" w14:paraId="6DFB208A" w14:textId="77777777" w:rsidTr="006F167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C685B" w14:textId="77777777" w:rsidR="003D56DD" w:rsidRPr="00EB79D2" w:rsidRDefault="003D56DD" w:rsidP="006F167D">
            <w:pPr>
              <w:rPr>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65CC536F" w14:textId="77777777" w:rsidR="003D56DD" w:rsidRPr="00EB79D2" w:rsidRDefault="003D56DD" w:rsidP="006F167D">
            <w:pPr>
              <w:rPr>
                <w:sz w:val="16"/>
                <w:szCs w:val="16"/>
              </w:rPr>
            </w:pPr>
          </w:p>
        </w:tc>
        <w:tc>
          <w:tcPr>
            <w:tcW w:w="1726" w:type="dxa"/>
            <w:tcBorders>
              <w:top w:val="single" w:sz="4" w:space="0" w:color="auto"/>
              <w:left w:val="single" w:sz="4" w:space="0" w:color="auto"/>
              <w:bottom w:val="single" w:sz="4" w:space="0" w:color="auto"/>
              <w:right w:val="single" w:sz="4" w:space="0" w:color="auto"/>
            </w:tcBorders>
            <w:hideMark/>
          </w:tcPr>
          <w:p w14:paraId="6AA9A423" w14:textId="77777777" w:rsidR="003D56DD" w:rsidRPr="00EB79D2" w:rsidRDefault="003D56DD" w:rsidP="006F167D">
            <w:pPr>
              <w:rPr>
                <w:sz w:val="16"/>
                <w:szCs w:val="16"/>
              </w:rPr>
            </w:pPr>
            <w:r w:rsidRPr="00EB79D2">
              <w:rPr>
                <w:sz w:val="16"/>
                <w:szCs w:val="16"/>
              </w:rPr>
              <w:t>DRESS</w:t>
            </w:r>
          </w:p>
        </w:tc>
        <w:tc>
          <w:tcPr>
            <w:tcW w:w="1676" w:type="dxa"/>
            <w:tcBorders>
              <w:top w:val="single" w:sz="4" w:space="0" w:color="auto"/>
              <w:left w:val="single" w:sz="4" w:space="0" w:color="auto"/>
              <w:bottom w:val="single" w:sz="4" w:space="0" w:color="auto"/>
              <w:right w:val="single" w:sz="4" w:space="0" w:color="auto"/>
            </w:tcBorders>
            <w:hideMark/>
          </w:tcPr>
          <w:p w14:paraId="090AB241" w14:textId="77777777" w:rsidR="003D56DD" w:rsidRPr="00EB79D2" w:rsidRDefault="003D56DD" w:rsidP="006F167D">
            <w:pPr>
              <w:rPr>
                <w:sz w:val="16"/>
                <w:szCs w:val="16"/>
              </w:rPr>
            </w:pPr>
            <w:r w:rsidRPr="00EB79D2">
              <w:rPr>
                <w:sz w:val="16"/>
                <w:szCs w:val="16"/>
              </w:rPr>
              <w:t>Valaciclovir</w:t>
            </w:r>
          </w:p>
        </w:tc>
        <w:tc>
          <w:tcPr>
            <w:tcW w:w="1409" w:type="dxa"/>
            <w:tcBorders>
              <w:top w:val="single" w:sz="4" w:space="0" w:color="auto"/>
              <w:left w:val="single" w:sz="4" w:space="0" w:color="auto"/>
              <w:bottom w:val="single" w:sz="4" w:space="0" w:color="auto"/>
              <w:right w:val="single" w:sz="4" w:space="0" w:color="auto"/>
            </w:tcBorders>
            <w:hideMark/>
          </w:tcPr>
          <w:p w14:paraId="7A650B6D"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11744E0F" w14:textId="77777777" w:rsidR="003D56DD" w:rsidRPr="00EB79D2" w:rsidRDefault="003D56DD" w:rsidP="006F167D">
            <w:pPr>
              <w:rPr>
                <w:sz w:val="16"/>
                <w:szCs w:val="16"/>
              </w:rPr>
            </w:pPr>
            <w:r w:rsidRPr="00EB79D2">
              <w:rPr>
                <w:sz w:val="16"/>
                <w:szCs w:val="16"/>
              </w:rPr>
              <w:t>Positive</w:t>
            </w:r>
          </w:p>
        </w:tc>
        <w:tc>
          <w:tcPr>
            <w:tcW w:w="1134" w:type="dxa"/>
            <w:tcBorders>
              <w:top w:val="single" w:sz="4" w:space="0" w:color="auto"/>
              <w:left w:val="single" w:sz="4" w:space="0" w:color="auto"/>
              <w:bottom w:val="single" w:sz="4" w:space="0" w:color="auto"/>
              <w:right w:val="single" w:sz="4" w:space="0" w:color="auto"/>
            </w:tcBorders>
            <w:hideMark/>
          </w:tcPr>
          <w:p w14:paraId="35E359DC" w14:textId="77777777" w:rsidR="003D56DD" w:rsidRPr="00EB79D2" w:rsidRDefault="003D56DD" w:rsidP="006F167D">
            <w:pPr>
              <w:rPr>
                <w:sz w:val="16"/>
                <w:szCs w:val="16"/>
              </w:rPr>
            </w:pPr>
            <w:r w:rsidRPr="00EB79D2">
              <w:rPr>
                <w:sz w:val="16"/>
                <w:szCs w:val="16"/>
              </w:rPr>
              <w:t>NP</w:t>
            </w:r>
          </w:p>
        </w:tc>
      </w:tr>
      <w:tr w:rsidR="003D56DD" w14:paraId="2D73EBFF" w14:textId="77777777" w:rsidTr="006F167D">
        <w:trPr>
          <w:trHeight w:val="270"/>
        </w:trPr>
        <w:tc>
          <w:tcPr>
            <w:tcW w:w="1542" w:type="dxa"/>
            <w:vMerge w:val="restart"/>
            <w:tcBorders>
              <w:top w:val="single" w:sz="4" w:space="0" w:color="auto"/>
              <w:left w:val="single" w:sz="4" w:space="0" w:color="auto"/>
              <w:bottom w:val="single" w:sz="4" w:space="0" w:color="auto"/>
              <w:right w:val="single" w:sz="4" w:space="0" w:color="auto"/>
            </w:tcBorders>
            <w:hideMark/>
          </w:tcPr>
          <w:p w14:paraId="561C433F" w14:textId="77777777" w:rsidR="003D56DD" w:rsidRPr="00EB79D2" w:rsidRDefault="003D56DD" w:rsidP="006F167D">
            <w:pPr>
              <w:rPr>
                <w:rFonts w:ascii="Calibri" w:hAnsi="Calibri"/>
                <w:color w:val="000000"/>
                <w:sz w:val="16"/>
                <w:szCs w:val="16"/>
              </w:rPr>
            </w:pPr>
            <w:proofErr w:type="spellStart"/>
            <w:r w:rsidRPr="00EB79D2">
              <w:rPr>
                <w:rFonts w:ascii="Calibri" w:hAnsi="Calibri"/>
                <w:color w:val="000000"/>
                <w:sz w:val="16"/>
                <w:szCs w:val="16"/>
              </w:rPr>
              <w:t>Pinho</w:t>
            </w:r>
            <w:proofErr w:type="spellEnd"/>
            <w:r w:rsidRPr="00EB79D2">
              <w:rPr>
                <w:rFonts w:ascii="Calibri" w:hAnsi="Calibri"/>
                <w:color w:val="000000"/>
                <w:sz w:val="16"/>
                <w:szCs w:val="16"/>
              </w:rPr>
              <w:t xml:space="preserve"> et al. 2017</w:t>
            </w:r>
          </w:p>
        </w:tc>
        <w:tc>
          <w:tcPr>
            <w:tcW w:w="438" w:type="dxa"/>
            <w:vMerge w:val="restart"/>
            <w:tcBorders>
              <w:top w:val="single" w:sz="4" w:space="0" w:color="auto"/>
              <w:left w:val="single" w:sz="4" w:space="0" w:color="auto"/>
              <w:bottom w:val="single" w:sz="4" w:space="0" w:color="auto"/>
              <w:right w:val="single" w:sz="4" w:space="0" w:color="auto"/>
            </w:tcBorders>
            <w:hideMark/>
          </w:tcPr>
          <w:p w14:paraId="154C9E22" w14:textId="77777777" w:rsidR="003D56DD" w:rsidRPr="00EB79D2" w:rsidRDefault="003D56DD" w:rsidP="006F167D">
            <w:pPr>
              <w:rPr>
                <w:sz w:val="16"/>
                <w:szCs w:val="16"/>
              </w:rPr>
            </w:pPr>
            <w:r w:rsidRPr="00EB79D2">
              <w:rPr>
                <w:sz w:val="16"/>
                <w:szCs w:val="16"/>
              </w:rPr>
              <w:t>2</w:t>
            </w:r>
          </w:p>
        </w:tc>
        <w:tc>
          <w:tcPr>
            <w:tcW w:w="1726" w:type="dxa"/>
            <w:vMerge w:val="restart"/>
            <w:tcBorders>
              <w:top w:val="single" w:sz="4" w:space="0" w:color="auto"/>
              <w:left w:val="single" w:sz="4" w:space="0" w:color="auto"/>
              <w:bottom w:val="single" w:sz="4" w:space="0" w:color="auto"/>
              <w:right w:val="single" w:sz="4" w:space="0" w:color="auto"/>
            </w:tcBorders>
            <w:hideMark/>
          </w:tcPr>
          <w:p w14:paraId="375B3473" w14:textId="77777777" w:rsidR="003D56DD" w:rsidRPr="00EB79D2" w:rsidRDefault="003D56DD" w:rsidP="006F167D">
            <w:pPr>
              <w:rPr>
                <w:sz w:val="16"/>
                <w:szCs w:val="16"/>
              </w:rPr>
            </w:pPr>
            <w:r w:rsidRPr="00EB79D2">
              <w:rPr>
                <w:sz w:val="16"/>
                <w:szCs w:val="16"/>
              </w:rPr>
              <w:t>Positive, reaction not reported</w:t>
            </w:r>
          </w:p>
        </w:tc>
        <w:tc>
          <w:tcPr>
            <w:tcW w:w="1676" w:type="dxa"/>
            <w:tcBorders>
              <w:top w:val="single" w:sz="4" w:space="0" w:color="auto"/>
              <w:left w:val="single" w:sz="4" w:space="0" w:color="auto"/>
              <w:bottom w:val="single" w:sz="4" w:space="0" w:color="auto"/>
              <w:right w:val="single" w:sz="4" w:space="0" w:color="auto"/>
            </w:tcBorders>
            <w:hideMark/>
          </w:tcPr>
          <w:p w14:paraId="40F7FF29" w14:textId="77777777" w:rsidR="003D56DD" w:rsidRPr="00EB79D2" w:rsidRDefault="003D56DD" w:rsidP="006F167D">
            <w:pPr>
              <w:rPr>
                <w:sz w:val="16"/>
                <w:szCs w:val="16"/>
              </w:rPr>
            </w:pPr>
            <w:r w:rsidRPr="00EB79D2">
              <w:rPr>
                <w:sz w:val="16"/>
                <w:szCs w:val="16"/>
              </w:rPr>
              <w:t>Metamizole</w:t>
            </w:r>
          </w:p>
        </w:tc>
        <w:tc>
          <w:tcPr>
            <w:tcW w:w="1409" w:type="dxa"/>
            <w:tcBorders>
              <w:top w:val="single" w:sz="4" w:space="0" w:color="auto"/>
              <w:left w:val="single" w:sz="4" w:space="0" w:color="auto"/>
              <w:bottom w:val="single" w:sz="4" w:space="0" w:color="auto"/>
              <w:right w:val="single" w:sz="4" w:space="0" w:color="auto"/>
            </w:tcBorders>
            <w:hideMark/>
          </w:tcPr>
          <w:p w14:paraId="0504AA81"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1F0DCBD7" w14:textId="77777777" w:rsidR="003D56DD" w:rsidRPr="00EB79D2" w:rsidRDefault="003D56DD" w:rsidP="006F167D">
            <w:pPr>
              <w:rPr>
                <w:sz w:val="16"/>
                <w:szCs w:val="16"/>
              </w:rPr>
            </w:pPr>
            <w:r w:rsidRPr="00EB79D2">
              <w:rPr>
                <w:sz w:val="16"/>
                <w:szCs w:val="16"/>
              </w:rPr>
              <w:t>Positive</w:t>
            </w:r>
          </w:p>
        </w:tc>
        <w:tc>
          <w:tcPr>
            <w:tcW w:w="1134" w:type="dxa"/>
            <w:tcBorders>
              <w:top w:val="single" w:sz="4" w:space="0" w:color="auto"/>
              <w:left w:val="single" w:sz="4" w:space="0" w:color="auto"/>
              <w:bottom w:val="single" w:sz="4" w:space="0" w:color="auto"/>
              <w:right w:val="single" w:sz="4" w:space="0" w:color="auto"/>
            </w:tcBorders>
            <w:hideMark/>
          </w:tcPr>
          <w:p w14:paraId="6F51BAB0" w14:textId="77777777" w:rsidR="003D56DD" w:rsidRPr="00EB79D2" w:rsidRDefault="003D56DD" w:rsidP="006F167D">
            <w:pPr>
              <w:rPr>
                <w:sz w:val="16"/>
                <w:szCs w:val="16"/>
              </w:rPr>
            </w:pPr>
            <w:r w:rsidRPr="00EB79D2">
              <w:rPr>
                <w:sz w:val="16"/>
                <w:szCs w:val="16"/>
              </w:rPr>
              <w:t>NP</w:t>
            </w:r>
          </w:p>
        </w:tc>
      </w:tr>
      <w:tr w:rsidR="003D56DD" w14:paraId="54F588DC" w14:textId="77777777" w:rsidTr="006F167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16B6E" w14:textId="77777777" w:rsidR="003D56DD" w:rsidRPr="00EB79D2" w:rsidRDefault="003D56DD" w:rsidP="006F167D">
            <w:pPr>
              <w:rPr>
                <w:rFonts w:ascii="Calibri" w:hAnsi="Calibri"/>
                <w:color w:val="000000"/>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29F333FA" w14:textId="77777777" w:rsidR="003D56DD" w:rsidRPr="00EB79D2" w:rsidRDefault="003D56DD" w:rsidP="006F167D">
            <w:pPr>
              <w:rPr>
                <w:sz w:val="16"/>
                <w:szCs w:val="16"/>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721DCF90" w14:textId="77777777" w:rsidR="003D56DD" w:rsidRPr="00EB79D2" w:rsidRDefault="003D56DD" w:rsidP="006F167D">
            <w:pPr>
              <w:rPr>
                <w:sz w:val="16"/>
                <w:szCs w:val="16"/>
              </w:rPr>
            </w:pPr>
          </w:p>
        </w:tc>
        <w:tc>
          <w:tcPr>
            <w:tcW w:w="1676" w:type="dxa"/>
            <w:tcBorders>
              <w:top w:val="single" w:sz="4" w:space="0" w:color="auto"/>
              <w:left w:val="single" w:sz="4" w:space="0" w:color="auto"/>
              <w:bottom w:val="single" w:sz="4" w:space="0" w:color="auto"/>
              <w:right w:val="single" w:sz="4" w:space="0" w:color="auto"/>
            </w:tcBorders>
            <w:hideMark/>
          </w:tcPr>
          <w:p w14:paraId="7CB0CE08" w14:textId="77777777" w:rsidR="003D56DD" w:rsidRPr="00EB79D2" w:rsidRDefault="003D56DD" w:rsidP="006F167D">
            <w:pPr>
              <w:rPr>
                <w:sz w:val="16"/>
                <w:szCs w:val="16"/>
              </w:rPr>
            </w:pPr>
            <w:r w:rsidRPr="00EB79D2">
              <w:rPr>
                <w:sz w:val="16"/>
                <w:szCs w:val="16"/>
              </w:rPr>
              <w:t>Metamizole</w:t>
            </w:r>
          </w:p>
        </w:tc>
        <w:tc>
          <w:tcPr>
            <w:tcW w:w="1409" w:type="dxa"/>
            <w:tcBorders>
              <w:top w:val="single" w:sz="4" w:space="0" w:color="auto"/>
              <w:left w:val="single" w:sz="4" w:space="0" w:color="auto"/>
              <w:bottom w:val="single" w:sz="4" w:space="0" w:color="auto"/>
              <w:right w:val="single" w:sz="4" w:space="0" w:color="auto"/>
            </w:tcBorders>
            <w:hideMark/>
          </w:tcPr>
          <w:p w14:paraId="25DCF987"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295D63D2" w14:textId="77777777" w:rsidR="003D56DD" w:rsidRPr="00EB79D2" w:rsidRDefault="003D56DD" w:rsidP="006F167D">
            <w:pPr>
              <w:rPr>
                <w:sz w:val="16"/>
                <w:szCs w:val="16"/>
              </w:rPr>
            </w:pPr>
            <w:r w:rsidRPr="00EB79D2">
              <w:rPr>
                <w:sz w:val="16"/>
                <w:szCs w:val="16"/>
              </w:rPr>
              <w:t>Positive</w:t>
            </w:r>
          </w:p>
        </w:tc>
        <w:tc>
          <w:tcPr>
            <w:tcW w:w="1134" w:type="dxa"/>
            <w:tcBorders>
              <w:top w:val="single" w:sz="4" w:space="0" w:color="auto"/>
              <w:left w:val="single" w:sz="4" w:space="0" w:color="auto"/>
              <w:bottom w:val="single" w:sz="4" w:space="0" w:color="auto"/>
              <w:right w:val="single" w:sz="4" w:space="0" w:color="auto"/>
            </w:tcBorders>
            <w:hideMark/>
          </w:tcPr>
          <w:p w14:paraId="7ECB3678" w14:textId="77777777" w:rsidR="003D56DD" w:rsidRPr="00EB79D2" w:rsidRDefault="003D56DD" w:rsidP="006F167D">
            <w:pPr>
              <w:rPr>
                <w:sz w:val="16"/>
                <w:szCs w:val="16"/>
              </w:rPr>
            </w:pPr>
            <w:r w:rsidRPr="00EB79D2">
              <w:rPr>
                <w:sz w:val="16"/>
                <w:szCs w:val="16"/>
              </w:rPr>
              <w:t>NP</w:t>
            </w:r>
          </w:p>
        </w:tc>
      </w:tr>
      <w:tr w:rsidR="003D56DD" w14:paraId="0B3D6C57" w14:textId="77777777" w:rsidTr="006F167D">
        <w:trPr>
          <w:trHeight w:val="345"/>
        </w:trPr>
        <w:tc>
          <w:tcPr>
            <w:tcW w:w="1542" w:type="dxa"/>
            <w:vMerge w:val="restart"/>
            <w:tcBorders>
              <w:top w:val="single" w:sz="4" w:space="0" w:color="auto"/>
              <w:left w:val="single" w:sz="4" w:space="0" w:color="auto"/>
              <w:bottom w:val="single" w:sz="4" w:space="0" w:color="auto"/>
              <w:right w:val="single" w:sz="4" w:space="0" w:color="auto"/>
            </w:tcBorders>
            <w:hideMark/>
          </w:tcPr>
          <w:p w14:paraId="6A905615" w14:textId="77777777" w:rsidR="003D56DD" w:rsidRPr="00EB79D2" w:rsidRDefault="003D56DD" w:rsidP="006F167D">
            <w:pPr>
              <w:rPr>
                <w:sz w:val="16"/>
                <w:szCs w:val="16"/>
              </w:rPr>
            </w:pPr>
            <w:r w:rsidRPr="00EB79D2">
              <w:rPr>
                <w:rFonts w:ascii="Calibri" w:hAnsi="Calibri"/>
                <w:color w:val="000000"/>
                <w:sz w:val="16"/>
                <w:szCs w:val="16"/>
              </w:rPr>
              <w:t>Santiago et al. 2010</w:t>
            </w:r>
          </w:p>
        </w:tc>
        <w:tc>
          <w:tcPr>
            <w:tcW w:w="438" w:type="dxa"/>
            <w:vMerge w:val="restart"/>
            <w:tcBorders>
              <w:top w:val="single" w:sz="4" w:space="0" w:color="auto"/>
              <w:left w:val="single" w:sz="4" w:space="0" w:color="auto"/>
              <w:bottom w:val="single" w:sz="4" w:space="0" w:color="auto"/>
              <w:right w:val="single" w:sz="4" w:space="0" w:color="auto"/>
            </w:tcBorders>
            <w:hideMark/>
          </w:tcPr>
          <w:p w14:paraId="3E434EA0" w14:textId="77777777" w:rsidR="003D56DD" w:rsidRPr="00EB79D2" w:rsidRDefault="003D56DD" w:rsidP="006F167D">
            <w:pPr>
              <w:rPr>
                <w:sz w:val="16"/>
                <w:szCs w:val="16"/>
              </w:rPr>
            </w:pPr>
            <w:r w:rsidRPr="00EB79D2">
              <w:rPr>
                <w:sz w:val="16"/>
                <w:szCs w:val="16"/>
              </w:rPr>
              <w:t>2</w:t>
            </w:r>
          </w:p>
        </w:tc>
        <w:tc>
          <w:tcPr>
            <w:tcW w:w="1726" w:type="dxa"/>
            <w:tcBorders>
              <w:top w:val="single" w:sz="4" w:space="0" w:color="auto"/>
              <w:left w:val="single" w:sz="4" w:space="0" w:color="auto"/>
              <w:bottom w:val="single" w:sz="4" w:space="0" w:color="auto"/>
              <w:right w:val="single" w:sz="4" w:space="0" w:color="auto"/>
            </w:tcBorders>
            <w:hideMark/>
          </w:tcPr>
          <w:p w14:paraId="372C38A7" w14:textId="77777777" w:rsidR="003D56DD" w:rsidRPr="00EB79D2" w:rsidRDefault="003D56DD" w:rsidP="006F167D">
            <w:pPr>
              <w:rPr>
                <w:sz w:val="16"/>
                <w:szCs w:val="16"/>
              </w:rPr>
            </w:pPr>
            <w:r w:rsidRPr="00EB79D2">
              <w:rPr>
                <w:sz w:val="16"/>
                <w:szCs w:val="16"/>
              </w:rPr>
              <w:t>DRESS</w:t>
            </w:r>
          </w:p>
        </w:tc>
        <w:tc>
          <w:tcPr>
            <w:tcW w:w="1676" w:type="dxa"/>
            <w:tcBorders>
              <w:top w:val="single" w:sz="4" w:space="0" w:color="auto"/>
              <w:left w:val="single" w:sz="4" w:space="0" w:color="auto"/>
              <w:bottom w:val="single" w:sz="4" w:space="0" w:color="auto"/>
              <w:right w:val="single" w:sz="4" w:space="0" w:color="auto"/>
            </w:tcBorders>
            <w:hideMark/>
          </w:tcPr>
          <w:p w14:paraId="3686210E" w14:textId="77777777" w:rsidR="003D56DD" w:rsidRPr="00EB79D2" w:rsidRDefault="003D56DD" w:rsidP="006F167D">
            <w:pPr>
              <w:rPr>
                <w:sz w:val="16"/>
                <w:szCs w:val="16"/>
                <w:highlight w:val="cyan"/>
              </w:rPr>
            </w:pPr>
            <w:r w:rsidRPr="00EB79D2">
              <w:rPr>
                <w:sz w:val="16"/>
                <w:szCs w:val="16"/>
              </w:rPr>
              <w:t xml:space="preserve">Allopurinol </w:t>
            </w:r>
          </w:p>
        </w:tc>
        <w:tc>
          <w:tcPr>
            <w:tcW w:w="1409" w:type="dxa"/>
            <w:tcBorders>
              <w:top w:val="single" w:sz="4" w:space="0" w:color="auto"/>
              <w:left w:val="single" w:sz="4" w:space="0" w:color="auto"/>
              <w:bottom w:val="single" w:sz="4" w:space="0" w:color="auto"/>
              <w:right w:val="single" w:sz="4" w:space="0" w:color="auto"/>
            </w:tcBorders>
            <w:hideMark/>
          </w:tcPr>
          <w:p w14:paraId="52AEED60" w14:textId="77777777" w:rsidR="003D56DD" w:rsidRPr="00EB79D2" w:rsidRDefault="003D56DD" w:rsidP="006F167D">
            <w:pPr>
              <w:rPr>
                <w:sz w:val="16"/>
                <w:szCs w:val="16"/>
                <w:highlight w:val="cyan"/>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1BD56D2B" w14:textId="77777777" w:rsidR="003D56DD" w:rsidRPr="00EB79D2" w:rsidRDefault="003D56DD" w:rsidP="006F167D">
            <w:pPr>
              <w:rPr>
                <w:sz w:val="16"/>
                <w:szCs w:val="16"/>
                <w:highlight w:val="cyan"/>
              </w:rPr>
            </w:pPr>
            <w:r w:rsidRPr="00EB79D2">
              <w:rPr>
                <w:sz w:val="16"/>
                <w:szCs w:val="16"/>
              </w:rPr>
              <w:t>Negative</w:t>
            </w:r>
          </w:p>
        </w:tc>
        <w:tc>
          <w:tcPr>
            <w:tcW w:w="1134" w:type="dxa"/>
            <w:tcBorders>
              <w:top w:val="single" w:sz="4" w:space="0" w:color="auto"/>
              <w:left w:val="single" w:sz="4" w:space="0" w:color="auto"/>
              <w:bottom w:val="single" w:sz="4" w:space="0" w:color="auto"/>
              <w:right w:val="single" w:sz="4" w:space="0" w:color="auto"/>
            </w:tcBorders>
            <w:hideMark/>
          </w:tcPr>
          <w:p w14:paraId="65C9D6AC" w14:textId="77777777" w:rsidR="003D56DD" w:rsidRPr="00EB79D2" w:rsidRDefault="003D56DD" w:rsidP="006F167D">
            <w:pPr>
              <w:rPr>
                <w:sz w:val="16"/>
                <w:szCs w:val="16"/>
              </w:rPr>
            </w:pPr>
            <w:r w:rsidRPr="00EB79D2">
              <w:rPr>
                <w:sz w:val="16"/>
                <w:szCs w:val="16"/>
              </w:rPr>
              <w:t>NP</w:t>
            </w:r>
          </w:p>
        </w:tc>
      </w:tr>
      <w:tr w:rsidR="003D56DD" w14:paraId="6AEFFAD1" w14:textId="77777777" w:rsidTr="006F167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1EFA4" w14:textId="77777777" w:rsidR="003D56DD" w:rsidRPr="00EB79D2" w:rsidRDefault="003D56DD" w:rsidP="006F167D">
            <w:pPr>
              <w:rPr>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04033C9A" w14:textId="77777777" w:rsidR="003D56DD" w:rsidRPr="00EB79D2" w:rsidRDefault="003D56DD" w:rsidP="006F167D">
            <w:pPr>
              <w:rPr>
                <w:sz w:val="16"/>
                <w:szCs w:val="16"/>
              </w:rPr>
            </w:pPr>
          </w:p>
        </w:tc>
        <w:tc>
          <w:tcPr>
            <w:tcW w:w="1726" w:type="dxa"/>
            <w:tcBorders>
              <w:top w:val="single" w:sz="4" w:space="0" w:color="auto"/>
              <w:left w:val="single" w:sz="4" w:space="0" w:color="auto"/>
              <w:bottom w:val="single" w:sz="4" w:space="0" w:color="auto"/>
              <w:right w:val="single" w:sz="4" w:space="0" w:color="auto"/>
            </w:tcBorders>
            <w:hideMark/>
          </w:tcPr>
          <w:p w14:paraId="0B388124" w14:textId="77777777" w:rsidR="003D56DD" w:rsidRPr="00EB79D2" w:rsidRDefault="003D56DD" w:rsidP="006F167D">
            <w:pPr>
              <w:rPr>
                <w:sz w:val="16"/>
                <w:szCs w:val="16"/>
              </w:rPr>
            </w:pPr>
            <w:r w:rsidRPr="00EB79D2">
              <w:rPr>
                <w:sz w:val="16"/>
                <w:szCs w:val="16"/>
              </w:rPr>
              <w:t>Exanthem</w:t>
            </w:r>
          </w:p>
        </w:tc>
        <w:tc>
          <w:tcPr>
            <w:tcW w:w="1676" w:type="dxa"/>
            <w:tcBorders>
              <w:top w:val="single" w:sz="4" w:space="0" w:color="auto"/>
              <w:left w:val="single" w:sz="4" w:space="0" w:color="auto"/>
              <w:bottom w:val="single" w:sz="4" w:space="0" w:color="auto"/>
              <w:right w:val="single" w:sz="4" w:space="0" w:color="auto"/>
            </w:tcBorders>
            <w:hideMark/>
          </w:tcPr>
          <w:p w14:paraId="11BF0777" w14:textId="77777777" w:rsidR="003D56DD" w:rsidRPr="00EB79D2" w:rsidRDefault="003D56DD" w:rsidP="006F167D">
            <w:pPr>
              <w:rPr>
                <w:sz w:val="16"/>
                <w:szCs w:val="16"/>
              </w:rPr>
            </w:pPr>
            <w:r w:rsidRPr="00EB79D2">
              <w:rPr>
                <w:sz w:val="16"/>
                <w:szCs w:val="16"/>
              </w:rPr>
              <w:t>Allopurinol</w:t>
            </w:r>
          </w:p>
        </w:tc>
        <w:tc>
          <w:tcPr>
            <w:tcW w:w="1409" w:type="dxa"/>
            <w:tcBorders>
              <w:top w:val="single" w:sz="4" w:space="0" w:color="auto"/>
              <w:left w:val="single" w:sz="4" w:space="0" w:color="auto"/>
              <w:bottom w:val="single" w:sz="4" w:space="0" w:color="auto"/>
              <w:right w:val="single" w:sz="4" w:space="0" w:color="auto"/>
            </w:tcBorders>
            <w:hideMark/>
          </w:tcPr>
          <w:p w14:paraId="688E1B59"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2EBC0B3C" w14:textId="77777777" w:rsidR="003D56DD" w:rsidRPr="00EB79D2" w:rsidRDefault="003D56DD" w:rsidP="006F167D">
            <w:pPr>
              <w:rPr>
                <w:sz w:val="16"/>
                <w:szCs w:val="16"/>
              </w:rPr>
            </w:pPr>
            <w:r w:rsidRPr="00EB79D2">
              <w:rPr>
                <w:sz w:val="16"/>
                <w:szCs w:val="16"/>
              </w:rPr>
              <w:t>Negative</w:t>
            </w:r>
          </w:p>
        </w:tc>
        <w:tc>
          <w:tcPr>
            <w:tcW w:w="1134" w:type="dxa"/>
            <w:tcBorders>
              <w:top w:val="single" w:sz="4" w:space="0" w:color="auto"/>
              <w:left w:val="single" w:sz="4" w:space="0" w:color="auto"/>
              <w:bottom w:val="single" w:sz="4" w:space="0" w:color="auto"/>
              <w:right w:val="single" w:sz="4" w:space="0" w:color="auto"/>
            </w:tcBorders>
            <w:hideMark/>
          </w:tcPr>
          <w:p w14:paraId="7F07D7D5" w14:textId="77777777" w:rsidR="003D56DD" w:rsidRPr="00EB79D2" w:rsidRDefault="003D56DD" w:rsidP="006F167D">
            <w:pPr>
              <w:rPr>
                <w:sz w:val="16"/>
                <w:szCs w:val="16"/>
              </w:rPr>
            </w:pPr>
            <w:r w:rsidRPr="00EB79D2">
              <w:rPr>
                <w:sz w:val="16"/>
                <w:szCs w:val="16"/>
              </w:rPr>
              <w:t>NP</w:t>
            </w:r>
          </w:p>
        </w:tc>
      </w:tr>
      <w:tr w:rsidR="003D56DD" w14:paraId="2994CBE0" w14:textId="77777777" w:rsidTr="006F167D">
        <w:trPr>
          <w:trHeight w:val="30"/>
        </w:trPr>
        <w:tc>
          <w:tcPr>
            <w:tcW w:w="1542" w:type="dxa"/>
            <w:vMerge w:val="restart"/>
            <w:tcBorders>
              <w:top w:val="single" w:sz="4" w:space="0" w:color="auto"/>
              <w:left w:val="single" w:sz="4" w:space="0" w:color="auto"/>
              <w:bottom w:val="single" w:sz="4" w:space="0" w:color="auto"/>
              <w:right w:val="single" w:sz="4" w:space="0" w:color="auto"/>
            </w:tcBorders>
            <w:hideMark/>
          </w:tcPr>
          <w:p w14:paraId="13760842" w14:textId="77777777" w:rsidR="003D56DD" w:rsidRPr="00EB79D2" w:rsidRDefault="003D56DD" w:rsidP="006F167D">
            <w:pPr>
              <w:rPr>
                <w:sz w:val="16"/>
                <w:szCs w:val="16"/>
              </w:rPr>
            </w:pPr>
            <w:proofErr w:type="spellStart"/>
            <w:r w:rsidRPr="00EB79D2">
              <w:rPr>
                <w:sz w:val="16"/>
                <w:szCs w:val="16"/>
              </w:rPr>
              <w:t>Trubiano</w:t>
            </w:r>
            <w:proofErr w:type="spellEnd"/>
            <w:r w:rsidRPr="00EB79D2">
              <w:rPr>
                <w:sz w:val="16"/>
                <w:szCs w:val="16"/>
              </w:rPr>
              <w:t xml:space="preserve"> et al. 2018</w:t>
            </w:r>
          </w:p>
        </w:tc>
        <w:tc>
          <w:tcPr>
            <w:tcW w:w="438" w:type="dxa"/>
            <w:vMerge w:val="restart"/>
            <w:tcBorders>
              <w:top w:val="single" w:sz="4" w:space="0" w:color="auto"/>
              <w:left w:val="single" w:sz="4" w:space="0" w:color="auto"/>
              <w:bottom w:val="single" w:sz="4" w:space="0" w:color="auto"/>
              <w:right w:val="single" w:sz="4" w:space="0" w:color="auto"/>
            </w:tcBorders>
            <w:hideMark/>
          </w:tcPr>
          <w:p w14:paraId="322787D8" w14:textId="77777777" w:rsidR="003D56DD" w:rsidRPr="00EB79D2" w:rsidRDefault="003D56DD" w:rsidP="006F167D">
            <w:pPr>
              <w:rPr>
                <w:sz w:val="16"/>
                <w:szCs w:val="16"/>
              </w:rPr>
            </w:pPr>
            <w:r w:rsidRPr="00EB79D2">
              <w:rPr>
                <w:sz w:val="16"/>
                <w:szCs w:val="16"/>
              </w:rPr>
              <w:t>4</w:t>
            </w:r>
          </w:p>
        </w:tc>
        <w:tc>
          <w:tcPr>
            <w:tcW w:w="1726" w:type="dxa"/>
            <w:vMerge w:val="restart"/>
            <w:tcBorders>
              <w:top w:val="single" w:sz="4" w:space="0" w:color="auto"/>
              <w:left w:val="single" w:sz="4" w:space="0" w:color="auto"/>
              <w:bottom w:val="single" w:sz="4" w:space="0" w:color="auto"/>
              <w:right w:val="single" w:sz="4" w:space="0" w:color="auto"/>
            </w:tcBorders>
            <w:hideMark/>
          </w:tcPr>
          <w:p w14:paraId="31934854" w14:textId="77777777" w:rsidR="003D56DD" w:rsidRPr="00EB79D2" w:rsidRDefault="003D56DD" w:rsidP="006F167D">
            <w:pPr>
              <w:rPr>
                <w:sz w:val="16"/>
                <w:szCs w:val="16"/>
              </w:rPr>
            </w:pPr>
            <w:r w:rsidRPr="00EB79D2">
              <w:rPr>
                <w:sz w:val="16"/>
                <w:szCs w:val="16"/>
              </w:rPr>
              <w:t>Tolerant (challenged to negative on skin tests)</w:t>
            </w:r>
          </w:p>
        </w:tc>
        <w:tc>
          <w:tcPr>
            <w:tcW w:w="1676" w:type="dxa"/>
            <w:tcBorders>
              <w:top w:val="single" w:sz="4" w:space="0" w:color="auto"/>
              <w:left w:val="single" w:sz="4" w:space="0" w:color="auto"/>
              <w:bottom w:val="single" w:sz="4" w:space="0" w:color="auto"/>
              <w:right w:val="single" w:sz="4" w:space="0" w:color="auto"/>
            </w:tcBorders>
            <w:hideMark/>
          </w:tcPr>
          <w:p w14:paraId="7A4A96B4" w14:textId="77777777" w:rsidR="003D56DD" w:rsidRPr="00EB79D2" w:rsidRDefault="003D56DD" w:rsidP="006F167D">
            <w:pPr>
              <w:rPr>
                <w:sz w:val="16"/>
                <w:szCs w:val="16"/>
              </w:rPr>
            </w:pPr>
            <w:r w:rsidRPr="00EB79D2">
              <w:rPr>
                <w:sz w:val="16"/>
                <w:szCs w:val="16"/>
              </w:rPr>
              <w:t>Vancomycin</w:t>
            </w:r>
          </w:p>
        </w:tc>
        <w:tc>
          <w:tcPr>
            <w:tcW w:w="1409" w:type="dxa"/>
            <w:tcBorders>
              <w:top w:val="single" w:sz="4" w:space="0" w:color="auto"/>
              <w:left w:val="single" w:sz="4" w:space="0" w:color="auto"/>
              <w:bottom w:val="single" w:sz="4" w:space="0" w:color="auto"/>
              <w:right w:val="single" w:sz="4" w:space="0" w:color="auto"/>
            </w:tcBorders>
            <w:hideMark/>
          </w:tcPr>
          <w:p w14:paraId="1A846F94"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65B941BA" w14:textId="77777777" w:rsidR="003D56DD" w:rsidRPr="00EB79D2" w:rsidRDefault="003D56DD" w:rsidP="006F167D">
            <w:pPr>
              <w:rPr>
                <w:sz w:val="16"/>
                <w:szCs w:val="16"/>
              </w:rPr>
            </w:pPr>
            <w:r w:rsidRPr="00EB79D2">
              <w:rPr>
                <w:sz w:val="16"/>
                <w:szCs w:val="16"/>
              </w:rPr>
              <w:t>NP</w:t>
            </w:r>
          </w:p>
        </w:tc>
        <w:tc>
          <w:tcPr>
            <w:tcW w:w="1134" w:type="dxa"/>
            <w:tcBorders>
              <w:top w:val="single" w:sz="4" w:space="0" w:color="auto"/>
              <w:left w:val="single" w:sz="4" w:space="0" w:color="auto"/>
              <w:bottom w:val="single" w:sz="4" w:space="0" w:color="auto"/>
              <w:right w:val="single" w:sz="4" w:space="0" w:color="auto"/>
            </w:tcBorders>
            <w:hideMark/>
          </w:tcPr>
          <w:p w14:paraId="0F1B68EC" w14:textId="77777777" w:rsidR="003D56DD" w:rsidRPr="00EB79D2" w:rsidRDefault="003D56DD" w:rsidP="006F167D">
            <w:pPr>
              <w:rPr>
                <w:sz w:val="16"/>
                <w:szCs w:val="16"/>
              </w:rPr>
            </w:pPr>
            <w:r w:rsidRPr="00EB79D2">
              <w:rPr>
                <w:sz w:val="16"/>
                <w:szCs w:val="16"/>
              </w:rPr>
              <w:t>Negative</w:t>
            </w:r>
          </w:p>
        </w:tc>
      </w:tr>
      <w:tr w:rsidR="003D56DD" w14:paraId="491B2785" w14:textId="77777777" w:rsidTr="006F167D">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E154F" w14:textId="77777777" w:rsidR="003D56DD" w:rsidRPr="00EB79D2" w:rsidRDefault="003D56DD" w:rsidP="006F167D">
            <w:pPr>
              <w:rPr>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506455BC" w14:textId="77777777" w:rsidR="003D56DD" w:rsidRPr="00EB79D2" w:rsidRDefault="003D56DD" w:rsidP="006F167D">
            <w:pPr>
              <w:rPr>
                <w:sz w:val="16"/>
                <w:szCs w:val="16"/>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3439E590" w14:textId="77777777" w:rsidR="003D56DD" w:rsidRPr="00EB79D2" w:rsidRDefault="003D56DD" w:rsidP="006F167D">
            <w:pPr>
              <w:rPr>
                <w:sz w:val="16"/>
                <w:szCs w:val="16"/>
              </w:rPr>
            </w:pPr>
          </w:p>
        </w:tc>
        <w:tc>
          <w:tcPr>
            <w:tcW w:w="1676" w:type="dxa"/>
            <w:tcBorders>
              <w:top w:val="single" w:sz="4" w:space="0" w:color="auto"/>
              <w:left w:val="single" w:sz="4" w:space="0" w:color="auto"/>
              <w:bottom w:val="single" w:sz="4" w:space="0" w:color="auto"/>
              <w:right w:val="single" w:sz="4" w:space="0" w:color="auto"/>
            </w:tcBorders>
            <w:hideMark/>
          </w:tcPr>
          <w:p w14:paraId="2C289E1B" w14:textId="77777777" w:rsidR="003D56DD" w:rsidRPr="00EB79D2" w:rsidRDefault="003D56DD" w:rsidP="006F167D">
            <w:pPr>
              <w:rPr>
                <w:sz w:val="16"/>
                <w:szCs w:val="16"/>
                <w:highlight w:val="cyan"/>
              </w:rPr>
            </w:pPr>
            <w:r w:rsidRPr="00EB79D2">
              <w:rPr>
                <w:sz w:val="16"/>
                <w:szCs w:val="16"/>
              </w:rPr>
              <w:t>Piperacillin-</w:t>
            </w:r>
            <w:proofErr w:type="spellStart"/>
            <w:r w:rsidRPr="00EB79D2">
              <w:rPr>
                <w:sz w:val="16"/>
                <w:szCs w:val="16"/>
              </w:rPr>
              <w:t>tazocin</w:t>
            </w:r>
            <w:proofErr w:type="spellEnd"/>
            <w:r w:rsidRPr="00EB79D2">
              <w:rPr>
                <w:sz w:val="16"/>
                <w:szCs w:val="16"/>
              </w:rPr>
              <w:t>, Meropenem</w:t>
            </w:r>
          </w:p>
        </w:tc>
        <w:tc>
          <w:tcPr>
            <w:tcW w:w="1409" w:type="dxa"/>
            <w:tcBorders>
              <w:top w:val="single" w:sz="4" w:space="0" w:color="auto"/>
              <w:left w:val="single" w:sz="4" w:space="0" w:color="auto"/>
              <w:bottom w:val="single" w:sz="4" w:space="0" w:color="auto"/>
              <w:right w:val="single" w:sz="4" w:space="0" w:color="auto"/>
            </w:tcBorders>
            <w:hideMark/>
          </w:tcPr>
          <w:p w14:paraId="2D462EA7" w14:textId="77777777" w:rsidR="003D56DD" w:rsidRPr="00EB79D2" w:rsidRDefault="003D56DD" w:rsidP="006F167D">
            <w:pPr>
              <w:rPr>
                <w:sz w:val="16"/>
                <w:szCs w:val="16"/>
                <w:highlight w:val="cyan"/>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78788306" w14:textId="77777777" w:rsidR="003D56DD" w:rsidRPr="00EB79D2" w:rsidRDefault="003D56DD" w:rsidP="006F167D">
            <w:pPr>
              <w:rPr>
                <w:sz w:val="16"/>
                <w:szCs w:val="16"/>
                <w:highlight w:val="cyan"/>
              </w:rPr>
            </w:pPr>
            <w:r w:rsidRPr="00EB79D2">
              <w:rPr>
                <w:sz w:val="16"/>
                <w:szCs w:val="16"/>
              </w:rPr>
              <w:t>NP</w:t>
            </w:r>
          </w:p>
        </w:tc>
        <w:tc>
          <w:tcPr>
            <w:tcW w:w="1134" w:type="dxa"/>
            <w:tcBorders>
              <w:top w:val="single" w:sz="4" w:space="0" w:color="auto"/>
              <w:left w:val="single" w:sz="4" w:space="0" w:color="auto"/>
              <w:bottom w:val="single" w:sz="4" w:space="0" w:color="auto"/>
              <w:right w:val="single" w:sz="4" w:space="0" w:color="auto"/>
            </w:tcBorders>
            <w:hideMark/>
          </w:tcPr>
          <w:p w14:paraId="42476C86" w14:textId="77777777" w:rsidR="003D56DD" w:rsidRPr="00EB79D2" w:rsidRDefault="003D56DD" w:rsidP="006F167D">
            <w:pPr>
              <w:rPr>
                <w:sz w:val="16"/>
                <w:szCs w:val="16"/>
                <w:highlight w:val="cyan"/>
              </w:rPr>
            </w:pPr>
            <w:r w:rsidRPr="00EB79D2">
              <w:rPr>
                <w:sz w:val="16"/>
                <w:szCs w:val="16"/>
              </w:rPr>
              <w:t>Negative</w:t>
            </w:r>
          </w:p>
        </w:tc>
      </w:tr>
      <w:tr w:rsidR="003D56DD" w14:paraId="68B9D227" w14:textId="77777777" w:rsidTr="006F167D">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8072A" w14:textId="77777777" w:rsidR="003D56DD" w:rsidRPr="00EB79D2" w:rsidRDefault="003D56DD" w:rsidP="006F167D">
            <w:pPr>
              <w:rPr>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61C794AC" w14:textId="77777777" w:rsidR="003D56DD" w:rsidRPr="00EB79D2" w:rsidRDefault="003D56DD" w:rsidP="006F167D">
            <w:pPr>
              <w:rPr>
                <w:sz w:val="16"/>
                <w:szCs w:val="16"/>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09F7016" w14:textId="77777777" w:rsidR="003D56DD" w:rsidRPr="00EB79D2" w:rsidRDefault="003D56DD" w:rsidP="006F167D">
            <w:pPr>
              <w:rPr>
                <w:sz w:val="16"/>
                <w:szCs w:val="16"/>
              </w:rPr>
            </w:pPr>
          </w:p>
        </w:tc>
        <w:tc>
          <w:tcPr>
            <w:tcW w:w="1676" w:type="dxa"/>
            <w:tcBorders>
              <w:top w:val="single" w:sz="4" w:space="0" w:color="auto"/>
              <w:left w:val="single" w:sz="4" w:space="0" w:color="auto"/>
              <w:bottom w:val="single" w:sz="4" w:space="0" w:color="auto"/>
              <w:right w:val="single" w:sz="4" w:space="0" w:color="auto"/>
            </w:tcBorders>
            <w:hideMark/>
          </w:tcPr>
          <w:p w14:paraId="3F9BE185" w14:textId="77777777" w:rsidR="003D56DD" w:rsidRPr="00EB79D2" w:rsidRDefault="003D56DD" w:rsidP="006F167D">
            <w:pPr>
              <w:rPr>
                <w:sz w:val="16"/>
                <w:szCs w:val="16"/>
              </w:rPr>
            </w:pPr>
            <w:r w:rsidRPr="00EB79D2">
              <w:rPr>
                <w:sz w:val="16"/>
                <w:szCs w:val="16"/>
              </w:rPr>
              <w:t>Amoxicillin-clavulanate</w:t>
            </w:r>
          </w:p>
        </w:tc>
        <w:tc>
          <w:tcPr>
            <w:tcW w:w="1409" w:type="dxa"/>
            <w:tcBorders>
              <w:top w:val="single" w:sz="4" w:space="0" w:color="auto"/>
              <w:left w:val="single" w:sz="4" w:space="0" w:color="auto"/>
              <w:bottom w:val="single" w:sz="4" w:space="0" w:color="auto"/>
              <w:right w:val="single" w:sz="4" w:space="0" w:color="auto"/>
            </w:tcBorders>
            <w:hideMark/>
          </w:tcPr>
          <w:p w14:paraId="5A2789E0"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39E1390E" w14:textId="77777777" w:rsidR="003D56DD" w:rsidRPr="00EB79D2" w:rsidRDefault="003D56DD" w:rsidP="006F167D">
            <w:pPr>
              <w:rPr>
                <w:sz w:val="16"/>
                <w:szCs w:val="16"/>
              </w:rPr>
            </w:pPr>
            <w:r w:rsidRPr="00EB79D2">
              <w:rPr>
                <w:sz w:val="16"/>
                <w:szCs w:val="16"/>
              </w:rPr>
              <w:t>NP</w:t>
            </w:r>
          </w:p>
        </w:tc>
        <w:tc>
          <w:tcPr>
            <w:tcW w:w="1134" w:type="dxa"/>
            <w:tcBorders>
              <w:top w:val="single" w:sz="4" w:space="0" w:color="auto"/>
              <w:left w:val="single" w:sz="4" w:space="0" w:color="auto"/>
              <w:bottom w:val="single" w:sz="4" w:space="0" w:color="auto"/>
              <w:right w:val="single" w:sz="4" w:space="0" w:color="auto"/>
            </w:tcBorders>
            <w:hideMark/>
          </w:tcPr>
          <w:p w14:paraId="1056B065" w14:textId="77777777" w:rsidR="003D56DD" w:rsidRPr="00EB79D2" w:rsidRDefault="003D56DD" w:rsidP="006F167D">
            <w:pPr>
              <w:rPr>
                <w:sz w:val="16"/>
                <w:szCs w:val="16"/>
              </w:rPr>
            </w:pPr>
            <w:r w:rsidRPr="00EB79D2">
              <w:rPr>
                <w:sz w:val="16"/>
                <w:szCs w:val="16"/>
              </w:rPr>
              <w:t>Negative</w:t>
            </w:r>
          </w:p>
        </w:tc>
      </w:tr>
      <w:tr w:rsidR="003D56DD" w14:paraId="61639D65" w14:textId="77777777" w:rsidTr="006F167D">
        <w:trPr>
          <w:trHeight w:val="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01C9A" w14:textId="77777777" w:rsidR="003D56DD" w:rsidRPr="00EB79D2" w:rsidRDefault="003D56DD" w:rsidP="006F167D">
            <w:pPr>
              <w:rPr>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14:paraId="54161224" w14:textId="77777777" w:rsidR="003D56DD" w:rsidRPr="00EB79D2" w:rsidRDefault="003D56DD" w:rsidP="006F167D">
            <w:pPr>
              <w:rPr>
                <w:sz w:val="16"/>
                <w:szCs w:val="16"/>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DC2D2E1" w14:textId="77777777" w:rsidR="003D56DD" w:rsidRPr="00EB79D2" w:rsidRDefault="003D56DD" w:rsidP="006F167D">
            <w:pPr>
              <w:rPr>
                <w:sz w:val="16"/>
                <w:szCs w:val="16"/>
              </w:rPr>
            </w:pPr>
          </w:p>
        </w:tc>
        <w:tc>
          <w:tcPr>
            <w:tcW w:w="1676" w:type="dxa"/>
            <w:tcBorders>
              <w:top w:val="single" w:sz="4" w:space="0" w:color="auto"/>
              <w:left w:val="single" w:sz="4" w:space="0" w:color="auto"/>
              <w:bottom w:val="single" w:sz="4" w:space="0" w:color="auto"/>
              <w:right w:val="single" w:sz="4" w:space="0" w:color="auto"/>
            </w:tcBorders>
            <w:hideMark/>
          </w:tcPr>
          <w:p w14:paraId="6620FFD7" w14:textId="77777777" w:rsidR="003D56DD" w:rsidRPr="00EB79D2" w:rsidRDefault="003D56DD" w:rsidP="006F167D">
            <w:pPr>
              <w:rPr>
                <w:sz w:val="16"/>
                <w:szCs w:val="16"/>
              </w:rPr>
            </w:pPr>
            <w:r w:rsidRPr="00EB79D2">
              <w:rPr>
                <w:sz w:val="16"/>
                <w:szCs w:val="16"/>
              </w:rPr>
              <w:t>Ampicillin</w:t>
            </w:r>
          </w:p>
        </w:tc>
        <w:tc>
          <w:tcPr>
            <w:tcW w:w="1409" w:type="dxa"/>
            <w:tcBorders>
              <w:top w:val="single" w:sz="4" w:space="0" w:color="auto"/>
              <w:left w:val="single" w:sz="4" w:space="0" w:color="auto"/>
              <w:bottom w:val="single" w:sz="4" w:space="0" w:color="auto"/>
              <w:right w:val="single" w:sz="4" w:space="0" w:color="auto"/>
            </w:tcBorders>
            <w:hideMark/>
          </w:tcPr>
          <w:p w14:paraId="1B03CFEC" w14:textId="77777777" w:rsidR="003D56DD" w:rsidRPr="00EB79D2" w:rsidRDefault="003D56DD" w:rsidP="006F167D">
            <w:pPr>
              <w:rPr>
                <w:sz w:val="16"/>
                <w:szCs w:val="16"/>
              </w:rPr>
            </w:pPr>
            <w:r>
              <w:rPr>
                <w:sz w:val="16"/>
                <w:szCs w:val="16"/>
              </w:rPr>
              <w:t>Possible</w:t>
            </w:r>
          </w:p>
        </w:tc>
        <w:tc>
          <w:tcPr>
            <w:tcW w:w="1284" w:type="dxa"/>
            <w:tcBorders>
              <w:top w:val="single" w:sz="4" w:space="0" w:color="auto"/>
              <w:left w:val="single" w:sz="4" w:space="0" w:color="auto"/>
              <w:bottom w:val="single" w:sz="4" w:space="0" w:color="auto"/>
              <w:right w:val="single" w:sz="4" w:space="0" w:color="auto"/>
            </w:tcBorders>
            <w:hideMark/>
          </w:tcPr>
          <w:p w14:paraId="7C4C4B06" w14:textId="77777777" w:rsidR="003D56DD" w:rsidRPr="00EB79D2" w:rsidRDefault="003D56DD" w:rsidP="006F167D">
            <w:pPr>
              <w:rPr>
                <w:sz w:val="16"/>
                <w:szCs w:val="16"/>
              </w:rPr>
            </w:pPr>
            <w:r w:rsidRPr="00EB79D2">
              <w:rPr>
                <w:sz w:val="16"/>
                <w:szCs w:val="16"/>
              </w:rPr>
              <w:t>NP</w:t>
            </w:r>
          </w:p>
        </w:tc>
        <w:tc>
          <w:tcPr>
            <w:tcW w:w="1134" w:type="dxa"/>
            <w:tcBorders>
              <w:top w:val="single" w:sz="4" w:space="0" w:color="auto"/>
              <w:left w:val="single" w:sz="4" w:space="0" w:color="auto"/>
              <w:bottom w:val="single" w:sz="4" w:space="0" w:color="auto"/>
              <w:right w:val="single" w:sz="4" w:space="0" w:color="auto"/>
            </w:tcBorders>
            <w:hideMark/>
          </w:tcPr>
          <w:p w14:paraId="15E73186" w14:textId="77777777" w:rsidR="003D56DD" w:rsidRPr="00EB79D2" w:rsidRDefault="003D56DD" w:rsidP="006F167D">
            <w:pPr>
              <w:rPr>
                <w:sz w:val="16"/>
                <w:szCs w:val="16"/>
              </w:rPr>
            </w:pPr>
            <w:r w:rsidRPr="00EB79D2">
              <w:rPr>
                <w:sz w:val="16"/>
                <w:szCs w:val="16"/>
              </w:rPr>
              <w:t>Negative</w:t>
            </w:r>
          </w:p>
        </w:tc>
      </w:tr>
    </w:tbl>
    <w:p w14:paraId="459A22FA" w14:textId="77777777" w:rsidR="003D56DD" w:rsidRDefault="003D56DD">
      <w:pPr>
        <w:rPr>
          <w:rFonts w:ascii="Arial" w:hAnsi="Arial" w:cs="Arial"/>
          <w:sz w:val="24"/>
          <w:szCs w:val="24"/>
        </w:rPr>
      </w:pPr>
      <w:r w:rsidRPr="00F36ECA">
        <w:rPr>
          <w:rFonts w:ascii="Arial" w:hAnsi="Arial" w:cs="Arial"/>
          <w:sz w:val="18"/>
          <w:szCs w:val="18"/>
        </w:rPr>
        <w:t>IDT = intradermal test; MPE = maculopapular exanthem; n= number of cases; NP = not performed; PT = patch test; * = clinical suspicion based on interpretation of published data in articles</w:t>
      </w:r>
      <w:r>
        <w:rPr>
          <w:rFonts w:ascii="Arial" w:hAnsi="Arial" w:cs="Arial"/>
          <w:sz w:val="24"/>
          <w:szCs w:val="24"/>
        </w:rPr>
        <w:br w:type="page"/>
      </w:r>
    </w:p>
    <w:p w14:paraId="453CB141" w14:textId="77777777" w:rsidR="003D56DD" w:rsidRPr="00754CB4" w:rsidRDefault="003D56DD" w:rsidP="00A82433">
      <w:pPr>
        <w:spacing w:line="480" w:lineRule="auto"/>
        <w:jc w:val="both"/>
        <w:rPr>
          <w:rFonts w:ascii="Arial" w:hAnsi="Arial" w:cs="Arial"/>
          <w:sz w:val="20"/>
          <w:szCs w:val="20"/>
        </w:rPr>
      </w:pPr>
      <w:r>
        <w:rPr>
          <w:rFonts w:ascii="Arial" w:hAnsi="Arial" w:cs="Arial"/>
          <w:b/>
          <w:sz w:val="20"/>
          <w:szCs w:val="20"/>
        </w:rPr>
        <w:lastRenderedPageBreak/>
        <w:t>Table 4</w:t>
      </w:r>
      <w:r w:rsidRPr="00754CB4">
        <w:rPr>
          <w:rFonts w:ascii="Arial" w:hAnsi="Arial" w:cs="Arial"/>
          <w:sz w:val="20"/>
          <w:szCs w:val="20"/>
        </w:rPr>
        <w:t xml:space="preserve">. </w:t>
      </w:r>
      <w:r>
        <w:rPr>
          <w:rFonts w:ascii="Arial" w:hAnsi="Arial" w:cs="Arial"/>
          <w:sz w:val="20"/>
          <w:szCs w:val="20"/>
        </w:rPr>
        <w:t>Skin testing to antibiotics in individual patients</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916"/>
        <w:gridCol w:w="1167"/>
        <w:gridCol w:w="917"/>
        <w:gridCol w:w="1167"/>
        <w:gridCol w:w="1167"/>
        <w:gridCol w:w="1167"/>
      </w:tblGrid>
      <w:tr w:rsidR="003D56DD" w:rsidRPr="00435C88" w14:paraId="54E0AEEB" w14:textId="77777777" w:rsidTr="006F167D">
        <w:trPr>
          <w:trHeight w:val="261"/>
        </w:trPr>
        <w:tc>
          <w:tcPr>
            <w:tcW w:w="2316" w:type="dxa"/>
            <w:shd w:val="clear" w:color="auto" w:fill="E7E6E6" w:themeFill="background2"/>
            <w:noWrap/>
            <w:vAlign w:val="bottom"/>
            <w:hideMark/>
          </w:tcPr>
          <w:p w14:paraId="4468DBB0"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Tested drug</w:t>
            </w:r>
          </w:p>
        </w:tc>
        <w:tc>
          <w:tcPr>
            <w:tcW w:w="916" w:type="dxa"/>
            <w:shd w:val="clear" w:color="auto" w:fill="E7E6E6" w:themeFill="background2"/>
            <w:vAlign w:val="bottom"/>
          </w:tcPr>
          <w:p w14:paraId="05C0B6F3"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Positive PT</w:t>
            </w:r>
          </w:p>
        </w:tc>
        <w:tc>
          <w:tcPr>
            <w:tcW w:w="1167" w:type="dxa"/>
            <w:shd w:val="clear" w:color="auto" w:fill="E7E6E6" w:themeFill="background2"/>
            <w:noWrap/>
            <w:vAlign w:val="bottom"/>
            <w:hideMark/>
          </w:tcPr>
          <w:p w14:paraId="4D372ABE"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PT performed</w:t>
            </w:r>
          </w:p>
        </w:tc>
        <w:tc>
          <w:tcPr>
            <w:tcW w:w="917" w:type="dxa"/>
            <w:shd w:val="clear" w:color="auto" w:fill="E7E6E6" w:themeFill="background2"/>
            <w:vAlign w:val="bottom"/>
          </w:tcPr>
          <w:p w14:paraId="586FAA24"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Positive IDT</w:t>
            </w:r>
          </w:p>
        </w:tc>
        <w:tc>
          <w:tcPr>
            <w:tcW w:w="1167" w:type="dxa"/>
            <w:shd w:val="clear" w:color="auto" w:fill="E7E6E6" w:themeFill="background2"/>
            <w:noWrap/>
            <w:vAlign w:val="bottom"/>
            <w:hideMark/>
          </w:tcPr>
          <w:p w14:paraId="4EDF0F3A"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IDT performed</w:t>
            </w:r>
          </w:p>
        </w:tc>
        <w:tc>
          <w:tcPr>
            <w:tcW w:w="1167" w:type="dxa"/>
            <w:shd w:val="clear" w:color="auto" w:fill="E7E6E6" w:themeFill="background2"/>
            <w:vAlign w:val="bottom"/>
          </w:tcPr>
          <w:p w14:paraId="5E581057"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Positive SPT</w:t>
            </w:r>
          </w:p>
        </w:tc>
        <w:tc>
          <w:tcPr>
            <w:tcW w:w="1167" w:type="dxa"/>
            <w:shd w:val="clear" w:color="auto" w:fill="E7E6E6" w:themeFill="background2"/>
            <w:noWrap/>
            <w:vAlign w:val="bottom"/>
            <w:hideMark/>
          </w:tcPr>
          <w:p w14:paraId="7377C580"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SPT performed</w:t>
            </w:r>
          </w:p>
        </w:tc>
      </w:tr>
      <w:tr w:rsidR="003D56DD" w:rsidRPr="00435C88" w14:paraId="631EA634" w14:textId="77777777" w:rsidTr="006F167D">
        <w:trPr>
          <w:trHeight w:val="261"/>
        </w:trPr>
        <w:tc>
          <w:tcPr>
            <w:tcW w:w="2316" w:type="dxa"/>
            <w:shd w:val="clear" w:color="auto" w:fill="auto"/>
            <w:noWrap/>
            <w:vAlign w:val="bottom"/>
            <w:hideMark/>
          </w:tcPr>
          <w:p w14:paraId="4AA34B1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Amikacin</w:t>
            </w:r>
          </w:p>
        </w:tc>
        <w:tc>
          <w:tcPr>
            <w:tcW w:w="916" w:type="dxa"/>
            <w:vAlign w:val="bottom"/>
          </w:tcPr>
          <w:p w14:paraId="75852D90"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1131D697"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40021A46"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2BB6CAD8"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1E908B06"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2A3234C1"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036B84F0" w14:textId="77777777" w:rsidTr="006F167D">
        <w:trPr>
          <w:trHeight w:val="261"/>
        </w:trPr>
        <w:tc>
          <w:tcPr>
            <w:tcW w:w="2316" w:type="dxa"/>
            <w:shd w:val="clear" w:color="auto" w:fill="auto"/>
            <w:noWrap/>
            <w:vAlign w:val="bottom"/>
            <w:hideMark/>
          </w:tcPr>
          <w:p w14:paraId="29DB0DC8"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Amoxicillin</w:t>
            </w:r>
          </w:p>
        </w:tc>
        <w:tc>
          <w:tcPr>
            <w:tcW w:w="916" w:type="dxa"/>
            <w:vAlign w:val="bottom"/>
          </w:tcPr>
          <w:p w14:paraId="53AC72EB"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19</w:t>
            </w:r>
          </w:p>
        </w:tc>
        <w:tc>
          <w:tcPr>
            <w:tcW w:w="1167" w:type="dxa"/>
            <w:shd w:val="clear" w:color="auto" w:fill="auto"/>
            <w:noWrap/>
            <w:vAlign w:val="bottom"/>
            <w:hideMark/>
          </w:tcPr>
          <w:p w14:paraId="19C1833B"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29</w:t>
            </w:r>
          </w:p>
        </w:tc>
        <w:tc>
          <w:tcPr>
            <w:tcW w:w="917" w:type="dxa"/>
            <w:vAlign w:val="bottom"/>
          </w:tcPr>
          <w:p w14:paraId="2FD42A7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2</w:t>
            </w:r>
          </w:p>
        </w:tc>
        <w:tc>
          <w:tcPr>
            <w:tcW w:w="1167" w:type="dxa"/>
            <w:shd w:val="clear" w:color="auto" w:fill="auto"/>
            <w:noWrap/>
            <w:vAlign w:val="bottom"/>
            <w:hideMark/>
          </w:tcPr>
          <w:p w14:paraId="796D6A9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vAlign w:val="bottom"/>
          </w:tcPr>
          <w:p w14:paraId="759E595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56D6A45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3AAEB6AC" w14:textId="77777777" w:rsidTr="006F167D">
        <w:trPr>
          <w:trHeight w:val="261"/>
        </w:trPr>
        <w:tc>
          <w:tcPr>
            <w:tcW w:w="2316" w:type="dxa"/>
            <w:shd w:val="clear" w:color="auto" w:fill="auto"/>
            <w:noWrap/>
            <w:vAlign w:val="bottom"/>
            <w:hideMark/>
          </w:tcPr>
          <w:p w14:paraId="4ED78AC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Amoxicillin clavulanate</w:t>
            </w:r>
          </w:p>
        </w:tc>
        <w:tc>
          <w:tcPr>
            <w:tcW w:w="916" w:type="dxa"/>
            <w:vAlign w:val="bottom"/>
          </w:tcPr>
          <w:p w14:paraId="3DF4F3B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shd w:val="clear" w:color="auto" w:fill="auto"/>
            <w:noWrap/>
            <w:vAlign w:val="bottom"/>
            <w:hideMark/>
          </w:tcPr>
          <w:p w14:paraId="7936055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3</w:t>
            </w:r>
          </w:p>
        </w:tc>
        <w:tc>
          <w:tcPr>
            <w:tcW w:w="917" w:type="dxa"/>
            <w:vAlign w:val="bottom"/>
          </w:tcPr>
          <w:p w14:paraId="28771F3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7CF44CC6"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43324E0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7BE927F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3F9A9124" w14:textId="77777777" w:rsidTr="006F167D">
        <w:trPr>
          <w:trHeight w:val="261"/>
        </w:trPr>
        <w:tc>
          <w:tcPr>
            <w:tcW w:w="2316" w:type="dxa"/>
            <w:shd w:val="clear" w:color="auto" w:fill="auto"/>
            <w:noWrap/>
            <w:vAlign w:val="bottom"/>
            <w:hideMark/>
          </w:tcPr>
          <w:p w14:paraId="5BA2C836"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Ampicillin</w:t>
            </w:r>
          </w:p>
        </w:tc>
        <w:tc>
          <w:tcPr>
            <w:tcW w:w="916" w:type="dxa"/>
            <w:vAlign w:val="bottom"/>
          </w:tcPr>
          <w:p w14:paraId="0EE7B6C2"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6A5ADC9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3ACE25F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1194222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vAlign w:val="bottom"/>
          </w:tcPr>
          <w:p w14:paraId="7AEF9B7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552D22B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074F8C50" w14:textId="77777777" w:rsidTr="006F167D">
        <w:trPr>
          <w:trHeight w:val="261"/>
        </w:trPr>
        <w:tc>
          <w:tcPr>
            <w:tcW w:w="2316" w:type="dxa"/>
            <w:shd w:val="clear" w:color="auto" w:fill="auto"/>
            <w:noWrap/>
            <w:vAlign w:val="bottom"/>
            <w:hideMark/>
          </w:tcPr>
          <w:p w14:paraId="27BEDBC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Benzylpenicillin</w:t>
            </w:r>
          </w:p>
        </w:tc>
        <w:tc>
          <w:tcPr>
            <w:tcW w:w="916" w:type="dxa"/>
            <w:vAlign w:val="bottom"/>
          </w:tcPr>
          <w:p w14:paraId="600363D9"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7D1A58E4"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76D11398"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4DE9964B"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1537A0A1"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1219EAC0"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03769176" w14:textId="77777777" w:rsidTr="006F167D">
        <w:trPr>
          <w:trHeight w:val="261"/>
        </w:trPr>
        <w:tc>
          <w:tcPr>
            <w:tcW w:w="2316" w:type="dxa"/>
            <w:shd w:val="clear" w:color="auto" w:fill="auto"/>
            <w:noWrap/>
            <w:vAlign w:val="bottom"/>
            <w:hideMark/>
          </w:tcPr>
          <w:p w14:paraId="11C69442"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Beta lactam</w:t>
            </w:r>
            <w:r w:rsidRPr="003A5EAF">
              <w:rPr>
                <w:sz w:val="20"/>
                <w:szCs w:val="20"/>
                <w:vertAlign w:val="superscript"/>
              </w:rPr>
              <w:t>†</w:t>
            </w:r>
          </w:p>
        </w:tc>
        <w:tc>
          <w:tcPr>
            <w:tcW w:w="916" w:type="dxa"/>
            <w:vAlign w:val="bottom"/>
          </w:tcPr>
          <w:p w14:paraId="0A326E7D"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4BC561F7"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6E4C0F2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76EF385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52525446"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B77F173"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14B0CA17" w14:textId="77777777" w:rsidTr="006F167D">
        <w:trPr>
          <w:trHeight w:val="261"/>
        </w:trPr>
        <w:tc>
          <w:tcPr>
            <w:tcW w:w="2316" w:type="dxa"/>
            <w:shd w:val="clear" w:color="auto" w:fill="auto"/>
            <w:noWrap/>
            <w:vAlign w:val="bottom"/>
            <w:hideMark/>
          </w:tcPr>
          <w:p w14:paraId="76B716A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Cefazolin</w:t>
            </w:r>
          </w:p>
        </w:tc>
        <w:tc>
          <w:tcPr>
            <w:tcW w:w="916" w:type="dxa"/>
            <w:vAlign w:val="bottom"/>
          </w:tcPr>
          <w:p w14:paraId="68EE27F7"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13801A41"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347BFC31"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1386AFB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vAlign w:val="bottom"/>
          </w:tcPr>
          <w:p w14:paraId="310F664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6D496FA"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2139930B" w14:textId="77777777" w:rsidTr="006F167D">
        <w:trPr>
          <w:trHeight w:val="261"/>
        </w:trPr>
        <w:tc>
          <w:tcPr>
            <w:tcW w:w="2316" w:type="dxa"/>
            <w:shd w:val="clear" w:color="auto" w:fill="auto"/>
            <w:noWrap/>
            <w:vAlign w:val="bottom"/>
            <w:hideMark/>
          </w:tcPr>
          <w:p w14:paraId="5D45A2F4"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Cefazoline</w:t>
            </w:r>
          </w:p>
        </w:tc>
        <w:tc>
          <w:tcPr>
            <w:tcW w:w="916" w:type="dxa"/>
            <w:vAlign w:val="bottom"/>
          </w:tcPr>
          <w:p w14:paraId="5389593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57313088"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151FB42A"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7C4F722A"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0EDBBD5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1EFB13F6"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22FE462E" w14:textId="77777777" w:rsidTr="006F167D">
        <w:trPr>
          <w:trHeight w:val="261"/>
        </w:trPr>
        <w:tc>
          <w:tcPr>
            <w:tcW w:w="2316" w:type="dxa"/>
            <w:shd w:val="clear" w:color="auto" w:fill="auto"/>
            <w:noWrap/>
            <w:vAlign w:val="bottom"/>
            <w:hideMark/>
          </w:tcPr>
          <w:p w14:paraId="38CADC32"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roofErr w:type="spellStart"/>
            <w:r w:rsidRPr="00610066">
              <w:rPr>
                <w:rFonts w:ascii="Calibri" w:eastAsia="Times New Roman" w:hAnsi="Calibri" w:cs="Times New Roman"/>
                <w:color w:val="000000"/>
                <w:sz w:val="16"/>
                <w:szCs w:val="16"/>
                <w:lang w:eastAsia="en-GB"/>
              </w:rPr>
              <w:t>Cefixim</w:t>
            </w:r>
            <w:proofErr w:type="spellEnd"/>
          </w:p>
        </w:tc>
        <w:tc>
          <w:tcPr>
            <w:tcW w:w="916" w:type="dxa"/>
            <w:vAlign w:val="bottom"/>
          </w:tcPr>
          <w:p w14:paraId="596E43C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762B0C6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6C8870F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4963672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0579743A"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1F6C90DE"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7681C9CE" w14:textId="77777777" w:rsidTr="006F167D">
        <w:trPr>
          <w:trHeight w:val="261"/>
        </w:trPr>
        <w:tc>
          <w:tcPr>
            <w:tcW w:w="2316" w:type="dxa"/>
            <w:shd w:val="clear" w:color="auto" w:fill="auto"/>
            <w:noWrap/>
            <w:vAlign w:val="bottom"/>
            <w:hideMark/>
          </w:tcPr>
          <w:p w14:paraId="0FD708A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Cefotaxime</w:t>
            </w:r>
          </w:p>
        </w:tc>
        <w:tc>
          <w:tcPr>
            <w:tcW w:w="916" w:type="dxa"/>
            <w:vAlign w:val="bottom"/>
          </w:tcPr>
          <w:p w14:paraId="47740CD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4A1D7EF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689C313A"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4B196F1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29C68F5B"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41766808"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1B3D6B3A" w14:textId="77777777" w:rsidTr="006F167D">
        <w:trPr>
          <w:trHeight w:val="261"/>
        </w:trPr>
        <w:tc>
          <w:tcPr>
            <w:tcW w:w="2316" w:type="dxa"/>
            <w:shd w:val="clear" w:color="auto" w:fill="auto"/>
            <w:noWrap/>
            <w:vAlign w:val="bottom"/>
            <w:hideMark/>
          </w:tcPr>
          <w:p w14:paraId="6C27C7F0"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Cefoxitin</w:t>
            </w:r>
          </w:p>
        </w:tc>
        <w:tc>
          <w:tcPr>
            <w:tcW w:w="916" w:type="dxa"/>
            <w:vAlign w:val="bottom"/>
          </w:tcPr>
          <w:p w14:paraId="4D2E35C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shd w:val="clear" w:color="auto" w:fill="auto"/>
            <w:noWrap/>
            <w:vAlign w:val="bottom"/>
            <w:hideMark/>
          </w:tcPr>
          <w:p w14:paraId="00D2DDC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917" w:type="dxa"/>
            <w:vAlign w:val="bottom"/>
          </w:tcPr>
          <w:p w14:paraId="3493E3A1"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28906F6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480DC40D"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532706D1"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710EBF95" w14:textId="77777777" w:rsidTr="006F167D">
        <w:trPr>
          <w:trHeight w:val="261"/>
        </w:trPr>
        <w:tc>
          <w:tcPr>
            <w:tcW w:w="2316" w:type="dxa"/>
            <w:shd w:val="clear" w:color="auto" w:fill="auto"/>
            <w:noWrap/>
            <w:vAlign w:val="bottom"/>
            <w:hideMark/>
          </w:tcPr>
          <w:p w14:paraId="1E4747B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Cefpodoxime</w:t>
            </w:r>
          </w:p>
        </w:tc>
        <w:tc>
          <w:tcPr>
            <w:tcW w:w="916" w:type="dxa"/>
            <w:vAlign w:val="bottom"/>
          </w:tcPr>
          <w:p w14:paraId="2F981C4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79821BA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0F6C78B1"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4F5EE4A8"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0676F061"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1BF0699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r>
      <w:tr w:rsidR="003D56DD" w:rsidRPr="00435C88" w14:paraId="20324639" w14:textId="77777777" w:rsidTr="006F167D">
        <w:trPr>
          <w:trHeight w:val="261"/>
        </w:trPr>
        <w:tc>
          <w:tcPr>
            <w:tcW w:w="2316" w:type="dxa"/>
            <w:shd w:val="clear" w:color="auto" w:fill="auto"/>
            <w:noWrap/>
            <w:vAlign w:val="bottom"/>
            <w:hideMark/>
          </w:tcPr>
          <w:p w14:paraId="5DD8A426"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Ceftazidime</w:t>
            </w:r>
          </w:p>
        </w:tc>
        <w:tc>
          <w:tcPr>
            <w:tcW w:w="916" w:type="dxa"/>
            <w:vAlign w:val="bottom"/>
          </w:tcPr>
          <w:p w14:paraId="5B1E2ABB"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2F5A3B7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33A86E3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5F9A1FD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36C40A04"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19C11AEA"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7CEB09D2" w14:textId="77777777" w:rsidTr="006F167D">
        <w:trPr>
          <w:trHeight w:val="261"/>
        </w:trPr>
        <w:tc>
          <w:tcPr>
            <w:tcW w:w="2316" w:type="dxa"/>
            <w:shd w:val="clear" w:color="auto" w:fill="auto"/>
            <w:noWrap/>
            <w:vAlign w:val="bottom"/>
            <w:hideMark/>
          </w:tcPr>
          <w:p w14:paraId="43BCA98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Ceftriaxon</w:t>
            </w:r>
            <w:r>
              <w:rPr>
                <w:rFonts w:ascii="Calibri" w:eastAsia="Times New Roman" w:hAnsi="Calibri" w:cs="Times New Roman"/>
                <w:color w:val="000000"/>
                <w:sz w:val="16"/>
                <w:szCs w:val="16"/>
                <w:lang w:eastAsia="en-GB"/>
              </w:rPr>
              <w:t>e</w:t>
            </w:r>
          </w:p>
        </w:tc>
        <w:tc>
          <w:tcPr>
            <w:tcW w:w="916" w:type="dxa"/>
            <w:vAlign w:val="bottom"/>
          </w:tcPr>
          <w:p w14:paraId="37C1BD46"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w:t>
            </w:r>
          </w:p>
        </w:tc>
        <w:tc>
          <w:tcPr>
            <w:tcW w:w="1167" w:type="dxa"/>
            <w:shd w:val="clear" w:color="auto" w:fill="auto"/>
            <w:noWrap/>
            <w:vAlign w:val="bottom"/>
            <w:hideMark/>
          </w:tcPr>
          <w:p w14:paraId="1E86F69B"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w:t>
            </w:r>
          </w:p>
        </w:tc>
        <w:tc>
          <w:tcPr>
            <w:tcW w:w="917" w:type="dxa"/>
            <w:vAlign w:val="bottom"/>
          </w:tcPr>
          <w:p w14:paraId="3AAF596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7406582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1</w:t>
            </w:r>
          </w:p>
        </w:tc>
        <w:tc>
          <w:tcPr>
            <w:tcW w:w="1167" w:type="dxa"/>
            <w:vAlign w:val="bottom"/>
          </w:tcPr>
          <w:p w14:paraId="3270BACB"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29BAC382"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25D42D72" w14:textId="77777777" w:rsidTr="006F167D">
        <w:trPr>
          <w:trHeight w:val="261"/>
        </w:trPr>
        <w:tc>
          <w:tcPr>
            <w:tcW w:w="2316" w:type="dxa"/>
            <w:shd w:val="clear" w:color="auto" w:fill="auto"/>
            <w:noWrap/>
            <w:vAlign w:val="bottom"/>
            <w:hideMark/>
          </w:tcPr>
          <w:p w14:paraId="5FE4B4F3"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Cefuroxime</w:t>
            </w:r>
          </w:p>
        </w:tc>
        <w:tc>
          <w:tcPr>
            <w:tcW w:w="916" w:type="dxa"/>
            <w:vAlign w:val="bottom"/>
          </w:tcPr>
          <w:p w14:paraId="63FEAB43"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3BFD132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76D411D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40BD1CB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3202F6D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6C45A9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49B40A59" w14:textId="77777777" w:rsidTr="006F167D">
        <w:trPr>
          <w:trHeight w:val="261"/>
        </w:trPr>
        <w:tc>
          <w:tcPr>
            <w:tcW w:w="2316" w:type="dxa"/>
            <w:shd w:val="clear" w:color="auto" w:fill="auto"/>
            <w:noWrap/>
            <w:vAlign w:val="bottom"/>
            <w:hideMark/>
          </w:tcPr>
          <w:p w14:paraId="57E0390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Cephalosporins</w:t>
            </w:r>
            <w:r w:rsidRPr="003A5EAF">
              <w:rPr>
                <w:sz w:val="20"/>
                <w:szCs w:val="20"/>
                <w:vertAlign w:val="superscript"/>
              </w:rPr>
              <w:t>†</w:t>
            </w:r>
          </w:p>
        </w:tc>
        <w:tc>
          <w:tcPr>
            <w:tcW w:w="916" w:type="dxa"/>
            <w:vAlign w:val="bottom"/>
          </w:tcPr>
          <w:p w14:paraId="4FF9318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25EE4D1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4210D3B5"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1A96AADC"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2125872D"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37BF873D"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076495F0" w14:textId="77777777" w:rsidTr="006F167D">
        <w:trPr>
          <w:trHeight w:val="261"/>
        </w:trPr>
        <w:tc>
          <w:tcPr>
            <w:tcW w:w="2316" w:type="dxa"/>
            <w:shd w:val="clear" w:color="auto" w:fill="auto"/>
            <w:noWrap/>
            <w:vAlign w:val="bottom"/>
            <w:hideMark/>
          </w:tcPr>
          <w:p w14:paraId="1AFDD459"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Cloxacillin</w:t>
            </w:r>
          </w:p>
        </w:tc>
        <w:tc>
          <w:tcPr>
            <w:tcW w:w="916" w:type="dxa"/>
            <w:vAlign w:val="bottom"/>
          </w:tcPr>
          <w:p w14:paraId="16C80FE9"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14170C41"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533DCC57"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04D4FE53"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7A2D6C06"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3B961306"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7A473C88" w14:textId="77777777" w:rsidTr="006F167D">
        <w:trPr>
          <w:trHeight w:val="261"/>
        </w:trPr>
        <w:tc>
          <w:tcPr>
            <w:tcW w:w="2316" w:type="dxa"/>
            <w:shd w:val="clear" w:color="auto" w:fill="auto"/>
            <w:noWrap/>
            <w:vAlign w:val="bottom"/>
            <w:hideMark/>
          </w:tcPr>
          <w:p w14:paraId="38D8D9F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Dicloxacillin</w:t>
            </w:r>
          </w:p>
        </w:tc>
        <w:tc>
          <w:tcPr>
            <w:tcW w:w="916" w:type="dxa"/>
            <w:vAlign w:val="bottom"/>
          </w:tcPr>
          <w:p w14:paraId="722F11B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12C7F878"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1C93DCA7"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6F84A9F6"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4F794484"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7A46696C"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0E67C583" w14:textId="77777777" w:rsidTr="006F167D">
        <w:trPr>
          <w:trHeight w:val="261"/>
        </w:trPr>
        <w:tc>
          <w:tcPr>
            <w:tcW w:w="2316" w:type="dxa"/>
            <w:shd w:val="clear" w:color="auto" w:fill="auto"/>
            <w:noWrap/>
            <w:vAlign w:val="bottom"/>
            <w:hideMark/>
          </w:tcPr>
          <w:p w14:paraId="19EA279E"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Doxycycline</w:t>
            </w:r>
          </w:p>
        </w:tc>
        <w:tc>
          <w:tcPr>
            <w:tcW w:w="916" w:type="dxa"/>
            <w:vAlign w:val="bottom"/>
          </w:tcPr>
          <w:p w14:paraId="46FE95C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2FC450FA"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1963595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136651B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575AAD47"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4CB67308"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417489F5" w14:textId="77777777" w:rsidTr="006F167D">
        <w:trPr>
          <w:trHeight w:val="261"/>
        </w:trPr>
        <w:tc>
          <w:tcPr>
            <w:tcW w:w="2316" w:type="dxa"/>
            <w:shd w:val="clear" w:color="auto" w:fill="auto"/>
            <w:noWrap/>
            <w:vAlign w:val="bottom"/>
            <w:hideMark/>
          </w:tcPr>
          <w:p w14:paraId="3E10F0A2"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Gentamycin</w:t>
            </w:r>
          </w:p>
        </w:tc>
        <w:tc>
          <w:tcPr>
            <w:tcW w:w="916" w:type="dxa"/>
            <w:vAlign w:val="bottom"/>
          </w:tcPr>
          <w:p w14:paraId="2AEC399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436B0FC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7D4A2E8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21E7989B"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4CD6488D"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53AA25AF"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5F0196DD" w14:textId="77777777" w:rsidTr="006F167D">
        <w:trPr>
          <w:trHeight w:val="261"/>
        </w:trPr>
        <w:tc>
          <w:tcPr>
            <w:tcW w:w="2316" w:type="dxa"/>
            <w:shd w:val="clear" w:color="auto" w:fill="auto"/>
            <w:noWrap/>
            <w:vAlign w:val="bottom"/>
            <w:hideMark/>
          </w:tcPr>
          <w:p w14:paraId="2EDD5E9C"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Glycopeptide antibiotics</w:t>
            </w:r>
            <w:r w:rsidRPr="003A5EAF">
              <w:rPr>
                <w:sz w:val="20"/>
                <w:szCs w:val="20"/>
                <w:vertAlign w:val="superscript"/>
              </w:rPr>
              <w:t>†</w:t>
            </w:r>
          </w:p>
        </w:tc>
        <w:tc>
          <w:tcPr>
            <w:tcW w:w="916" w:type="dxa"/>
            <w:vAlign w:val="bottom"/>
          </w:tcPr>
          <w:p w14:paraId="7D836202"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453D0AD"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0E7950B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5F1979F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6F6875C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157C5CD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r>
      <w:tr w:rsidR="003D56DD" w:rsidRPr="00435C88" w14:paraId="60E1D11E" w14:textId="77777777" w:rsidTr="006F167D">
        <w:trPr>
          <w:trHeight w:val="261"/>
        </w:trPr>
        <w:tc>
          <w:tcPr>
            <w:tcW w:w="2316" w:type="dxa"/>
            <w:shd w:val="clear" w:color="auto" w:fill="auto"/>
            <w:noWrap/>
            <w:vAlign w:val="bottom"/>
            <w:hideMark/>
          </w:tcPr>
          <w:p w14:paraId="5B058D6D"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roofErr w:type="spellStart"/>
            <w:r w:rsidRPr="00610066">
              <w:rPr>
                <w:rFonts w:ascii="Calibri" w:eastAsia="Times New Roman" w:hAnsi="Calibri" w:cs="Times New Roman"/>
                <w:color w:val="000000"/>
                <w:sz w:val="16"/>
                <w:szCs w:val="16"/>
                <w:lang w:eastAsia="en-GB"/>
              </w:rPr>
              <w:t>Imipenam</w:t>
            </w:r>
            <w:proofErr w:type="spellEnd"/>
          </w:p>
        </w:tc>
        <w:tc>
          <w:tcPr>
            <w:tcW w:w="916" w:type="dxa"/>
            <w:vAlign w:val="bottom"/>
          </w:tcPr>
          <w:p w14:paraId="7F0F7313"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0EBE900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3FA6F94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03B64296"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02251889"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642B0168"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7E8BD7AE" w14:textId="77777777" w:rsidTr="006F167D">
        <w:trPr>
          <w:trHeight w:val="261"/>
        </w:trPr>
        <w:tc>
          <w:tcPr>
            <w:tcW w:w="2316" w:type="dxa"/>
            <w:shd w:val="clear" w:color="auto" w:fill="auto"/>
            <w:noWrap/>
            <w:vAlign w:val="bottom"/>
            <w:hideMark/>
          </w:tcPr>
          <w:p w14:paraId="522050AD"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Imipenem-</w:t>
            </w:r>
            <w:proofErr w:type="spellStart"/>
            <w:r w:rsidRPr="00610066">
              <w:rPr>
                <w:rFonts w:ascii="Calibri" w:eastAsia="Times New Roman" w:hAnsi="Calibri" w:cs="Times New Roman"/>
                <w:color w:val="000000"/>
                <w:sz w:val="16"/>
                <w:szCs w:val="16"/>
                <w:lang w:eastAsia="en-GB"/>
              </w:rPr>
              <w:t>cilastatin</w:t>
            </w:r>
            <w:proofErr w:type="spellEnd"/>
          </w:p>
        </w:tc>
        <w:tc>
          <w:tcPr>
            <w:tcW w:w="916" w:type="dxa"/>
            <w:vAlign w:val="bottom"/>
          </w:tcPr>
          <w:p w14:paraId="3CC3E273"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41D33B4E"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5F96FDE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3E971CDF"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463B7951"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72A9FE4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4D74C5D1" w14:textId="77777777" w:rsidTr="006F167D">
        <w:trPr>
          <w:trHeight w:val="261"/>
        </w:trPr>
        <w:tc>
          <w:tcPr>
            <w:tcW w:w="2316" w:type="dxa"/>
            <w:shd w:val="clear" w:color="auto" w:fill="auto"/>
            <w:noWrap/>
            <w:vAlign w:val="bottom"/>
            <w:hideMark/>
          </w:tcPr>
          <w:p w14:paraId="55DE26E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Levofloxacin</w:t>
            </w:r>
          </w:p>
        </w:tc>
        <w:tc>
          <w:tcPr>
            <w:tcW w:w="916" w:type="dxa"/>
            <w:vAlign w:val="bottom"/>
          </w:tcPr>
          <w:p w14:paraId="4687F73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6922C2E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4</w:t>
            </w:r>
          </w:p>
        </w:tc>
        <w:tc>
          <w:tcPr>
            <w:tcW w:w="917" w:type="dxa"/>
            <w:vAlign w:val="bottom"/>
          </w:tcPr>
          <w:p w14:paraId="759C0948"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7E1D088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3ADD79D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5D98E42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07ED4441" w14:textId="77777777" w:rsidTr="006F167D">
        <w:trPr>
          <w:trHeight w:val="261"/>
        </w:trPr>
        <w:tc>
          <w:tcPr>
            <w:tcW w:w="2316" w:type="dxa"/>
            <w:shd w:val="clear" w:color="auto" w:fill="auto"/>
            <w:noWrap/>
            <w:vAlign w:val="bottom"/>
            <w:hideMark/>
          </w:tcPr>
          <w:p w14:paraId="13D5B81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Meropenem</w:t>
            </w:r>
          </w:p>
        </w:tc>
        <w:tc>
          <w:tcPr>
            <w:tcW w:w="916" w:type="dxa"/>
            <w:vAlign w:val="bottom"/>
          </w:tcPr>
          <w:p w14:paraId="090544E6"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2A30D18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2DE39ED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10521DD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vAlign w:val="bottom"/>
          </w:tcPr>
          <w:p w14:paraId="394F724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7DF2DD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4623C3C2" w14:textId="77777777" w:rsidTr="006F167D">
        <w:trPr>
          <w:trHeight w:val="261"/>
        </w:trPr>
        <w:tc>
          <w:tcPr>
            <w:tcW w:w="2316" w:type="dxa"/>
            <w:shd w:val="clear" w:color="auto" w:fill="auto"/>
            <w:noWrap/>
            <w:vAlign w:val="bottom"/>
            <w:hideMark/>
          </w:tcPr>
          <w:p w14:paraId="3460343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Metronidazole</w:t>
            </w:r>
          </w:p>
        </w:tc>
        <w:tc>
          <w:tcPr>
            <w:tcW w:w="916" w:type="dxa"/>
            <w:vAlign w:val="bottom"/>
          </w:tcPr>
          <w:p w14:paraId="69C05AE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136C34D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3934360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2308C80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22EDFA67"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1EABF6B2"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115128F5" w14:textId="77777777" w:rsidTr="006F167D">
        <w:trPr>
          <w:trHeight w:val="261"/>
        </w:trPr>
        <w:tc>
          <w:tcPr>
            <w:tcW w:w="2316" w:type="dxa"/>
            <w:shd w:val="clear" w:color="auto" w:fill="auto"/>
            <w:noWrap/>
            <w:vAlign w:val="bottom"/>
            <w:hideMark/>
          </w:tcPr>
          <w:p w14:paraId="6519D30C"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Penicillin G</w:t>
            </w:r>
          </w:p>
        </w:tc>
        <w:tc>
          <w:tcPr>
            <w:tcW w:w="916" w:type="dxa"/>
            <w:vAlign w:val="bottom"/>
          </w:tcPr>
          <w:p w14:paraId="2AC270F1"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00739184"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6CA21EC3"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2283065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179630F6"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77E1178B"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4EFAAF1E" w14:textId="77777777" w:rsidTr="006F167D">
        <w:trPr>
          <w:trHeight w:val="261"/>
        </w:trPr>
        <w:tc>
          <w:tcPr>
            <w:tcW w:w="2316" w:type="dxa"/>
            <w:shd w:val="clear" w:color="auto" w:fill="auto"/>
            <w:noWrap/>
            <w:vAlign w:val="bottom"/>
            <w:hideMark/>
          </w:tcPr>
          <w:p w14:paraId="719D0369"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Penicillin V</w:t>
            </w:r>
          </w:p>
        </w:tc>
        <w:tc>
          <w:tcPr>
            <w:tcW w:w="916" w:type="dxa"/>
            <w:vAlign w:val="bottom"/>
          </w:tcPr>
          <w:p w14:paraId="2F98CD21"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140239B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346DDDD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75E3E381"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429BD5BB"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6F634929"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2C379ABB" w14:textId="77777777" w:rsidTr="006F167D">
        <w:trPr>
          <w:trHeight w:val="261"/>
        </w:trPr>
        <w:tc>
          <w:tcPr>
            <w:tcW w:w="2316" w:type="dxa"/>
            <w:shd w:val="clear" w:color="auto" w:fill="auto"/>
            <w:noWrap/>
            <w:vAlign w:val="bottom"/>
            <w:hideMark/>
          </w:tcPr>
          <w:p w14:paraId="021CEA3E"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Piperacillin-tazobactam</w:t>
            </w:r>
          </w:p>
        </w:tc>
        <w:tc>
          <w:tcPr>
            <w:tcW w:w="916" w:type="dxa"/>
            <w:vAlign w:val="bottom"/>
          </w:tcPr>
          <w:p w14:paraId="2A5305E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167" w:type="dxa"/>
            <w:shd w:val="clear" w:color="auto" w:fill="auto"/>
            <w:noWrap/>
            <w:vAlign w:val="bottom"/>
            <w:hideMark/>
          </w:tcPr>
          <w:p w14:paraId="4E16E77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11</w:t>
            </w:r>
          </w:p>
        </w:tc>
        <w:tc>
          <w:tcPr>
            <w:tcW w:w="917" w:type="dxa"/>
            <w:vAlign w:val="bottom"/>
          </w:tcPr>
          <w:p w14:paraId="5FBA513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8</w:t>
            </w:r>
          </w:p>
        </w:tc>
        <w:tc>
          <w:tcPr>
            <w:tcW w:w="1167" w:type="dxa"/>
            <w:shd w:val="clear" w:color="auto" w:fill="auto"/>
            <w:noWrap/>
            <w:vAlign w:val="bottom"/>
            <w:hideMark/>
          </w:tcPr>
          <w:p w14:paraId="09CB73EB"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12</w:t>
            </w:r>
          </w:p>
        </w:tc>
        <w:tc>
          <w:tcPr>
            <w:tcW w:w="1167" w:type="dxa"/>
            <w:vAlign w:val="bottom"/>
          </w:tcPr>
          <w:p w14:paraId="5D2AC148"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4C45C8D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25871A04" w14:textId="77777777" w:rsidTr="006F167D">
        <w:trPr>
          <w:trHeight w:val="261"/>
        </w:trPr>
        <w:tc>
          <w:tcPr>
            <w:tcW w:w="2316" w:type="dxa"/>
            <w:shd w:val="clear" w:color="auto" w:fill="auto"/>
            <w:noWrap/>
            <w:vAlign w:val="bottom"/>
            <w:hideMark/>
          </w:tcPr>
          <w:p w14:paraId="6C37C69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roofErr w:type="spellStart"/>
            <w:r w:rsidRPr="00610066">
              <w:rPr>
                <w:rFonts w:ascii="Calibri" w:eastAsia="Times New Roman" w:hAnsi="Calibri" w:cs="Times New Roman"/>
                <w:color w:val="000000"/>
                <w:sz w:val="16"/>
                <w:szCs w:val="16"/>
                <w:lang w:eastAsia="en-GB"/>
              </w:rPr>
              <w:t>Pristinamycin</w:t>
            </w:r>
            <w:proofErr w:type="spellEnd"/>
          </w:p>
        </w:tc>
        <w:tc>
          <w:tcPr>
            <w:tcW w:w="916" w:type="dxa"/>
            <w:vAlign w:val="bottom"/>
          </w:tcPr>
          <w:p w14:paraId="32CB1DD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545CDB4"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51F13620"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2DB64B42"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4571F074"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3F2264F0"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4A5E018C" w14:textId="77777777" w:rsidTr="006F167D">
        <w:trPr>
          <w:trHeight w:val="261"/>
        </w:trPr>
        <w:tc>
          <w:tcPr>
            <w:tcW w:w="2316" w:type="dxa"/>
            <w:shd w:val="clear" w:color="auto" w:fill="auto"/>
            <w:noWrap/>
            <w:vAlign w:val="bottom"/>
            <w:hideMark/>
          </w:tcPr>
          <w:p w14:paraId="4AFDC23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Pyrazinamide</w:t>
            </w:r>
          </w:p>
        </w:tc>
        <w:tc>
          <w:tcPr>
            <w:tcW w:w="916" w:type="dxa"/>
            <w:vAlign w:val="bottom"/>
          </w:tcPr>
          <w:p w14:paraId="0410FC7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1AB15EEF"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2193AF2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9B3F53D"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47D3FF3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2AF3144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r>
      <w:tr w:rsidR="003D56DD" w:rsidRPr="00435C88" w14:paraId="6B3DECDA" w14:textId="77777777" w:rsidTr="006F167D">
        <w:trPr>
          <w:trHeight w:val="261"/>
        </w:trPr>
        <w:tc>
          <w:tcPr>
            <w:tcW w:w="2316" w:type="dxa"/>
            <w:shd w:val="clear" w:color="auto" w:fill="auto"/>
            <w:noWrap/>
            <w:vAlign w:val="bottom"/>
            <w:hideMark/>
          </w:tcPr>
          <w:p w14:paraId="136E2736"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Quinolones</w:t>
            </w:r>
            <w:r w:rsidRPr="003A5EAF">
              <w:rPr>
                <w:sz w:val="20"/>
                <w:szCs w:val="20"/>
                <w:vertAlign w:val="superscript"/>
              </w:rPr>
              <w:t>†</w:t>
            </w:r>
          </w:p>
        </w:tc>
        <w:tc>
          <w:tcPr>
            <w:tcW w:w="916" w:type="dxa"/>
            <w:vAlign w:val="bottom"/>
          </w:tcPr>
          <w:p w14:paraId="03E303CF"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3715D0BA"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5AF52FB5"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0B341F2E"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vAlign w:val="bottom"/>
          </w:tcPr>
          <w:p w14:paraId="699CD4D1"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409D3D1A"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00DC445D" w14:textId="77777777" w:rsidTr="006F167D">
        <w:trPr>
          <w:trHeight w:val="261"/>
        </w:trPr>
        <w:tc>
          <w:tcPr>
            <w:tcW w:w="2316" w:type="dxa"/>
            <w:shd w:val="clear" w:color="auto" w:fill="auto"/>
            <w:noWrap/>
            <w:vAlign w:val="bottom"/>
            <w:hideMark/>
          </w:tcPr>
          <w:p w14:paraId="41B4624D"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Rifampicin</w:t>
            </w:r>
          </w:p>
        </w:tc>
        <w:tc>
          <w:tcPr>
            <w:tcW w:w="916" w:type="dxa"/>
            <w:vAlign w:val="bottom"/>
          </w:tcPr>
          <w:p w14:paraId="402C0E9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0</w:t>
            </w:r>
          </w:p>
        </w:tc>
        <w:tc>
          <w:tcPr>
            <w:tcW w:w="1167" w:type="dxa"/>
            <w:shd w:val="clear" w:color="auto" w:fill="auto"/>
            <w:noWrap/>
            <w:vAlign w:val="bottom"/>
            <w:hideMark/>
          </w:tcPr>
          <w:p w14:paraId="7538C943"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1E8E0CB2"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4A89DE28"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vAlign w:val="bottom"/>
          </w:tcPr>
          <w:p w14:paraId="261C880A"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2F9BA38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r>
      <w:tr w:rsidR="003D56DD" w:rsidRPr="00435C88" w14:paraId="0C5E5B92" w14:textId="77777777" w:rsidTr="006F167D">
        <w:trPr>
          <w:trHeight w:val="261"/>
        </w:trPr>
        <w:tc>
          <w:tcPr>
            <w:tcW w:w="2316" w:type="dxa"/>
            <w:shd w:val="clear" w:color="auto" w:fill="auto"/>
            <w:noWrap/>
            <w:vAlign w:val="bottom"/>
            <w:hideMark/>
          </w:tcPr>
          <w:p w14:paraId="1D37559D"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roofErr w:type="spellStart"/>
            <w:r w:rsidRPr="00610066">
              <w:rPr>
                <w:rFonts w:ascii="Calibri" w:eastAsia="Times New Roman" w:hAnsi="Calibri" w:cs="Times New Roman"/>
                <w:color w:val="000000"/>
                <w:sz w:val="16"/>
                <w:szCs w:val="16"/>
                <w:lang w:eastAsia="en-GB"/>
              </w:rPr>
              <w:t>Tazocillin</w:t>
            </w:r>
            <w:proofErr w:type="spellEnd"/>
          </w:p>
        </w:tc>
        <w:tc>
          <w:tcPr>
            <w:tcW w:w="916" w:type="dxa"/>
            <w:vAlign w:val="bottom"/>
          </w:tcPr>
          <w:p w14:paraId="6EDC39DB"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11A47964"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p>
        </w:tc>
        <w:tc>
          <w:tcPr>
            <w:tcW w:w="917" w:type="dxa"/>
            <w:vAlign w:val="bottom"/>
          </w:tcPr>
          <w:p w14:paraId="6DD19FB5"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1DE8CD4E"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vAlign w:val="bottom"/>
          </w:tcPr>
          <w:p w14:paraId="0718E83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6190D593"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r>
      <w:tr w:rsidR="003D56DD" w:rsidRPr="00435C88" w14:paraId="716C2514" w14:textId="77777777" w:rsidTr="006F167D">
        <w:trPr>
          <w:trHeight w:val="261"/>
        </w:trPr>
        <w:tc>
          <w:tcPr>
            <w:tcW w:w="2316" w:type="dxa"/>
            <w:shd w:val="clear" w:color="auto" w:fill="auto"/>
            <w:noWrap/>
            <w:vAlign w:val="bottom"/>
            <w:hideMark/>
          </w:tcPr>
          <w:p w14:paraId="1AEBAA7C"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Trimethoprim</w:t>
            </w:r>
          </w:p>
        </w:tc>
        <w:tc>
          <w:tcPr>
            <w:tcW w:w="916" w:type="dxa"/>
            <w:vAlign w:val="bottom"/>
          </w:tcPr>
          <w:p w14:paraId="5DF8249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13A0DB59"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917" w:type="dxa"/>
            <w:vAlign w:val="bottom"/>
          </w:tcPr>
          <w:p w14:paraId="1D0BB00A"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shd w:val="clear" w:color="auto" w:fill="auto"/>
            <w:noWrap/>
            <w:vAlign w:val="bottom"/>
            <w:hideMark/>
          </w:tcPr>
          <w:p w14:paraId="646D26C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p>
        </w:tc>
        <w:tc>
          <w:tcPr>
            <w:tcW w:w="1167" w:type="dxa"/>
            <w:vAlign w:val="bottom"/>
          </w:tcPr>
          <w:p w14:paraId="4A759482"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c>
          <w:tcPr>
            <w:tcW w:w="1167" w:type="dxa"/>
            <w:shd w:val="clear" w:color="auto" w:fill="auto"/>
            <w:noWrap/>
            <w:vAlign w:val="bottom"/>
            <w:hideMark/>
          </w:tcPr>
          <w:p w14:paraId="1BCF0E81" w14:textId="77777777" w:rsidR="003D56DD" w:rsidRPr="00610066" w:rsidRDefault="003D56DD" w:rsidP="006F167D">
            <w:pPr>
              <w:spacing w:after="0" w:line="240" w:lineRule="auto"/>
              <w:rPr>
                <w:rFonts w:ascii="Times New Roman" w:eastAsia="Times New Roman" w:hAnsi="Times New Roman" w:cs="Times New Roman"/>
                <w:sz w:val="16"/>
                <w:szCs w:val="16"/>
                <w:lang w:eastAsia="en-GB"/>
              </w:rPr>
            </w:pPr>
          </w:p>
        </w:tc>
      </w:tr>
      <w:tr w:rsidR="003D56DD" w:rsidRPr="00435C88" w14:paraId="228DEAE4" w14:textId="77777777" w:rsidTr="006F167D">
        <w:trPr>
          <w:trHeight w:val="261"/>
        </w:trPr>
        <w:tc>
          <w:tcPr>
            <w:tcW w:w="2316" w:type="dxa"/>
            <w:shd w:val="clear" w:color="auto" w:fill="auto"/>
            <w:noWrap/>
            <w:vAlign w:val="bottom"/>
            <w:hideMark/>
          </w:tcPr>
          <w:p w14:paraId="5CD775A3" w14:textId="77777777" w:rsidR="003D56DD" w:rsidRPr="00610066" w:rsidRDefault="003D56DD" w:rsidP="006F167D">
            <w:pPr>
              <w:spacing w:after="0" w:line="240" w:lineRule="auto"/>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Vancomycin</w:t>
            </w:r>
          </w:p>
        </w:tc>
        <w:tc>
          <w:tcPr>
            <w:tcW w:w="916" w:type="dxa"/>
            <w:vAlign w:val="bottom"/>
          </w:tcPr>
          <w:p w14:paraId="50C8D457"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2</w:t>
            </w:r>
          </w:p>
        </w:tc>
        <w:tc>
          <w:tcPr>
            <w:tcW w:w="1167" w:type="dxa"/>
            <w:shd w:val="clear" w:color="auto" w:fill="auto"/>
            <w:noWrap/>
            <w:vAlign w:val="bottom"/>
            <w:hideMark/>
          </w:tcPr>
          <w:p w14:paraId="4386FD8C"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6</w:t>
            </w:r>
          </w:p>
        </w:tc>
        <w:tc>
          <w:tcPr>
            <w:tcW w:w="917" w:type="dxa"/>
            <w:vAlign w:val="bottom"/>
          </w:tcPr>
          <w:p w14:paraId="2CB9CBF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435C88">
              <w:rPr>
                <w:rFonts w:ascii="Calibri" w:eastAsia="Times New Roman" w:hAnsi="Calibri" w:cs="Times New Roman"/>
                <w:color w:val="000000"/>
                <w:sz w:val="16"/>
                <w:szCs w:val="16"/>
                <w:lang w:eastAsia="en-GB"/>
              </w:rPr>
              <w:t>3</w:t>
            </w:r>
          </w:p>
        </w:tc>
        <w:tc>
          <w:tcPr>
            <w:tcW w:w="1167" w:type="dxa"/>
            <w:shd w:val="clear" w:color="auto" w:fill="auto"/>
            <w:noWrap/>
            <w:vAlign w:val="bottom"/>
            <w:hideMark/>
          </w:tcPr>
          <w:p w14:paraId="6ED17520"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10</w:t>
            </w:r>
          </w:p>
        </w:tc>
        <w:tc>
          <w:tcPr>
            <w:tcW w:w="1167" w:type="dxa"/>
            <w:vAlign w:val="bottom"/>
          </w:tcPr>
          <w:p w14:paraId="74873CA4"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c>
          <w:tcPr>
            <w:tcW w:w="1167" w:type="dxa"/>
            <w:shd w:val="clear" w:color="auto" w:fill="auto"/>
            <w:noWrap/>
            <w:vAlign w:val="bottom"/>
            <w:hideMark/>
          </w:tcPr>
          <w:p w14:paraId="032E4EB3" w14:textId="77777777" w:rsidR="003D56DD" w:rsidRPr="00610066" w:rsidRDefault="003D56DD" w:rsidP="006F167D">
            <w:pPr>
              <w:spacing w:after="0" w:line="240" w:lineRule="auto"/>
              <w:jc w:val="right"/>
              <w:rPr>
                <w:rFonts w:ascii="Calibri" w:eastAsia="Times New Roman" w:hAnsi="Calibri" w:cs="Times New Roman"/>
                <w:color w:val="000000"/>
                <w:sz w:val="16"/>
                <w:szCs w:val="16"/>
                <w:lang w:eastAsia="en-GB"/>
              </w:rPr>
            </w:pPr>
            <w:r w:rsidRPr="00610066">
              <w:rPr>
                <w:rFonts w:ascii="Calibri" w:eastAsia="Times New Roman" w:hAnsi="Calibri" w:cs="Times New Roman"/>
                <w:color w:val="000000"/>
                <w:sz w:val="16"/>
                <w:szCs w:val="16"/>
                <w:lang w:eastAsia="en-GB"/>
              </w:rPr>
              <w:t>1</w:t>
            </w:r>
          </w:p>
        </w:tc>
      </w:tr>
      <w:tr w:rsidR="003D56DD" w:rsidRPr="00435C88" w14:paraId="0957E987" w14:textId="77777777" w:rsidTr="006F167D">
        <w:trPr>
          <w:trHeight w:val="261"/>
        </w:trPr>
        <w:tc>
          <w:tcPr>
            <w:tcW w:w="2316" w:type="dxa"/>
            <w:shd w:val="clear" w:color="auto" w:fill="E7E6E6" w:themeFill="background2"/>
            <w:noWrap/>
            <w:vAlign w:val="bottom"/>
            <w:hideMark/>
          </w:tcPr>
          <w:p w14:paraId="3978F9B5" w14:textId="77777777" w:rsidR="003D56DD" w:rsidRPr="00610066" w:rsidRDefault="003D56DD" w:rsidP="006F167D">
            <w:pPr>
              <w:spacing w:after="0" w:line="240" w:lineRule="auto"/>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Total</w:t>
            </w:r>
          </w:p>
        </w:tc>
        <w:tc>
          <w:tcPr>
            <w:tcW w:w="916" w:type="dxa"/>
            <w:shd w:val="clear" w:color="auto" w:fill="E7E6E6" w:themeFill="background2"/>
            <w:vAlign w:val="bottom"/>
          </w:tcPr>
          <w:p w14:paraId="71106D2B" w14:textId="77777777" w:rsidR="003D56DD" w:rsidRPr="00610066" w:rsidRDefault="003D56DD" w:rsidP="006F167D">
            <w:pPr>
              <w:spacing w:after="0" w:line="240" w:lineRule="auto"/>
              <w:jc w:val="right"/>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3</w:t>
            </w:r>
            <w:r>
              <w:rPr>
                <w:rFonts w:ascii="Calibri" w:eastAsia="Times New Roman" w:hAnsi="Calibri" w:cs="Times New Roman"/>
                <w:b/>
                <w:bCs/>
                <w:color w:val="000000"/>
                <w:sz w:val="16"/>
                <w:szCs w:val="16"/>
                <w:lang w:eastAsia="en-GB"/>
              </w:rPr>
              <w:t>5</w:t>
            </w:r>
          </w:p>
        </w:tc>
        <w:tc>
          <w:tcPr>
            <w:tcW w:w="1167" w:type="dxa"/>
            <w:shd w:val="clear" w:color="auto" w:fill="E7E6E6" w:themeFill="background2"/>
            <w:noWrap/>
            <w:vAlign w:val="bottom"/>
            <w:hideMark/>
          </w:tcPr>
          <w:p w14:paraId="1E38F15A" w14:textId="77777777" w:rsidR="003D56DD" w:rsidRPr="00610066" w:rsidRDefault="003D56DD" w:rsidP="006F167D">
            <w:pPr>
              <w:spacing w:after="0" w:line="240" w:lineRule="auto"/>
              <w:jc w:val="right"/>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72</w:t>
            </w:r>
          </w:p>
        </w:tc>
        <w:tc>
          <w:tcPr>
            <w:tcW w:w="917" w:type="dxa"/>
            <w:shd w:val="clear" w:color="auto" w:fill="E7E6E6" w:themeFill="background2"/>
            <w:vAlign w:val="bottom"/>
          </w:tcPr>
          <w:p w14:paraId="098FBE60" w14:textId="77777777" w:rsidR="003D56DD" w:rsidRPr="00610066" w:rsidRDefault="003D56DD" w:rsidP="006F167D">
            <w:pPr>
              <w:spacing w:after="0" w:line="240" w:lineRule="auto"/>
              <w:jc w:val="right"/>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21</w:t>
            </w:r>
          </w:p>
        </w:tc>
        <w:tc>
          <w:tcPr>
            <w:tcW w:w="1167" w:type="dxa"/>
            <w:shd w:val="clear" w:color="auto" w:fill="E7E6E6" w:themeFill="background2"/>
            <w:noWrap/>
            <w:vAlign w:val="bottom"/>
            <w:hideMark/>
          </w:tcPr>
          <w:p w14:paraId="6A871096" w14:textId="77777777" w:rsidR="003D56DD" w:rsidRPr="00610066" w:rsidRDefault="003D56DD" w:rsidP="006F167D">
            <w:pPr>
              <w:spacing w:after="0" w:line="240" w:lineRule="auto"/>
              <w:jc w:val="right"/>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42</w:t>
            </w:r>
          </w:p>
        </w:tc>
        <w:tc>
          <w:tcPr>
            <w:tcW w:w="1167" w:type="dxa"/>
            <w:shd w:val="clear" w:color="auto" w:fill="E7E6E6" w:themeFill="background2"/>
            <w:vAlign w:val="bottom"/>
          </w:tcPr>
          <w:p w14:paraId="5A942EAC" w14:textId="77777777" w:rsidR="003D56DD" w:rsidRPr="00610066" w:rsidRDefault="003D56DD" w:rsidP="006F167D">
            <w:pPr>
              <w:spacing w:after="0" w:line="240" w:lineRule="auto"/>
              <w:jc w:val="right"/>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2</w:t>
            </w:r>
          </w:p>
        </w:tc>
        <w:tc>
          <w:tcPr>
            <w:tcW w:w="1167" w:type="dxa"/>
            <w:shd w:val="clear" w:color="auto" w:fill="E7E6E6" w:themeFill="background2"/>
            <w:noWrap/>
            <w:vAlign w:val="bottom"/>
            <w:hideMark/>
          </w:tcPr>
          <w:p w14:paraId="01CF50B5" w14:textId="77777777" w:rsidR="003D56DD" w:rsidRPr="00610066" w:rsidRDefault="003D56DD" w:rsidP="006F167D">
            <w:pPr>
              <w:spacing w:after="0" w:line="240" w:lineRule="auto"/>
              <w:jc w:val="right"/>
              <w:rPr>
                <w:rFonts w:ascii="Calibri" w:eastAsia="Times New Roman" w:hAnsi="Calibri" w:cs="Times New Roman"/>
                <w:b/>
                <w:bCs/>
                <w:color w:val="000000"/>
                <w:sz w:val="16"/>
                <w:szCs w:val="16"/>
                <w:lang w:eastAsia="en-GB"/>
              </w:rPr>
            </w:pPr>
            <w:r w:rsidRPr="00610066">
              <w:rPr>
                <w:rFonts w:ascii="Calibri" w:eastAsia="Times New Roman" w:hAnsi="Calibri" w:cs="Times New Roman"/>
                <w:b/>
                <w:bCs/>
                <w:color w:val="000000"/>
                <w:sz w:val="16"/>
                <w:szCs w:val="16"/>
                <w:lang w:eastAsia="en-GB"/>
              </w:rPr>
              <w:t>5</w:t>
            </w:r>
          </w:p>
        </w:tc>
      </w:tr>
    </w:tbl>
    <w:p w14:paraId="0CA6953F" w14:textId="77777777" w:rsidR="003D56DD" w:rsidRDefault="003D56DD" w:rsidP="00470AF1">
      <w:pPr>
        <w:spacing w:line="240" w:lineRule="auto"/>
        <w:jc w:val="both"/>
        <w:rPr>
          <w:rFonts w:ascii="Arial" w:hAnsi="Arial" w:cs="Arial"/>
          <w:sz w:val="20"/>
          <w:szCs w:val="20"/>
        </w:rPr>
      </w:pPr>
      <w:r w:rsidRPr="00F91FFD">
        <w:rPr>
          <w:rFonts w:ascii="Arial" w:hAnsi="Arial" w:cs="Arial"/>
          <w:sz w:val="20"/>
          <w:szCs w:val="20"/>
        </w:rPr>
        <w:t>IDT = intradermal test; PT= patch test; SPT = skin prick test</w:t>
      </w:r>
      <w:r>
        <w:rPr>
          <w:rFonts w:ascii="Arial" w:hAnsi="Arial" w:cs="Arial"/>
          <w:sz w:val="20"/>
          <w:szCs w:val="20"/>
        </w:rPr>
        <w:t xml:space="preserve">; </w:t>
      </w:r>
      <w:r w:rsidRPr="003A5EAF">
        <w:rPr>
          <w:sz w:val="20"/>
          <w:szCs w:val="20"/>
          <w:vertAlign w:val="superscript"/>
        </w:rPr>
        <w:t>†</w:t>
      </w:r>
      <w:r>
        <w:rPr>
          <w:rFonts w:ascii="Arial" w:hAnsi="Arial" w:cs="Arial"/>
          <w:sz w:val="20"/>
          <w:szCs w:val="20"/>
        </w:rPr>
        <w:t>= drug tested to not specified in published data</w:t>
      </w:r>
      <w:r>
        <w:rPr>
          <w:rFonts w:ascii="Arial" w:hAnsi="Arial" w:cs="Arial"/>
          <w:sz w:val="20"/>
          <w:szCs w:val="20"/>
        </w:rPr>
        <w:br w:type="page"/>
      </w:r>
    </w:p>
    <w:p w14:paraId="6DB85B01" w14:textId="77777777" w:rsidR="003D56DD" w:rsidRPr="000917DA" w:rsidRDefault="003D56DD" w:rsidP="00A82433">
      <w:pPr>
        <w:spacing w:line="480" w:lineRule="auto"/>
        <w:jc w:val="both"/>
        <w:rPr>
          <w:rFonts w:ascii="Arial" w:hAnsi="Arial" w:cs="Arial"/>
          <w:sz w:val="20"/>
          <w:szCs w:val="20"/>
        </w:rPr>
      </w:pPr>
      <w:r w:rsidRPr="000917DA">
        <w:rPr>
          <w:rFonts w:ascii="Arial" w:hAnsi="Arial" w:cs="Arial"/>
          <w:b/>
          <w:sz w:val="20"/>
          <w:szCs w:val="20"/>
        </w:rPr>
        <w:lastRenderedPageBreak/>
        <w:t xml:space="preserve">Table </w:t>
      </w:r>
      <w:r>
        <w:rPr>
          <w:rFonts w:ascii="Arial" w:hAnsi="Arial" w:cs="Arial"/>
          <w:b/>
          <w:sz w:val="20"/>
          <w:szCs w:val="20"/>
        </w:rPr>
        <w:t>5</w:t>
      </w:r>
      <w:r w:rsidRPr="000917DA">
        <w:rPr>
          <w:rFonts w:ascii="Arial" w:hAnsi="Arial" w:cs="Arial"/>
          <w:b/>
          <w:sz w:val="20"/>
          <w:szCs w:val="20"/>
        </w:rPr>
        <w:t>.</w:t>
      </w:r>
      <w:r w:rsidRPr="000917DA">
        <w:rPr>
          <w:rFonts w:ascii="Arial" w:hAnsi="Arial" w:cs="Arial"/>
          <w:sz w:val="20"/>
          <w:szCs w:val="20"/>
        </w:rPr>
        <w:t xml:space="preserve"> Skin tests performed to each medication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149"/>
        <w:gridCol w:w="1316"/>
        <w:gridCol w:w="1189"/>
        <w:gridCol w:w="1559"/>
        <w:gridCol w:w="990"/>
        <w:gridCol w:w="1007"/>
      </w:tblGrid>
      <w:tr w:rsidR="003D56DD" w:rsidRPr="00F06839" w14:paraId="770042C7" w14:textId="77777777" w:rsidTr="006F167D">
        <w:trPr>
          <w:trHeight w:val="278"/>
        </w:trPr>
        <w:tc>
          <w:tcPr>
            <w:tcW w:w="1999" w:type="dxa"/>
            <w:shd w:val="clear" w:color="auto" w:fill="auto"/>
            <w:noWrap/>
            <w:vAlign w:val="bottom"/>
            <w:hideMark/>
          </w:tcPr>
          <w:p w14:paraId="54883119" w14:textId="77777777" w:rsidR="003D56DD" w:rsidRPr="00D7552A" w:rsidRDefault="003D56DD" w:rsidP="006F167D">
            <w:pPr>
              <w:spacing w:after="0" w:line="240" w:lineRule="auto"/>
              <w:rPr>
                <w:rFonts w:ascii="Calibri" w:eastAsia="Times New Roman" w:hAnsi="Calibri" w:cs="Times New Roman"/>
                <w:b/>
                <w:color w:val="000000"/>
                <w:sz w:val="16"/>
                <w:szCs w:val="16"/>
                <w:lang w:eastAsia="en-GB"/>
              </w:rPr>
            </w:pPr>
            <w:r w:rsidRPr="003C0355">
              <w:rPr>
                <w:rFonts w:ascii="Calibri" w:eastAsia="Times New Roman" w:hAnsi="Calibri" w:cs="Times New Roman"/>
                <w:color w:val="000000"/>
                <w:sz w:val="16"/>
                <w:szCs w:val="16"/>
                <w:lang w:eastAsia="en-GB"/>
              </w:rPr>
              <w:t> </w:t>
            </w:r>
            <w:r w:rsidRPr="00D7552A">
              <w:rPr>
                <w:rFonts w:ascii="Calibri" w:eastAsia="Times New Roman" w:hAnsi="Calibri" w:cs="Times New Roman"/>
                <w:b/>
                <w:color w:val="000000"/>
                <w:sz w:val="16"/>
                <w:szCs w:val="16"/>
                <w:lang w:eastAsia="en-GB"/>
              </w:rPr>
              <w:t>Tested drug</w:t>
            </w:r>
          </w:p>
        </w:tc>
        <w:tc>
          <w:tcPr>
            <w:tcW w:w="1149" w:type="dxa"/>
            <w:shd w:val="clear" w:color="auto" w:fill="auto"/>
            <w:noWrap/>
            <w:vAlign w:val="center"/>
            <w:hideMark/>
          </w:tcPr>
          <w:p w14:paraId="07D06912" w14:textId="77777777" w:rsidR="003D56DD" w:rsidRPr="003C0355" w:rsidRDefault="003D56DD" w:rsidP="006F167D">
            <w:pPr>
              <w:spacing w:after="0" w:line="240" w:lineRule="auto"/>
              <w:jc w:val="center"/>
              <w:rPr>
                <w:rFonts w:ascii="Calibri" w:eastAsia="Times New Roman" w:hAnsi="Calibri" w:cs="Times New Roman"/>
                <w:b/>
                <w:bCs/>
                <w:color w:val="000000"/>
                <w:sz w:val="16"/>
                <w:szCs w:val="16"/>
                <w:lang w:eastAsia="en-GB"/>
              </w:rPr>
            </w:pPr>
            <w:r w:rsidRPr="003C0355">
              <w:rPr>
                <w:rFonts w:ascii="Calibri" w:eastAsia="Times New Roman" w:hAnsi="Calibri" w:cs="Times New Roman"/>
                <w:b/>
                <w:bCs/>
                <w:color w:val="000000"/>
                <w:sz w:val="16"/>
                <w:szCs w:val="16"/>
                <w:lang w:eastAsia="en-GB"/>
              </w:rPr>
              <w:t>PT positive</w:t>
            </w:r>
          </w:p>
        </w:tc>
        <w:tc>
          <w:tcPr>
            <w:tcW w:w="1316" w:type="dxa"/>
            <w:shd w:val="clear" w:color="auto" w:fill="auto"/>
            <w:noWrap/>
            <w:vAlign w:val="center"/>
            <w:hideMark/>
          </w:tcPr>
          <w:p w14:paraId="615B9AF9" w14:textId="77777777" w:rsidR="003D56DD" w:rsidRPr="003C0355" w:rsidRDefault="003D56DD" w:rsidP="006F167D">
            <w:pPr>
              <w:spacing w:after="0" w:line="240" w:lineRule="auto"/>
              <w:jc w:val="center"/>
              <w:rPr>
                <w:rFonts w:ascii="Calibri" w:eastAsia="Times New Roman" w:hAnsi="Calibri" w:cs="Times New Roman"/>
                <w:b/>
                <w:bCs/>
                <w:color w:val="000000"/>
                <w:sz w:val="16"/>
                <w:szCs w:val="16"/>
                <w:lang w:eastAsia="en-GB"/>
              </w:rPr>
            </w:pPr>
            <w:r w:rsidRPr="003C0355">
              <w:rPr>
                <w:rFonts w:ascii="Calibri" w:eastAsia="Times New Roman" w:hAnsi="Calibri" w:cs="Times New Roman"/>
                <w:b/>
                <w:bCs/>
                <w:color w:val="000000"/>
                <w:sz w:val="16"/>
                <w:szCs w:val="16"/>
                <w:lang w:eastAsia="en-GB"/>
              </w:rPr>
              <w:t>PT performed</w:t>
            </w:r>
          </w:p>
        </w:tc>
        <w:tc>
          <w:tcPr>
            <w:tcW w:w="1189" w:type="dxa"/>
            <w:shd w:val="clear" w:color="auto" w:fill="auto"/>
            <w:noWrap/>
            <w:vAlign w:val="center"/>
            <w:hideMark/>
          </w:tcPr>
          <w:p w14:paraId="12552E95" w14:textId="77777777" w:rsidR="003D56DD" w:rsidRPr="003C0355" w:rsidRDefault="003D56DD" w:rsidP="006F167D">
            <w:pPr>
              <w:spacing w:after="0" w:line="240" w:lineRule="auto"/>
              <w:jc w:val="center"/>
              <w:rPr>
                <w:rFonts w:ascii="Calibri" w:eastAsia="Times New Roman" w:hAnsi="Calibri" w:cs="Times New Roman"/>
                <w:b/>
                <w:bCs/>
                <w:color w:val="000000"/>
                <w:sz w:val="16"/>
                <w:szCs w:val="16"/>
                <w:lang w:eastAsia="en-GB"/>
              </w:rPr>
            </w:pPr>
            <w:r w:rsidRPr="003C0355">
              <w:rPr>
                <w:rFonts w:ascii="Calibri" w:eastAsia="Times New Roman" w:hAnsi="Calibri" w:cs="Times New Roman"/>
                <w:b/>
                <w:bCs/>
                <w:color w:val="000000"/>
                <w:sz w:val="16"/>
                <w:szCs w:val="16"/>
                <w:lang w:eastAsia="en-GB"/>
              </w:rPr>
              <w:t>IDT positive</w:t>
            </w:r>
          </w:p>
        </w:tc>
        <w:tc>
          <w:tcPr>
            <w:tcW w:w="1559" w:type="dxa"/>
            <w:shd w:val="clear" w:color="auto" w:fill="auto"/>
            <w:noWrap/>
            <w:vAlign w:val="center"/>
            <w:hideMark/>
          </w:tcPr>
          <w:p w14:paraId="68E8C1B9" w14:textId="77777777" w:rsidR="003D56DD" w:rsidRPr="003C0355" w:rsidRDefault="003D56DD" w:rsidP="006F167D">
            <w:pPr>
              <w:spacing w:after="0" w:line="240" w:lineRule="auto"/>
              <w:jc w:val="center"/>
              <w:rPr>
                <w:rFonts w:ascii="Calibri" w:eastAsia="Times New Roman" w:hAnsi="Calibri" w:cs="Times New Roman"/>
                <w:b/>
                <w:bCs/>
                <w:color w:val="000000"/>
                <w:sz w:val="16"/>
                <w:szCs w:val="16"/>
                <w:lang w:eastAsia="en-GB"/>
              </w:rPr>
            </w:pPr>
            <w:r w:rsidRPr="003C0355">
              <w:rPr>
                <w:rFonts w:ascii="Calibri" w:eastAsia="Times New Roman" w:hAnsi="Calibri" w:cs="Times New Roman"/>
                <w:b/>
                <w:bCs/>
                <w:color w:val="000000"/>
                <w:sz w:val="16"/>
                <w:szCs w:val="16"/>
                <w:lang w:eastAsia="en-GB"/>
              </w:rPr>
              <w:t>IDT performed</w:t>
            </w:r>
          </w:p>
        </w:tc>
        <w:tc>
          <w:tcPr>
            <w:tcW w:w="990" w:type="dxa"/>
            <w:shd w:val="clear" w:color="auto" w:fill="auto"/>
            <w:noWrap/>
            <w:vAlign w:val="center"/>
            <w:hideMark/>
          </w:tcPr>
          <w:p w14:paraId="445CCDDE" w14:textId="77777777" w:rsidR="003D56DD" w:rsidRPr="003C0355" w:rsidRDefault="003D56DD" w:rsidP="006F167D">
            <w:pPr>
              <w:spacing w:after="0" w:line="240" w:lineRule="auto"/>
              <w:jc w:val="center"/>
              <w:rPr>
                <w:rFonts w:ascii="Calibri" w:eastAsia="Times New Roman" w:hAnsi="Calibri" w:cs="Times New Roman"/>
                <w:b/>
                <w:bCs/>
                <w:color w:val="000000"/>
                <w:sz w:val="16"/>
                <w:szCs w:val="16"/>
                <w:lang w:eastAsia="en-GB"/>
              </w:rPr>
            </w:pPr>
            <w:r w:rsidRPr="003C0355">
              <w:rPr>
                <w:rFonts w:ascii="Calibri" w:eastAsia="Times New Roman" w:hAnsi="Calibri" w:cs="Times New Roman"/>
                <w:b/>
                <w:bCs/>
                <w:color w:val="000000"/>
                <w:sz w:val="16"/>
                <w:szCs w:val="16"/>
                <w:lang w:eastAsia="en-GB"/>
              </w:rPr>
              <w:t>SPT positive</w:t>
            </w:r>
          </w:p>
        </w:tc>
        <w:tc>
          <w:tcPr>
            <w:tcW w:w="1007" w:type="dxa"/>
            <w:shd w:val="clear" w:color="auto" w:fill="auto"/>
            <w:noWrap/>
            <w:vAlign w:val="center"/>
            <w:hideMark/>
          </w:tcPr>
          <w:p w14:paraId="37529A8F" w14:textId="77777777" w:rsidR="003D56DD" w:rsidRPr="003C0355" w:rsidRDefault="003D56DD" w:rsidP="006F167D">
            <w:pPr>
              <w:spacing w:after="0" w:line="240" w:lineRule="auto"/>
              <w:jc w:val="center"/>
              <w:rPr>
                <w:rFonts w:ascii="Calibri" w:eastAsia="Times New Roman" w:hAnsi="Calibri" w:cs="Times New Roman"/>
                <w:b/>
                <w:bCs/>
                <w:color w:val="000000"/>
                <w:sz w:val="16"/>
                <w:szCs w:val="16"/>
                <w:lang w:eastAsia="en-GB"/>
              </w:rPr>
            </w:pPr>
            <w:r w:rsidRPr="003C0355">
              <w:rPr>
                <w:rFonts w:ascii="Calibri" w:eastAsia="Times New Roman" w:hAnsi="Calibri" w:cs="Times New Roman"/>
                <w:b/>
                <w:bCs/>
                <w:color w:val="000000"/>
                <w:sz w:val="16"/>
                <w:szCs w:val="16"/>
                <w:lang w:eastAsia="en-GB"/>
              </w:rPr>
              <w:t>SPT performed</w:t>
            </w:r>
          </w:p>
        </w:tc>
      </w:tr>
      <w:tr w:rsidR="003D56DD" w:rsidRPr="00F06839" w14:paraId="3063B182" w14:textId="77777777" w:rsidTr="006F167D">
        <w:trPr>
          <w:trHeight w:val="278"/>
        </w:trPr>
        <w:tc>
          <w:tcPr>
            <w:tcW w:w="9209" w:type="dxa"/>
            <w:gridSpan w:val="7"/>
            <w:shd w:val="clear" w:color="auto" w:fill="auto"/>
            <w:noWrap/>
            <w:vAlign w:val="center"/>
            <w:hideMark/>
          </w:tcPr>
          <w:p w14:paraId="600EBC89"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 xml:space="preserve">Antibiotics </w:t>
            </w:r>
          </w:p>
        </w:tc>
      </w:tr>
      <w:tr w:rsidR="003D56DD" w:rsidRPr="00F06839" w14:paraId="71B783ED" w14:textId="77777777" w:rsidTr="006F167D">
        <w:trPr>
          <w:trHeight w:val="265"/>
        </w:trPr>
        <w:tc>
          <w:tcPr>
            <w:tcW w:w="1999" w:type="dxa"/>
            <w:shd w:val="clear" w:color="auto" w:fill="auto"/>
            <w:noWrap/>
            <w:vAlign w:val="center"/>
            <w:hideMark/>
          </w:tcPr>
          <w:p w14:paraId="7B9D849E"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Amoxicillin</w:t>
            </w:r>
          </w:p>
        </w:tc>
        <w:tc>
          <w:tcPr>
            <w:tcW w:w="1149" w:type="dxa"/>
            <w:shd w:val="clear" w:color="auto" w:fill="auto"/>
            <w:noWrap/>
            <w:vAlign w:val="center"/>
            <w:hideMark/>
          </w:tcPr>
          <w:p w14:paraId="64F58AA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19</w:t>
            </w:r>
          </w:p>
        </w:tc>
        <w:tc>
          <w:tcPr>
            <w:tcW w:w="1316" w:type="dxa"/>
            <w:shd w:val="clear" w:color="auto" w:fill="auto"/>
            <w:noWrap/>
            <w:vAlign w:val="center"/>
            <w:hideMark/>
          </w:tcPr>
          <w:p w14:paraId="3AD5CA4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29</w:t>
            </w:r>
          </w:p>
        </w:tc>
        <w:tc>
          <w:tcPr>
            <w:tcW w:w="1189" w:type="dxa"/>
            <w:shd w:val="clear" w:color="auto" w:fill="auto"/>
            <w:noWrap/>
            <w:vAlign w:val="center"/>
            <w:hideMark/>
          </w:tcPr>
          <w:p w14:paraId="36BD6E1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559" w:type="dxa"/>
            <w:shd w:val="clear" w:color="auto" w:fill="auto"/>
            <w:noWrap/>
            <w:vAlign w:val="center"/>
            <w:hideMark/>
          </w:tcPr>
          <w:p w14:paraId="1C363F7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990" w:type="dxa"/>
            <w:shd w:val="clear" w:color="auto" w:fill="auto"/>
            <w:noWrap/>
            <w:vAlign w:val="center"/>
            <w:hideMark/>
          </w:tcPr>
          <w:p w14:paraId="682D14B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2480869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17BAF4D" w14:textId="77777777" w:rsidTr="006F167D">
        <w:trPr>
          <w:trHeight w:val="265"/>
        </w:trPr>
        <w:tc>
          <w:tcPr>
            <w:tcW w:w="1999" w:type="dxa"/>
            <w:shd w:val="clear" w:color="auto" w:fill="auto"/>
            <w:noWrap/>
            <w:vAlign w:val="center"/>
            <w:hideMark/>
          </w:tcPr>
          <w:p w14:paraId="284D02BA"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Amoxicillin clavulanate</w:t>
            </w:r>
          </w:p>
        </w:tc>
        <w:tc>
          <w:tcPr>
            <w:tcW w:w="1149" w:type="dxa"/>
            <w:shd w:val="clear" w:color="auto" w:fill="auto"/>
            <w:noWrap/>
            <w:vAlign w:val="center"/>
            <w:hideMark/>
          </w:tcPr>
          <w:p w14:paraId="2D6E552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7CC5091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2DF9937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5A9BF2C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2BBEC53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50A0BCE6"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B6D82A1" w14:textId="77777777" w:rsidTr="006F167D">
        <w:trPr>
          <w:trHeight w:val="265"/>
        </w:trPr>
        <w:tc>
          <w:tcPr>
            <w:tcW w:w="1999" w:type="dxa"/>
            <w:shd w:val="clear" w:color="auto" w:fill="auto"/>
            <w:noWrap/>
            <w:vAlign w:val="center"/>
            <w:hideMark/>
          </w:tcPr>
          <w:p w14:paraId="4100FE74"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Ampicillin</w:t>
            </w:r>
          </w:p>
        </w:tc>
        <w:tc>
          <w:tcPr>
            <w:tcW w:w="1149" w:type="dxa"/>
            <w:shd w:val="clear" w:color="auto" w:fill="auto"/>
            <w:vAlign w:val="center"/>
          </w:tcPr>
          <w:p w14:paraId="5E2E8E0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316" w:type="dxa"/>
            <w:shd w:val="clear" w:color="auto" w:fill="auto"/>
            <w:noWrap/>
            <w:vAlign w:val="center"/>
            <w:hideMark/>
          </w:tcPr>
          <w:p w14:paraId="3B0C1709"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59DC825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7B814E2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990" w:type="dxa"/>
            <w:shd w:val="clear" w:color="auto" w:fill="auto"/>
            <w:noWrap/>
            <w:vAlign w:val="center"/>
            <w:hideMark/>
          </w:tcPr>
          <w:p w14:paraId="2A9FDC0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51C8B25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0C536321" w14:textId="77777777" w:rsidTr="006F167D">
        <w:trPr>
          <w:trHeight w:val="265"/>
        </w:trPr>
        <w:tc>
          <w:tcPr>
            <w:tcW w:w="1999" w:type="dxa"/>
            <w:shd w:val="clear" w:color="auto" w:fill="auto"/>
            <w:noWrap/>
            <w:vAlign w:val="center"/>
            <w:hideMark/>
          </w:tcPr>
          <w:p w14:paraId="53390C9D"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Beta lactam**</w:t>
            </w:r>
          </w:p>
        </w:tc>
        <w:tc>
          <w:tcPr>
            <w:tcW w:w="1149" w:type="dxa"/>
            <w:shd w:val="clear" w:color="auto" w:fill="auto"/>
            <w:vAlign w:val="center"/>
          </w:tcPr>
          <w:p w14:paraId="4EA5D0B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316" w:type="dxa"/>
            <w:shd w:val="clear" w:color="auto" w:fill="auto"/>
            <w:noWrap/>
            <w:vAlign w:val="center"/>
            <w:hideMark/>
          </w:tcPr>
          <w:p w14:paraId="4A456CC6"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646AD5C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7197F1B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6D20925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159B929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7C3D85D8" w14:textId="77777777" w:rsidTr="006F167D">
        <w:trPr>
          <w:trHeight w:val="265"/>
        </w:trPr>
        <w:tc>
          <w:tcPr>
            <w:tcW w:w="1999" w:type="dxa"/>
            <w:shd w:val="clear" w:color="auto" w:fill="auto"/>
            <w:noWrap/>
            <w:vAlign w:val="center"/>
            <w:hideMark/>
          </w:tcPr>
          <w:p w14:paraId="760EAC4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Cefazolin</w:t>
            </w:r>
          </w:p>
        </w:tc>
        <w:tc>
          <w:tcPr>
            <w:tcW w:w="1149" w:type="dxa"/>
            <w:shd w:val="clear" w:color="auto" w:fill="auto"/>
            <w:vAlign w:val="center"/>
          </w:tcPr>
          <w:p w14:paraId="2BF3D79E"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316" w:type="dxa"/>
            <w:shd w:val="clear" w:color="auto" w:fill="auto"/>
            <w:noWrap/>
            <w:vAlign w:val="center"/>
            <w:hideMark/>
          </w:tcPr>
          <w:p w14:paraId="44A38850"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50B13C9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3A6DD99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990" w:type="dxa"/>
            <w:shd w:val="clear" w:color="auto" w:fill="auto"/>
            <w:noWrap/>
            <w:vAlign w:val="center"/>
            <w:hideMark/>
          </w:tcPr>
          <w:p w14:paraId="2341A8A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28EF37D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EED6371" w14:textId="77777777" w:rsidTr="006F167D">
        <w:trPr>
          <w:trHeight w:val="265"/>
        </w:trPr>
        <w:tc>
          <w:tcPr>
            <w:tcW w:w="1999" w:type="dxa"/>
            <w:shd w:val="clear" w:color="auto" w:fill="auto"/>
            <w:noWrap/>
            <w:vAlign w:val="center"/>
            <w:hideMark/>
          </w:tcPr>
          <w:p w14:paraId="5F44BAC2"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Cefazoline</w:t>
            </w:r>
          </w:p>
        </w:tc>
        <w:tc>
          <w:tcPr>
            <w:tcW w:w="1149" w:type="dxa"/>
            <w:shd w:val="clear" w:color="auto" w:fill="auto"/>
            <w:noWrap/>
            <w:vAlign w:val="center"/>
            <w:hideMark/>
          </w:tcPr>
          <w:p w14:paraId="6ABD981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06808E9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0CEBD1D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4DDEC0E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759C6CC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0D0549D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6851F054" w14:textId="77777777" w:rsidTr="006F167D">
        <w:trPr>
          <w:trHeight w:val="265"/>
        </w:trPr>
        <w:tc>
          <w:tcPr>
            <w:tcW w:w="1999" w:type="dxa"/>
            <w:shd w:val="clear" w:color="auto" w:fill="auto"/>
            <w:noWrap/>
            <w:vAlign w:val="center"/>
            <w:hideMark/>
          </w:tcPr>
          <w:p w14:paraId="140CA65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Cefixim</w:t>
            </w:r>
            <w:proofErr w:type="spellEnd"/>
          </w:p>
        </w:tc>
        <w:tc>
          <w:tcPr>
            <w:tcW w:w="1149" w:type="dxa"/>
            <w:shd w:val="clear" w:color="auto" w:fill="auto"/>
            <w:noWrap/>
            <w:vAlign w:val="center"/>
            <w:hideMark/>
          </w:tcPr>
          <w:p w14:paraId="44562B9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38D37E2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249C45E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1A32D30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2AD5EBF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6BCB10D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0C11D378" w14:textId="77777777" w:rsidTr="006F167D">
        <w:trPr>
          <w:trHeight w:val="265"/>
        </w:trPr>
        <w:tc>
          <w:tcPr>
            <w:tcW w:w="1999" w:type="dxa"/>
            <w:shd w:val="clear" w:color="auto" w:fill="auto"/>
            <w:noWrap/>
            <w:vAlign w:val="center"/>
            <w:hideMark/>
          </w:tcPr>
          <w:p w14:paraId="2A7DB9D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Cefotaxime</w:t>
            </w:r>
          </w:p>
        </w:tc>
        <w:tc>
          <w:tcPr>
            <w:tcW w:w="1149" w:type="dxa"/>
            <w:shd w:val="clear" w:color="auto" w:fill="auto"/>
            <w:noWrap/>
            <w:vAlign w:val="center"/>
            <w:hideMark/>
          </w:tcPr>
          <w:p w14:paraId="344EE8C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5244462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2043FA5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6AE6DF72"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36171971"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2F37D5C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7F36C9A8" w14:textId="77777777" w:rsidTr="006F167D">
        <w:trPr>
          <w:trHeight w:val="265"/>
        </w:trPr>
        <w:tc>
          <w:tcPr>
            <w:tcW w:w="1999" w:type="dxa"/>
            <w:shd w:val="clear" w:color="auto" w:fill="auto"/>
            <w:noWrap/>
            <w:vAlign w:val="center"/>
            <w:hideMark/>
          </w:tcPr>
          <w:p w14:paraId="22EA6CB3"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Cefoxitin</w:t>
            </w:r>
          </w:p>
        </w:tc>
        <w:tc>
          <w:tcPr>
            <w:tcW w:w="1149" w:type="dxa"/>
            <w:shd w:val="clear" w:color="auto" w:fill="auto"/>
            <w:noWrap/>
            <w:vAlign w:val="center"/>
            <w:hideMark/>
          </w:tcPr>
          <w:p w14:paraId="1658DB2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69DC55F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189" w:type="dxa"/>
            <w:shd w:val="clear" w:color="auto" w:fill="auto"/>
            <w:noWrap/>
            <w:vAlign w:val="center"/>
            <w:hideMark/>
          </w:tcPr>
          <w:p w14:paraId="44DB973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743E2D5"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4261C96A"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3C78BEA6"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9A7AE99" w14:textId="77777777" w:rsidTr="006F167D">
        <w:trPr>
          <w:trHeight w:val="265"/>
        </w:trPr>
        <w:tc>
          <w:tcPr>
            <w:tcW w:w="1999" w:type="dxa"/>
            <w:shd w:val="clear" w:color="auto" w:fill="auto"/>
            <w:noWrap/>
            <w:vAlign w:val="center"/>
            <w:hideMark/>
          </w:tcPr>
          <w:p w14:paraId="73E32CB0"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Ceftazidime</w:t>
            </w:r>
          </w:p>
        </w:tc>
        <w:tc>
          <w:tcPr>
            <w:tcW w:w="1149" w:type="dxa"/>
            <w:shd w:val="clear" w:color="auto" w:fill="auto"/>
            <w:noWrap/>
            <w:vAlign w:val="center"/>
            <w:hideMark/>
          </w:tcPr>
          <w:p w14:paraId="6D36431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55B98E0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4A8A319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29DCE5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6B01C0EF"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3D538F2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01247116" w14:textId="77777777" w:rsidTr="006F167D">
        <w:trPr>
          <w:trHeight w:val="265"/>
        </w:trPr>
        <w:tc>
          <w:tcPr>
            <w:tcW w:w="1999" w:type="dxa"/>
            <w:shd w:val="clear" w:color="auto" w:fill="auto"/>
            <w:noWrap/>
            <w:vAlign w:val="center"/>
            <w:hideMark/>
          </w:tcPr>
          <w:p w14:paraId="40E1FED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Ceftriaxon</w:t>
            </w:r>
            <w:r>
              <w:rPr>
                <w:rFonts w:ascii="Calibri" w:eastAsia="Times New Roman" w:hAnsi="Calibri" w:cs="Times New Roman"/>
                <w:color w:val="000000"/>
                <w:sz w:val="16"/>
                <w:szCs w:val="16"/>
                <w:lang w:eastAsia="en-GB"/>
              </w:rPr>
              <w:t>e</w:t>
            </w:r>
          </w:p>
        </w:tc>
        <w:tc>
          <w:tcPr>
            <w:tcW w:w="1149" w:type="dxa"/>
            <w:shd w:val="clear" w:color="auto" w:fill="auto"/>
            <w:noWrap/>
            <w:vAlign w:val="center"/>
            <w:hideMark/>
          </w:tcPr>
          <w:p w14:paraId="38FA877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w:t>
            </w:r>
          </w:p>
        </w:tc>
        <w:tc>
          <w:tcPr>
            <w:tcW w:w="1316" w:type="dxa"/>
            <w:shd w:val="clear" w:color="auto" w:fill="auto"/>
            <w:noWrap/>
            <w:vAlign w:val="center"/>
            <w:hideMark/>
          </w:tcPr>
          <w:p w14:paraId="7E2B1E9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5741829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073AA3F6"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1</w:t>
            </w:r>
          </w:p>
        </w:tc>
        <w:tc>
          <w:tcPr>
            <w:tcW w:w="990" w:type="dxa"/>
            <w:shd w:val="clear" w:color="auto" w:fill="auto"/>
            <w:noWrap/>
            <w:vAlign w:val="center"/>
            <w:hideMark/>
          </w:tcPr>
          <w:p w14:paraId="6FB0B91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69B9349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547C0BE2" w14:textId="77777777" w:rsidTr="006F167D">
        <w:trPr>
          <w:trHeight w:val="265"/>
        </w:trPr>
        <w:tc>
          <w:tcPr>
            <w:tcW w:w="1999" w:type="dxa"/>
            <w:shd w:val="clear" w:color="auto" w:fill="auto"/>
            <w:noWrap/>
            <w:vAlign w:val="center"/>
            <w:hideMark/>
          </w:tcPr>
          <w:p w14:paraId="6E130ABE"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Cefuroxime</w:t>
            </w:r>
          </w:p>
        </w:tc>
        <w:tc>
          <w:tcPr>
            <w:tcW w:w="1149" w:type="dxa"/>
            <w:shd w:val="clear" w:color="auto" w:fill="auto"/>
            <w:noWrap/>
            <w:vAlign w:val="center"/>
            <w:hideMark/>
          </w:tcPr>
          <w:p w14:paraId="6B900C3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1032773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7B14914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5F17681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bottom"/>
            <w:hideMark/>
          </w:tcPr>
          <w:p w14:paraId="2001969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bottom"/>
            <w:hideMark/>
          </w:tcPr>
          <w:p w14:paraId="77FA32CE"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7B00AD07" w14:textId="77777777" w:rsidTr="006F167D">
        <w:trPr>
          <w:trHeight w:val="265"/>
        </w:trPr>
        <w:tc>
          <w:tcPr>
            <w:tcW w:w="1999" w:type="dxa"/>
            <w:shd w:val="clear" w:color="auto" w:fill="auto"/>
            <w:noWrap/>
            <w:vAlign w:val="center"/>
            <w:hideMark/>
          </w:tcPr>
          <w:p w14:paraId="35E0D177"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Ciprofloxacin</w:t>
            </w:r>
          </w:p>
        </w:tc>
        <w:tc>
          <w:tcPr>
            <w:tcW w:w="1149" w:type="dxa"/>
            <w:shd w:val="clear" w:color="auto" w:fill="auto"/>
            <w:noWrap/>
            <w:vAlign w:val="center"/>
            <w:hideMark/>
          </w:tcPr>
          <w:p w14:paraId="0CD09F7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316" w:type="dxa"/>
            <w:shd w:val="clear" w:color="auto" w:fill="auto"/>
            <w:noWrap/>
            <w:vAlign w:val="center"/>
            <w:hideMark/>
          </w:tcPr>
          <w:p w14:paraId="3A818A6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6</w:t>
            </w:r>
          </w:p>
        </w:tc>
        <w:tc>
          <w:tcPr>
            <w:tcW w:w="1189" w:type="dxa"/>
            <w:shd w:val="clear" w:color="auto" w:fill="auto"/>
            <w:noWrap/>
            <w:vAlign w:val="center"/>
            <w:hideMark/>
          </w:tcPr>
          <w:p w14:paraId="16A6FE1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1F6E711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6AF4D2FF"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4D4F6C75"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20EA0A74" w14:textId="77777777" w:rsidTr="006F167D">
        <w:trPr>
          <w:trHeight w:val="265"/>
        </w:trPr>
        <w:tc>
          <w:tcPr>
            <w:tcW w:w="1999" w:type="dxa"/>
            <w:shd w:val="clear" w:color="auto" w:fill="auto"/>
            <w:noWrap/>
            <w:vAlign w:val="center"/>
            <w:hideMark/>
          </w:tcPr>
          <w:p w14:paraId="63FACE4A"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Cotrimoxazole</w:t>
            </w:r>
          </w:p>
        </w:tc>
        <w:tc>
          <w:tcPr>
            <w:tcW w:w="1149" w:type="dxa"/>
            <w:shd w:val="clear" w:color="auto" w:fill="auto"/>
            <w:noWrap/>
            <w:vAlign w:val="center"/>
            <w:hideMark/>
          </w:tcPr>
          <w:p w14:paraId="27C8EAB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61E03AC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4</w:t>
            </w:r>
          </w:p>
        </w:tc>
        <w:tc>
          <w:tcPr>
            <w:tcW w:w="1189" w:type="dxa"/>
            <w:shd w:val="clear" w:color="auto" w:fill="auto"/>
            <w:noWrap/>
            <w:vAlign w:val="center"/>
            <w:hideMark/>
          </w:tcPr>
          <w:p w14:paraId="723CB4A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1DEB068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990" w:type="dxa"/>
            <w:shd w:val="clear" w:color="auto" w:fill="auto"/>
            <w:noWrap/>
            <w:vAlign w:val="center"/>
            <w:hideMark/>
          </w:tcPr>
          <w:p w14:paraId="5C66CBD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6EA73D5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516AF3FA" w14:textId="77777777" w:rsidTr="006F167D">
        <w:trPr>
          <w:trHeight w:val="265"/>
        </w:trPr>
        <w:tc>
          <w:tcPr>
            <w:tcW w:w="1999" w:type="dxa"/>
            <w:shd w:val="clear" w:color="auto" w:fill="auto"/>
            <w:noWrap/>
            <w:vAlign w:val="center"/>
            <w:hideMark/>
          </w:tcPr>
          <w:p w14:paraId="4D9FCCBF"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Daptomycin</w:t>
            </w:r>
          </w:p>
        </w:tc>
        <w:tc>
          <w:tcPr>
            <w:tcW w:w="1149" w:type="dxa"/>
            <w:shd w:val="clear" w:color="auto" w:fill="auto"/>
            <w:noWrap/>
            <w:vAlign w:val="center"/>
            <w:hideMark/>
          </w:tcPr>
          <w:p w14:paraId="067E959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413E031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03099AD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228706C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311AADE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678E193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2F2E1746" w14:textId="77777777" w:rsidTr="006F167D">
        <w:trPr>
          <w:trHeight w:val="265"/>
        </w:trPr>
        <w:tc>
          <w:tcPr>
            <w:tcW w:w="1999" w:type="dxa"/>
            <w:shd w:val="clear" w:color="auto" w:fill="auto"/>
            <w:noWrap/>
            <w:vAlign w:val="center"/>
            <w:hideMark/>
          </w:tcPr>
          <w:p w14:paraId="0F1EAE37"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Doxycycline</w:t>
            </w:r>
          </w:p>
        </w:tc>
        <w:tc>
          <w:tcPr>
            <w:tcW w:w="1149" w:type="dxa"/>
            <w:shd w:val="clear" w:color="auto" w:fill="auto"/>
            <w:noWrap/>
            <w:vAlign w:val="center"/>
            <w:hideMark/>
          </w:tcPr>
          <w:p w14:paraId="270E392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67B2E6A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554786E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41058B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7229234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2F3C163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26ACFED6" w14:textId="77777777" w:rsidTr="006F167D">
        <w:trPr>
          <w:trHeight w:val="265"/>
        </w:trPr>
        <w:tc>
          <w:tcPr>
            <w:tcW w:w="1999" w:type="dxa"/>
            <w:shd w:val="clear" w:color="auto" w:fill="auto"/>
            <w:noWrap/>
            <w:vAlign w:val="center"/>
            <w:hideMark/>
          </w:tcPr>
          <w:p w14:paraId="163FAE9A"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Ethambutol</w:t>
            </w:r>
          </w:p>
        </w:tc>
        <w:tc>
          <w:tcPr>
            <w:tcW w:w="1149" w:type="dxa"/>
            <w:shd w:val="clear" w:color="auto" w:fill="auto"/>
            <w:noWrap/>
            <w:vAlign w:val="center"/>
            <w:hideMark/>
          </w:tcPr>
          <w:p w14:paraId="2419F91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1375316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11F5450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096562F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1191DC7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23C3B96B"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7CB43901" w14:textId="77777777" w:rsidTr="006F167D">
        <w:trPr>
          <w:trHeight w:val="265"/>
        </w:trPr>
        <w:tc>
          <w:tcPr>
            <w:tcW w:w="1999" w:type="dxa"/>
            <w:shd w:val="clear" w:color="auto" w:fill="auto"/>
            <w:noWrap/>
            <w:vAlign w:val="center"/>
            <w:hideMark/>
          </w:tcPr>
          <w:p w14:paraId="55B91DB9"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Gentamycin</w:t>
            </w:r>
          </w:p>
        </w:tc>
        <w:tc>
          <w:tcPr>
            <w:tcW w:w="1149" w:type="dxa"/>
            <w:shd w:val="clear" w:color="auto" w:fill="auto"/>
            <w:noWrap/>
            <w:vAlign w:val="center"/>
            <w:hideMark/>
          </w:tcPr>
          <w:p w14:paraId="39B6351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1E1EDED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215795C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819CB8F"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0A305B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192006D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6E4053C7" w14:textId="77777777" w:rsidTr="006F167D">
        <w:trPr>
          <w:trHeight w:val="265"/>
        </w:trPr>
        <w:tc>
          <w:tcPr>
            <w:tcW w:w="1999" w:type="dxa"/>
            <w:shd w:val="clear" w:color="auto" w:fill="auto"/>
            <w:noWrap/>
            <w:vAlign w:val="center"/>
            <w:hideMark/>
          </w:tcPr>
          <w:p w14:paraId="28FBCAB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Glycopeptide antibiotics**</w:t>
            </w:r>
          </w:p>
        </w:tc>
        <w:tc>
          <w:tcPr>
            <w:tcW w:w="1149" w:type="dxa"/>
            <w:shd w:val="clear" w:color="auto" w:fill="auto"/>
            <w:vAlign w:val="center"/>
          </w:tcPr>
          <w:p w14:paraId="5E9C589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316" w:type="dxa"/>
            <w:shd w:val="clear" w:color="auto" w:fill="auto"/>
            <w:vAlign w:val="center"/>
          </w:tcPr>
          <w:p w14:paraId="2EFFAD11"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219F239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71253D7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3CB3970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007" w:type="dxa"/>
            <w:shd w:val="clear" w:color="auto" w:fill="auto"/>
            <w:noWrap/>
            <w:vAlign w:val="center"/>
            <w:hideMark/>
          </w:tcPr>
          <w:p w14:paraId="50B5EC8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r>
      <w:tr w:rsidR="003D56DD" w:rsidRPr="00F06839" w14:paraId="5606C384" w14:textId="77777777" w:rsidTr="006F167D">
        <w:trPr>
          <w:trHeight w:val="265"/>
        </w:trPr>
        <w:tc>
          <w:tcPr>
            <w:tcW w:w="1999" w:type="dxa"/>
            <w:shd w:val="clear" w:color="auto" w:fill="auto"/>
            <w:noWrap/>
            <w:vAlign w:val="center"/>
            <w:hideMark/>
          </w:tcPr>
          <w:p w14:paraId="34DAFDD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Imipenam</w:t>
            </w:r>
            <w:proofErr w:type="spellEnd"/>
          </w:p>
        </w:tc>
        <w:tc>
          <w:tcPr>
            <w:tcW w:w="1149" w:type="dxa"/>
            <w:shd w:val="clear" w:color="auto" w:fill="auto"/>
            <w:noWrap/>
            <w:vAlign w:val="center"/>
            <w:hideMark/>
          </w:tcPr>
          <w:p w14:paraId="5049076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1CAD121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369CE8B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C9933F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C6C3385"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3E01618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6613F78" w14:textId="77777777" w:rsidTr="006F167D">
        <w:trPr>
          <w:trHeight w:val="265"/>
        </w:trPr>
        <w:tc>
          <w:tcPr>
            <w:tcW w:w="1999" w:type="dxa"/>
            <w:shd w:val="clear" w:color="auto" w:fill="auto"/>
            <w:noWrap/>
            <w:vAlign w:val="center"/>
            <w:hideMark/>
          </w:tcPr>
          <w:p w14:paraId="5C87927E"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Imipenem-</w:t>
            </w:r>
            <w:proofErr w:type="spellStart"/>
            <w:r w:rsidRPr="003C0355">
              <w:rPr>
                <w:rFonts w:ascii="Calibri" w:eastAsia="Times New Roman" w:hAnsi="Calibri" w:cs="Times New Roman"/>
                <w:color w:val="000000"/>
                <w:sz w:val="16"/>
                <w:szCs w:val="16"/>
                <w:lang w:eastAsia="en-GB"/>
              </w:rPr>
              <w:t>cilastatin</w:t>
            </w:r>
            <w:proofErr w:type="spellEnd"/>
          </w:p>
        </w:tc>
        <w:tc>
          <w:tcPr>
            <w:tcW w:w="1149" w:type="dxa"/>
            <w:shd w:val="clear" w:color="auto" w:fill="auto"/>
            <w:vAlign w:val="center"/>
          </w:tcPr>
          <w:p w14:paraId="580BC90F"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316" w:type="dxa"/>
            <w:shd w:val="clear" w:color="auto" w:fill="auto"/>
            <w:vAlign w:val="center"/>
          </w:tcPr>
          <w:p w14:paraId="572D23C2"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79C1A51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14E828F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2979820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357CF8CA"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9825509" w14:textId="77777777" w:rsidTr="006F167D">
        <w:trPr>
          <w:trHeight w:val="265"/>
        </w:trPr>
        <w:tc>
          <w:tcPr>
            <w:tcW w:w="1999" w:type="dxa"/>
            <w:shd w:val="clear" w:color="auto" w:fill="auto"/>
            <w:noWrap/>
            <w:vAlign w:val="center"/>
            <w:hideMark/>
          </w:tcPr>
          <w:p w14:paraId="2BCC892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Isoniazid</w:t>
            </w:r>
          </w:p>
        </w:tc>
        <w:tc>
          <w:tcPr>
            <w:tcW w:w="1149" w:type="dxa"/>
            <w:shd w:val="clear" w:color="auto" w:fill="auto"/>
            <w:noWrap/>
            <w:vAlign w:val="center"/>
            <w:hideMark/>
          </w:tcPr>
          <w:p w14:paraId="60B67D9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53FD4E0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37A6DDD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1798B07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57B74DC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2E3099A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7F7698B" w14:textId="77777777" w:rsidTr="006F167D">
        <w:trPr>
          <w:trHeight w:val="265"/>
        </w:trPr>
        <w:tc>
          <w:tcPr>
            <w:tcW w:w="1999" w:type="dxa"/>
            <w:shd w:val="clear" w:color="auto" w:fill="auto"/>
            <w:noWrap/>
            <w:vAlign w:val="center"/>
            <w:hideMark/>
          </w:tcPr>
          <w:p w14:paraId="3804FFCE"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Levofloxacin</w:t>
            </w:r>
          </w:p>
        </w:tc>
        <w:tc>
          <w:tcPr>
            <w:tcW w:w="1149" w:type="dxa"/>
            <w:shd w:val="clear" w:color="auto" w:fill="auto"/>
            <w:noWrap/>
            <w:vAlign w:val="center"/>
            <w:hideMark/>
          </w:tcPr>
          <w:p w14:paraId="32D64AE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6203EA7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4</w:t>
            </w:r>
          </w:p>
        </w:tc>
        <w:tc>
          <w:tcPr>
            <w:tcW w:w="1189" w:type="dxa"/>
            <w:shd w:val="clear" w:color="auto" w:fill="auto"/>
            <w:noWrap/>
            <w:vAlign w:val="center"/>
            <w:hideMark/>
          </w:tcPr>
          <w:p w14:paraId="4B47993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14CD009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179B4F4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3C3D551F"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6773F4D" w14:textId="77777777" w:rsidTr="006F167D">
        <w:trPr>
          <w:trHeight w:val="265"/>
        </w:trPr>
        <w:tc>
          <w:tcPr>
            <w:tcW w:w="1999" w:type="dxa"/>
            <w:shd w:val="clear" w:color="auto" w:fill="auto"/>
            <w:noWrap/>
            <w:vAlign w:val="center"/>
            <w:hideMark/>
          </w:tcPr>
          <w:p w14:paraId="0998C6D3"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Meropenem</w:t>
            </w:r>
          </w:p>
        </w:tc>
        <w:tc>
          <w:tcPr>
            <w:tcW w:w="1149" w:type="dxa"/>
            <w:shd w:val="clear" w:color="auto" w:fill="auto"/>
            <w:noWrap/>
            <w:vAlign w:val="center"/>
            <w:hideMark/>
          </w:tcPr>
          <w:p w14:paraId="4510518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316" w:type="dxa"/>
            <w:shd w:val="clear" w:color="auto" w:fill="auto"/>
            <w:noWrap/>
            <w:vAlign w:val="center"/>
            <w:hideMark/>
          </w:tcPr>
          <w:p w14:paraId="1E13E5A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7C5E3A6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45F3F34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990" w:type="dxa"/>
            <w:shd w:val="clear" w:color="auto" w:fill="auto"/>
            <w:noWrap/>
            <w:vAlign w:val="center"/>
            <w:hideMark/>
          </w:tcPr>
          <w:p w14:paraId="3AC91E3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509A31D9"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AF7395D" w14:textId="77777777" w:rsidTr="006F167D">
        <w:trPr>
          <w:trHeight w:val="265"/>
        </w:trPr>
        <w:tc>
          <w:tcPr>
            <w:tcW w:w="1999" w:type="dxa"/>
            <w:shd w:val="clear" w:color="auto" w:fill="auto"/>
            <w:noWrap/>
            <w:vAlign w:val="center"/>
            <w:hideMark/>
          </w:tcPr>
          <w:p w14:paraId="67C4554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Metronidazole</w:t>
            </w:r>
          </w:p>
        </w:tc>
        <w:tc>
          <w:tcPr>
            <w:tcW w:w="1149" w:type="dxa"/>
            <w:shd w:val="clear" w:color="auto" w:fill="auto"/>
            <w:noWrap/>
            <w:vAlign w:val="center"/>
            <w:hideMark/>
          </w:tcPr>
          <w:p w14:paraId="7208324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3F7D8B1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4E4D94F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1157EC79"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7517884A"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22D470C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6CCC37C" w14:textId="77777777" w:rsidTr="006F167D">
        <w:trPr>
          <w:trHeight w:val="265"/>
        </w:trPr>
        <w:tc>
          <w:tcPr>
            <w:tcW w:w="1999" w:type="dxa"/>
            <w:shd w:val="clear" w:color="auto" w:fill="auto"/>
            <w:noWrap/>
            <w:vAlign w:val="center"/>
            <w:hideMark/>
          </w:tcPr>
          <w:p w14:paraId="09609209"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Penicillin G</w:t>
            </w:r>
          </w:p>
        </w:tc>
        <w:tc>
          <w:tcPr>
            <w:tcW w:w="1149" w:type="dxa"/>
            <w:shd w:val="clear" w:color="auto" w:fill="auto"/>
            <w:vAlign w:val="center"/>
          </w:tcPr>
          <w:p w14:paraId="58CF104D"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316" w:type="dxa"/>
            <w:shd w:val="clear" w:color="auto" w:fill="auto"/>
            <w:noWrap/>
            <w:vAlign w:val="center"/>
            <w:hideMark/>
          </w:tcPr>
          <w:p w14:paraId="1AB13A2F"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1C11D93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73C7F3E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58E45FE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4C3FCDF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2CAB10ED" w14:textId="77777777" w:rsidTr="006F167D">
        <w:trPr>
          <w:trHeight w:val="265"/>
        </w:trPr>
        <w:tc>
          <w:tcPr>
            <w:tcW w:w="1999" w:type="dxa"/>
            <w:shd w:val="clear" w:color="auto" w:fill="auto"/>
            <w:noWrap/>
            <w:vAlign w:val="center"/>
            <w:hideMark/>
          </w:tcPr>
          <w:p w14:paraId="38744E94"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Penicillin V</w:t>
            </w:r>
          </w:p>
        </w:tc>
        <w:tc>
          <w:tcPr>
            <w:tcW w:w="1149" w:type="dxa"/>
            <w:shd w:val="clear" w:color="auto" w:fill="auto"/>
            <w:noWrap/>
            <w:vAlign w:val="center"/>
            <w:hideMark/>
          </w:tcPr>
          <w:p w14:paraId="60F7582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0BFCFE6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03B9488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762148D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75F3AD4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204C5D7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6E64FB84" w14:textId="77777777" w:rsidTr="006F167D">
        <w:trPr>
          <w:trHeight w:val="265"/>
        </w:trPr>
        <w:tc>
          <w:tcPr>
            <w:tcW w:w="1999" w:type="dxa"/>
            <w:shd w:val="clear" w:color="auto" w:fill="auto"/>
            <w:noWrap/>
            <w:vAlign w:val="center"/>
            <w:hideMark/>
          </w:tcPr>
          <w:p w14:paraId="39B51463"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Piperacillin-tazobactam</w:t>
            </w:r>
          </w:p>
        </w:tc>
        <w:tc>
          <w:tcPr>
            <w:tcW w:w="1149" w:type="dxa"/>
            <w:shd w:val="clear" w:color="auto" w:fill="auto"/>
            <w:noWrap/>
            <w:vAlign w:val="center"/>
            <w:hideMark/>
          </w:tcPr>
          <w:p w14:paraId="72DBEDF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316" w:type="dxa"/>
            <w:shd w:val="clear" w:color="auto" w:fill="auto"/>
            <w:noWrap/>
            <w:vAlign w:val="center"/>
            <w:hideMark/>
          </w:tcPr>
          <w:p w14:paraId="7A44C19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11</w:t>
            </w:r>
          </w:p>
        </w:tc>
        <w:tc>
          <w:tcPr>
            <w:tcW w:w="1189" w:type="dxa"/>
            <w:shd w:val="clear" w:color="auto" w:fill="auto"/>
            <w:noWrap/>
            <w:vAlign w:val="center"/>
            <w:hideMark/>
          </w:tcPr>
          <w:p w14:paraId="3AC3CC2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8</w:t>
            </w:r>
          </w:p>
        </w:tc>
        <w:tc>
          <w:tcPr>
            <w:tcW w:w="1559" w:type="dxa"/>
            <w:shd w:val="clear" w:color="auto" w:fill="auto"/>
            <w:noWrap/>
            <w:vAlign w:val="center"/>
            <w:hideMark/>
          </w:tcPr>
          <w:p w14:paraId="047B7EE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12</w:t>
            </w:r>
          </w:p>
        </w:tc>
        <w:tc>
          <w:tcPr>
            <w:tcW w:w="990" w:type="dxa"/>
            <w:shd w:val="clear" w:color="auto" w:fill="auto"/>
            <w:noWrap/>
            <w:vAlign w:val="bottom"/>
            <w:hideMark/>
          </w:tcPr>
          <w:p w14:paraId="10BF7CF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bottom"/>
            <w:hideMark/>
          </w:tcPr>
          <w:p w14:paraId="1D29F9E8"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0B4AF0C3" w14:textId="77777777" w:rsidTr="006F167D">
        <w:trPr>
          <w:trHeight w:val="265"/>
        </w:trPr>
        <w:tc>
          <w:tcPr>
            <w:tcW w:w="1999" w:type="dxa"/>
            <w:shd w:val="clear" w:color="auto" w:fill="auto"/>
            <w:noWrap/>
            <w:vAlign w:val="center"/>
            <w:hideMark/>
          </w:tcPr>
          <w:p w14:paraId="3311E6AC"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Pyrazinamide</w:t>
            </w:r>
          </w:p>
        </w:tc>
        <w:tc>
          <w:tcPr>
            <w:tcW w:w="1149" w:type="dxa"/>
            <w:shd w:val="clear" w:color="auto" w:fill="auto"/>
            <w:noWrap/>
            <w:vAlign w:val="center"/>
            <w:hideMark/>
          </w:tcPr>
          <w:p w14:paraId="50CB27B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1CC0033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bottom"/>
            <w:hideMark/>
          </w:tcPr>
          <w:p w14:paraId="0D47CCA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bottom"/>
            <w:hideMark/>
          </w:tcPr>
          <w:p w14:paraId="16836961"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4A6E7CF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007" w:type="dxa"/>
            <w:shd w:val="clear" w:color="auto" w:fill="auto"/>
            <w:noWrap/>
            <w:vAlign w:val="center"/>
            <w:hideMark/>
          </w:tcPr>
          <w:p w14:paraId="0BBDCC1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r>
      <w:tr w:rsidR="003D56DD" w:rsidRPr="00F06839" w14:paraId="4A9650DF" w14:textId="77777777" w:rsidTr="006F167D">
        <w:trPr>
          <w:trHeight w:val="265"/>
        </w:trPr>
        <w:tc>
          <w:tcPr>
            <w:tcW w:w="1999" w:type="dxa"/>
            <w:shd w:val="clear" w:color="auto" w:fill="auto"/>
            <w:noWrap/>
            <w:vAlign w:val="center"/>
            <w:hideMark/>
          </w:tcPr>
          <w:p w14:paraId="550325F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Rifampicin</w:t>
            </w:r>
          </w:p>
        </w:tc>
        <w:tc>
          <w:tcPr>
            <w:tcW w:w="1149" w:type="dxa"/>
            <w:shd w:val="clear" w:color="auto" w:fill="auto"/>
            <w:noWrap/>
            <w:vAlign w:val="center"/>
            <w:hideMark/>
          </w:tcPr>
          <w:p w14:paraId="74D4F06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2817F15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39937B7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69F54A2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990" w:type="dxa"/>
            <w:shd w:val="clear" w:color="auto" w:fill="auto"/>
            <w:noWrap/>
            <w:vAlign w:val="bottom"/>
            <w:hideMark/>
          </w:tcPr>
          <w:p w14:paraId="022B32B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bottom"/>
            <w:hideMark/>
          </w:tcPr>
          <w:p w14:paraId="4E45107C"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57050834" w14:textId="77777777" w:rsidTr="006F167D">
        <w:trPr>
          <w:trHeight w:val="265"/>
        </w:trPr>
        <w:tc>
          <w:tcPr>
            <w:tcW w:w="1999" w:type="dxa"/>
            <w:shd w:val="clear" w:color="auto" w:fill="auto"/>
            <w:noWrap/>
            <w:vAlign w:val="center"/>
            <w:hideMark/>
          </w:tcPr>
          <w:p w14:paraId="03A9541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Spiramycin</w:t>
            </w:r>
            <w:proofErr w:type="spellEnd"/>
          </w:p>
        </w:tc>
        <w:tc>
          <w:tcPr>
            <w:tcW w:w="1149" w:type="dxa"/>
            <w:shd w:val="clear" w:color="auto" w:fill="auto"/>
            <w:noWrap/>
            <w:vAlign w:val="center"/>
            <w:hideMark/>
          </w:tcPr>
          <w:p w14:paraId="120C422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7B52FB2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397911D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74ADE122"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4DA2BD8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774CC3EB"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8F9F39C" w14:textId="77777777" w:rsidTr="006F167D">
        <w:trPr>
          <w:trHeight w:val="265"/>
        </w:trPr>
        <w:tc>
          <w:tcPr>
            <w:tcW w:w="1999" w:type="dxa"/>
            <w:shd w:val="clear" w:color="auto" w:fill="auto"/>
            <w:noWrap/>
            <w:vAlign w:val="center"/>
            <w:hideMark/>
          </w:tcPr>
          <w:p w14:paraId="77189A37"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Tazocillin</w:t>
            </w:r>
            <w:proofErr w:type="spellEnd"/>
          </w:p>
        </w:tc>
        <w:tc>
          <w:tcPr>
            <w:tcW w:w="1149" w:type="dxa"/>
            <w:shd w:val="clear" w:color="auto" w:fill="auto"/>
            <w:vAlign w:val="center"/>
          </w:tcPr>
          <w:p w14:paraId="05E11C5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316" w:type="dxa"/>
            <w:shd w:val="clear" w:color="auto" w:fill="auto"/>
            <w:noWrap/>
            <w:vAlign w:val="center"/>
            <w:hideMark/>
          </w:tcPr>
          <w:p w14:paraId="28088F2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6B69377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559" w:type="dxa"/>
            <w:shd w:val="clear" w:color="auto" w:fill="auto"/>
            <w:noWrap/>
            <w:vAlign w:val="center"/>
            <w:hideMark/>
          </w:tcPr>
          <w:p w14:paraId="3E82B29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37093DC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007" w:type="dxa"/>
            <w:shd w:val="clear" w:color="auto" w:fill="auto"/>
            <w:noWrap/>
            <w:vAlign w:val="center"/>
            <w:hideMark/>
          </w:tcPr>
          <w:p w14:paraId="789360E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r>
      <w:tr w:rsidR="003D56DD" w:rsidRPr="00F06839" w14:paraId="79D44534" w14:textId="77777777" w:rsidTr="006F167D">
        <w:trPr>
          <w:trHeight w:val="265"/>
        </w:trPr>
        <w:tc>
          <w:tcPr>
            <w:tcW w:w="1999" w:type="dxa"/>
            <w:shd w:val="clear" w:color="auto" w:fill="auto"/>
            <w:noWrap/>
            <w:vAlign w:val="center"/>
            <w:hideMark/>
          </w:tcPr>
          <w:p w14:paraId="3803723A"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Trimethoprim</w:t>
            </w:r>
          </w:p>
        </w:tc>
        <w:tc>
          <w:tcPr>
            <w:tcW w:w="1149" w:type="dxa"/>
            <w:shd w:val="clear" w:color="auto" w:fill="auto"/>
            <w:noWrap/>
            <w:vAlign w:val="center"/>
            <w:hideMark/>
          </w:tcPr>
          <w:p w14:paraId="7741EAA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316" w:type="dxa"/>
            <w:shd w:val="clear" w:color="auto" w:fill="auto"/>
            <w:noWrap/>
            <w:vAlign w:val="center"/>
            <w:hideMark/>
          </w:tcPr>
          <w:p w14:paraId="36D3920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6D9631D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604003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28A2842"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19374EB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6076904C" w14:textId="77777777" w:rsidTr="006F167D">
        <w:trPr>
          <w:trHeight w:val="265"/>
        </w:trPr>
        <w:tc>
          <w:tcPr>
            <w:tcW w:w="1999" w:type="dxa"/>
            <w:shd w:val="clear" w:color="auto" w:fill="auto"/>
            <w:noWrap/>
            <w:vAlign w:val="center"/>
            <w:hideMark/>
          </w:tcPr>
          <w:p w14:paraId="5F6FE3F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Vancomycin</w:t>
            </w:r>
          </w:p>
        </w:tc>
        <w:tc>
          <w:tcPr>
            <w:tcW w:w="1149" w:type="dxa"/>
            <w:shd w:val="clear" w:color="auto" w:fill="auto"/>
            <w:noWrap/>
            <w:vAlign w:val="center"/>
            <w:hideMark/>
          </w:tcPr>
          <w:p w14:paraId="628928C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42EF823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6</w:t>
            </w:r>
          </w:p>
        </w:tc>
        <w:tc>
          <w:tcPr>
            <w:tcW w:w="1189" w:type="dxa"/>
            <w:shd w:val="clear" w:color="auto" w:fill="auto"/>
            <w:noWrap/>
            <w:vAlign w:val="center"/>
            <w:hideMark/>
          </w:tcPr>
          <w:p w14:paraId="79642D5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559" w:type="dxa"/>
            <w:shd w:val="clear" w:color="auto" w:fill="auto"/>
            <w:noWrap/>
            <w:vAlign w:val="center"/>
            <w:hideMark/>
          </w:tcPr>
          <w:p w14:paraId="132CFC0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10</w:t>
            </w:r>
          </w:p>
        </w:tc>
        <w:tc>
          <w:tcPr>
            <w:tcW w:w="990" w:type="dxa"/>
            <w:shd w:val="clear" w:color="auto" w:fill="auto"/>
            <w:noWrap/>
            <w:vAlign w:val="center"/>
            <w:hideMark/>
          </w:tcPr>
          <w:p w14:paraId="3FCDC86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007" w:type="dxa"/>
            <w:shd w:val="clear" w:color="auto" w:fill="auto"/>
            <w:noWrap/>
            <w:vAlign w:val="center"/>
            <w:hideMark/>
          </w:tcPr>
          <w:p w14:paraId="548DD6C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r>
      <w:tr w:rsidR="003D56DD" w:rsidRPr="00F06839" w14:paraId="4699EA50" w14:textId="77777777" w:rsidTr="006F167D">
        <w:trPr>
          <w:trHeight w:val="265"/>
        </w:trPr>
        <w:tc>
          <w:tcPr>
            <w:tcW w:w="9209" w:type="dxa"/>
            <w:gridSpan w:val="7"/>
            <w:shd w:val="clear" w:color="auto" w:fill="auto"/>
            <w:noWrap/>
            <w:vAlign w:val="center"/>
            <w:hideMark/>
          </w:tcPr>
          <w:p w14:paraId="3F8AB04A"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Anti-epileptics</w:t>
            </w:r>
          </w:p>
        </w:tc>
      </w:tr>
      <w:tr w:rsidR="003D56DD" w:rsidRPr="00F06839" w14:paraId="637D6718" w14:textId="77777777" w:rsidTr="006F167D">
        <w:trPr>
          <w:trHeight w:val="265"/>
        </w:trPr>
        <w:tc>
          <w:tcPr>
            <w:tcW w:w="1999" w:type="dxa"/>
            <w:shd w:val="clear" w:color="auto" w:fill="auto"/>
            <w:noWrap/>
            <w:vAlign w:val="center"/>
            <w:hideMark/>
          </w:tcPr>
          <w:p w14:paraId="19BEDA54"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Carbamazepine</w:t>
            </w:r>
          </w:p>
        </w:tc>
        <w:tc>
          <w:tcPr>
            <w:tcW w:w="1149" w:type="dxa"/>
            <w:shd w:val="clear" w:color="auto" w:fill="auto"/>
            <w:noWrap/>
            <w:vAlign w:val="center"/>
            <w:hideMark/>
          </w:tcPr>
          <w:p w14:paraId="49CA852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29</w:t>
            </w:r>
          </w:p>
        </w:tc>
        <w:tc>
          <w:tcPr>
            <w:tcW w:w="1316" w:type="dxa"/>
            <w:shd w:val="clear" w:color="auto" w:fill="auto"/>
            <w:noWrap/>
            <w:vAlign w:val="center"/>
            <w:hideMark/>
          </w:tcPr>
          <w:p w14:paraId="7962412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37</w:t>
            </w:r>
          </w:p>
        </w:tc>
        <w:tc>
          <w:tcPr>
            <w:tcW w:w="1189" w:type="dxa"/>
            <w:shd w:val="clear" w:color="auto" w:fill="auto"/>
            <w:noWrap/>
            <w:vAlign w:val="center"/>
            <w:hideMark/>
          </w:tcPr>
          <w:p w14:paraId="496AE3F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24B8506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4DF03DF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148593A2"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26C9D00E" w14:textId="77777777" w:rsidTr="006F167D">
        <w:trPr>
          <w:trHeight w:val="265"/>
        </w:trPr>
        <w:tc>
          <w:tcPr>
            <w:tcW w:w="1999" w:type="dxa"/>
            <w:shd w:val="clear" w:color="auto" w:fill="auto"/>
            <w:noWrap/>
            <w:vAlign w:val="center"/>
            <w:hideMark/>
          </w:tcPr>
          <w:p w14:paraId="5CE8FB3A"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Hydantoin</w:t>
            </w:r>
          </w:p>
        </w:tc>
        <w:tc>
          <w:tcPr>
            <w:tcW w:w="1149" w:type="dxa"/>
            <w:shd w:val="clear" w:color="auto" w:fill="auto"/>
            <w:noWrap/>
            <w:vAlign w:val="center"/>
            <w:hideMark/>
          </w:tcPr>
          <w:p w14:paraId="70FAD56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61D9E1D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7EBA57C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4DC5BF7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364DFF3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6945689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E317FB2" w14:textId="77777777" w:rsidTr="006F167D">
        <w:trPr>
          <w:trHeight w:val="265"/>
        </w:trPr>
        <w:tc>
          <w:tcPr>
            <w:tcW w:w="1999" w:type="dxa"/>
            <w:shd w:val="clear" w:color="auto" w:fill="auto"/>
            <w:noWrap/>
            <w:vAlign w:val="center"/>
            <w:hideMark/>
          </w:tcPr>
          <w:p w14:paraId="273F7E3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Lamotrigine</w:t>
            </w:r>
          </w:p>
        </w:tc>
        <w:tc>
          <w:tcPr>
            <w:tcW w:w="1149" w:type="dxa"/>
            <w:shd w:val="clear" w:color="auto" w:fill="auto"/>
            <w:noWrap/>
            <w:vAlign w:val="center"/>
            <w:hideMark/>
          </w:tcPr>
          <w:p w14:paraId="49D977E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36DA42D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5</w:t>
            </w:r>
          </w:p>
        </w:tc>
        <w:tc>
          <w:tcPr>
            <w:tcW w:w="1189" w:type="dxa"/>
            <w:shd w:val="clear" w:color="auto" w:fill="auto"/>
            <w:noWrap/>
            <w:vAlign w:val="center"/>
            <w:hideMark/>
          </w:tcPr>
          <w:p w14:paraId="6E43357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23668CF1"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3039BF4F"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326D17A9"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608001D" w14:textId="77777777" w:rsidTr="006F167D">
        <w:trPr>
          <w:trHeight w:val="265"/>
        </w:trPr>
        <w:tc>
          <w:tcPr>
            <w:tcW w:w="1999" w:type="dxa"/>
            <w:shd w:val="clear" w:color="auto" w:fill="auto"/>
            <w:noWrap/>
            <w:vAlign w:val="center"/>
            <w:hideMark/>
          </w:tcPr>
          <w:p w14:paraId="6BFC8636"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Phenobarbital</w:t>
            </w:r>
          </w:p>
        </w:tc>
        <w:tc>
          <w:tcPr>
            <w:tcW w:w="1149" w:type="dxa"/>
            <w:shd w:val="clear" w:color="auto" w:fill="auto"/>
            <w:noWrap/>
            <w:vAlign w:val="center"/>
            <w:hideMark/>
          </w:tcPr>
          <w:p w14:paraId="51B5A87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316" w:type="dxa"/>
            <w:shd w:val="clear" w:color="auto" w:fill="auto"/>
            <w:noWrap/>
            <w:vAlign w:val="center"/>
            <w:hideMark/>
          </w:tcPr>
          <w:p w14:paraId="410C0DB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6</w:t>
            </w:r>
          </w:p>
        </w:tc>
        <w:tc>
          <w:tcPr>
            <w:tcW w:w="1189" w:type="dxa"/>
            <w:shd w:val="clear" w:color="auto" w:fill="auto"/>
            <w:noWrap/>
            <w:vAlign w:val="center"/>
            <w:hideMark/>
          </w:tcPr>
          <w:p w14:paraId="0677A37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6C7C31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2894D4B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70B0B476"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AC831BE" w14:textId="77777777" w:rsidTr="006F167D">
        <w:trPr>
          <w:trHeight w:val="265"/>
        </w:trPr>
        <w:tc>
          <w:tcPr>
            <w:tcW w:w="1999" w:type="dxa"/>
            <w:shd w:val="clear" w:color="auto" w:fill="auto"/>
            <w:noWrap/>
            <w:vAlign w:val="center"/>
            <w:hideMark/>
          </w:tcPr>
          <w:p w14:paraId="3BF92C1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Phenytoin</w:t>
            </w:r>
          </w:p>
        </w:tc>
        <w:tc>
          <w:tcPr>
            <w:tcW w:w="1149" w:type="dxa"/>
            <w:shd w:val="clear" w:color="auto" w:fill="auto"/>
            <w:noWrap/>
            <w:vAlign w:val="center"/>
            <w:hideMark/>
          </w:tcPr>
          <w:p w14:paraId="611CE96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316" w:type="dxa"/>
            <w:shd w:val="clear" w:color="auto" w:fill="auto"/>
            <w:noWrap/>
            <w:vAlign w:val="center"/>
            <w:hideMark/>
          </w:tcPr>
          <w:p w14:paraId="2D333B6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217BE67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2944641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3FC023B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4927E6A5"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64DCCD83" w14:textId="77777777" w:rsidTr="006F167D">
        <w:trPr>
          <w:trHeight w:val="265"/>
        </w:trPr>
        <w:tc>
          <w:tcPr>
            <w:tcW w:w="1999" w:type="dxa"/>
            <w:shd w:val="clear" w:color="auto" w:fill="auto"/>
            <w:noWrap/>
            <w:vAlign w:val="center"/>
            <w:hideMark/>
          </w:tcPr>
          <w:p w14:paraId="0D290BC9"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Topiramate</w:t>
            </w:r>
          </w:p>
        </w:tc>
        <w:tc>
          <w:tcPr>
            <w:tcW w:w="1149" w:type="dxa"/>
            <w:shd w:val="clear" w:color="auto" w:fill="auto"/>
            <w:noWrap/>
            <w:vAlign w:val="center"/>
            <w:hideMark/>
          </w:tcPr>
          <w:p w14:paraId="7AB5D59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2CD0DFB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189" w:type="dxa"/>
            <w:shd w:val="clear" w:color="auto" w:fill="auto"/>
            <w:noWrap/>
            <w:vAlign w:val="center"/>
            <w:hideMark/>
          </w:tcPr>
          <w:p w14:paraId="64228CA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1C7AA61B"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28431F92"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321EDBA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73DD471B" w14:textId="77777777" w:rsidTr="006F167D">
        <w:trPr>
          <w:trHeight w:val="265"/>
        </w:trPr>
        <w:tc>
          <w:tcPr>
            <w:tcW w:w="1999" w:type="dxa"/>
            <w:shd w:val="clear" w:color="auto" w:fill="auto"/>
            <w:noWrap/>
            <w:vAlign w:val="center"/>
            <w:hideMark/>
          </w:tcPr>
          <w:p w14:paraId="05C4F781"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Valproic acid</w:t>
            </w:r>
          </w:p>
        </w:tc>
        <w:tc>
          <w:tcPr>
            <w:tcW w:w="1149" w:type="dxa"/>
            <w:shd w:val="clear" w:color="auto" w:fill="auto"/>
            <w:noWrap/>
            <w:vAlign w:val="center"/>
            <w:hideMark/>
          </w:tcPr>
          <w:p w14:paraId="7057CC5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7346A2C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189" w:type="dxa"/>
            <w:shd w:val="clear" w:color="auto" w:fill="auto"/>
            <w:noWrap/>
            <w:vAlign w:val="center"/>
            <w:hideMark/>
          </w:tcPr>
          <w:p w14:paraId="77DECA3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9005C7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DE771BB"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1302F77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5095877" w14:textId="77777777" w:rsidTr="006F167D">
        <w:trPr>
          <w:trHeight w:val="265"/>
        </w:trPr>
        <w:tc>
          <w:tcPr>
            <w:tcW w:w="9209" w:type="dxa"/>
            <w:gridSpan w:val="7"/>
            <w:shd w:val="clear" w:color="auto" w:fill="auto"/>
            <w:noWrap/>
            <w:vAlign w:val="center"/>
            <w:hideMark/>
          </w:tcPr>
          <w:p w14:paraId="0AFDC8B4"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Anti-viral</w:t>
            </w:r>
          </w:p>
        </w:tc>
      </w:tr>
      <w:tr w:rsidR="003D56DD" w:rsidRPr="00F06839" w14:paraId="3069DA8B" w14:textId="77777777" w:rsidTr="006F167D">
        <w:trPr>
          <w:trHeight w:val="265"/>
        </w:trPr>
        <w:tc>
          <w:tcPr>
            <w:tcW w:w="1999" w:type="dxa"/>
            <w:shd w:val="clear" w:color="auto" w:fill="auto"/>
            <w:noWrap/>
            <w:vAlign w:val="center"/>
            <w:hideMark/>
          </w:tcPr>
          <w:p w14:paraId="1293941E"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Acyclovir</w:t>
            </w:r>
          </w:p>
        </w:tc>
        <w:tc>
          <w:tcPr>
            <w:tcW w:w="1149" w:type="dxa"/>
            <w:shd w:val="clear" w:color="auto" w:fill="auto"/>
            <w:noWrap/>
            <w:vAlign w:val="center"/>
            <w:hideMark/>
          </w:tcPr>
          <w:p w14:paraId="42A5EFE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72F25DA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57004BA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41631A1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11ED993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631B7BD1"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3240084C" w14:textId="77777777" w:rsidTr="006F167D">
        <w:trPr>
          <w:trHeight w:val="265"/>
        </w:trPr>
        <w:tc>
          <w:tcPr>
            <w:tcW w:w="1999" w:type="dxa"/>
            <w:shd w:val="clear" w:color="auto" w:fill="auto"/>
            <w:noWrap/>
            <w:vAlign w:val="center"/>
            <w:hideMark/>
          </w:tcPr>
          <w:p w14:paraId="67F1C343"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Valaciclovir</w:t>
            </w:r>
          </w:p>
        </w:tc>
        <w:tc>
          <w:tcPr>
            <w:tcW w:w="1149" w:type="dxa"/>
            <w:shd w:val="clear" w:color="auto" w:fill="auto"/>
            <w:noWrap/>
            <w:vAlign w:val="center"/>
            <w:hideMark/>
          </w:tcPr>
          <w:p w14:paraId="40DCC71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316" w:type="dxa"/>
            <w:shd w:val="clear" w:color="auto" w:fill="auto"/>
            <w:noWrap/>
            <w:vAlign w:val="center"/>
            <w:hideMark/>
          </w:tcPr>
          <w:p w14:paraId="70CEB0D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44623E9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0808A3B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4E7E64E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61F294B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1CB91736" w14:textId="77777777" w:rsidTr="006F167D">
        <w:trPr>
          <w:trHeight w:val="265"/>
        </w:trPr>
        <w:tc>
          <w:tcPr>
            <w:tcW w:w="3148" w:type="dxa"/>
            <w:gridSpan w:val="2"/>
            <w:shd w:val="clear" w:color="auto" w:fill="auto"/>
            <w:noWrap/>
            <w:vAlign w:val="center"/>
            <w:hideMark/>
          </w:tcPr>
          <w:p w14:paraId="5D8B20F4"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lastRenderedPageBreak/>
              <w:t>Anti-fungal</w:t>
            </w:r>
          </w:p>
        </w:tc>
        <w:tc>
          <w:tcPr>
            <w:tcW w:w="1316" w:type="dxa"/>
            <w:shd w:val="clear" w:color="auto" w:fill="auto"/>
            <w:noWrap/>
            <w:vAlign w:val="center"/>
            <w:hideMark/>
          </w:tcPr>
          <w:p w14:paraId="3D7C0636"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1189" w:type="dxa"/>
            <w:shd w:val="clear" w:color="auto" w:fill="auto"/>
            <w:noWrap/>
            <w:vAlign w:val="center"/>
            <w:hideMark/>
          </w:tcPr>
          <w:p w14:paraId="5A0709BA"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559" w:type="dxa"/>
            <w:shd w:val="clear" w:color="auto" w:fill="auto"/>
            <w:noWrap/>
            <w:vAlign w:val="center"/>
            <w:hideMark/>
          </w:tcPr>
          <w:p w14:paraId="5B0D02AE"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1D2CAC72"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55E06615"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37AE2EC3" w14:textId="77777777" w:rsidTr="006F167D">
        <w:trPr>
          <w:trHeight w:val="265"/>
        </w:trPr>
        <w:tc>
          <w:tcPr>
            <w:tcW w:w="1999" w:type="dxa"/>
            <w:shd w:val="clear" w:color="auto" w:fill="auto"/>
            <w:noWrap/>
            <w:vAlign w:val="center"/>
            <w:hideMark/>
          </w:tcPr>
          <w:p w14:paraId="03BC357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Fluconazole</w:t>
            </w:r>
          </w:p>
        </w:tc>
        <w:tc>
          <w:tcPr>
            <w:tcW w:w="1149" w:type="dxa"/>
            <w:shd w:val="clear" w:color="auto" w:fill="auto"/>
            <w:noWrap/>
            <w:vAlign w:val="center"/>
            <w:hideMark/>
          </w:tcPr>
          <w:p w14:paraId="665B7DE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5EF8F94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1080F3A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E0F86F0"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74B86D0A"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623C2040"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30E02A40" w14:textId="77777777" w:rsidTr="006F167D">
        <w:trPr>
          <w:trHeight w:val="265"/>
        </w:trPr>
        <w:tc>
          <w:tcPr>
            <w:tcW w:w="5653" w:type="dxa"/>
            <w:gridSpan w:val="4"/>
            <w:shd w:val="clear" w:color="auto" w:fill="auto"/>
            <w:noWrap/>
            <w:vAlign w:val="center"/>
            <w:hideMark/>
          </w:tcPr>
          <w:p w14:paraId="3044BDD1"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Non-steroidal anti-inflammatory</w:t>
            </w:r>
          </w:p>
        </w:tc>
        <w:tc>
          <w:tcPr>
            <w:tcW w:w="1559" w:type="dxa"/>
            <w:shd w:val="clear" w:color="auto" w:fill="auto"/>
            <w:noWrap/>
            <w:vAlign w:val="center"/>
            <w:hideMark/>
          </w:tcPr>
          <w:p w14:paraId="5832BFA2"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p>
        </w:tc>
        <w:tc>
          <w:tcPr>
            <w:tcW w:w="990" w:type="dxa"/>
            <w:shd w:val="clear" w:color="auto" w:fill="auto"/>
            <w:noWrap/>
            <w:vAlign w:val="center"/>
            <w:hideMark/>
          </w:tcPr>
          <w:p w14:paraId="2DEE9959"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357DA999"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1A28A395" w14:textId="77777777" w:rsidTr="006F167D">
        <w:trPr>
          <w:trHeight w:val="265"/>
        </w:trPr>
        <w:tc>
          <w:tcPr>
            <w:tcW w:w="1999" w:type="dxa"/>
            <w:shd w:val="clear" w:color="auto" w:fill="auto"/>
            <w:noWrap/>
            <w:vAlign w:val="center"/>
            <w:hideMark/>
          </w:tcPr>
          <w:p w14:paraId="22C1A0A9"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Diclofenac</w:t>
            </w:r>
          </w:p>
        </w:tc>
        <w:tc>
          <w:tcPr>
            <w:tcW w:w="1149" w:type="dxa"/>
            <w:shd w:val="clear" w:color="auto" w:fill="auto"/>
            <w:noWrap/>
            <w:vAlign w:val="center"/>
            <w:hideMark/>
          </w:tcPr>
          <w:p w14:paraId="793D2AD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3AA163D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5C7FA13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2759B093"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36D7C434"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0E8EDFB4"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20B25812" w14:textId="77777777" w:rsidTr="006F167D">
        <w:trPr>
          <w:trHeight w:val="265"/>
        </w:trPr>
        <w:tc>
          <w:tcPr>
            <w:tcW w:w="1999" w:type="dxa"/>
            <w:shd w:val="clear" w:color="auto" w:fill="auto"/>
            <w:noWrap/>
            <w:vAlign w:val="center"/>
            <w:hideMark/>
          </w:tcPr>
          <w:p w14:paraId="24183E8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Metamizole</w:t>
            </w:r>
          </w:p>
        </w:tc>
        <w:tc>
          <w:tcPr>
            <w:tcW w:w="1149" w:type="dxa"/>
            <w:shd w:val="clear" w:color="auto" w:fill="auto"/>
            <w:noWrap/>
            <w:vAlign w:val="center"/>
            <w:hideMark/>
          </w:tcPr>
          <w:p w14:paraId="5123B21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6174B9A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56043C6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7B8EF0DE"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35BB7B98"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7481554D"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0A96C318" w14:textId="77777777" w:rsidTr="006F167D">
        <w:trPr>
          <w:trHeight w:val="265"/>
        </w:trPr>
        <w:tc>
          <w:tcPr>
            <w:tcW w:w="1999" w:type="dxa"/>
            <w:shd w:val="clear" w:color="auto" w:fill="auto"/>
            <w:noWrap/>
            <w:vAlign w:val="center"/>
            <w:hideMark/>
          </w:tcPr>
          <w:p w14:paraId="74E96FFF"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Tenoxicam</w:t>
            </w:r>
          </w:p>
        </w:tc>
        <w:tc>
          <w:tcPr>
            <w:tcW w:w="1149" w:type="dxa"/>
            <w:shd w:val="clear" w:color="auto" w:fill="auto"/>
            <w:noWrap/>
            <w:vAlign w:val="center"/>
            <w:hideMark/>
          </w:tcPr>
          <w:p w14:paraId="3A7A721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316" w:type="dxa"/>
            <w:shd w:val="clear" w:color="auto" w:fill="auto"/>
            <w:noWrap/>
            <w:vAlign w:val="center"/>
            <w:hideMark/>
          </w:tcPr>
          <w:p w14:paraId="067797E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350C221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2D84684E"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4BA248A9" w14:textId="77777777" w:rsidR="003D56DD" w:rsidRPr="003C0355" w:rsidRDefault="003D56DD" w:rsidP="006F167D">
            <w:pPr>
              <w:spacing w:after="0" w:line="240" w:lineRule="auto"/>
              <w:jc w:val="right"/>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2BCA4A72"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793EA892" w14:textId="77777777" w:rsidTr="006F167D">
        <w:trPr>
          <w:trHeight w:val="265"/>
        </w:trPr>
        <w:tc>
          <w:tcPr>
            <w:tcW w:w="9209" w:type="dxa"/>
            <w:gridSpan w:val="7"/>
            <w:shd w:val="clear" w:color="auto" w:fill="auto"/>
            <w:noWrap/>
            <w:vAlign w:val="center"/>
            <w:hideMark/>
          </w:tcPr>
          <w:p w14:paraId="54C734BA"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Opiate analgesic</w:t>
            </w:r>
          </w:p>
        </w:tc>
      </w:tr>
      <w:tr w:rsidR="003D56DD" w:rsidRPr="00F06839" w14:paraId="6BEAF5C3" w14:textId="77777777" w:rsidTr="006F167D">
        <w:trPr>
          <w:trHeight w:val="265"/>
        </w:trPr>
        <w:tc>
          <w:tcPr>
            <w:tcW w:w="1999" w:type="dxa"/>
            <w:shd w:val="clear" w:color="auto" w:fill="auto"/>
            <w:noWrap/>
            <w:vAlign w:val="center"/>
            <w:hideMark/>
          </w:tcPr>
          <w:p w14:paraId="73D5E38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Codeine</w:t>
            </w:r>
          </w:p>
        </w:tc>
        <w:tc>
          <w:tcPr>
            <w:tcW w:w="1149" w:type="dxa"/>
            <w:shd w:val="clear" w:color="auto" w:fill="auto"/>
            <w:noWrap/>
            <w:vAlign w:val="center"/>
            <w:hideMark/>
          </w:tcPr>
          <w:p w14:paraId="6F874B1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3458E4C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514EB43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5365563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71AA1FF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007" w:type="dxa"/>
            <w:shd w:val="clear" w:color="auto" w:fill="auto"/>
            <w:noWrap/>
            <w:vAlign w:val="center"/>
            <w:hideMark/>
          </w:tcPr>
          <w:p w14:paraId="26998E0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r>
      <w:tr w:rsidR="003D56DD" w:rsidRPr="00F06839" w14:paraId="638F5ED9" w14:textId="77777777" w:rsidTr="006F167D">
        <w:trPr>
          <w:trHeight w:val="265"/>
        </w:trPr>
        <w:tc>
          <w:tcPr>
            <w:tcW w:w="1999" w:type="dxa"/>
            <w:shd w:val="clear" w:color="auto" w:fill="auto"/>
            <w:noWrap/>
            <w:vAlign w:val="center"/>
            <w:hideMark/>
          </w:tcPr>
          <w:p w14:paraId="2FE33BC4"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Tramadol</w:t>
            </w:r>
          </w:p>
        </w:tc>
        <w:tc>
          <w:tcPr>
            <w:tcW w:w="1149" w:type="dxa"/>
            <w:shd w:val="clear" w:color="auto" w:fill="auto"/>
            <w:noWrap/>
            <w:vAlign w:val="center"/>
            <w:hideMark/>
          </w:tcPr>
          <w:p w14:paraId="3B78A6D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1EA581B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4E6EFE4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131D1893"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E4476C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007" w:type="dxa"/>
            <w:shd w:val="clear" w:color="auto" w:fill="auto"/>
            <w:noWrap/>
            <w:vAlign w:val="center"/>
            <w:hideMark/>
          </w:tcPr>
          <w:p w14:paraId="038D6CB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r>
      <w:tr w:rsidR="003D56DD" w:rsidRPr="00F06839" w14:paraId="5DBA5E93" w14:textId="77777777" w:rsidTr="006F167D">
        <w:trPr>
          <w:trHeight w:val="265"/>
        </w:trPr>
        <w:tc>
          <w:tcPr>
            <w:tcW w:w="9209" w:type="dxa"/>
            <w:gridSpan w:val="7"/>
            <w:shd w:val="clear" w:color="auto" w:fill="auto"/>
            <w:noWrap/>
            <w:vAlign w:val="center"/>
            <w:hideMark/>
          </w:tcPr>
          <w:p w14:paraId="0E368C8B"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Anti-coagulant</w:t>
            </w:r>
          </w:p>
        </w:tc>
      </w:tr>
      <w:tr w:rsidR="003D56DD" w:rsidRPr="00F06839" w14:paraId="365A6AC9" w14:textId="77777777" w:rsidTr="006F167D">
        <w:trPr>
          <w:trHeight w:val="265"/>
        </w:trPr>
        <w:tc>
          <w:tcPr>
            <w:tcW w:w="1999" w:type="dxa"/>
            <w:shd w:val="clear" w:color="auto" w:fill="auto"/>
            <w:noWrap/>
            <w:vAlign w:val="center"/>
            <w:hideMark/>
          </w:tcPr>
          <w:p w14:paraId="51CB2271"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Enoxaparin</w:t>
            </w:r>
          </w:p>
        </w:tc>
        <w:tc>
          <w:tcPr>
            <w:tcW w:w="1149" w:type="dxa"/>
            <w:shd w:val="clear" w:color="auto" w:fill="auto"/>
            <w:noWrap/>
            <w:vAlign w:val="center"/>
            <w:hideMark/>
          </w:tcPr>
          <w:p w14:paraId="78F5183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6DB028D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1A1C896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53D08D5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02CAF05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3E71FF42"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024DA23F" w14:textId="77777777" w:rsidTr="006F167D">
        <w:trPr>
          <w:trHeight w:val="265"/>
        </w:trPr>
        <w:tc>
          <w:tcPr>
            <w:tcW w:w="1999" w:type="dxa"/>
            <w:shd w:val="clear" w:color="auto" w:fill="auto"/>
            <w:noWrap/>
            <w:vAlign w:val="center"/>
            <w:hideMark/>
          </w:tcPr>
          <w:p w14:paraId="45BF6966"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Fluoindione</w:t>
            </w:r>
            <w:proofErr w:type="spellEnd"/>
          </w:p>
        </w:tc>
        <w:tc>
          <w:tcPr>
            <w:tcW w:w="1149" w:type="dxa"/>
            <w:shd w:val="clear" w:color="auto" w:fill="auto"/>
            <w:noWrap/>
            <w:vAlign w:val="center"/>
            <w:hideMark/>
          </w:tcPr>
          <w:p w14:paraId="5B3B59B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9</w:t>
            </w:r>
          </w:p>
        </w:tc>
        <w:tc>
          <w:tcPr>
            <w:tcW w:w="1316" w:type="dxa"/>
            <w:shd w:val="clear" w:color="auto" w:fill="auto"/>
            <w:noWrap/>
            <w:vAlign w:val="center"/>
            <w:hideMark/>
          </w:tcPr>
          <w:p w14:paraId="0EEE0F1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10</w:t>
            </w:r>
          </w:p>
        </w:tc>
        <w:tc>
          <w:tcPr>
            <w:tcW w:w="1189" w:type="dxa"/>
            <w:shd w:val="clear" w:color="auto" w:fill="auto"/>
            <w:noWrap/>
            <w:vAlign w:val="center"/>
            <w:hideMark/>
          </w:tcPr>
          <w:p w14:paraId="5DC582A7"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7D321B5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064F5D7B"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2DC1E3D1"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36432788" w14:textId="77777777" w:rsidTr="006F167D">
        <w:trPr>
          <w:trHeight w:val="265"/>
        </w:trPr>
        <w:tc>
          <w:tcPr>
            <w:tcW w:w="9209" w:type="dxa"/>
            <w:gridSpan w:val="7"/>
            <w:shd w:val="clear" w:color="auto" w:fill="auto"/>
            <w:noWrap/>
            <w:vAlign w:val="center"/>
            <w:hideMark/>
          </w:tcPr>
          <w:p w14:paraId="7755EBC7"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Contrast media</w:t>
            </w:r>
          </w:p>
        </w:tc>
      </w:tr>
      <w:tr w:rsidR="003D56DD" w:rsidRPr="00F06839" w14:paraId="7CCFB67F" w14:textId="77777777" w:rsidTr="006F167D">
        <w:trPr>
          <w:trHeight w:val="265"/>
        </w:trPr>
        <w:tc>
          <w:tcPr>
            <w:tcW w:w="1999" w:type="dxa"/>
            <w:shd w:val="clear" w:color="auto" w:fill="auto"/>
            <w:noWrap/>
            <w:vAlign w:val="center"/>
            <w:hideMark/>
          </w:tcPr>
          <w:p w14:paraId="49506F16"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Iomeprol</w:t>
            </w:r>
            <w:proofErr w:type="spellEnd"/>
          </w:p>
        </w:tc>
        <w:tc>
          <w:tcPr>
            <w:tcW w:w="1149" w:type="dxa"/>
            <w:shd w:val="clear" w:color="auto" w:fill="auto"/>
            <w:noWrap/>
            <w:vAlign w:val="center"/>
            <w:hideMark/>
          </w:tcPr>
          <w:p w14:paraId="2DC2814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316" w:type="dxa"/>
            <w:shd w:val="clear" w:color="auto" w:fill="auto"/>
            <w:noWrap/>
            <w:vAlign w:val="center"/>
            <w:hideMark/>
          </w:tcPr>
          <w:p w14:paraId="19E7267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189" w:type="dxa"/>
            <w:shd w:val="clear" w:color="auto" w:fill="auto"/>
            <w:noWrap/>
            <w:vAlign w:val="center"/>
            <w:hideMark/>
          </w:tcPr>
          <w:p w14:paraId="53BA6AC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19E66A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24D5B84A"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360BC6A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585765A2" w14:textId="77777777" w:rsidTr="006F167D">
        <w:trPr>
          <w:trHeight w:val="265"/>
        </w:trPr>
        <w:tc>
          <w:tcPr>
            <w:tcW w:w="1999" w:type="dxa"/>
            <w:shd w:val="clear" w:color="auto" w:fill="auto"/>
            <w:noWrap/>
            <w:vAlign w:val="center"/>
            <w:hideMark/>
          </w:tcPr>
          <w:p w14:paraId="47992630"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Ioversol</w:t>
            </w:r>
            <w:proofErr w:type="spellEnd"/>
          </w:p>
        </w:tc>
        <w:tc>
          <w:tcPr>
            <w:tcW w:w="1149" w:type="dxa"/>
            <w:shd w:val="clear" w:color="auto" w:fill="auto"/>
            <w:noWrap/>
            <w:vAlign w:val="center"/>
            <w:hideMark/>
          </w:tcPr>
          <w:p w14:paraId="595AE99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316" w:type="dxa"/>
            <w:shd w:val="clear" w:color="auto" w:fill="auto"/>
            <w:noWrap/>
            <w:vAlign w:val="center"/>
            <w:hideMark/>
          </w:tcPr>
          <w:p w14:paraId="0FC0EE46"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7781BCC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47343E31"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3A42A941"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2A63F915"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368DB0BE" w14:textId="77777777" w:rsidTr="006F167D">
        <w:trPr>
          <w:trHeight w:val="265"/>
        </w:trPr>
        <w:tc>
          <w:tcPr>
            <w:tcW w:w="9209" w:type="dxa"/>
            <w:gridSpan w:val="7"/>
            <w:shd w:val="clear" w:color="auto" w:fill="auto"/>
            <w:noWrap/>
            <w:vAlign w:val="center"/>
            <w:hideMark/>
          </w:tcPr>
          <w:p w14:paraId="2BE2CAE0"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Protein-pump inhibitor</w:t>
            </w:r>
          </w:p>
        </w:tc>
      </w:tr>
      <w:tr w:rsidR="003D56DD" w:rsidRPr="00F06839" w14:paraId="4070602E" w14:textId="77777777" w:rsidTr="006F167D">
        <w:trPr>
          <w:trHeight w:val="265"/>
        </w:trPr>
        <w:tc>
          <w:tcPr>
            <w:tcW w:w="1999" w:type="dxa"/>
            <w:shd w:val="clear" w:color="auto" w:fill="auto"/>
            <w:noWrap/>
            <w:vAlign w:val="center"/>
            <w:hideMark/>
          </w:tcPr>
          <w:p w14:paraId="74C239C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Esomeprazole</w:t>
            </w:r>
          </w:p>
        </w:tc>
        <w:tc>
          <w:tcPr>
            <w:tcW w:w="1149" w:type="dxa"/>
            <w:shd w:val="clear" w:color="auto" w:fill="auto"/>
            <w:noWrap/>
            <w:vAlign w:val="center"/>
            <w:hideMark/>
          </w:tcPr>
          <w:p w14:paraId="5A30199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025328B4"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4B4D294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6A346E5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787AEF2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1F349CC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070E113B" w14:textId="77777777" w:rsidTr="006F167D">
        <w:trPr>
          <w:trHeight w:val="265"/>
        </w:trPr>
        <w:tc>
          <w:tcPr>
            <w:tcW w:w="1999" w:type="dxa"/>
            <w:shd w:val="clear" w:color="auto" w:fill="auto"/>
            <w:noWrap/>
            <w:vAlign w:val="center"/>
            <w:hideMark/>
          </w:tcPr>
          <w:p w14:paraId="32269A4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Lanzoprazole</w:t>
            </w:r>
            <w:proofErr w:type="spellEnd"/>
          </w:p>
        </w:tc>
        <w:tc>
          <w:tcPr>
            <w:tcW w:w="1149" w:type="dxa"/>
            <w:shd w:val="clear" w:color="auto" w:fill="auto"/>
            <w:noWrap/>
            <w:vAlign w:val="center"/>
            <w:hideMark/>
          </w:tcPr>
          <w:p w14:paraId="0DF9804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37BA8ED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0B05A0C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71F686C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199D63E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007" w:type="dxa"/>
            <w:shd w:val="clear" w:color="auto" w:fill="auto"/>
            <w:noWrap/>
            <w:vAlign w:val="center"/>
            <w:hideMark/>
          </w:tcPr>
          <w:p w14:paraId="460D4B4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r>
      <w:tr w:rsidR="003D56DD" w:rsidRPr="00F06839" w14:paraId="18DA8822" w14:textId="77777777" w:rsidTr="006F167D">
        <w:trPr>
          <w:trHeight w:val="265"/>
        </w:trPr>
        <w:tc>
          <w:tcPr>
            <w:tcW w:w="1999" w:type="dxa"/>
            <w:shd w:val="clear" w:color="auto" w:fill="auto"/>
            <w:noWrap/>
            <w:vAlign w:val="center"/>
            <w:hideMark/>
          </w:tcPr>
          <w:p w14:paraId="41B7B284"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Pantoprazole</w:t>
            </w:r>
          </w:p>
        </w:tc>
        <w:tc>
          <w:tcPr>
            <w:tcW w:w="1149" w:type="dxa"/>
            <w:shd w:val="clear" w:color="auto" w:fill="auto"/>
            <w:noWrap/>
            <w:vAlign w:val="center"/>
            <w:hideMark/>
          </w:tcPr>
          <w:p w14:paraId="3F4840A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51E42FB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3A064C8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1EB3A05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center"/>
            <w:hideMark/>
          </w:tcPr>
          <w:p w14:paraId="6C1B827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center"/>
            <w:hideMark/>
          </w:tcPr>
          <w:p w14:paraId="766842E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694040FA" w14:textId="77777777" w:rsidTr="006F167D">
        <w:trPr>
          <w:trHeight w:val="265"/>
        </w:trPr>
        <w:tc>
          <w:tcPr>
            <w:tcW w:w="9209" w:type="dxa"/>
            <w:gridSpan w:val="7"/>
            <w:shd w:val="clear" w:color="auto" w:fill="auto"/>
            <w:noWrap/>
            <w:vAlign w:val="center"/>
            <w:hideMark/>
          </w:tcPr>
          <w:p w14:paraId="12A54477"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Chemotherapy</w:t>
            </w:r>
          </w:p>
        </w:tc>
      </w:tr>
      <w:tr w:rsidR="003D56DD" w:rsidRPr="00F06839" w14:paraId="4545D4BC" w14:textId="77777777" w:rsidTr="006F167D">
        <w:trPr>
          <w:trHeight w:val="265"/>
        </w:trPr>
        <w:tc>
          <w:tcPr>
            <w:tcW w:w="1999" w:type="dxa"/>
            <w:shd w:val="clear" w:color="auto" w:fill="auto"/>
            <w:noWrap/>
            <w:vAlign w:val="center"/>
            <w:hideMark/>
          </w:tcPr>
          <w:p w14:paraId="6109960D"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Bendamustine</w:t>
            </w:r>
            <w:proofErr w:type="spellEnd"/>
          </w:p>
        </w:tc>
        <w:tc>
          <w:tcPr>
            <w:tcW w:w="1149" w:type="dxa"/>
            <w:shd w:val="clear" w:color="auto" w:fill="auto"/>
            <w:noWrap/>
            <w:vAlign w:val="center"/>
            <w:hideMark/>
          </w:tcPr>
          <w:p w14:paraId="47CE6BC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5508AEB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4922A58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5133FA3D"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213CEBA"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5CEE83DE"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3ACAB1CF" w14:textId="77777777" w:rsidTr="006F167D">
        <w:trPr>
          <w:trHeight w:val="265"/>
        </w:trPr>
        <w:tc>
          <w:tcPr>
            <w:tcW w:w="1999" w:type="dxa"/>
            <w:shd w:val="clear" w:color="auto" w:fill="auto"/>
            <w:noWrap/>
            <w:vAlign w:val="center"/>
            <w:hideMark/>
          </w:tcPr>
          <w:p w14:paraId="22FEF82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w:t>
            </w:r>
            <w:proofErr w:type="spellStart"/>
            <w:r w:rsidRPr="003C0355">
              <w:rPr>
                <w:rFonts w:ascii="Calibri" w:eastAsia="Times New Roman" w:hAnsi="Calibri" w:cs="Times New Roman"/>
                <w:color w:val="000000"/>
                <w:sz w:val="16"/>
                <w:szCs w:val="16"/>
                <w:lang w:eastAsia="en-GB"/>
              </w:rPr>
              <w:t>Cobimetinib</w:t>
            </w:r>
            <w:proofErr w:type="spellEnd"/>
          </w:p>
        </w:tc>
        <w:tc>
          <w:tcPr>
            <w:tcW w:w="1149" w:type="dxa"/>
            <w:shd w:val="clear" w:color="auto" w:fill="auto"/>
            <w:noWrap/>
            <w:vAlign w:val="center"/>
            <w:hideMark/>
          </w:tcPr>
          <w:p w14:paraId="2A82D16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77A9139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2C61959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36B5C1B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75D551DC"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13B25099"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179FCF3" w14:textId="77777777" w:rsidTr="006F167D">
        <w:trPr>
          <w:trHeight w:val="265"/>
        </w:trPr>
        <w:tc>
          <w:tcPr>
            <w:tcW w:w="1999" w:type="dxa"/>
            <w:shd w:val="clear" w:color="auto" w:fill="auto"/>
            <w:noWrap/>
            <w:vAlign w:val="center"/>
            <w:hideMark/>
          </w:tcPr>
          <w:p w14:paraId="0D141CD5"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Lenalidomide</w:t>
            </w:r>
          </w:p>
        </w:tc>
        <w:tc>
          <w:tcPr>
            <w:tcW w:w="1149" w:type="dxa"/>
            <w:shd w:val="clear" w:color="auto" w:fill="auto"/>
            <w:noWrap/>
            <w:vAlign w:val="center"/>
            <w:hideMark/>
          </w:tcPr>
          <w:p w14:paraId="57A2C78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1ACE8AE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00B44EA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203980F5"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9150441"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1651215F"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47044A0D" w14:textId="77777777" w:rsidTr="006F167D">
        <w:trPr>
          <w:trHeight w:val="265"/>
        </w:trPr>
        <w:tc>
          <w:tcPr>
            <w:tcW w:w="1999" w:type="dxa"/>
            <w:shd w:val="clear" w:color="auto" w:fill="auto"/>
            <w:noWrap/>
            <w:vAlign w:val="center"/>
            <w:hideMark/>
          </w:tcPr>
          <w:p w14:paraId="7FE9BC08"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Rituximab</w:t>
            </w:r>
          </w:p>
        </w:tc>
        <w:tc>
          <w:tcPr>
            <w:tcW w:w="1149" w:type="dxa"/>
            <w:shd w:val="clear" w:color="auto" w:fill="auto"/>
            <w:noWrap/>
            <w:vAlign w:val="center"/>
            <w:hideMark/>
          </w:tcPr>
          <w:p w14:paraId="44DF833B"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4DBA3FE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7D31859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6FDEA614"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4B963E55"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5DE22076"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05698A4B" w14:textId="77777777" w:rsidTr="006F167D">
        <w:trPr>
          <w:trHeight w:val="265"/>
        </w:trPr>
        <w:tc>
          <w:tcPr>
            <w:tcW w:w="1999" w:type="dxa"/>
            <w:shd w:val="clear" w:color="auto" w:fill="auto"/>
            <w:noWrap/>
            <w:vAlign w:val="center"/>
            <w:hideMark/>
          </w:tcPr>
          <w:p w14:paraId="0A999FE1"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Vemurafenib</w:t>
            </w:r>
          </w:p>
        </w:tc>
        <w:tc>
          <w:tcPr>
            <w:tcW w:w="1149" w:type="dxa"/>
            <w:shd w:val="clear" w:color="auto" w:fill="auto"/>
            <w:noWrap/>
            <w:vAlign w:val="center"/>
            <w:hideMark/>
          </w:tcPr>
          <w:p w14:paraId="42973555"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3DE5D95E"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w:t>
            </w:r>
          </w:p>
        </w:tc>
        <w:tc>
          <w:tcPr>
            <w:tcW w:w="1189" w:type="dxa"/>
            <w:shd w:val="clear" w:color="auto" w:fill="auto"/>
            <w:noWrap/>
            <w:vAlign w:val="center"/>
            <w:hideMark/>
          </w:tcPr>
          <w:p w14:paraId="35D0BCAC"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center"/>
            <w:hideMark/>
          </w:tcPr>
          <w:p w14:paraId="23E2DDF0"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990" w:type="dxa"/>
            <w:shd w:val="clear" w:color="auto" w:fill="auto"/>
            <w:noWrap/>
            <w:vAlign w:val="center"/>
            <w:hideMark/>
          </w:tcPr>
          <w:p w14:paraId="516916A7"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c>
          <w:tcPr>
            <w:tcW w:w="1007" w:type="dxa"/>
            <w:shd w:val="clear" w:color="auto" w:fill="auto"/>
            <w:noWrap/>
            <w:vAlign w:val="center"/>
            <w:hideMark/>
          </w:tcPr>
          <w:p w14:paraId="4796F609" w14:textId="77777777" w:rsidR="003D56DD" w:rsidRPr="003C0355" w:rsidRDefault="003D56DD" w:rsidP="006F167D">
            <w:pPr>
              <w:spacing w:after="0" w:line="240" w:lineRule="auto"/>
              <w:jc w:val="center"/>
              <w:rPr>
                <w:rFonts w:ascii="Times New Roman" w:eastAsia="Times New Roman" w:hAnsi="Times New Roman" w:cs="Times New Roman"/>
                <w:sz w:val="16"/>
                <w:szCs w:val="16"/>
                <w:lang w:eastAsia="en-GB"/>
              </w:rPr>
            </w:pPr>
          </w:p>
        </w:tc>
      </w:tr>
      <w:tr w:rsidR="003D56DD" w:rsidRPr="00F06839" w14:paraId="22B583CF" w14:textId="77777777" w:rsidTr="006F167D">
        <w:trPr>
          <w:trHeight w:val="265"/>
        </w:trPr>
        <w:tc>
          <w:tcPr>
            <w:tcW w:w="9209" w:type="dxa"/>
            <w:gridSpan w:val="7"/>
            <w:shd w:val="clear" w:color="auto" w:fill="auto"/>
            <w:noWrap/>
            <w:vAlign w:val="center"/>
            <w:hideMark/>
          </w:tcPr>
          <w:p w14:paraId="3CEB1C9D"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r w:rsidRPr="003C0355">
              <w:rPr>
                <w:rFonts w:ascii="Calibri" w:eastAsia="Times New Roman" w:hAnsi="Calibri" w:cs="Times New Roman"/>
                <w:color w:val="000000"/>
                <w:sz w:val="16"/>
                <w:szCs w:val="16"/>
                <w:lang w:eastAsia="en-GB"/>
              </w:rPr>
              <w:t>Other</w:t>
            </w:r>
          </w:p>
        </w:tc>
      </w:tr>
      <w:tr w:rsidR="003D56DD" w:rsidRPr="00F06839" w14:paraId="6A3A6AE9" w14:textId="77777777" w:rsidTr="006F167D">
        <w:trPr>
          <w:trHeight w:val="265"/>
        </w:trPr>
        <w:tc>
          <w:tcPr>
            <w:tcW w:w="1999" w:type="dxa"/>
            <w:shd w:val="clear" w:color="auto" w:fill="auto"/>
            <w:noWrap/>
            <w:vAlign w:val="center"/>
            <w:hideMark/>
          </w:tcPr>
          <w:p w14:paraId="288E6EB2"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Allopurinol</w:t>
            </w:r>
          </w:p>
        </w:tc>
        <w:tc>
          <w:tcPr>
            <w:tcW w:w="1149" w:type="dxa"/>
            <w:shd w:val="clear" w:color="auto" w:fill="auto"/>
            <w:noWrap/>
            <w:vAlign w:val="center"/>
            <w:hideMark/>
          </w:tcPr>
          <w:p w14:paraId="7B397BF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6756137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32</w:t>
            </w:r>
          </w:p>
        </w:tc>
        <w:tc>
          <w:tcPr>
            <w:tcW w:w="1189" w:type="dxa"/>
            <w:shd w:val="clear" w:color="auto" w:fill="auto"/>
            <w:noWrap/>
            <w:vAlign w:val="bottom"/>
            <w:hideMark/>
          </w:tcPr>
          <w:p w14:paraId="6C34A5FF"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bottom"/>
            <w:hideMark/>
          </w:tcPr>
          <w:p w14:paraId="3AD12092"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c>
          <w:tcPr>
            <w:tcW w:w="990" w:type="dxa"/>
            <w:shd w:val="clear" w:color="auto" w:fill="auto"/>
            <w:noWrap/>
            <w:vAlign w:val="bottom"/>
            <w:hideMark/>
          </w:tcPr>
          <w:p w14:paraId="03DB617A"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c>
          <w:tcPr>
            <w:tcW w:w="1007" w:type="dxa"/>
            <w:shd w:val="clear" w:color="auto" w:fill="auto"/>
            <w:noWrap/>
            <w:vAlign w:val="bottom"/>
            <w:hideMark/>
          </w:tcPr>
          <w:p w14:paraId="12373008"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6F1DBCA9" w14:textId="77777777" w:rsidTr="006F167D">
        <w:trPr>
          <w:trHeight w:val="265"/>
        </w:trPr>
        <w:tc>
          <w:tcPr>
            <w:tcW w:w="1999" w:type="dxa"/>
            <w:shd w:val="clear" w:color="auto" w:fill="auto"/>
            <w:noWrap/>
            <w:vAlign w:val="center"/>
            <w:hideMark/>
          </w:tcPr>
          <w:p w14:paraId="5E245BD6"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Amitriptyline</w:t>
            </w:r>
          </w:p>
        </w:tc>
        <w:tc>
          <w:tcPr>
            <w:tcW w:w="1149" w:type="dxa"/>
            <w:shd w:val="clear" w:color="auto" w:fill="auto"/>
            <w:noWrap/>
            <w:vAlign w:val="center"/>
            <w:hideMark/>
          </w:tcPr>
          <w:p w14:paraId="33E40FD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4F415312"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bottom"/>
            <w:hideMark/>
          </w:tcPr>
          <w:p w14:paraId="181CC5D0"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559" w:type="dxa"/>
            <w:shd w:val="clear" w:color="auto" w:fill="auto"/>
            <w:noWrap/>
            <w:vAlign w:val="bottom"/>
            <w:hideMark/>
          </w:tcPr>
          <w:p w14:paraId="22DD8219"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c>
          <w:tcPr>
            <w:tcW w:w="990" w:type="dxa"/>
            <w:shd w:val="clear" w:color="auto" w:fill="auto"/>
            <w:noWrap/>
            <w:vAlign w:val="bottom"/>
            <w:hideMark/>
          </w:tcPr>
          <w:p w14:paraId="26D4C224"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c>
          <w:tcPr>
            <w:tcW w:w="1007" w:type="dxa"/>
            <w:shd w:val="clear" w:color="auto" w:fill="auto"/>
            <w:noWrap/>
            <w:vAlign w:val="bottom"/>
            <w:hideMark/>
          </w:tcPr>
          <w:p w14:paraId="4B289660"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7155F042" w14:textId="77777777" w:rsidTr="006F167D">
        <w:trPr>
          <w:trHeight w:val="265"/>
        </w:trPr>
        <w:tc>
          <w:tcPr>
            <w:tcW w:w="1999" w:type="dxa"/>
            <w:shd w:val="clear" w:color="auto" w:fill="auto"/>
            <w:noWrap/>
            <w:vAlign w:val="center"/>
            <w:hideMark/>
          </w:tcPr>
          <w:p w14:paraId="62DB8CCA"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Nefopam</w:t>
            </w:r>
          </w:p>
        </w:tc>
        <w:tc>
          <w:tcPr>
            <w:tcW w:w="1149" w:type="dxa"/>
            <w:shd w:val="clear" w:color="auto" w:fill="auto"/>
            <w:noWrap/>
            <w:vAlign w:val="center"/>
            <w:hideMark/>
          </w:tcPr>
          <w:p w14:paraId="1BB502B8"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0A35FE7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546F3EB1"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4AC4FFF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bottom"/>
            <w:hideMark/>
          </w:tcPr>
          <w:p w14:paraId="029D7823"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p>
        </w:tc>
        <w:tc>
          <w:tcPr>
            <w:tcW w:w="1007" w:type="dxa"/>
            <w:shd w:val="clear" w:color="auto" w:fill="auto"/>
            <w:noWrap/>
            <w:vAlign w:val="bottom"/>
            <w:hideMark/>
          </w:tcPr>
          <w:p w14:paraId="6E16876A" w14:textId="77777777" w:rsidR="003D56DD" w:rsidRPr="003C0355" w:rsidRDefault="003D56DD" w:rsidP="006F167D">
            <w:pPr>
              <w:spacing w:after="0" w:line="240" w:lineRule="auto"/>
              <w:rPr>
                <w:rFonts w:ascii="Times New Roman" w:eastAsia="Times New Roman" w:hAnsi="Times New Roman" w:cs="Times New Roman"/>
                <w:sz w:val="16"/>
                <w:szCs w:val="16"/>
                <w:lang w:eastAsia="en-GB"/>
              </w:rPr>
            </w:pPr>
          </w:p>
        </w:tc>
      </w:tr>
      <w:tr w:rsidR="003D56DD" w:rsidRPr="00F06839" w14:paraId="1F247890" w14:textId="77777777" w:rsidTr="006F167D">
        <w:trPr>
          <w:trHeight w:val="278"/>
        </w:trPr>
        <w:tc>
          <w:tcPr>
            <w:tcW w:w="1999" w:type="dxa"/>
            <w:shd w:val="clear" w:color="auto" w:fill="auto"/>
            <w:noWrap/>
            <w:vAlign w:val="center"/>
            <w:hideMark/>
          </w:tcPr>
          <w:p w14:paraId="08EF0366"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xml:space="preserve">   Ondansetron</w:t>
            </w:r>
          </w:p>
        </w:tc>
        <w:tc>
          <w:tcPr>
            <w:tcW w:w="1149" w:type="dxa"/>
            <w:shd w:val="clear" w:color="auto" w:fill="auto"/>
            <w:noWrap/>
            <w:vAlign w:val="center"/>
            <w:hideMark/>
          </w:tcPr>
          <w:p w14:paraId="5462176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316" w:type="dxa"/>
            <w:shd w:val="clear" w:color="auto" w:fill="auto"/>
            <w:noWrap/>
            <w:vAlign w:val="center"/>
            <w:hideMark/>
          </w:tcPr>
          <w:p w14:paraId="5229935A"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1189" w:type="dxa"/>
            <w:shd w:val="clear" w:color="auto" w:fill="auto"/>
            <w:noWrap/>
            <w:vAlign w:val="center"/>
            <w:hideMark/>
          </w:tcPr>
          <w:p w14:paraId="2006CCF9"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0</w:t>
            </w:r>
          </w:p>
        </w:tc>
        <w:tc>
          <w:tcPr>
            <w:tcW w:w="1559" w:type="dxa"/>
            <w:shd w:val="clear" w:color="auto" w:fill="auto"/>
            <w:noWrap/>
            <w:vAlign w:val="center"/>
            <w:hideMark/>
          </w:tcPr>
          <w:p w14:paraId="3FF227CD" w14:textId="77777777" w:rsidR="003D56DD" w:rsidRPr="003C0355" w:rsidRDefault="003D56DD" w:rsidP="006F167D">
            <w:pPr>
              <w:spacing w:after="0" w:line="240" w:lineRule="auto"/>
              <w:jc w:val="center"/>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1</w:t>
            </w:r>
          </w:p>
        </w:tc>
        <w:tc>
          <w:tcPr>
            <w:tcW w:w="990" w:type="dxa"/>
            <w:shd w:val="clear" w:color="auto" w:fill="auto"/>
            <w:noWrap/>
            <w:vAlign w:val="bottom"/>
            <w:hideMark/>
          </w:tcPr>
          <w:p w14:paraId="47EDB7EB"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w:t>
            </w:r>
          </w:p>
        </w:tc>
        <w:tc>
          <w:tcPr>
            <w:tcW w:w="1007" w:type="dxa"/>
            <w:shd w:val="clear" w:color="auto" w:fill="auto"/>
            <w:noWrap/>
            <w:vAlign w:val="bottom"/>
            <w:hideMark/>
          </w:tcPr>
          <w:p w14:paraId="05B5810D"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 </w:t>
            </w:r>
          </w:p>
        </w:tc>
      </w:tr>
      <w:tr w:rsidR="003D56DD" w:rsidRPr="00F06839" w14:paraId="262C66D1" w14:textId="77777777" w:rsidTr="006F167D">
        <w:trPr>
          <w:trHeight w:val="265"/>
        </w:trPr>
        <w:tc>
          <w:tcPr>
            <w:tcW w:w="1999" w:type="dxa"/>
            <w:shd w:val="clear" w:color="auto" w:fill="E7E6E6" w:themeFill="background2"/>
            <w:noWrap/>
            <w:vAlign w:val="bottom"/>
            <w:hideMark/>
          </w:tcPr>
          <w:p w14:paraId="5531DF90" w14:textId="77777777" w:rsidR="003D56DD" w:rsidRPr="003C0355" w:rsidRDefault="003D56DD" w:rsidP="006F167D">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Total</w:t>
            </w:r>
          </w:p>
        </w:tc>
        <w:tc>
          <w:tcPr>
            <w:tcW w:w="1149" w:type="dxa"/>
            <w:shd w:val="clear" w:color="auto" w:fill="E7E6E6" w:themeFill="background2"/>
            <w:noWrap/>
            <w:vAlign w:val="bottom"/>
            <w:hideMark/>
          </w:tcPr>
          <w:p w14:paraId="755A7A71" w14:textId="77777777" w:rsidR="003D56DD" w:rsidRPr="003C0355" w:rsidRDefault="003D56DD" w:rsidP="006F167D">
            <w:pPr>
              <w:spacing w:after="0" w:line="240" w:lineRule="auto"/>
              <w:jc w:val="right"/>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9</w:t>
            </w:r>
            <w:r>
              <w:rPr>
                <w:rFonts w:ascii="Calibri" w:eastAsia="Times New Roman" w:hAnsi="Calibri" w:cs="Times New Roman"/>
                <w:color w:val="000000"/>
                <w:sz w:val="16"/>
                <w:szCs w:val="16"/>
                <w:lang w:eastAsia="en-GB"/>
              </w:rPr>
              <w:t>5</w:t>
            </w:r>
          </w:p>
        </w:tc>
        <w:tc>
          <w:tcPr>
            <w:tcW w:w="1316" w:type="dxa"/>
            <w:shd w:val="clear" w:color="auto" w:fill="E7E6E6" w:themeFill="background2"/>
            <w:noWrap/>
            <w:vAlign w:val="bottom"/>
            <w:hideMark/>
          </w:tcPr>
          <w:p w14:paraId="2B1826CE" w14:textId="77777777" w:rsidR="003D56DD" w:rsidRPr="003C0355" w:rsidRDefault="003D56DD" w:rsidP="006F167D">
            <w:pPr>
              <w:spacing w:after="0" w:line="240" w:lineRule="auto"/>
              <w:jc w:val="right"/>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21</w:t>
            </w:r>
            <w:r>
              <w:rPr>
                <w:rFonts w:ascii="Calibri" w:eastAsia="Times New Roman" w:hAnsi="Calibri" w:cs="Times New Roman"/>
                <w:color w:val="000000"/>
                <w:sz w:val="16"/>
                <w:szCs w:val="16"/>
                <w:lang w:eastAsia="en-GB"/>
              </w:rPr>
              <w:t>7</w:t>
            </w:r>
          </w:p>
        </w:tc>
        <w:tc>
          <w:tcPr>
            <w:tcW w:w="1189" w:type="dxa"/>
            <w:shd w:val="clear" w:color="auto" w:fill="E7E6E6" w:themeFill="background2"/>
            <w:noWrap/>
            <w:vAlign w:val="bottom"/>
            <w:hideMark/>
          </w:tcPr>
          <w:p w14:paraId="58957A16" w14:textId="77777777" w:rsidR="003D56DD" w:rsidRPr="003C0355"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21</w:t>
            </w:r>
          </w:p>
        </w:tc>
        <w:tc>
          <w:tcPr>
            <w:tcW w:w="1559" w:type="dxa"/>
            <w:shd w:val="clear" w:color="auto" w:fill="E7E6E6" w:themeFill="background2"/>
            <w:noWrap/>
            <w:vAlign w:val="bottom"/>
            <w:hideMark/>
          </w:tcPr>
          <w:p w14:paraId="7979823E" w14:textId="77777777" w:rsidR="003D56DD" w:rsidRPr="003C0355" w:rsidRDefault="003D56DD" w:rsidP="006F167D">
            <w:pPr>
              <w:spacing w:after="0" w:line="240" w:lineRule="auto"/>
              <w:jc w:val="right"/>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52</w:t>
            </w:r>
          </w:p>
        </w:tc>
        <w:tc>
          <w:tcPr>
            <w:tcW w:w="990" w:type="dxa"/>
            <w:shd w:val="clear" w:color="auto" w:fill="E7E6E6" w:themeFill="background2"/>
            <w:noWrap/>
            <w:vAlign w:val="bottom"/>
            <w:hideMark/>
          </w:tcPr>
          <w:p w14:paraId="45868613" w14:textId="77777777" w:rsidR="003D56DD" w:rsidRPr="003C0355" w:rsidRDefault="003D56DD" w:rsidP="006F167D">
            <w:pPr>
              <w:spacing w:after="0" w:line="240" w:lineRule="auto"/>
              <w:jc w:val="right"/>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2</w:t>
            </w:r>
          </w:p>
        </w:tc>
        <w:tc>
          <w:tcPr>
            <w:tcW w:w="1007" w:type="dxa"/>
            <w:shd w:val="clear" w:color="auto" w:fill="E7E6E6" w:themeFill="background2"/>
            <w:noWrap/>
            <w:vAlign w:val="bottom"/>
            <w:hideMark/>
          </w:tcPr>
          <w:p w14:paraId="54D262FD" w14:textId="77777777" w:rsidR="003D56DD" w:rsidRPr="003C0355" w:rsidRDefault="003D56DD" w:rsidP="006F167D">
            <w:pPr>
              <w:spacing w:after="0" w:line="240" w:lineRule="auto"/>
              <w:jc w:val="right"/>
              <w:rPr>
                <w:rFonts w:ascii="Calibri" w:eastAsia="Times New Roman" w:hAnsi="Calibri" w:cs="Times New Roman"/>
                <w:color w:val="000000"/>
                <w:sz w:val="16"/>
                <w:szCs w:val="16"/>
                <w:lang w:eastAsia="en-GB"/>
              </w:rPr>
            </w:pPr>
            <w:r w:rsidRPr="003C0355">
              <w:rPr>
                <w:rFonts w:ascii="Calibri" w:eastAsia="Times New Roman" w:hAnsi="Calibri" w:cs="Times New Roman"/>
                <w:color w:val="000000"/>
                <w:sz w:val="16"/>
                <w:szCs w:val="16"/>
                <w:lang w:eastAsia="en-GB"/>
              </w:rPr>
              <w:t>7</w:t>
            </w:r>
          </w:p>
        </w:tc>
      </w:tr>
    </w:tbl>
    <w:p w14:paraId="107130C7" w14:textId="77777777" w:rsidR="003D56DD" w:rsidRDefault="003D56DD">
      <w:pPr>
        <w:rPr>
          <w:rFonts w:ascii="Arial" w:hAnsi="Arial" w:cs="Arial"/>
          <w:sz w:val="24"/>
          <w:szCs w:val="24"/>
        </w:rPr>
      </w:pPr>
    </w:p>
    <w:p w14:paraId="0B2590FD" w14:textId="77777777" w:rsidR="002A166F" w:rsidRDefault="002A166F">
      <w:pPr>
        <w:rPr>
          <w:rFonts w:ascii="Arial" w:hAnsi="Arial" w:cs="Arial"/>
          <w:b/>
          <w:bCs/>
          <w:sz w:val="20"/>
          <w:szCs w:val="20"/>
        </w:rPr>
      </w:pPr>
      <w:r>
        <w:rPr>
          <w:rFonts w:ascii="Arial" w:hAnsi="Arial" w:cs="Arial"/>
          <w:b/>
          <w:bCs/>
          <w:sz w:val="20"/>
          <w:szCs w:val="20"/>
        </w:rPr>
        <w:br w:type="page"/>
      </w:r>
    </w:p>
    <w:p w14:paraId="6168F564" w14:textId="69CA2620" w:rsidR="003D56DD" w:rsidRPr="00F45E4D" w:rsidRDefault="003D56DD" w:rsidP="004D5A62">
      <w:pPr>
        <w:rPr>
          <w:rFonts w:ascii="Arial" w:hAnsi="Arial" w:cs="Arial"/>
          <w:b/>
          <w:bCs/>
          <w:sz w:val="20"/>
          <w:szCs w:val="20"/>
        </w:rPr>
      </w:pPr>
      <w:r w:rsidRPr="00F45E4D">
        <w:rPr>
          <w:rFonts w:ascii="Arial" w:hAnsi="Arial" w:cs="Arial"/>
          <w:b/>
          <w:bCs/>
          <w:sz w:val="20"/>
          <w:szCs w:val="20"/>
        </w:rPr>
        <w:lastRenderedPageBreak/>
        <w:t xml:space="preserve">Table </w:t>
      </w:r>
      <w:r>
        <w:rPr>
          <w:rFonts w:ascii="Arial" w:hAnsi="Arial" w:cs="Arial"/>
          <w:b/>
          <w:bCs/>
          <w:sz w:val="20"/>
          <w:szCs w:val="20"/>
        </w:rPr>
        <w:t>6</w:t>
      </w:r>
      <w:r w:rsidRPr="00F45E4D">
        <w:rPr>
          <w:rFonts w:ascii="Arial" w:hAnsi="Arial" w:cs="Arial"/>
          <w:b/>
          <w:bCs/>
          <w:sz w:val="20"/>
          <w:szCs w:val="20"/>
        </w:rPr>
        <w:t>. Challenge test to cross-reactive reactions on skin tests</w:t>
      </w:r>
    </w:p>
    <w:tbl>
      <w:tblPr>
        <w:tblStyle w:val="TableGrid"/>
        <w:tblW w:w="0" w:type="auto"/>
        <w:tblInd w:w="360" w:type="dxa"/>
        <w:tblLook w:val="04A0" w:firstRow="1" w:lastRow="0" w:firstColumn="1" w:lastColumn="0" w:noHBand="0" w:noVBand="1"/>
      </w:tblPr>
      <w:tblGrid>
        <w:gridCol w:w="1514"/>
        <w:gridCol w:w="394"/>
        <w:gridCol w:w="1228"/>
        <w:gridCol w:w="1487"/>
        <w:gridCol w:w="2028"/>
        <w:gridCol w:w="1038"/>
        <w:gridCol w:w="967"/>
      </w:tblGrid>
      <w:tr w:rsidR="003D56DD" w:rsidRPr="000F6F64" w14:paraId="19B0B0BD" w14:textId="77777777" w:rsidTr="009F0018">
        <w:tc>
          <w:tcPr>
            <w:tcW w:w="1540" w:type="dxa"/>
            <w:shd w:val="clear" w:color="auto" w:fill="E7E6E6" w:themeFill="background2"/>
          </w:tcPr>
          <w:p w14:paraId="129AF8E3" w14:textId="77777777" w:rsidR="003D56DD" w:rsidRPr="000F6F64" w:rsidRDefault="003D56DD" w:rsidP="00CB290F">
            <w:pPr>
              <w:rPr>
                <w:rFonts w:ascii="Arial" w:hAnsi="Arial" w:cs="Arial"/>
                <w:sz w:val="18"/>
                <w:szCs w:val="18"/>
              </w:rPr>
            </w:pPr>
          </w:p>
        </w:tc>
        <w:tc>
          <w:tcPr>
            <w:tcW w:w="397" w:type="dxa"/>
            <w:shd w:val="clear" w:color="auto" w:fill="E7E6E6" w:themeFill="background2"/>
          </w:tcPr>
          <w:p w14:paraId="5E4AE418" w14:textId="77777777" w:rsidR="003D56DD" w:rsidRPr="000F6F64" w:rsidRDefault="003D56DD" w:rsidP="00CB290F">
            <w:pPr>
              <w:rPr>
                <w:rFonts w:ascii="Arial" w:hAnsi="Arial" w:cs="Arial"/>
                <w:sz w:val="18"/>
                <w:szCs w:val="18"/>
                <w:highlight w:val="cyan"/>
              </w:rPr>
            </w:pPr>
            <w:r w:rsidRPr="000F6F64">
              <w:rPr>
                <w:rFonts w:ascii="Arial" w:hAnsi="Arial" w:cs="Arial"/>
                <w:b/>
                <w:bCs/>
                <w:sz w:val="18"/>
                <w:szCs w:val="18"/>
              </w:rPr>
              <w:t>n</w:t>
            </w:r>
          </w:p>
        </w:tc>
        <w:tc>
          <w:tcPr>
            <w:tcW w:w="1235" w:type="dxa"/>
            <w:shd w:val="clear" w:color="auto" w:fill="E7E6E6" w:themeFill="background2"/>
          </w:tcPr>
          <w:p w14:paraId="7A1D5F6E" w14:textId="77777777" w:rsidR="003D56DD" w:rsidRPr="000F6F64" w:rsidRDefault="003D56DD" w:rsidP="00CB290F">
            <w:pPr>
              <w:rPr>
                <w:rFonts w:ascii="Arial" w:hAnsi="Arial" w:cs="Arial"/>
                <w:sz w:val="18"/>
                <w:szCs w:val="18"/>
                <w:highlight w:val="cyan"/>
              </w:rPr>
            </w:pPr>
            <w:r w:rsidRPr="000F6F64">
              <w:rPr>
                <w:rFonts w:ascii="Arial" w:hAnsi="Arial" w:cs="Arial"/>
                <w:b/>
                <w:bCs/>
                <w:sz w:val="18"/>
                <w:szCs w:val="18"/>
              </w:rPr>
              <w:t>Challenge outcome</w:t>
            </w:r>
          </w:p>
        </w:tc>
        <w:tc>
          <w:tcPr>
            <w:tcW w:w="1417" w:type="dxa"/>
            <w:shd w:val="clear" w:color="auto" w:fill="E7E6E6" w:themeFill="background2"/>
          </w:tcPr>
          <w:p w14:paraId="53E302AF" w14:textId="77777777" w:rsidR="003D56DD" w:rsidRPr="000F6F64" w:rsidRDefault="003D56DD" w:rsidP="00CB290F">
            <w:pPr>
              <w:rPr>
                <w:rFonts w:ascii="Arial" w:hAnsi="Arial" w:cs="Arial"/>
                <w:b/>
                <w:bCs/>
                <w:sz w:val="18"/>
                <w:szCs w:val="18"/>
              </w:rPr>
            </w:pPr>
            <w:r>
              <w:rPr>
                <w:rFonts w:ascii="Arial" w:hAnsi="Arial" w:cs="Arial"/>
                <w:b/>
                <w:bCs/>
                <w:sz w:val="18"/>
                <w:szCs w:val="18"/>
              </w:rPr>
              <w:t>Initial culprit drug</w:t>
            </w:r>
          </w:p>
        </w:tc>
        <w:tc>
          <w:tcPr>
            <w:tcW w:w="2055" w:type="dxa"/>
            <w:shd w:val="clear" w:color="auto" w:fill="E7E6E6" w:themeFill="background2"/>
          </w:tcPr>
          <w:p w14:paraId="46EADA00" w14:textId="77777777" w:rsidR="003D56DD" w:rsidRPr="003D56DD" w:rsidRDefault="003D56DD" w:rsidP="00CB290F">
            <w:pPr>
              <w:rPr>
                <w:rFonts w:ascii="Arial" w:hAnsi="Arial" w:cs="Arial"/>
                <w:b/>
                <w:bCs/>
                <w:sz w:val="18"/>
                <w:szCs w:val="18"/>
                <w:highlight w:val="cyan"/>
              </w:rPr>
            </w:pPr>
            <w:r w:rsidRPr="003D56DD">
              <w:rPr>
                <w:rFonts w:ascii="Arial" w:hAnsi="Arial" w:cs="Arial"/>
                <w:b/>
                <w:bCs/>
                <w:sz w:val="18"/>
                <w:szCs w:val="18"/>
              </w:rPr>
              <w:t>Challenged drug</w:t>
            </w:r>
          </w:p>
        </w:tc>
        <w:tc>
          <w:tcPr>
            <w:tcW w:w="1043" w:type="dxa"/>
            <w:shd w:val="clear" w:color="auto" w:fill="E7E6E6" w:themeFill="background2"/>
          </w:tcPr>
          <w:p w14:paraId="3ABA1774" w14:textId="77777777" w:rsidR="003D56DD" w:rsidRPr="000F6F64" w:rsidRDefault="003D56DD" w:rsidP="00CB290F">
            <w:pPr>
              <w:rPr>
                <w:rFonts w:ascii="Arial" w:hAnsi="Arial" w:cs="Arial"/>
                <w:sz w:val="18"/>
                <w:szCs w:val="18"/>
                <w:highlight w:val="cyan"/>
              </w:rPr>
            </w:pPr>
            <w:r w:rsidRPr="000F6F64">
              <w:rPr>
                <w:rFonts w:ascii="Arial" w:hAnsi="Arial" w:cs="Arial"/>
                <w:b/>
                <w:bCs/>
                <w:sz w:val="18"/>
                <w:szCs w:val="18"/>
              </w:rPr>
              <w:t>PT result</w:t>
            </w:r>
          </w:p>
        </w:tc>
        <w:tc>
          <w:tcPr>
            <w:tcW w:w="969" w:type="dxa"/>
            <w:shd w:val="clear" w:color="auto" w:fill="E7E6E6" w:themeFill="background2"/>
          </w:tcPr>
          <w:p w14:paraId="102294BC" w14:textId="77777777" w:rsidR="003D56DD" w:rsidRPr="000F6F64" w:rsidRDefault="003D56DD" w:rsidP="00CB290F">
            <w:pPr>
              <w:rPr>
                <w:rFonts w:ascii="Arial" w:hAnsi="Arial" w:cs="Arial"/>
                <w:sz w:val="18"/>
                <w:szCs w:val="18"/>
                <w:highlight w:val="cyan"/>
              </w:rPr>
            </w:pPr>
            <w:r w:rsidRPr="000F6F64">
              <w:rPr>
                <w:rFonts w:ascii="Arial" w:hAnsi="Arial" w:cs="Arial"/>
                <w:b/>
                <w:bCs/>
                <w:sz w:val="18"/>
                <w:szCs w:val="18"/>
              </w:rPr>
              <w:t>IDT result</w:t>
            </w:r>
          </w:p>
        </w:tc>
      </w:tr>
      <w:tr w:rsidR="003D56DD" w:rsidRPr="000F6F64" w14:paraId="078EF658" w14:textId="77777777" w:rsidTr="009F0018">
        <w:tc>
          <w:tcPr>
            <w:tcW w:w="1540" w:type="dxa"/>
          </w:tcPr>
          <w:p w14:paraId="2A78FE3B" w14:textId="77777777" w:rsidR="003D56DD" w:rsidRPr="000F6F64" w:rsidRDefault="003D56DD" w:rsidP="00CB290F">
            <w:pPr>
              <w:rPr>
                <w:rFonts w:ascii="Arial" w:hAnsi="Arial" w:cs="Arial"/>
                <w:sz w:val="18"/>
                <w:szCs w:val="18"/>
              </w:rPr>
            </w:pPr>
            <w:r w:rsidRPr="000F6F64">
              <w:rPr>
                <w:rFonts w:ascii="Arial" w:hAnsi="Arial" w:cs="Arial"/>
                <w:sz w:val="18"/>
                <w:szCs w:val="18"/>
              </w:rPr>
              <w:t>Caba</w:t>
            </w:r>
            <w:r>
              <w:rPr>
                <w:rFonts w:ascii="Arial" w:hAnsi="Arial" w:cs="Arial"/>
                <w:sz w:val="18"/>
                <w:szCs w:val="18"/>
              </w:rPr>
              <w:t>ñ</w:t>
            </w:r>
            <w:r w:rsidRPr="000F6F64">
              <w:rPr>
                <w:rFonts w:ascii="Arial" w:hAnsi="Arial" w:cs="Arial"/>
                <w:sz w:val="18"/>
                <w:szCs w:val="18"/>
              </w:rPr>
              <w:t>as et al. 2014</w:t>
            </w:r>
          </w:p>
        </w:tc>
        <w:tc>
          <w:tcPr>
            <w:tcW w:w="397" w:type="dxa"/>
          </w:tcPr>
          <w:p w14:paraId="7EBDE06A" w14:textId="77777777" w:rsidR="003D56DD" w:rsidRPr="000F6F64" w:rsidRDefault="003D56DD" w:rsidP="00CB290F">
            <w:pPr>
              <w:rPr>
                <w:rFonts w:ascii="Arial" w:hAnsi="Arial" w:cs="Arial"/>
                <w:bCs/>
                <w:sz w:val="18"/>
                <w:szCs w:val="18"/>
              </w:rPr>
            </w:pPr>
            <w:r w:rsidRPr="000F6F64">
              <w:rPr>
                <w:rFonts w:ascii="Arial" w:hAnsi="Arial" w:cs="Arial"/>
                <w:bCs/>
                <w:sz w:val="18"/>
                <w:szCs w:val="18"/>
              </w:rPr>
              <w:t>1</w:t>
            </w:r>
          </w:p>
        </w:tc>
        <w:tc>
          <w:tcPr>
            <w:tcW w:w="1235" w:type="dxa"/>
          </w:tcPr>
          <w:p w14:paraId="5557518C" w14:textId="77777777" w:rsidR="003D56DD" w:rsidRPr="000F6F64" w:rsidRDefault="003D56DD" w:rsidP="00CB290F">
            <w:pPr>
              <w:rPr>
                <w:rFonts w:ascii="Arial" w:hAnsi="Arial" w:cs="Arial"/>
                <w:bCs/>
                <w:sz w:val="18"/>
                <w:szCs w:val="18"/>
              </w:rPr>
            </w:pPr>
            <w:r w:rsidRPr="000F6F64">
              <w:rPr>
                <w:rFonts w:ascii="Arial" w:hAnsi="Arial" w:cs="Arial"/>
                <w:bCs/>
                <w:sz w:val="18"/>
                <w:szCs w:val="18"/>
              </w:rPr>
              <w:t>Tolerated</w:t>
            </w:r>
          </w:p>
        </w:tc>
        <w:tc>
          <w:tcPr>
            <w:tcW w:w="1417" w:type="dxa"/>
          </w:tcPr>
          <w:p w14:paraId="11E03843" w14:textId="77777777" w:rsidR="003D56DD" w:rsidRPr="000F6F64" w:rsidRDefault="003D56DD" w:rsidP="00CB290F">
            <w:pPr>
              <w:rPr>
                <w:rFonts w:ascii="Arial" w:hAnsi="Arial" w:cs="Arial"/>
                <w:bCs/>
                <w:sz w:val="18"/>
                <w:szCs w:val="18"/>
              </w:rPr>
            </w:pPr>
            <w:r>
              <w:rPr>
                <w:rFonts w:ascii="Arial" w:hAnsi="Arial" w:cs="Arial"/>
                <w:bCs/>
                <w:sz w:val="18"/>
                <w:szCs w:val="18"/>
              </w:rPr>
              <w:t>Piperacillin-tazobactam</w:t>
            </w:r>
          </w:p>
        </w:tc>
        <w:tc>
          <w:tcPr>
            <w:tcW w:w="2055" w:type="dxa"/>
          </w:tcPr>
          <w:p w14:paraId="61DB11FE" w14:textId="77777777" w:rsidR="003D56DD" w:rsidRPr="000F6F64" w:rsidRDefault="003D56DD" w:rsidP="00CB290F">
            <w:pPr>
              <w:rPr>
                <w:rFonts w:ascii="Arial" w:hAnsi="Arial" w:cs="Arial"/>
                <w:bCs/>
                <w:sz w:val="18"/>
                <w:szCs w:val="18"/>
              </w:rPr>
            </w:pPr>
            <w:r w:rsidRPr="000F6F64">
              <w:rPr>
                <w:rFonts w:ascii="Arial" w:hAnsi="Arial" w:cs="Arial"/>
                <w:bCs/>
                <w:sz w:val="18"/>
                <w:szCs w:val="18"/>
              </w:rPr>
              <w:t>Meropenem</w:t>
            </w:r>
          </w:p>
        </w:tc>
        <w:tc>
          <w:tcPr>
            <w:tcW w:w="1043" w:type="dxa"/>
          </w:tcPr>
          <w:p w14:paraId="2C4E2B32" w14:textId="77777777" w:rsidR="003D56DD" w:rsidRPr="000F6F64" w:rsidRDefault="003D56DD" w:rsidP="00CB290F">
            <w:pPr>
              <w:rPr>
                <w:rFonts w:ascii="Arial" w:hAnsi="Arial" w:cs="Arial"/>
                <w:bCs/>
                <w:sz w:val="18"/>
                <w:szCs w:val="18"/>
              </w:rPr>
            </w:pPr>
            <w:r w:rsidRPr="000F6F64">
              <w:rPr>
                <w:rFonts w:ascii="Arial" w:hAnsi="Arial" w:cs="Arial"/>
                <w:bCs/>
                <w:sz w:val="18"/>
                <w:szCs w:val="18"/>
              </w:rPr>
              <w:t>Negative</w:t>
            </w:r>
          </w:p>
        </w:tc>
        <w:tc>
          <w:tcPr>
            <w:tcW w:w="969" w:type="dxa"/>
          </w:tcPr>
          <w:p w14:paraId="4DDBE28C" w14:textId="77777777" w:rsidR="003D56DD" w:rsidRPr="000F6F64" w:rsidRDefault="003D56DD" w:rsidP="00CB290F">
            <w:pPr>
              <w:rPr>
                <w:rFonts w:ascii="Arial" w:hAnsi="Arial" w:cs="Arial"/>
                <w:bCs/>
                <w:sz w:val="18"/>
                <w:szCs w:val="18"/>
              </w:rPr>
            </w:pPr>
            <w:r w:rsidRPr="000F6F64">
              <w:rPr>
                <w:rFonts w:ascii="Arial" w:hAnsi="Arial" w:cs="Arial"/>
                <w:bCs/>
                <w:sz w:val="18"/>
                <w:szCs w:val="18"/>
              </w:rPr>
              <w:t>Negative</w:t>
            </w:r>
          </w:p>
        </w:tc>
      </w:tr>
      <w:tr w:rsidR="003D56DD" w:rsidRPr="000F6F64" w14:paraId="2927A293" w14:textId="77777777" w:rsidTr="009F0018">
        <w:tc>
          <w:tcPr>
            <w:tcW w:w="1540" w:type="dxa"/>
            <w:vMerge w:val="restart"/>
          </w:tcPr>
          <w:p w14:paraId="128D4D83" w14:textId="77777777" w:rsidR="003D56DD" w:rsidRPr="000F6F64" w:rsidRDefault="003D56DD" w:rsidP="00CB290F">
            <w:pPr>
              <w:rPr>
                <w:rFonts w:ascii="Arial" w:hAnsi="Arial" w:cs="Arial"/>
                <w:sz w:val="18"/>
                <w:szCs w:val="18"/>
              </w:rPr>
            </w:pPr>
            <w:r w:rsidRPr="000F6F64">
              <w:rPr>
                <w:rFonts w:ascii="Arial" w:hAnsi="Arial" w:cs="Arial"/>
                <w:sz w:val="18"/>
                <w:szCs w:val="18"/>
              </w:rPr>
              <w:t>Lin et al. 2013</w:t>
            </w:r>
          </w:p>
        </w:tc>
        <w:tc>
          <w:tcPr>
            <w:tcW w:w="397" w:type="dxa"/>
            <w:vMerge w:val="restart"/>
          </w:tcPr>
          <w:p w14:paraId="51E34F43" w14:textId="77777777" w:rsidR="003D56DD" w:rsidRPr="000F6F64" w:rsidRDefault="003D56DD" w:rsidP="00CB290F">
            <w:pPr>
              <w:rPr>
                <w:rFonts w:ascii="Arial" w:hAnsi="Arial" w:cs="Arial"/>
                <w:sz w:val="18"/>
                <w:szCs w:val="18"/>
              </w:rPr>
            </w:pPr>
            <w:r w:rsidRPr="000F6F64">
              <w:rPr>
                <w:rFonts w:ascii="Arial" w:hAnsi="Arial" w:cs="Arial"/>
                <w:sz w:val="18"/>
                <w:szCs w:val="18"/>
              </w:rPr>
              <w:t>3</w:t>
            </w:r>
          </w:p>
        </w:tc>
        <w:tc>
          <w:tcPr>
            <w:tcW w:w="1235" w:type="dxa"/>
          </w:tcPr>
          <w:p w14:paraId="1864B1C8" w14:textId="77777777" w:rsidR="003D56DD" w:rsidRPr="000F6F64" w:rsidRDefault="003D56DD" w:rsidP="00CB290F">
            <w:pPr>
              <w:rPr>
                <w:rFonts w:ascii="Arial" w:hAnsi="Arial" w:cs="Arial"/>
                <w:sz w:val="18"/>
                <w:szCs w:val="18"/>
              </w:rPr>
            </w:pPr>
            <w:r w:rsidRPr="000F6F64">
              <w:rPr>
                <w:rFonts w:ascii="Arial" w:hAnsi="Arial" w:cs="Arial"/>
                <w:sz w:val="18"/>
                <w:szCs w:val="18"/>
              </w:rPr>
              <w:t>Exanthem</w:t>
            </w:r>
          </w:p>
        </w:tc>
        <w:tc>
          <w:tcPr>
            <w:tcW w:w="1417" w:type="dxa"/>
          </w:tcPr>
          <w:p w14:paraId="6A050378" w14:textId="77777777" w:rsidR="003D56DD" w:rsidRPr="000F6F64" w:rsidRDefault="003D56DD" w:rsidP="00CB290F">
            <w:pPr>
              <w:rPr>
                <w:rFonts w:ascii="Arial" w:hAnsi="Arial" w:cs="Arial"/>
                <w:sz w:val="18"/>
                <w:szCs w:val="18"/>
              </w:rPr>
            </w:pPr>
            <w:r>
              <w:rPr>
                <w:rFonts w:ascii="Arial" w:hAnsi="Arial" w:cs="Arial"/>
                <w:sz w:val="18"/>
                <w:szCs w:val="18"/>
              </w:rPr>
              <w:t>Carbamazepine</w:t>
            </w:r>
          </w:p>
        </w:tc>
        <w:tc>
          <w:tcPr>
            <w:tcW w:w="2055" w:type="dxa"/>
          </w:tcPr>
          <w:p w14:paraId="5D630D2D" w14:textId="77777777" w:rsidR="003D56DD" w:rsidRPr="000F6F64" w:rsidRDefault="003D56DD" w:rsidP="00CB290F">
            <w:pPr>
              <w:rPr>
                <w:rFonts w:ascii="Arial" w:hAnsi="Arial" w:cs="Arial"/>
                <w:sz w:val="18"/>
                <w:szCs w:val="18"/>
              </w:rPr>
            </w:pPr>
            <w:r w:rsidRPr="000F6F64">
              <w:rPr>
                <w:rFonts w:ascii="Arial" w:hAnsi="Arial" w:cs="Arial"/>
                <w:sz w:val="18"/>
                <w:szCs w:val="18"/>
              </w:rPr>
              <w:t xml:space="preserve">Oxcarbazepine </w:t>
            </w:r>
          </w:p>
          <w:p w14:paraId="3BFD577B" w14:textId="77777777" w:rsidR="003D56DD" w:rsidRPr="000F6F64" w:rsidRDefault="003D56DD" w:rsidP="00CB290F">
            <w:pPr>
              <w:rPr>
                <w:rFonts w:ascii="Arial" w:hAnsi="Arial" w:cs="Arial"/>
                <w:sz w:val="18"/>
                <w:szCs w:val="18"/>
              </w:rPr>
            </w:pPr>
          </w:p>
        </w:tc>
        <w:tc>
          <w:tcPr>
            <w:tcW w:w="1043" w:type="dxa"/>
          </w:tcPr>
          <w:p w14:paraId="0111E540" w14:textId="77777777" w:rsidR="003D56DD" w:rsidRPr="000F6F64" w:rsidRDefault="003D56DD" w:rsidP="00CB290F">
            <w:pPr>
              <w:rPr>
                <w:rFonts w:ascii="Arial" w:hAnsi="Arial" w:cs="Arial"/>
                <w:sz w:val="18"/>
                <w:szCs w:val="18"/>
              </w:rPr>
            </w:pPr>
            <w:r w:rsidRPr="000F6F64">
              <w:rPr>
                <w:rFonts w:ascii="Arial" w:hAnsi="Arial" w:cs="Arial"/>
                <w:sz w:val="18"/>
                <w:szCs w:val="18"/>
              </w:rPr>
              <w:t>Positive</w:t>
            </w:r>
          </w:p>
        </w:tc>
        <w:tc>
          <w:tcPr>
            <w:tcW w:w="969" w:type="dxa"/>
          </w:tcPr>
          <w:p w14:paraId="26947A61" w14:textId="77777777" w:rsidR="003D56DD" w:rsidRPr="000F6F64" w:rsidRDefault="003D56DD" w:rsidP="00CB290F">
            <w:pPr>
              <w:rPr>
                <w:rFonts w:ascii="Arial" w:hAnsi="Arial" w:cs="Arial"/>
                <w:sz w:val="18"/>
                <w:szCs w:val="18"/>
              </w:rPr>
            </w:pPr>
            <w:r w:rsidRPr="000F6F64">
              <w:rPr>
                <w:rFonts w:ascii="Arial" w:hAnsi="Arial" w:cs="Arial"/>
                <w:sz w:val="18"/>
                <w:szCs w:val="18"/>
              </w:rPr>
              <w:t>NP</w:t>
            </w:r>
          </w:p>
        </w:tc>
      </w:tr>
      <w:tr w:rsidR="003D56DD" w:rsidRPr="000F6F64" w14:paraId="250D8010" w14:textId="77777777" w:rsidTr="009F0018">
        <w:tc>
          <w:tcPr>
            <w:tcW w:w="1540" w:type="dxa"/>
            <w:vMerge/>
          </w:tcPr>
          <w:p w14:paraId="70949D61" w14:textId="77777777" w:rsidR="003D56DD" w:rsidRPr="000F6F64" w:rsidRDefault="003D56DD" w:rsidP="00CB290F">
            <w:pPr>
              <w:rPr>
                <w:rFonts w:ascii="Arial" w:hAnsi="Arial" w:cs="Arial"/>
                <w:sz w:val="18"/>
                <w:szCs w:val="18"/>
              </w:rPr>
            </w:pPr>
          </w:p>
        </w:tc>
        <w:tc>
          <w:tcPr>
            <w:tcW w:w="397" w:type="dxa"/>
            <w:vMerge/>
          </w:tcPr>
          <w:p w14:paraId="10668EBC" w14:textId="77777777" w:rsidR="003D56DD" w:rsidRPr="000F6F64" w:rsidRDefault="003D56DD" w:rsidP="00CB290F">
            <w:pPr>
              <w:rPr>
                <w:rFonts w:ascii="Arial" w:hAnsi="Arial" w:cs="Arial"/>
                <w:sz w:val="18"/>
                <w:szCs w:val="18"/>
              </w:rPr>
            </w:pPr>
          </w:p>
        </w:tc>
        <w:tc>
          <w:tcPr>
            <w:tcW w:w="1235" w:type="dxa"/>
          </w:tcPr>
          <w:p w14:paraId="497E8129" w14:textId="77777777" w:rsidR="003D56DD" w:rsidRPr="000F6F64" w:rsidRDefault="003D56DD" w:rsidP="00CB290F">
            <w:pPr>
              <w:rPr>
                <w:rFonts w:ascii="Arial" w:hAnsi="Arial" w:cs="Arial"/>
                <w:sz w:val="18"/>
                <w:szCs w:val="18"/>
              </w:rPr>
            </w:pPr>
            <w:r w:rsidRPr="000F6F64">
              <w:rPr>
                <w:rFonts w:ascii="Arial" w:hAnsi="Arial" w:cs="Arial"/>
                <w:sz w:val="18"/>
                <w:szCs w:val="18"/>
              </w:rPr>
              <w:t>Mild DRESS</w:t>
            </w:r>
          </w:p>
        </w:tc>
        <w:tc>
          <w:tcPr>
            <w:tcW w:w="1417" w:type="dxa"/>
          </w:tcPr>
          <w:p w14:paraId="152DEAF2" w14:textId="77777777" w:rsidR="003D56DD" w:rsidRPr="000F6F64" w:rsidRDefault="003D56DD" w:rsidP="00CB290F">
            <w:pPr>
              <w:rPr>
                <w:rFonts w:ascii="Arial" w:hAnsi="Arial" w:cs="Arial"/>
                <w:sz w:val="18"/>
                <w:szCs w:val="18"/>
              </w:rPr>
            </w:pPr>
            <w:r>
              <w:rPr>
                <w:rFonts w:ascii="Arial" w:hAnsi="Arial" w:cs="Arial"/>
                <w:sz w:val="18"/>
                <w:szCs w:val="18"/>
              </w:rPr>
              <w:t>Carbamazepine</w:t>
            </w:r>
          </w:p>
        </w:tc>
        <w:tc>
          <w:tcPr>
            <w:tcW w:w="2055" w:type="dxa"/>
          </w:tcPr>
          <w:p w14:paraId="1D9B12B8" w14:textId="77777777" w:rsidR="003D56DD" w:rsidRPr="000F6F64" w:rsidRDefault="003D56DD" w:rsidP="00CB290F">
            <w:pPr>
              <w:rPr>
                <w:rFonts w:ascii="Arial" w:hAnsi="Arial" w:cs="Arial"/>
                <w:sz w:val="18"/>
                <w:szCs w:val="18"/>
              </w:rPr>
            </w:pPr>
            <w:r w:rsidRPr="000F6F64">
              <w:rPr>
                <w:rFonts w:ascii="Arial" w:hAnsi="Arial" w:cs="Arial"/>
                <w:sz w:val="18"/>
                <w:szCs w:val="18"/>
              </w:rPr>
              <w:t xml:space="preserve">Oxcarbazepine </w:t>
            </w:r>
          </w:p>
          <w:p w14:paraId="6129D749" w14:textId="77777777" w:rsidR="003D56DD" w:rsidRPr="000F6F64" w:rsidRDefault="003D56DD" w:rsidP="00CB290F">
            <w:pPr>
              <w:rPr>
                <w:rFonts w:ascii="Arial" w:hAnsi="Arial" w:cs="Arial"/>
                <w:sz w:val="18"/>
                <w:szCs w:val="18"/>
              </w:rPr>
            </w:pPr>
          </w:p>
        </w:tc>
        <w:tc>
          <w:tcPr>
            <w:tcW w:w="1043" w:type="dxa"/>
          </w:tcPr>
          <w:p w14:paraId="1D34FF70" w14:textId="77777777" w:rsidR="003D56DD" w:rsidRPr="000F6F64" w:rsidRDefault="003D56DD" w:rsidP="00CB290F">
            <w:pPr>
              <w:rPr>
                <w:rFonts w:ascii="Arial" w:hAnsi="Arial" w:cs="Arial"/>
                <w:sz w:val="18"/>
                <w:szCs w:val="18"/>
              </w:rPr>
            </w:pPr>
            <w:r w:rsidRPr="000F6F64">
              <w:rPr>
                <w:rFonts w:ascii="Arial" w:hAnsi="Arial" w:cs="Arial"/>
                <w:sz w:val="18"/>
                <w:szCs w:val="18"/>
              </w:rPr>
              <w:t>Positive</w:t>
            </w:r>
          </w:p>
        </w:tc>
        <w:tc>
          <w:tcPr>
            <w:tcW w:w="969" w:type="dxa"/>
          </w:tcPr>
          <w:p w14:paraId="15381F17" w14:textId="77777777" w:rsidR="003D56DD" w:rsidRPr="000F6F64" w:rsidRDefault="003D56DD" w:rsidP="00CB290F">
            <w:pPr>
              <w:rPr>
                <w:rFonts w:ascii="Arial" w:hAnsi="Arial" w:cs="Arial"/>
                <w:sz w:val="18"/>
                <w:szCs w:val="18"/>
              </w:rPr>
            </w:pPr>
            <w:r w:rsidRPr="000F6F64">
              <w:rPr>
                <w:rFonts w:ascii="Arial" w:hAnsi="Arial" w:cs="Arial"/>
                <w:sz w:val="18"/>
                <w:szCs w:val="18"/>
              </w:rPr>
              <w:t>NP</w:t>
            </w:r>
          </w:p>
        </w:tc>
      </w:tr>
      <w:tr w:rsidR="003D56DD" w:rsidRPr="000F6F64" w14:paraId="3C9D4F4C" w14:textId="77777777" w:rsidTr="009F0018">
        <w:tc>
          <w:tcPr>
            <w:tcW w:w="1540" w:type="dxa"/>
            <w:vMerge/>
          </w:tcPr>
          <w:p w14:paraId="11F69CF6" w14:textId="77777777" w:rsidR="003D56DD" w:rsidRPr="000F6F64" w:rsidRDefault="003D56DD" w:rsidP="00CB290F">
            <w:pPr>
              <w:rPr>
                <w:rFonts w:ascii="Arial" w:hAnsi="Arial" w:cs="Arial"/>
                <w:sz w:val="18"/>
                <w:szCs w:val="18"/>
              </w:rPr>
            </w:pPr>
          </w:p>
        </w:tc>
        <w:tc>
          <w:tcPr>
            <w:tcW w:w="397" w:type="dxa"/>
            <w:vMerge/>
          </w:tcPr>
          <w:p w14:paraId="3CF05738" w14:textId="77777777" w:rsidR="003D56DD" w:rsidRPr="000F6F64" w:rsidRDefault="003D56DD" w:rsidP="00CB290F">
            <w:pPr>
              <w:rPr>
                <w:rFonts w:ascii="Arial" w:hAnsi="Arial" w:cs="Arial"/>
                <w:sz w:val="18"/>
                <w:szCs w:val="18"/>
              </w:rPr>
            </w:pPr>
          </w:p>
        </w:tc>
        <w:tc>
          <w:tcPr>
            <w:tcW w:w="1235" w:type="dxa"/>
          </w:tcPr>
          <w:p w14:paraId="6B4ECE9E" w14:textId="77777777" w:rsidR="003D56DD" w:rsidRPr="000F6F64" w:rsidRDefault="003D56DD" w:rsidP="00CB290F">
            <w:pPr>
              <w:rPr>
                <w:rFonts w:ascii="Arial" w:hAnsi="Arial" w:cs="Arial"/>
                <w:sz w:val="18"/>
                <w:szCs w:val="18"/>
              </w:rPr>
            </w:pPr>
            <w:r w:rsidRPr="000F6F64">
              <w:rPr>
                <w:rFonts w:ascii="Arial" w:hAnsi="Arial" w:cs="Arial"/>
                <w:sz w:val="18"/>
                <w:szCs w:val="18"/>
              </w:rPr>
              <w:t>Tolerated</w:t>
            </w:r>
          </w:p>
        </w:tc>
        <w:tc>
          <w:tcPr>
            <w:tcW w:w="1417" w:type="dxa"/>
          </w:tcPr>
          <w:p w14:paraId="495963FB" w14:textId="77777777" w:rsidR="003D56DD" w:rsidRPr="000F6F64" w:rsidRDefault="003D56DD" w:rsidP="00CB290F">
            <w:pPr>
              <w:rPr>
                <w:rFonts w:ascii="Arial" w:hAnsi="Arial" w:cs="Arial"/>
                <w:sz w:val="18"/>
                <w:szCs w:val="18"/>
              </w:rPr>
            </w:pPr>
            <w:r>
              <w:rPr>
                <w:rFonts w:ascii="Arial" w:hAnsi="Arial" w:cs="Arial"/>
                <w:sz w:val="18"/>
                <w:szCs w:val="18"/>
              </w:rPr>
              <w:t>Carbamazepine</w:t>
            </w:r>
          </w:p>
        </w:tc>
        <w:tc>
          <w:tcPr>
            <w:tcW w:w="2055" w:type="dxa"/>
          </w:tcPr>
          <w:p w14:paraId="055D7346" w14:textId="77777777" w:rsidR="003D56DD" w:rsidRPr="000F6F64" w:rsidRDefault="003D56DD" w:rsidP="00CB290F">
            <w:pPr>
              <w:rPr>
                <w:rFonts w:ascii="Arial" w:hAnsi="Arial" w:cs="Arial"/>
                <w:sz w:val="18"/>
                <w:szCs w:val="18"/>
              </w:rPr>
            </w:pPr>
            <w:r w:rsidRPr="000F6F64">
              <w:rPr>
                <w:rFonts w:ascii="Arial" w:hAnsi="Arial" w:cs="Arial"/>
                <w:sz w:val="18"/>
                <w:szCs w:val="18"/>
              </w:rPr>
              <w:t xml:space="preserve">Oxcarbazepine </w:t>
            </w:r>
          </w:p>
          <w:p w14:paraId="6D1BE4CC" w14:textId="77777777" w:rsidR="003D56DD" w:rsidRPr="000F6F64" w:rsidRDefault="003D56DD" w:rsidP="00CB290F">
            <w:pPr>
              <w:rPr>
                <w:rFonts w:ascii="Arial" w:hAnsi="Arial" w:cs="Arial"/>
                <w:sz w:val="18"/>
                <w:szCs w:val="18"/>
              </w:rPr>
            </w:pPr>
          </w:p>
        </w:tc>
        <w:tc>
          <w:tcPr>
            <w:tcW w:w="1043" w:type="dxa"/>
          </w:tcPr>
          <w:p w14:paraId="622551EE" w14:textId="77777777" w:rsidR="003D56DD" w:rsidRPr="000F6F64" w:rsidRDefault="003D56DD" w:rsidP="00CB290F">
            <w:pPr>
              <w:rPr>
                <w:rFonts w:ascii="Arial" w:hAnsi="Arial" w:cs="Arial"/>
                <w:sz w:val="18"/>
                <w:szCs w:val="18"/>
              </w:rPr>
            </w:pPr>
            <w:r w:rsidRPr="000F6F64">
              <w:rPr>
                <w:rFonts w:ascii="Arial" w:hAnsi="Arial" w:cs="Arial"/>
                <w:sz w:val="18"/>
                <w:szCs w:val="18"/>
              </w:rPr>
              <w:t>Negative</w:t>
            </w:r>
          </w:p>
        </w:tc>
        <w:tc>
          <w:tcPr>
            <w:tcW w:w="969" w:type="dxa"/>
          </w:tcPr>
          <w:p w14:paraId="4CC4FFFC" w14:textId="77777777" w:rsidR="003D56DD" w:rsidRPr="000F6F64" w:rsidRDefault="003D56DD" w:rsidP="00CB290F">
            <w:pPr>
              <w:rPr>
                <w:rFonts w:ascii="Arial" w:hAnsi="Arial" w:cs="Arial"/>
                <w:sz w:val="18"/>
                <w:szCs w:val="18"/>
              </w:rPr>
            </w:pPr>
            <w:r w:rsidRPr="000F6F64">
              <w:rPr>
                <w:rFonts w:ascii="Arial" w:hAnsi="Arial" w:cs="Arial"/>
                <w:sz w:val="18"/>
                <w:szCs w:val="18"/>
              </w:rPr>
              <w:t>NP</w:t>
            </w:r>
          </w:p>
        </w:tc>
      </w:tr>
      <w:tr w:rsidR="003D56DD" w:rsidRPr="000F6F64" w14:paraId="0AE56C75" w14:textId="77777777" w:rsidTr="009F0018">
        <w:tc>
          <w:tcPr>
            <w:tcW w:w="1540" w:type="dxa"/>
          </w:tcPr>
          <w:p w14:paraId="79F7EDE6" w14:textId="77777777" w:rsidR="003D56DD" w:rsidRPr="000F6F64" w:rsidRDefault="003D56DD" w:rsidP="00CB290F">
            <w:pPr>
              <w:rPr>
                <w:rFonts w:ascii="Arial" w:hAnsi="Arial" w:cs="Arial"/>
                <w:sz w:val="18"/>
                <w:szCs w:val="18"/>
              </w:rPr>
            </w:pPr>
            <w:r w:rsidRPr="000F6F64">
              <w:rPr>
                <w:rFonts w:ascii="Arial" w:hAnsi="Arial" w:cs="Arial"/>
                <w:color w:val="000000"/>
                <w:sz w:val="18"/>
                <w:szCs w:val="18"/>
              </w:rPr>
              <w:t>Santiago et al. 2010</w:t>
            </w:r>
          </w:p>
        </w:tc>
        <w:tc>
          <w:tcPr>
            <w:tcW w:w="397" w:type="dxa"/>
          </w:tcPr>
          <w:p w14:paraId="376E81D9" w14:textId="77777777" w:rsidR="003D56DD" w:rsidRPr="000F6F64" w:rsidRDefault="003D56DD" w:rsidP="00CB290F">
            <w:pPr>
              <w:rPr>
                <w:rFonts w:ascii="Arial" w:hAnsi="Arial" w:cs="Arial"/>
                <w:sz w:val="18"/>
                <w:szCs w:val="18"/>
              </w:rPr>
            </w:pPr>
            <w:r w:rsidRPr="000F6F64">
              <w:rPr>
                <w:rFonts w:ascii="Arial" w:hAnsi="Arial" w:cs="Arial"/>
                <w:sz w:val="18"/>
                <w:szCs w:val="18"/>
              </w:rPr>
              <w:t>1</w:t>
            </w:r>
          </w:p>
        </w:tc>
        <w:tc>
          <w:tcPr>
            <w:tcW w:w="1235" w:type="dxa"/>
          </w:tcPr>
          <w:p w14:paraId="25782DE3" w14:textId="77777777" w:rsidR="003D56DD" w:rsidRPr="000F6F64" w:rsidRDefault="003D56DD" w:rsidP="00CB290F">
            <w:pPr>
              <w:rPr>
                <w:rFonts w:ascii="Arial" w:hAnsi="Arial" w:cs="Arial"/>
                <w:sz w:val="18"/>
                <w:szCs w:val="18"/>
              </w:rPr>
            </w:pPr>
            <w:r w:rsidRPr="000F6F64">
              <w:rPr>
                <w:rFonts w:ascii="Arial" w:hAnsi="Arial" w:cs="Arial"/>
                <w:sz w:val="18"/>
                <w:szCs w:val="18"/>
              </w:rPr>
              <w:t>DRESS</w:t>
            </w:r>
          </w:p>
        </w:tc>
        <w:tc>
          <w:tcPr>
            <w:tcW w:w="1417" w:type="dxa"/>
          </w:tcPr>
          <w:p w14:paraId="0E851EF5" w14:textId="77777777" w:rsidR="003D56DD" w:rsidRPr="000F6F64" w:rsidRDefault="003D56DD" w:rsidP="00CB290F">
            <w:pPr>
              <w:rPr>
                <w:rFonts w:ascii="Arial" w:hAnsi="Arial" w:cs="Arial"/>
                <w:sz w:val="18"/>
                <w:szCs w:val="18"/>
              </w:rPr>
            </w:pPr>
            <w:r>
              <w:rPr>
                <w:rFonts w:ascii="Arial" w:hAnsi="Arial" w:cs="Arial"/>
                <w:sz w:val="18"/>
                <w:szCs w:val="18"/>
              </w:rPr>
              <w:t>Carbamazepine</w:t>
            </w:r>
          </w:p>
        </w:tc>
        <w:tc>
          <w:tcPr>
            <w:tcW w:w="2055" w:type="dxa"/>
          </w:tcPr>
          <w:p w14:paraId="2401470A" w14:textId="77777777" w:rsidR="003D56DD" w:rsidRPr="000F6F64" w:rsidRDefault="003D56DD" w:rsidP="00CB290F">
            <w:pPr>
              <w:rPr>
                <w:rFonts w:ascii="Arial" w:hAnsi="Arial" w:cs="Arial"/>
                <w:sz w:val="18"/>
                <w:szCs w:val="18"/>
              </w:rPr>
            </w:pPr>
            <w:r>
              <w:rPr>
                <w:rFonts w:ascii="Arial" w:hAnsi="Arial" w:cs="Arial"/>
                <w:sz w:val="18"/>
                <w:szCs w:val="18"/>
              </w:rPr>
              <w:t>P</w:t>
            </w:r>
            <w:r w:rsidRPr="000F6F64">
              <w:rPr>
                <w:rFonts w:ascii="Arial" w:hAnsi="Arial" w:cs="Arial"/>
                <w:sz w:val="18"/>
                <w:szCs w:val="18"/>
              </w:rPr>
              <w:t>henytoin</w:t>
            </w:r>
          </w:p>
        </w:tc>
        <w:tc>
          <w:tcPr>
            <w:tcW w:w="1043" w:type="dxa"/>
          </w:tcPr>
          <w:p w14:paraId="600F20A6" w14:textId="77777777" w:rsidR="003D56DD" w:rsidRPr="000F6F64" w:rsidRDefault="003D56DD" w:rsidP="00CB290F">
            <w:pPr>
              <w:rPr>
                <w:rFonts w:ascii="Arial" w:hAnsi="Arial" w:cs="Arial"/>
                <w:sz w:val="18"/>
                <w:szCs w:val="18"/>
              </w:rPr>
            </w:pPr>
            <w:r w:rsidRPr="000F6F64">
              <w:rPr>
                <w:rFonts w:ascii="Arial" w:hAnsi="Arial" w:cs="Arial"/>
                <w:sz w:val="18"/>
                <w:szCs w:val="18"/>
              </w:rPr>
              <w:t>Positive to both</w:t>
            </w:r>
          </w:p>
        </w:tc>
        <w:tc>
          <w:tcPr>
            <w:tcW w:w="969" w:type="dxa"/>
          </w:tcPr>
          <w:p w14:paraId="3F646E3A" w14:textId="77777777" w:rsidR="003D56DD" w:rsidRPr="000F6F64" w:rsidRDefault="003D56DD" w:rsidP="00CB290F">
            <w:pPr>
              <w:rPr>
                <w:rFonts w:ascii="Arial" w:hAnsi="Arial" w:cs="Arial"/>
                <w:sz w:val="18"/>
                <w:szCs w:val="18"/>
              </w:rPr>
            </w:pPr>
            <w:r w:rsidRPr="000F6F64">
              <w:rPr>
                <w:rFonts w:ascii="Arial" w:hAnsi="Arial" w:cs="Arial"/>
                <w:sz w:val="18"/>
                <w:szCs w:val="18"/>
              </w:rPr>
              <w:t>NP</w:t>
            </w:r>
          </w:p>
        </w:tc>
      </w:tr>
      <w:tr w:rsidR="003D56DD" w:rsidRPr="000F6F64" w14:paraId="1FEEB5BE" w14:textId="77777777" w:rsidTr="009F0018">
        <w:tc>
          <w:tcPr>
            <w:tcW w:w="1540" w:type="dxa"/>
            <w:vMerge w:val="restart"/>
          </w:tcPr>
          <w:p w14:paraId="1E7E7FA0" w14:textId="77777777" w:rsidR="003D56DD" w:rsidRPr="000F6F64" w:rsidRDefault="003D56DD" w:rsidP="00CB290F">
            <w:pPr>
              <w:rPr>
                <w:rFonts w:ascii="Arial" w:hAnsi="Arial" w:cs="Arial"/>
                <w:sz w:val="18"/>
                <w:szCs w:val="18"/>
              </w:rPr>
            </w:pPr>
            <w:r w:rsidRPr="000F6F64">
              <w:rPr>
                <w:rFonts w:ascii="Arial" w:hAnsi="Arial" w:cs="Arial"/>
                <w:color w:val="000000"/>
                <w:sz w:val="18"/>
                <w:szCs w:val="18"/>
              </w:rPr>
              <w:t>Santiago et al. 2020</w:t>
            </w:r>
          </w:p>
        </w:tc>
        <w:tc>
          <w:tcPr>
            <w:tcW w:w="397" w:type="dxa"/>
            <w:vMerge w:val="restart"/>
          </w:tcPr>
          <w:p w14:paraId="75F2DCA9" w14:textId="77777777" w:rsidR="003D56DD" w:rsidRPr="000F6F64" w:rsidRDefault="003D56DD" w:rsidP="00CB290F">
            <w:pPr>
              <w:rPr>
                <w:rFonts w:ascii="Arial" w:hAnsi="Arial" w:cs="Arial"/>
                <w:sz w:val="18"/>
                <w:szCs w:val="18"/>
              </w:rPr>
            </w:pPr>
            <w:r w:rsidRPr="000F6F64">
              <w:rPr>
                <w:rFonts w:ascii="Arial" w:hAnsi="Arial" w:cs="Arial"/>
                <w:sz w:val="18"/>
                <w:szCs w:val="18"/>
              </w:rPr>
              <w:t>2</w:t>
            </w:r>
          </w:p>
        </w:tc>
        <w:tc>
          <w:tcPr>
            <w:tcW w:w="1235" w:type="dxa"/>
          </w:tcPr>
          <w:p w14:paraId="010840CD" w14:textId="77777777" w:rsidR="003D56DD" w:rsidRPr="000F6F64" w:rsidRDefault="003D56DD" w:rsidP="00CB290F">
            <w:pPr>
              <w:rPr>
                <w:rFonts w:ascii="Arial" w:hAnsi="Arial" w:cs="Arial"/>
                <w:sz w:val="18"/>
                <w:szCs w:val="18"/>
              </w:rPr>
            </w:pPr>
            <w:r w:rsidRPr="000F6F64">
              <w:rPr>
                <w:rFonts w:ascii="Arial" w:hAnsi="Arial" w:cs="Arial"/>
                <w:sz w:val="18"/>
                <w:szCs w:val="18"/>
              </w:rPr>
              <w:t>MPE</w:t>
            </w:r>
          </w:p>
        </w:tc>
        <w:tc>
          <w:tcPr>
            <w:tcW w:w="1417" w:type="dxa"/>
          </w:tcPr>
          <w:p w14:paraId="34AAA043" w14:textId="77777777" w:rsidR="003D56DD" w:rsidRPr="000F6F64" w:rsidRDefault="003D56DD" w:rsidP="00CB290F">
            <w:pPr>
              <w:rPr>
                <w:rFonts w:ascii="Arial" w:hAnsi="Arial" w:cs="Arial"/>
                <w:sz w:val="18"/>
                <w:szCs w:val="18"/>
              </w:rPr>
            </w:pPr>
            <w:r>
              <w:rPr>
                <w:rFonts w:ascii="Arial" w:hAnsi="Arial" w:cs="Arial"/>
                <w:sz w:val="18"/>
                <w:szCs w:val="18"/>
              </w:rPr>
              <w:t>Carbamazepine</w:t>
            </w:r>
          </w:p>
        </w:tc>
        <w:tc>
          <w:tcPr>
            <w:tcW w:w="2055" w:type="dxa"/>
          </w:tcPr>
          <w:p w14:paraId="10D2EF21" w14:textId="77777777" w:rsidR="003D56DD" w:rsidRPr="000F6F64" w:rsidRDefault="003D56DD" w:rsidP="00CB290F">
            <w:pPr>
              <w:rPr>
                <w:rFonts w:ascii="Arial" w:hAnsi="Arial" w:cs="Arial"/>
                <w:sz w:val="18"/>
                <w:szCs w:val="18"/>
              </w:rPr>
            </w:pPr>
            <w:r w:rsidRPr="000F6F64">
              <w:rPr>
                <w:rFonts w:ascii="Arial" w:hAnsi="Arial" w:cs="Arial"/>
                <w:sz w:val="18"/>
                <w:szCs w:val="18"/>
              </w:rPr>
              <w:t>Amoxicillin</w:t>
            </w:r>
          </w:p>
        </w:tc>
        <w:tc>
          <w:tcPr>
            <w:tcW w:w="1043" w:type="dxa"/>
          </w:tcPr>
          <w:p w14:paraId="072C7A3B" w14:textId="77777777" w:rsidR="003D56DD" w:rsidRPr="000F6F64" w:rsidRDefault="003D56DD" w:rsidP="00CB290F">
            <w:pPr>
              <w:rPr>
                <w:rFonts w:ascii="Arial" w:hAnsi="Arial" w:cs="Arial"/>
                <w:sz w:val="18"/>
                <w:szCs w:val="18"/>
              </w:rPr>
            </w:pPr>
            <w:r w:rsidRPr="000F6F64">
              <w:rPr>
                <w:rFonts w:ascii="Arial" w:hAnsi="Arial" w:cs="Arial"/>
                <w:sz w:val="18"/>
                <w:szCs w:val="18"/>
              </w:rPr>
              <w:t>Positive</w:t>
            </w:r>
          </w:p>
        </w:tc>
        <w:tc>
          <w:tcPr>
            <w:tcW w:w="969" w:type="dxa"/>
          </w:tcPr>
          <w:p w14:paraId="5059CBDD" w14:textId="77777777" w:rsidR="003D56DD" w:rsidRPr="000F6F64" w:rsidRDefault="003D56DD" w:rsidP="00CB290F">
            <w:pPr>
              <w:rPr>
                <w:rFonts w:ascii="Arial" w:hAnsi="Arial" w:cs="Arial"/>
                <w:sz w:val="18"/>
                <w:szCs w:val="18"/>
              </w:rPr>
            </w:pPr>
            <w:r w:rsidRPr="000F6F64">
              <w:rPr>
                <w:rFonts w:ascii="Arial" w:hAnsi="Arial" w:cs="Arial"/>
                <w:sz w:val="18"/>
                <w:szCs w:val="18"/>
              </w:rPr>
              <w:t>NP</w:t>
            </w:r>
          </w:p>
        </w:tc>
      </w:tr>
      <w:tr w:rsidR="003D56DD" w:rsidRPr="000F6F64" w14:paraId="772CFE87" w14:textId="77777777" w:rsidTr="009F0018">
        <w:tc>
          <w:tcPr>
            <w:tcW w:w="1540" w:type="dxa"/>
            <w:vMerge/>
          </w:tcPr>
          <w:p w14:paraId="23BEEABB" w14:textId="77777777" w:rsidR="003D56DD" w:rsidRPr="000F6F64" w:rsidRDefault="003D56DD" w:rsidP="00CB290F">
            <w:pPr>
              <w:rPr>
                <w:rFonts w:ascii="Arial" w:hAnsi="Arial" w:cs="Arial"/>
                <w:sz w:val="18"/>
                <w:szCs w:val="18"/>
              </w:rPr>
            </w:pPr>
          </w:p>
        </w:tc>
        <w:tc>
          <w:tcPr>
            <w:tcW w:w="397" w:type="dxa"/>
            <w:vMerge/>
          </w:tcPr>
          <w:p w14:paraId="6E3FBDF4" w14:textId="77777777" w:rsidR="003D56DD" w:rsidRPr="000F6F64" w:rsidRDefault="003D56DD" w:rsidP="00CB290F">
            <w:pPr>
              <w:rPr>
                <w:rFonts w:ascii="Arial" w:hAnsi="Arial" w:cs="Arial"/>
                <w:sz w:val="18"/>
                <w:szCs w:val="18"/>
              </w:rPr>
            </w:pPr>
          </w:p>
        </w:tc>
        <w:tc>
          <w:tcPr>
            <w:tcW w:w="1235" w:type="dxa"/>
          </w:tcPr>
          <w:p w14:paraId="1E67386C" w14:textId="77777777" w:rsidR="003D56DD" w:rsidRPr="000F6F64" w:rsidRDefault="003D56DD" w:rsidP="00CB290F">
            <w:pPr>
              <w:rPr>
                <w:rFonts w:ascii="Arial" w:hAnsi="Arial" w:cs="Arial"/>
                <w:sz w:val="18"/>
                <w:szCs w:val="18"/>
              </w:rPr>
            </w:pPr>
            <w:r w:rsidRPr="000F6F64">
              <w:rPr>
                <w:rFonts w:ascii="Arial" w:hAnsi="Arial" w:cs="Arial"/>
                <w:sz w:val="18"/>
                <w:szCs w:val="18"/>
              </w:rPr>
              <w:t>MPE</w:t>
            </w:r>
          </w:p>
        </w:tc>
        <w:tc>
          <w:tcPr>
            <w:tcW w:w="1417" w:type="dxa"/>
          </w:tcPr>
          <w:p w14:paraId="78EC4798" w14:textId="77777777" w:rsidR="003D56DD" w:rsidRPr="000F6F64" w:rsidRDefault="003D56DD" w:rsidP="00CB290F">
            <w:pPr>
              <w:rPr>
                <w:rFonts w:ascii="Arial" w:hAnsi="Arial" w:cs="Arial"/>
                <w:sz w:val="18"/>
                <w:szCs w:val="18"/>
              </w:rPr>
            </w:pPr>
            <w:r>
              <w:rPr>
                <w:rFonts w:ascii="Arial" w:hAnsi="Arial" w:cs="Arial"/>
                <w:sz w:val="18"/>
                <w:szCs w:val="18"/>
              </w:rPr>
              <w:t>Phenytoin</w:t>
            </w:r>
          </w:p>
        </w:tc>
        <w:tc>
          <w:tcPr>
            <w:tcW w:w="2055" w:type="dxa"/>
          </w:tcPr>
          <w:p w14:paraId="1B83938C" w14:textId="77777777" w:rsidR="003D56DD" w:rsidRPr="000F6F64" w:rsidRDefault="003D56DD" w:rsidP="00CB290F">
            <w:pPr>
              <w:rPr>
                <w:rFonts w:ascii="Arial" w:hAnsi="Arial" w:cs="Arial"/>
                <w:sz w:val="18"/>
                <w:szCs w:val="18"/>
              </w:rPr>
            </w:pPr>
            <w:r w:rsidRPr="000F6F64">
              <w:rPr>
                <w:rFonts w:ascii="Arial" w:hAnsi="Arial" w:cs="Arial"/>
                <w:sz w:val="18"/>
                <w:szCs w:val="18"/>
              </w:rPr>
              <w:t>Cefotaxime</w:t>
            </w:r>
          </w:p>
        </w:tc>
        <w:tc>
          <w:tcPr>
            <w:tcW w:w="1043" w:type="dxa"/>
          </w:tcPr>
          <w:p w14:paraId="21C0291E" w14:textId="77777777" w:rsidR="003D56DD" w:rsidRPr="000F6F64" w:rsidRDefault="003D56DD" w:rsidP="00CB290F">
            <w:pPr>
              <w:rPr>
                <w:rFonts w:ascii="Arial" w:hAnsi="Arial" w:cs="Arial"/>
                <w:sz w:val="18"/>
                <w:szCs w:val="18"/>
              </w:rPr>
            </w:pPr>
            <w:r w:rsidRPr="000F6F64">
              <w:rPr>
                <w:rFonts w:ascii="Arial" w:hAnsi="Arial" w:cs="Arial"/>
                <w:sz w:val="18"/>
                <w:szCs w:val="18"/>
              </w:rPr>
              <w:t>Positive</w:t>
            </w:r>
          </w:p>
        </w:tc>
        <w:tc>
          <w:tcPr>
            <w:tcW w:w="969" w:type="dxa"/>
          </w:tcPr>
          <w:p w14:paraId="63F633C5" w14:textId="77777777" w:rsidR="003D56DD" w:rsidRPr="000F6F64" w:rsidRDefault="003D56DD" w:rsidP="00CB290F">
            <w:pPr>
              <w:rPr>
                <w:rFonts w:ascii="Arial" w:hAnsi="Arial" w:cs="Arial"/>
                <w:sz w:val="18"/>
                <w:szCs w:val="18"/>
              </w:rPr>
            </w:pPr>
            <w:r w:rsidRPr="000F6F64">
              <w:rPr>
                <w:rFonts w:ascii="Arial" w:hAnsi="Arial" w:cs="Arial"/>
                <w:sz w:val="18"/>
                <w:szCs w:val="18"/>
              </w:rPr>
              <w:t>NP</w:t>
            </w:r>
          </w:p>
        </w:tc>
      </w:tr>
      <w:tr w:rsidR="003D56DD" w:rsidRPr="000F6F64" w14:paraId="1AB076BC" w14:textId="77777777" w:rsidTr="009F0018">
        <w:tc>
          <w:tcPr>
            <w:tcW w:w="1540" w:type="dxa"/>
          </w:tcPr>
          <w:p w14:paraId="142D8BD0" w14:textId="77777777" w:rsidR="003D56DD" w:rsidRPr="000F6F64" w:rsidRDefault="003D56DD" w:rsidP="00CB290F">
            <w:pPr>
              <w:rPr>
                <w:rFonts w:ascii="Arial" w:hAnsi="Arial" w:cs="Arial"/>
                <w:sz w:val="18"/>
                <w:szCs w:val="18"/>
              </w:rPr>
            </w:pPr>
            <w:proofErr w:type="spellStart"/>
            <w:r w:rsidRPr="000F6F64">
              <w:rPr>
                <w:rFonts w:ascii="Arial" w:hAnsi="Arial" w:cs="Arial"/>
                <w:sz w:val="18"/>
                <w:szCs w:val="18"/>
              </w:rPr>
              <w:t>Trubiano</w:t>
            </w:r>
            <w:proofErr w:type="spellEnd"/>
            <w:r w:rsidRPr="000F6F64">
              <w:rPr>
                <w:rFonts w:ascii="Arial" w:hAnsi="Arial" w:cs="Arial"/>
                <w:sz w:val="18"/>
                <w:szCs w:val="18"/>
              </w:rPr>
              <w:t xml:space="preserve"> et al. 2018</w:t>
            </w:r>
          </w:p>
        </w:tc>
        <w:tc>
          <w:tcPr>
            <w:tcW w:w="397" w:type="dxa"/>
          </w:tcPr>
          <w:p w14:paraId="32596D53" w14:textId="77777777" w:rsidR="003D56DD" w:rsidRPr="000F6F64" w:rsidRDefault="003D56DD" w:rsidP="00CB290F">
            <w:pPr>
              <w:rPr>
                <w:rFonts w:ascii="Arial" w:hAnsi="Arial" w:cs="Arial"/>
                <w:sz w:val="18"/>
                <w:szCs w:val="18"/>
              </w:rPr>
            </w:pPr>
            <w:r w:rsidRPr="000F6F64">
              <w:rPr>
                <w:rFonts w:ascii="Arial" w:hAnsi="Arial" w:cs="Arial"/>
                <w:sz w:val="18"/>
                <w:szCs w:val="18"/>
              </w:rPr>
              <w:t>1</w:t>
            </w:r>
          </w:p>
        </w:tc>
        <w:tc>
          <w:tcPr>
            <w:tcW w:w="1235" w:type="dxa"/>
          </w:tcPr>
          <w:p w14:paraId="2BC3DCEC" w14:textId="77777777" w:rsidR="003D56DD" w:rsidRPr="000F6F64" w:rsidRDefault="003D56DD" w:rsidP="00CB290F">
            <w:pPr>
              <w:rPr>
                <w:rFonts w:ascii="Arial" w:hAnsi="Arial" w:cs="Arial"/>
                <w:sz w:val="18"/>
                <w:szCs w:val="18"/>
              </w:rPr>
            </w:pPr>
            <w:r w:rsidRPr="000F6F64">
              <w:rPr>
                <w:rFonts w:ascii="Arial" w:hAnsi="Arial" w:cs="Arial"/>
                <w:sz w:val="18"/>
                <w:szCs w:val="18"/>
              </w:rPr>
              <w:t xml:space="preserve">Tolerant </w:t>
            </w:r>
          </w:p>
        </w:tc>
        <w:tc>
          <w:tcPr>
            <w:tcW w:w="1417" w:type="dxa"/>
          </w:tcPr>
          <w:p w14:paraId="13FF266C" w14:textId="77777777" w:rsidR="003D56DD" w:rsidRPr="000F6F64" w:rsidRDefault="003D56DD" w:rsidP="00CB290F">
            <w:pPr>
              <w:rPr>
                <w:rFonts w:ascii="Arial" w:hAnsi="Arial" w:cs="Arial"/>
                <w:sz w:val="18"/>
                <w:szCs w:val="18"/>
              </w:rPr>
            </w:pPr>
            <w:r>
              <w:rPr>
                <w:rFonts w:ascii="Arial" w:hAnsi="Arial" w:cs="Arial"/>
                <w:sz w:val="18"/>
                <w:szCs w:val="18"/>
              </w:rPr>
              <w:t>Cefazolin, meropenem</w:t>
            </w:r>
          </w:p>
        </w:tc>
        <w:tc>
          <w:tcPr>
            <w:tcW w:w="2055" w:type="dxa"/>
          </w:tcPr>
          <w:p w14:paraId="3E71CB29" w14:textId="77777777" w:rsidR="003D56DD" w:rsidRPr="000F6F64" w:rsidRDefault="003D56DD" w:rsidP="00CB290F">
            <w:pPr>
              <w:rPr>
                <w:rFonts w:ascii="Arial" w:hAnsi="Arial" w:cs="Arial"/>
                <w:sz w:val="18"/>
                <w:szCs w:val="18"/>
              </w:rPr>
            </w:pPr>
            <w:r w:rsidRPr="000F6F64">
              <w:rPr>
                <w:rFonts w:ascii="Arial" w:hAnsi="Arial" w:cs="Arial"/>
                <w:sz w:val="18"/>
                <w:szCs w:val="18"/>
              </w:rPr>
              <w:t>Penicillin V, Flucloxacillin</w:t>
            </w:r>
          </w:p>
        </w:tc>
        <w:tc>
          <w:tcPr>
            <w:tcW w:w="1043" w:type="dxa"/>
          </w:tcPr>
          <w:p w14:paraId="2E8BBA23" w14:textId="77777777" w:rsidR="003D56DD" w:rsidRPr="000F6F64" w:rsidRDefault="003D56DD" w:rsidP="00CB290F">
            <w:pPr>
              <w:rPr>
                <w:rFonts w:ascii="Arial" w:hAnsi="Arial" w:cs="Arial"/>
                <w:sz w:val="18"/>
                <w:szCs w:val="18"/>
              </w:rPr>
            </w:pPr>
            <w:r w:rsidRPr="000F6F64">
              <w:rPr>
                <w:rFonts w:ascii="Arial" w:hAnsi="Arial" w:cs="Arial"/>
                <w:sz w:val="18"/>
                <w:szCs w:val="18"/>
              </w:rPr>
              <w:t>NP</w:t>
            </w:r>
          </w:p>
        </w:tc>
        <w:tc>
          <w:tcPr>
            <w:tcW w:w="969" w:type="dxa"/>
          </w:tcPr>
          <w:p w14:paraId="4170AD2D" w14:textId="77777777" w:rsidR="003D56DD" w:rsidRPr="000F6F64" w:rsidRDefault="003D56DD" w:rsidP="00CB290F">
            <w:pPr>
              <w:rPr>
                <w:rFonts w:ascii="Arial" w:hAnsi="Arial" w:cs="Arial"/>
                <w:sz w:val="18"/>
                <w:szCs w:val="18"/>
              </w:rPr>
            </w:pPr>
            <w:r>
              <w:rPr>
                <w:rFonts w:ascii="Arial" w:hAnsi="Arial" w:cs="Arial"/>
                <w:sz w:val="18"/>
                <w:szCs w:val="18"/>
              </w:rPr>
              <w:t>NP</w:t>
            </w:r>
          </w:p>
        </w:tc>
      </w:tr>
    </w:tbl>
    <w:p w14:paraId="7EC7C689" w14:textId="77777777" w:rsidR="003D56DD" w:rsidRPr="00F45E4D" w:rsidRDefault="003D56DD" w:rsidP="004D5A62">
      <w:pPr>
        <w:rPr>
          <w:rFonts w:ascii="Arial" w:hAnsi="Arial" w:cs="Arial"/>
          <w:sz w:val="18"/>
          <w:szCs w:val="18"/>
        </w:rPr>
      </w:pPr>
    </w:p>
    <w:p w14:paraId="51187778" w14:textId="77777777" w:rsidR="003D56DD" w:rsidRDefault="003D56DD">
      <w:pPr>
        <w:rPr>
          <w:rFonts w:ascii="Arial" w:hAnsi="Arial" w:cs="Arial"/>
          <w:sz w:val="18"/>
          <w:szCs w:val="18"/>
        </w:rPr>
      </w:pPr>
      <w:r w:rsidRPr="00F45E4D">
        <w:rPr>
          <w:rFonts w:ascii="Arial" w:hAnsi="Arial" w:cs="Arial"/>
          <w:sz w:val="18"/>
          <w:szCs w:val="18"/>
        </w:rPr>
        <w:t>DRESS = drug reaction with eosinophilia and systemic symptoms; IDT = intradermal test; n= number of cases; NP = not performed; PT = patch test</w:t>
      </w:r>
    </w:p>
    <w:p w14:paraId="4B91F210" w14:textId="77777777" w:rsidR="002A166F" w:rsidRDefault="002A166F">
      <w:pPr>
        <w:rPr>
          <w:rFonts w:ascii="Arial" w:hAnsi="Arial" w:cs="Arial"/>
          <w:b/>
          <w:bCs/>
          <w:sz w:val="18"/>
          <w:szCs w:val="18"/>
        </w:rPr>
      </w:pPr>
      <w:r>
        <w:rPr>
          <w:rFonts w:ascii="Arial" w:hAnsi="Arial" w:cs="Arial"/>
          <w:b/>
          <w:bCs/>
          <w:sz w:val="18"/>
          <w:szCs w:val="18"/>
        </w:rPr>
        <w:br w:type="page"/>
      </w:r>
    </w:p>
    <w:p w14:paraId="32AC209E" w14:textId="2140BCA6" w:rsidR="003D56DD" w:rsidRPr="00BC274B" w:rsidRDefault="003D56DD">
      <w:pPr>
        <w:rPr>
          <w:rFonts w:ascii="Arial" w:hAnsi="Arial" w:cs="Arial"/>
          <w:b/>
          <w:bCs/>
          <w:sz w:val="18"/>
          <w:szCs w:val="18"/>
        </w:rPr>
      </w:pPr>
      <w:r w:rsidRPr="00BC274B">
        <w:rPr>
          <w:rFonts w:ascii="Arial" w:hAnsi="Arial" w:cs="Arial"/>
          <w:b/>
          <w:bCs/>
          <w:sz w:val="18"/>
          <w:szCs w:val="18"/>
        </w:rPr>
        <w:lastRenderedPageBreak/>
        <w:t>References:</w:t>
      </w:r>
    </w:p>
    <w:p w14:paraId="106C2811" w14:textId="77777777" w:rsidR="003D56DD" w:rsidRPr="008B048C" w:rsidRDefault="003D56DD" w:rsidP="008B048C">
      <w:pPr>
        <w:pStyle w:val="EndNoteBibliography"/>
        <w:spacing w:after="0"/>
      </w:pPr>
      <w:r w:rsidRPr="008B048C">
        <w:t>1.</w:t>
      </w:r>
      <w:r w:rsidRPr="008B048C">
        <w:tab/>
        <w:t>Bocquet H, Bagot M, Roujeau JC. Drug-induced pseudolymphoma and drug hypersensitivity syndrome (Drug Rash with Eosinophilia and Systemic Symptoms: DRESS). Semin Cutan Med Surg. 1996;15(4):250-7.</w:t>
      </w:r>
    </w:p>
    <w:p w14:paraId="2049BF69" w14:textId="77777777" w:rsidR="003D56DD" w:rsidRPr="008B048C" w:rsidRDefault="003D56DD" w:rsidP="008B048C">
      <w:pPr>
        <w:pStyle w:val="EndNoteBibliography"/>
        <w:spacing w:after="0"/>
      </w:pPr>
      <w:r w:rsidRPr="008B048C">
        <w:t>2.</w:t>
      </w:r>
      <w:r w:rsidRPr="008B048C">
        <w:tab/>
        <w:t>Shiohara T, Inaoka M, Kano Y. Drug-induced hypersensitivity syndrome (DIHS): a reaction induced by a complex interplay among herpesviruses and antiviral and antidrug immune responses. Allergol Int. 2006;55(1):1-8.</w:t>
      </w:r>
    </w:p>
    <w:p w14:paraId="4840F191" w14:textId="77777777" w:rsidR="003D56DD" w:rsidRPr="008B048C" w:rsidRDefault="003D56DD" w:rsidP="008B048C">
      <w:pPr>
        <w:pStyle w:val="EndNoteBibliography"/>
        <w:spacing w:after="0"/>
      </w:pPr>
      <w:r w:rsidRPr="008B048C">
        <w:t>3.</w:t>
      </w:r>
      <w:r w:rsidRPr="008B048C">
        <w:tab/>
        <w:t>Kardaun SH, Sidoroff A, Valeyrie-Allanore L, Halevy S, Davidovici BB, Mockenhaupt M, et al. Variability in the clinical pattern of cutaneous side-effects of drugs with systemic symptoms: does a DRESS syndrome really exist? Br J Dermatol. 2007;156(3):609-11.</w:t>
      </w:r>
    </w:p>
    <w:p w14:paraId="7E801A05" w14:textId="77777777" w:rsidR="003D56DD" w:rsidRPr="008B048C" w:rsidRDefault="003D56DD" w:rsidP="008B048C">
      <w:pPr>
        <w:pStyle w:val="EndNoteBibliography"/>
        <w:spacing w:after="0"/>
      </w:pPr>
      <w:r w:rsidRPr="008B048C">
        <w:t>4.</w:t>
      </w:r>
      <w:r w:rsidRPr="008B048C">
        <w:tab/>
        <w:t>Walsh SA, Creamer D. Drug reaction with eosinophilia and systemic symptoms (DRESS): a clinical update and review of current thinking. Clin Exp Dermatol. 2011;36(1):6-11.</w:t>
      </w:r>
    </w:p>
    <w:p w14:paraId="13732390" w14:textId="77777777" w:rsidR="003D56DD" w:rsidRPr="008B048C" w:rsidRDefault="003D56DD" w:rsidP="008B048C">
      <w:pPr>
        <w:pStyle w:val="EndNoteBibliography"/>
        <w:spacing w:after="0"/>
      </w:pPr>
      <w:r w:rsidRPr="008B048C">
        <w:t>5.</w:t>
      </w:r>
      <w:r w:rsidRPr="008B048C">
        <w:tab/>
        <w:t>Brockow K, Ardern-Jones MR, Mockenhaupt M, Aberer W, Barbaud A, Caubet JC, et al. EAACI position paper on how to classify cutaneous manifestations of drug hypersensitivity. Allergy: European Journal of Allergy and Clinical Immunology. 2019;74(1):14-27.</w:t>
      </w:r>
    </w:p>
    <w:p w14:paraId="4327F499" w14:textId="77777777" w:rsidR="003D56DD" w:rsidRPr="008B048C" w:rsidRDefault="003D56DD" w:rsidP="008B048C">
      <w:pPr>
        <w:pStyle w:val="EndNoteBibliography"/>
        <w:spacing w:after="0"/>
      </w:pPr>
      <w:r w:rsidRPr="008B048C">
        <w:t>6.</w:t>
      </w:r>
      <w:r w:rsidRPr="008B048C">
        <w:tab/>
        <w:t>Kardaun SH, Sekula P, Valeyrie-Allanore L, Liss Y, Chu CY, Creamer D, et al. Drug reaction with eosinophilia and systemic symptoms (DRESS): An original multisystem adverse drug reaction. Results from the prospective RegiSCAR study. Br J Dermatol. 2013;169(5):1071-80.</w:t>
      </w:r>
    </w:p>
    <w:p w14:paraId="6EDF6EA4" w14:textId="77777777" w:rsidR="003D56DD" w:rsidRPr="008B048C" w:rsidRDefault="003D56DD" w:rsidP="008B048C">
      <w:pPr>
        <w:pStyle w:val="EndNoteBibliography"/>
        <w:spacing w:after="0"/>
      </w:pPr>
      <w:r w:rsidRPr="008B048C">
        <w:t>7.</w:t>
      </w:r>
      <w:r w:rsidRPr="008B048C">
        <w:tab/>
        <w:t>Mizukawa Y, Hirahara K, Kano Y, Shiohara T. Drug-induced hypersensitivity syndrome/drug reaction with eosinophilia and systemic symptoms severity score: A useful tool for assessing disease severity and predicting fatal cytomegalovirus disease. J Am Acad Dermatol. 2019;80(3):670-8.e2.</w:t>
      </w:r>
    </w:p>
    <w:p w14:paraId="0CA47A59" w14:textId="77777777" w:rsidR="003D56DD" w:rsidRPr="008B048C" w:rsidRDefault="003D56DD" w:rsidP="008B048C">
      <w:pPr>
        <w:pStyle w:val="EndNoteBibliography"/>
        <w:spacing w:after="0"/>
      </w:pPr>
      <w:r w:rsidRPr="008B048C">
        <w:t>8.</w:t>
      </w:r>
      <w:r w:rsidRPr="008B048C">
        <w:tab/>
        <w:t>Shiohara T, Iijima M, Ikezawa Z, Hashimoto K. The diagnosis of a DRESS syndrome has been sufficiently established on the basis of typical clinical features and viral reactivations. Br J Dermatol. 2007;156(5):1083-4.</w:t>
      </w:r>
    </w:p>
    <w:p w14:paraId="1CF66A0C" w14:textId="77777777" w:rsidR="003D56DD" w:rsidRPr="008B048C" w:rsidRDefault="003D56DD" w:rsidP="008B048C">
      <w:pPr>
        <w:pStyle w:val="EndNoteBibliography"/>
        <w:spacing w:after="0"/>
      </w:pPr>
      <w:r w:rsidRPr="008B048C">
        <w:t>9.</w:t>
      </w:r>
      <w:r w:rsidRPr="008B048C">
        <w:tab/>
        <w:t>Eshki M, Allanore L, Musette P, Milpied B, Grange A, Guillaume JC, et al. Twelve-year analysis of severe cases of drug reaction with eosinophilia and systemic symptoms: a cause of unpredictable multiorgan failure. Arch Dermatol. 2009;145(1):67-72.</w:t>
      </w:r>
    </w:p>
    <w:p w14:paraId="344F0D4D" w14:textId="77777777" w:rsidR="003D56DD" w:rsidRPr="008B048C" w:rsidRDefault="003D56DD" w:rsidP="008B048C">
      <w:pPr>
        <w:pStyle w:val="EndNoteBibliography"/>
        <w:spacing w:after="0"/>
      </w:pPr>
      <w:r w:rsidRPr="008B048C">
        <w:t>10.</w:t>
      </w:r>
      <w:r w:rsidRPr="008B048C">
        <w:tab/>
        <w:t>Chen YC, Chiu HC, Chu CY. Drug reaction with eosinophilia and systemic symptoms: a retrospective study of 60 cases. Arch Dermatol. 2010;146(12):1373-9.</w:t>
      </w:r>
    </w:p>
    <w:p w14:paraId="57BE0CA0" w14:textId="77777777" w:rsidR="003D56DD" w:rsidRPr="008B048C" w:rsidRDefault="003D56DD" w:rsidP="008B048C">
      <w:pPr>
        <w:pStyle w:val="EndNoteBibliography"/>
        <w:spacing w:after="0"/>
      </w:pPr>
      <w:r w:rsidRPr="008B048C">
        <w:t>11.</w:t>
      </w:r>
      <w:r w:rsidRPr="008B048C">
        <w:tab/>
        <w:t>Bourgeois GP, Cafardi JA, Groysman V, Hughey LC. A review of DRESS-associated myocarditis. J Am Acad Dermatol. 2012;66(6):e229-36.</w:t>
      </w:r>
    </w:p>
    <w:p w14:paraId="30F7452C" w14:textId="77777777" w:rsidR="003D56DD" w:rsidRPr="008B048C" w:rsidRDefault="003D56DD" w:rsidP="008B048C">
      <w:pPr>
        <w:pStyle w:val="EndNoteBibliography"/>
        <w:spacing w:after="0"/>
      </w:pPr>
      <w:r w:rsidRPr="008B048C">
        <w:t>12.</w:t>
      </w:r>
      <w:r w:rsidRPr="008B048C">
        <w:tab/>
        <w:t>Hiransuthikul A, Rattananupong T, Klaewsongkram J, Rerknimitr P, Pongprutthipan M, Ruxrungtham K. Drug-induced hypersensitivity syndrome/drug reaction with eosinophilia and systemic symptoms (DIHS/DRESS): 11 years retrospective study in Thailand. Allergol. 2016;65(4):432-8.</w:t>
      </w:r>
    </w:p>
    <w:p w14:paraId="192563CE" w14:textId="77777777" w:rsidR="003D56DD" w:rsidRPr="008B048C" w:rsidRDefault="003D56DD" w:rsidP="008B048C">
      <w:pPr>
        <w:pStyle w:val="EndNoteBibliography"/>
        <w:spacing w:after="0"/>
      </w:pPr>
      <w:r w:rsidRPr="008B048C">
        <w:t>13.</w:t>
      </w:r>
      <w:r w:rsidRPr="008B048C">
        <w:tab/>
        <w:t>Ardern-Jones MR, Mockenhaupt M. Making a diagnosis in severe cutaneous drug hypersensitivity reactions. Curr Opin Allergy Clin Immunol. 2019;19(4):283-93.</w:t>
      </w:r>
    </w:p>
    <w:p w14:paraId="4A729FDD" w14:textId="77777777" w:rsidR="003D56DD" w:rsidRPr="008B048C" w:rsidRDefault="003D56DD" w:rsidP="008B048C">
      <w:pPr>
        <w:pStyle w:val="EndNoteBibliography"/>
        <w:spacing w:after="0"/>
      </w:pPr>
      <w:r w:rsidRPr="008B048C">
        <w:t>14.</w:t>
      </w:r>
      <w:r w:rsidRPr="008B048C">
        <w:tab/>
        <w:t>Kano Y, Tohyama M, Aihara M, Matsukura S, Watanabe H, Sueki H, et al. Sequelae in 145 patients with drug-induced hypersensitivity syndrome/drug reaction with eosinophilia and systemic symptoms: survey conducted by the Asian Research Committee on Severe Cutaneous Adverse Reactions (ASCAR). J Dermatol. 2015;42(3):276-82.</w:t>
      </w:r>
    </w:p>
    <w:p w14:paraId="2A6BCCCF" w14:textId="77777777" w:rsidR="003D56DD" w:rsidRPr="008B048C" w:rsidRDefault="003D56DD" w:rsidP="008B048C">
      <w:pPr>
        <w:pStyle w:val="EndNoteBibliography"/>
        <w:spacing w:after="0"/>
      </w:pPr>
      <w:r w:rsidRPr="008B048C">
        <w:t>15.</w:t>
      </w:r>
      <w:r w:rsidRPr="008B048C">
        <w:tab/>
        <w:t>Barbaud A. Skin testing and patch testing in non-IgE-mediated drug allergy. Curr Allergy Asthma Rep. 2014;14(6):442.</w:t>
      </w:r>
    </w:p>
    <w:p w14:paraId="049CEDC8" w14:textId="77777777" w:rsidR="003D56DD" w:rsidRPr="008B048C" w:rsidRDefault="003D56DD" w:rsidP="008B048C">
      <w:pPr>
        <w:pStyle w:val="EndNoteBibliography"/>
        <w:spacing w:after="0"/>
      </w:pPr>
      <w:r w:rsidRPr="008B048C">
        <w:t>16.</w:t>
      </w:r>
      <w:r w:rsidRPr="008B048C">
        <w:tab/>
        <w:t>Barbaud A, Collet E, Milpied B, Assier H, Staumont D, Avenel-Audran M, et al. A multicentre study to determine the value and safety of drug patch tests for the three main classes of severe cutaneous adverse drug reactions. Br J Dermatol. 2013;168(3):555-62.</w:t>
      </w:r>
    </w:p>
    <w:p w14:paraId="135AB733" w14:textId="77777777" w:rsidR="003D56DD" w:rsidRPr="008B048C" w:rsidRDefault="003D56DD" w:rsidP="008B048C">
      <w:pPr>
        <w:pStyle w:val="EndNoteBibliography"/>
        <w:spacing w:after="0"/>
      </w:pPr>
      <w:r w:rsidRPr="008B048C">
        <w:t>17.</w:t>
      </w:r>
      <w:r w:rsidRPr="008B048C">
        <w:tab/>
        <w:t>de Groot AC. Patch testing in drug reaction with eosinophilia and systemic symptoms (DRESS): A literature review. Contact Dermatitis. 2022;86(6):443-79.</w:t>
      </w:r>
    </w:p>
    <w:p w14:paraId="1A32D315" w14:textId="77777777" w:rsidR="003D56DD" w:rsidRPr="008B048C" w:rsidRDefault="003D56DD" w:rsidP="008B048C">
      <w:pPr>
        <w:pStyle w:val="EndNoteBibliography"/>
        <w:spacing w:after="0"/>
      </w:pPr>
      <w:r w:rsidRPr="008B048C">
        <w:t>18.</w:t>
      </w:r>
      <w:r w:rsidRPr="008B048C">
        <w:tab/>
        <w:t>Santiago F, Gonçalo M, Vieira R, Coelho S, Figueiredo A. Epicutaneous patch testing in drug hypersensitivity syndrome (DRESS). Contact Dermatitis. 2010;62(1):47-53.</w:t>
      </w:r>
    </w:p>
    <w:p w14:paraId="2AD87EE8" w14:textId="77777777" w:rsidR="003D56DD" w:rsidRPr="008B048C" w:rsidRDefault="003D56DD" w:rsidP="008B048C">
      <w:pPr>
        <w:pStyle w:val="EndNoteBibliography"/>
        <w:spacing w:after="0"/>
      </w:pPr>
      <w:r w:rsidRPr="008B048C">
        <w:lastRenderedPageBreak/>
        <w:t>19.</w:t>
      </w:r>
      <w:r w:rsidRPr="008B048C">
        <w:tab/>
        <w:t>Friedmann PS, Ardern-Jones M. Patch testing in drug allergy. Current Opinion in Allergy and Clinical Immunology. 2010;10(4):291-6.</w:t>
      </w:r>
    </w:p>
    <w:p w14:paraId="4E895F8D" w14:textId="77777777" w:rsidR="003D56DD" w:rsidRPr="008B048C" w:rsidRDefault="003D56DD" w:rsidP="008B048C">
      <w:pPr>
        <w:pStyle w:val="EndNoteBibliography"/>
        <w:spacing w:after="0"/>
      </w:pPr>
      <w:r w:rsidRPr="008B048C">
        <w:t>20.</w:t>
      </w:r>
      <w:r w:rsidRPr="008B048C">
        <w:tab/>
        <w:t>Schünemann HJ, Oxman AD, Brozek J, Glasziou P, Bossuyt P, Chang S, et al. GRADE: assessing the quality of evidence for diagnostic recommendations. Evid Based Med. 2008;13(6):162-3.</w:t>
      </w:r>
    </w:p>
    <w:p w14:paraId="072372D4" w14:textId="77777777" w:rsidR="003D56DD" w:rsidRPr="008B048C" w:rsidRDefault="003D56DD" w:rsidP="008B048C">
      <w:pPr>
        <w:pStyle w:val="EndNoteBibliography"/>
        <w:spacing w:after="0"/>
      </w:pPr>
      <w:r w:rsidRPr="008B048C">
        <w:t>21.</w:t>
      </w:r>
      <w:r w:rsidRPr="008B048C">
        <w:tab/>
        <w:t>Bossuyt PM, Reitsma JB, Bruns DE, Gatsonis CA, Glasziou PP, Irwig L, et al. STARD 2015: An Updated List of Essential Items for Reporting Diagnostic Accuracy Studies. Clin Chem. 2015;61(12):1446-52.</w:t>
      </w:r>
    </w:p>
    <w:p w14:paraId="75F8D0E1" w14:textId="77777777" w:rsidR="003D56DD" w:rsidRPr="008B048C" w:rsidRDefault="003D56DD" w:rsidP="008B048C">
      <w:pPr>
        <w:pStyle w:val="EndNoteBibliography"/>
        <w:spacing w:after="0"/>
      </w:pPr>
      <w:r w:rsidRPr="008B048C">
        <w:t>22.</w:t>
      </w:r>
      <w:r w:rsidRPr="008B048C">
        <w:tab/>
        <w:t>Brockow K, Garvey LH, Aberer W, Atanaskovic-Markovic M, Barbaud A, Bilo MB, et al. Skin test concentrations for systemically administered drugs -- an ENDA/EAACI Drug Allergy Interest Group position paper. Allergy. 2013;68(6):702-12.</w:t>
      </w:r>
    </w:p>
    <w:p w14:paraId="65724BD6" w14:textId="77777777" w:rsidR="003D56DD" w:rsidRPr="008B048C" w:rsidRDefault="003D56DD" w:rsidP="008B048C">
      <w:pPr>
        <w:pStyle w:val="EndNoteBibliography"/>
        <w:spacing w:after="0"/>
      </w:pPr>
      <w:r w:rsidRPr="008B048C">
        <w:t>23.</w:t>
      </w:r>
      <w:r w:rsidRPr="008B048C">
        <w:tab/>
        <w:t>Johansen JD, Aalto-Korte K, Agner T, Andersen KE, Bircher A, Bruze M, et al. European Society of Contact Dermatitis guideline for diagnostic patch testing - recommendations on best practice. Contact Dermatitis. 2015;73(4):195-221.</w:t>
      </w:r>
    </w:p>
    <w:p w14:paraId="6CD43392" w14:textId="77777777" w:rsidR="003D56DD" w:rsidRPr="008B048C" w:rsidRDefault="003D56DD" w:rsidP="008B048C">
      <w:pPr>
        <w:pStyle w:val="EndNoteBibliography"/>
        <w:spacing w:after="0"/>
      </w:pPr>
      <w:r w:rsidRPr="008B048C">
        <w:t>24.</w:t>
      </w:r>
      <w:r w:rsidRPr="008B048C">
        <w:tab/>
        <w:t>Ben Mahmoud L, Bahloul N, Ghozzi H, Kammoun B, Hakim A, Sahnoun Z, et al. [Epicutaneous patch testing in delayed drug hypersensitivity reactions induced by antiepileptic drugs]. Therapie. 2017;72(5):539-45.</w:t>
      </w:r>
    </w:p>
    <w:p w14:paraId="23CB5849" w14:textId="77777777" w:rsidR="003D56DD" w:rsidRPr="008B048C" w:rsidRDefault="003D56DD" w:rsidP="008B048C">
      <w:pPr>
        <w:pStyle w:val="EndNoteBibliography"/>
        <w:spacing w:after="0"/>
      </w:pPr>
      <w:r w:rsidRPr="008B048C">
        <w:t>25.</w:t>
      </w:r>
      <w:r w:rsidRPr="008B048C">
        <w:tab/>
        <w:t>Ben-Said B, Arnaud-Butel S, Rozieres A, Rodet K, Berard F, Nicolas JF, et al. Allergic delayed drug hypersensitivity is more frequently diagnosed in drug reaction, eosinophilia and systemic symptoms (DRESS) syndrome than in exanthema induced by beta-lactam antibiotics. J Dermatol Sci. 2015;80(1):71-4.</w:t>
      </w:r>
    </w:p>
    <w:p w14:paraId="4B069FE4" w14:textId="77777777" w:rsidR="003D56DD" w:rsidRPr="008B048C" w:rsidRDefault="003D56DD" w:rsidP="008B048C">
      <w:pPr>
        <w:pStyle w:val="EndNoteBibliography"/>
        <w:spacing w:after="0"/>
      </w:pPr>
      <w:r w:rsidRPr="008B048C">
        <w:t>26.</w:t>
      </w:r>
      <w:r w:rsidRPr="008B048C">
        <w:tab/>
        <w:t>Bregeon B, Peuvrel L, Bernier C, Lemoigne M, Josselin N, Saint-Jean M, et al. DRESS syndrome induced with the combination of vemurafenib and cobimetinib in melanoma: A series of 7 cases. Journal of the European Academy of Dermatology and Venereology. 2017;31 (Supplement 3):70.</w:t>
      </w:r>
    </w:p>
    <w:p w14:paraId="5830D095" w14:textId="77777777" w:rsidR="003D56DD" w:rsidRPr="008B048C" w:rsidRDefault="003D56DD" w:rsidP="008B048C">
      <w:pPr>
        <w:pStyle w:val="EndNoteBibliography"/>
        <w:spacing w:after="0"/>
      </w:pPr>
      <w:r w:rsidRPr="008B048C">
        <w:t>27.</w:t>
      </w:r>
      <w:r w:rsidRPr="008B048C">
        <w:tab/>
        <w:t>Daveluy A, Milpied B, Barbaud A, Lebrun-Vignes B, Gouraud A, Laroche ML, et al. Fluindione and drug reaction with eosinophilia and systemic symptoms: an unrecognised adverse effect? Eur J Clin Pharmacol. 2012;68(1):101-5.</w:t>
      </w:r>
    </w:p>
    <w:p w14:paraId="63BECD67" w14:textId="77777777" w:rsidR="003D56DD" w:rsidRPr="008B048C" w:rsidRDefault="003D56DD" w:rsidP="008B048C">
      <w:pPr>
        <w:pStyle w:val="EndNoteBibliography"/>
        <w:spacing w:after="0"/>
      </w:pPr>
      <w:r w:rsidRPr="008B048C">
        <w:t>28.</w:t>
      </w:r>
      <w:r w:rsidRPr="008B048C">
        <w:tab/>
        <w:t>Ingen-Housz-Oro S, Bernier C, Gener G, Fichel F, Barbaud A, Lebrun-Vignes B, et al. Valaciclovir: a culprit drug for drug reaction with eosinophilia and systemic symptoms not to be neglected. Three cases. Br J Dermatol. 2019;180(3):666-7.</w:t>
      </w:r>
    </w:p>
    <w:p w14:paraId="29DACA20" w14:textId="77777777" w:rsidR="003D56DD" w:rsidRPr="008B048C" w:rsidRDefault="003D56DD" w:rsidP="008B048C">
      <w:pPr>
        <w:pStyle w:val="EndNoteBibliography"/>
        <w:spacing w:after="0"/>
      </w:pPr>
      <w:r w:rsidRPr="008B048C">
        <w:t>29.</w:t>
      </w:r>
      <w:r w:rsidRPr="008B048C">
        <w:tab/>
        <w:t>Lin YT, Chang YC, Hui RCY, Yang CH, Ho HC, Hung SI, et al. A patch testing and cross-sensitivity study of carbamazepine-induced severe cutaneous adverse drug reactions. Journal of the European Academy of Dermatology and Venereology. 2013;27(3):356-64.</w:t>
      </w:r>
    </w:p>
    <w:p w14:paraId="49890212" w14:textId="77777777" w:rsidR="003D56DD" w:rsidRPr="008B048C" w:rsidRDefault="003D56DD" w:rsidP="008B048C">
      <w:pPr>
        <w:pStyle w:val="EndNoteBibliography"/>
        <w:spacing w:after="0"/>
      </w:pPr>
      <w:r w:rsidRPr="008B048C">
        <w:t>30.</w:t>
      </w:r>
      <w:r w:rsidRPr="008B048C">
        <w:tab/>
        <w:t>Ohtoshi S, Kitami Y, Sueki H, Nakada T. Utility of patch testing for patients with drug eruption. Clinical and Experimental Dermatology. 2014;39(3):279-83.</w:t>
      </w:r>
    </w:p>
    <w:p w14:paraId="28213B37" w14:textId="77777777" w:rsidR="003D56DD" w:rsidRPr="008B048C" w:rsidRDefault="003D56DD" w:rsidP="008B048C">
      <w:pPr>
        <w:pStyle w:val="EndNoteBibliography"/>
        <w:spacing w:after="0"/>
      </w:pPr>
      <w:r w:rsidRPr="008B048C">
        <w:t>31.</w:t>
      </w:r>
      <w:r w:rsidRPr="008B048C">
        <w:tab/>
        <w:t>Pinho A, Coutinho I, Gouveia M, Marta A, Goncalo M. Long-term reproducibility of positive patch tests in nonimmediate cutaneous adverse drug reactions to antibiotics. Contact Dermatitis. 2016;75 (Supplement 1):53.</w:t>
      </w:r>
    </w:p>
    <w:p w14:paraId="1DE97C2F" w14:textId="77777777" w:rsidR="003D56DD" w:rsidRPr="008B048C" w:rsidRDefault="003D56DD" w:rsidP="008B048C">
      <w:pPr>
        <w:pStyle w:val="EndNoteBibliography"/>
        <w:spacing w:after="0"/>
      </w:pPr>
      <w:r w:rsidRPr="008B048C">
        <w:t>32.</w:t>
      </w:r>
      <w:r w:rsidRPr="008B048C">
        <w:tab/>
        <w:t>Pinho A, Santiago L, Goncalo M. Patch testing in the investigation of non-immediate cutaneous adverse drug reactions to metamizole. Contact Dermatitis. 2017;76(4):238-9.</w:t>
      </w:r>
    </w:p>
    <w:p w14:paraId="214DCA54" w14:textId="77777777" w:rsidR="003D56DD" w:rsidRPr="008B048C" w:rsidRDefault="003D56DD" w:rsidP="008B048C">
      <w:pPr>
        <w:pStyle w:val="EndNoteBibliography"/>
        <w:spacing w:after="0"/>
      </w:pPr>
      <w:r w:rsidRPr="008B048C">
        <w:t>33.</w:t>
      </w:r>
      <w:r w:rsidRPr="008B048C">
        <w:tab/>
        <w:t>Tanno LK, Kerr DS, dos Santos B, Talib LL, Yamaguti C, Rodrigues H, et al. The Absence of CYP3A5 3 Is a Protective Factor to Anticonvulsants Hypersensitivity Reactions: A Case-Control Study in Brazilian Subjects. PLoS ONE. 2015;10(8):e0136141.</w:t>
      </w:r>
    </w:p>
    <w:p w14:paraId="4057B548" w14:textId="77777777" w:rsidR="003D56DD" w:rsidRPr="008B048C" w:rsidRDefault="003D56DD" w:rsidP="008B048C">
      <w:pPr>
        <w:pStyle w:val="EndNoteBibliography"/>
        <w:spacing w:after="0"/>
      </w:pPr>
      <w:r w:rsidRPr="008B048C">
        <w:t>34.</w:t>
      </w:r>
      <w:r w:rsidRPr="008B048C">
        <w:tab/>
        <w:t>Trubiano JA, Strautins K, Redwood AJ, Pavlos R, Konvinse KC, Aung AK, et al. The Combined Utility of Ex Vivo IFN-gamma Release Enzyme-Linked ImmunoSpot Assay and In Vivo Skin Testing in Patients with Antibiotic-Associated Severe Cutaneous Adverse Reactions. J Allergy Clin Immunol Pract. 2018;6(4):1287-96.e1.</w:t>
      </w:r>
    </w:p>
    <w:p w14:paraId="7FD270E8" w14:textId="77777777" w:rsidR="003D56DD" w:rsidRPr="008B048C" w:rsidRDefault="003D56DD" w:rsidP="008B048C">
      <w:pPr>
        <w:pStyle w:val="EndNoteBibliography"/>
        <w:spacing w:after="0"/>
      </w:pPr>
      <w:r w:rsidRPr="008B048C">
        <w:t>35.</w:t>
      </w:r>
      <w:r w:rsidRPr="008B048C">
        <w:tab/>
        <w:t>Soria A, Hamelin A, de Risi Pugliese T, Amsler E, Barbaud A. Are drug intradermal tests dangerous to explore cross-reactivity and co-sensitization in DRESS? Br J Dermatol. 2019;27:27.</w:t>
      </w:r>
    </w:p>
    <w:p w14:paraId="474267BF" w14:textId="77777777" w:rsidR="003D56DD" w:rsidRPr="008B048C" w:rsidRDefault="003D56DD" w:rsidP="008B048C">
      <w:pPr>
        <w:pStyle w:val="EndNoteBibliography"/>
        <w:spacing w:after="0"/>
      </w:pPr>
      <w:r w:rsidRPr="008B048C">
        <w:lastRenderedPageBreak/>
        <w:t>36.</w:t>
      </w:r>
      <w:r w:rsidRPr="008B048C">
        <w:tab/>
        <w:t>Cabañas R, Calderon O, Ramirez E, Fiandor A, Prior N, Caballero T, et al. Piperacillin-induced DRESS: distinguishing features observed in a clinical and allergy study of 8 patients. J Investig Allergol Clin Immunol. 2014;24(6):425-30.</w:t>
      </w:r>
    </w:p>
    <w:p w14:paraId="5992E0C7" w14:textId="77777777" w:rsidR="003D56DD" w:rsidRPr="008B048C" w:rsidRDefault="003D56DD" w:rsidP="008B048C">
      <w:pPr>
        <w:pStyle w:val="EndNoteBibliography"/>
        <w:spacing w:after="0"/>
      </w:pPr>
      <w:r w:rsidRPr="008B048C">
        <w:t>37.</w:t>
      </w:r>
      <w:r w:rsidRPr="008B048C">
        <w:tab/>
        <w:t>Assier H, Valeyrie-Allanore L, Gener G, Verlinde Carvalh M, Chosidow O, Wolkenstein P. Patch testing in non-immediate cutaneous adverse drug reactions: value of extemporaneous patch tests. Contact Dermatitis. 2017;77(5):297-302.</w:t>
      </w:r>
    </w:p>
    <w:p w14:paraId="72C61CB0" w14:textId="77777777" w:rsidR="003D56DD" w:rsidRPr="008B048C" w:rsidRDefault="003D56DD" w:rsidP="008B048C">
      <w:pPr>
        <w:pStyle w:val="EndNoteBibliography"/>
        <w:spacing w:after="0"/>
      </w:pPr>
      <w:r w:rsidRPr="008B048C">
        <w:t>38.</w:t>
      </w:r>
      <w:r w:rsidRPr="008B048C">
        <w:tab/>
        <w:t>Santiago LG, Morgado FJ, Baptista MS, Gonçalo M. Hypersensitivity to antibiotics in drug reaction with eosinophilia and systemic symptoms (DRESS) from other culprits. Contact Dermatitis. 2020;82(5):290-6.</w:t>
      </w:r>
    </w:p>
    <w:p w14:paraId="35478972" w14:textId="77777777" w:rsidR="003D56DD" w:rsidRPr="008B048C" w:rsidRDefault="003D56DD" w:rsidP="008B048C">
      <w:pPr>
        <w:pStyle w:val="EndNoteBibliography"/>
        <w:spacing w:after="0"/>
      </w:pPr>
      <w:r w:rsidRPr="008B048C">
        <w:t>39.</w:t>
      </w:r>
      <w:r w:rsidRPr="008B048C">
        <w:tab/>
        <w:t>Bellón T. Mechanisms of Severe Cutaneous Adverse Reactions: Recent Advances. Drug Saf. 2019;42(8):973-92.</w:t>
      </w:r>
    </w:p>
    <w:p w14:paraId="1470977C" w14:textId="77777777" w:rsidR="003D56DD" w:rsidRPr="008B048C" w:rsidRDefault="003D56DD" w:rsidP="008B048C">
      <w:pPr>
        <w:pStyle w:val="EndNoteBibliography"/>
        <w:spacing w:after="0"/>
      </w:pPr>
      <w:r w:rsidRPr="008B048C">
        <w:t>40.</w:t>
      </w:r>
      <w:r w:rsidRPr="008B048C">
        <w:tab/>
        <w:t>Houwerzijl J, De Gast GC, Nater JP, Esselink MT, Nieweg HO. Lymphocyte-stimulation tests and patch tests to carbamazepine hypersensitivity. Clin Exp Immunol. 1977;29(2):272-7.</w:t>
      </w:r>
    </w:p>
    <w:p w14:paraId="3E7024F2" w14:textId="77777777" w:rsidR="003D56DD" w:rsidRPr="008B048C" w:rsidRDefault="003D56DD" w:rsidP="008B048C">
      <w:pPr>
        <w:pStyle w:val="EndNoteBibliography"/>
        <w:spacing w:after="0"/>
      </w:pPr>
      <w:r w:rsidRPr="008B048C">
        <w:t>41.</w:t>
      </w:r>
      <w:r w:rsidRPr="008B048C">
        <w:tab/>
        <w:t>Lammintausta K, Kortekangas-Savolainen O. The usefulness of skin tests to prove drug hypersensitivity. Br J Dermatol. 2005;152(5):968-74.</w:t>
      </w:r>
    </w:p>
    <w:p w14:paraId="6F463AE4" w14:textId="77777777" w:rsidR="003D56DD" w:rsidRPr="008B048C" w:rsidRDefault="003D56DD" w:rsidP="008B048C">
      <w:pPr>
        <w:pStyle w:val="EndNoteBibliography"/>
        <w:spacing w:after="0"/>
      </w:pPr>
      <w:r w:rsidRPr="008B048C">
        <w:t>42.</w:t>
      </w:r>
      <w:r w:rsidRPr="008B048C">
        <w:tab/>
        <w:t>Pinho A, Coutinho I, Gameiro A, Gouveia M, Gonçalo M. Patch testing - a valuable tool for investigating non-immediate cutaneous adverse drug reactions to antibiotics. J Eur Acad Dermatol Venereol. 2017;31(2):280-7.</w:t>
      </w:r>
    </w:p>
    <w:p w14:paraId="744E3B01" w14:textId="77777777" w:rsidR="003D56DD" w:rsidRPr="008B048C" w:rsidRDefault="003D56DD" w:rsidP="008B048C">
      <w:pPr>
        <w:pStyle w:val="EndNoteBibliography"/>
        <w:spacing w:after="0"/>
      </w:pPr>
      <w:r w:rsidRPr="008B048C">
        <w:t>43.</w:t>
      </w:r>
      <w:r w:rsidRPr="008B048C">
        <w:tab/>
        <w:t>Phillips EJ, Bigliardi P, Bircher AJ, Broyles A, Chang YS, Chung WH, et al. Controversies in drug allergy: Testing for delayed reactions. J Allergy Clin Immunol. 2019;143(1):66-73.</w:t>
      </w:r>
    </w:p>
    <w:p w14:paraId="783A9111" w14:textId="77777777" w:rsidR="003D56DD" w:rsidRPr="008B048C" w:rsidRDefault="003D56DD" w:rsidP="008B048C">
      <w:pPr>
        <w:pStyle w:val="EndNoteBibliography"/>
        <w:spacing w:after="0"/>
      </w:pPr>
      <w:r w:rsidRPr="008B048C">
        <w:t>44.</w:t>
      </w:r>
      <w:r w:rsidRPr="008B048C">
        <w:tab/>
        <w:t>Brajon D, Menetre S, Waton J, Poreaux C, Barbaud A. Non-irritant concentrations and amounts of active ingredient in drug patch tests. Contact Dermatitis. 2014;71(3):170-5.</w:t>
      </w:r>
    </w:p>
    <w:p w14:paraId="79DC352E" w14:textId="77777777" w:rsidR="003D56DD" w:rsidRPr="008B048C" w:rsidRDefault="003D56DD" w:rsidP="008B048C">
      <w:pPr>
        <w:pStyle w:val="EndNoteBibliography"/>
        <w:spacing w:after="0"/>
      </w:pPr>
      <w:r w:rsidRPr="008B048C">
        <w:t>45.</w:t>
      </w:r>
      <w:r w:rsidRPr="008B048C">
        <w:tab/>
        <w:t>Córdoba S, Navarro-Vidal B, Martínez-Morán C, Borbujo J. Reactivation of Skin Lesions After Patch Testing to Investigate Drug Rash With Eosinophilia and Systemic Symptoms (DRESS) Syndrome. Actas Dermosifiliogr. 2016;107(9):781-3.</w:t>
      </w:r>
    </w:p>
    <w:p w14:paraId="0FF1173B" w14:textId="77777777" w:rsidR="003D56DD" w:rsidRPr="008B048C" w:rsidRDefault="003D56DD" w:rsidP="008B048C">
      <w:pPr>
        <w:pStyle w:val="EndNoteBibliography"/>
        <w:spacing w:after="0"/>
      </w:pPr>
      <w:r w:rsidRPr="008B048C">
        <w:t>46.</w:t>
      </w:r>
      <w:r w:rsidRPr="008B048C">
        <w:tab/>
        <w:t>Teo YX, Ardern-Jones MR. Reactivation of drug reaction with eosinophilia and systemic symptoms with ranitidine patch testing. Contact Dermatitis. 2021;84(4):278-9.</w:t>
      </w:r>
    </w:p>
    <w:p w14:paraId="2F14ED1B" w14:textId="77777777" w:rsidR="003D56DD" w:rsidRPr="008B048C" w:rsidRDefault="003D56DD" w:rsidP="008B048C">
      <w:pPr>
        <w:pStyle w:val="EndNoteBibliography"/>
        <w:spacing w:after="0"/>
      </w:pPr>
      <w:r w:rsidRPr="008B048C">
        <w:t>47.</w:t>
      </w:r>
      <w:r w:rsidRPr="008B048C">
        <w:tab/>
        <w:t>Lehloenya RJ, Todd G, Wallace J, Ngwanya MR, Muloiwa R, Dheda K. Diagnostic patch testing following tuberculosis-associated cutaneous adverse drug reactions induces systemic reactions in HIV-infected persons. Br J Dermatol. 2016;175(1):150-6.</w:t>
      </w:r>
    </w:p>
    <w:p w14:paraId="50D8E0E6" w14:textId="77777777" w:rsidR="003D56DD" w:rsidRPr="008B048C" w:rsidRDefault="003D56DD" w:rsidP="008B048C">
      <w:pPr>
        <w:pStyle w:val="EndNoteBibliography"/>
        <w:spacing w:after="0"/>
      </w:pPr>
      <w:r w:rsidRPr="008B048C">
        <w:t>48.</w:t>
      </w:r>
      <w:r w:rsidRPr="008B048C">
        <w:tab/>
        <w:t>Phillips EJ, Sullivan JR, Knowles SR, Shear NH. Utility of patch testing in patients with hypersensitivity syndromes associated with abacavir. AIDS. 2002;16(16):2223-5.</w:t>
      </w:r>
    </w:p>
    <w:p w14:paraId="2B38CB52" w14:textId="77777777" w:rsidR="003D56DD" w:rsidRPr="008B048C" w:rsidRDefault="003D56DD" w:rsidP="008B048C">
      <w:pPr>
        <w:pStyle w:val="EndNoteBibliography"/>
        <w:spacing w:after="0"/>
      </w:pPr>
      <w:r w:rsidRPr="008B048C">
        <w:t>49.</w:t>
      </w:r>
      <w:r w:rsidRPr="008B048C">
        <w:tab/>
        <w:t>Saag M, Balu R, Phillips E, Brachman P, Martorell C, Burman W, et al. High sensitivity of human leukocyte antigen-b*5701 as a marker for immunologically confirmed abacavir hypersensitivity in white and black patients. Clin Infect Dis. 2008;46(7):1111-8.</w:t>
      </w:r>
    </w:p>
    <w:p w14:paraId="604300BA" w14:textId="43E993F9" w:rsidR="001075CC" w:rsidRDefault="003D56DD" w:rsidP="000D73D2">
      <w:pPr>
        <w:pStyle w:val="EndNoteBibliography"/>
      </w:pPr>
      <w:r w:rsidRPr="008B048C">
        <w:t>50.</w:t>
      </w:r>
      <w:r w:rsidRPr="008B048C">
        <w:tab/>
        <w:t>Giorgini S, Martinelli C, Tognetti L, Carocci A, Giuntini R, Mastronardi V, et al. Use of patch testing for the diagnosis of abacavir-related hypersensitivity reaction in HIV patients. Dermatol Ther. 2011;24(6):591-4.</w:t>
      </w:r>
    </w:p>
    <w:sectPr w:rsidR="001075CC" w:rsidSect="006974E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20FEB" w14:textId="77777777" w:rsidR="00B17FA5" w:rsidRDefault="00B17FA5">
      <w:pPr>
        <w:spacing w:after="0" w:line="240" w:lineRule="auto"/>
      </w:pPr>
      <w:r>
        <w:separator/>
      </w:r>
    </w:p>
  </w:endnote>
  <w:endnote w:type="continuationSeparator" w:id="0">
    <w:p w14:paraId="679ACDC5" w14:textId="77777777" w:rsidR="00B17FA5" w:rsidRDefault="00B1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72D96" w14:textId="77777777" w:rsidR="00B17FA5" w:rsidRDefault="00B17FA5">
      <w:pPr>
        <w:spacing w:after="0" w:line="240" w:lineRule="auto"/>
      </w:pPr>
      <w:r>
        <w:separator/>
      </w:r>
    </w:p>
  </w:footnote>
  <w:footnote w:type="continuationSeparator" w:id="0">
    <w:p w14:paraId="1BE00A36" w14:textId="77777777" w:rsidR="00B17FA5" w:rsidRDefault="00B1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963253"/>
      <w:docPartObj>
        <w:docPartGallery w:val="Page Numbers (Top of Page)"/>
        <w:docPartUnique/>
      </w:docPartObj>
    </w:sdtPr>
    <w:sdtEndPr>
      <w:rPr>
        <w:noProof/>
      </w:rPr>
    </w:sdtEndPr>
    <w:sdtContent>
      <w:p w14:paraId="0C2F3185" w14:textId="77777777" w:rsidR="008134F8" w:rsidRDefault="00B17FA5">
        <w:pPr>
          <w:pStyle w:val="Header"/>
          <w:jc w:val="right"/>
        </w:pPr>
      </w:p>
      <w:p w14:paraId="098B5FA9" w14:textId="77777777" w:rsidR="008134F8" w:rsidRDefault="000B1882">
        <w:pPr>
          <w:pStyle w:val="Header"/>
          <w:jc w:val="right"/>
        </w:pPr>
        <w:r>
          <w:t xml:space="preserve">Page </w:t>
        </w:r>
        <w:r>
          <w:fldChar w:fldCharType="begin"/>
        </w:r>
        <w:r>
          <w:instrText xml:space="preserve"> PAGE   \* MERGEFORMAT </w:instrText>
        </w:r>
        <w:r>
          <w:fldChar w:fldCharType="separate"/>
        </w:r>
        <w:r>
          <w:rPr>
            <w:noProof/>
          </w:rPr>
          <w:t>13</w:t>
        </w:r>
        <w:r>
          <w:rPr>
            <w:noProof/>
          </w:rPr>
          <w:fldChar w:fldCharType="end"/>
        </w:r>
      </w:p>
    </w:sdtContent>
  </w:sdt>
  <w:p w14:paraId="42E18D8B" w14:textId="77777777" w:rsidR="008134F8" w:rsidRDefault="00B17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75C8"/>
    <w:multiLevelType w:val="multilevel"/>
    <w:tmpl w:val="78B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57722"/>
    <w:multiLevelType w:val="hybridMultilevel"/>
    <w:tmpl w:val="512A5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6841A68"/>
    <w:multiLevelType w:val="hybridMultilevel"/>
    <w:tmpl w:val="9B7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422C0"/>
    <w:multiLevelType w:val="multilevel"/>
    <w:tmpl w:val="CD6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A3ADB"/>
    <w:multiLevelType w:val="hybridMultilevel"/>
    <w:tmpl w:val="47EC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E093D"/>
    <w:multiLevelType w:val="hybridMultilevel"/>
    <w:tmpl w:val="29BC802C"/>
    <w:lvl w:ilvl="0" w:tplc="5EFC677A">
      <w:start w:val="5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10516"/>
    <w:multiLevelType w:val="hybridMultilevel"/>
    <w:tmpl w:val="3E34C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71432"/>
    <w:multiLevelType w:val="hybridMultilevel"/>
    <w:tmpl w:val="73E2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E6880"/>
    <w:multiLevelType w:val="hybridMultilevel"/>
    <w:tmpl w:val="55AE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728DE"/>
    <w:multiLevelType w:val="hybridMultilevel"/>
    <w:tmpl w:val="28FCD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16E5D2C"/>
    <w:multiLevelType w:val="hybridMultilevel"/>
    <w:tmpl w:val="19CE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9"/>
  </w:num>
  <w:num w:numId="5">
    <w:abstractNumId w:val="1"/>
  </w:num>
  <w:num w:numId="6">
    <w:abstractNumId w:val="2"/>
  </w:num>
  <w:num w:numId="7">
    <w:abstractNumId w:val="10"/>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D56DD"/>
    <w:rsid w:val="000B1882"/>
    <w:rsid w:val="000D73D2"/>
    <w:rsid w:val="001075CC"/>
    <w:rsid w:val="002A166F"/>
    <w:rsid w:val="003D56DD"/>
    <w:rsid w:val="006F09CD"/>
    <w:rsid w:val="00AF7C2D"/>
    <w:rsid w:val="00B17FA5"/>
    <w:rsid w:val="00B34ABB"/>
    <w:rsid w:val="00C423A3"/>
    <w:rsid w:val="00C43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31DC"/>
  <w15:chartTrackingRefBased/>
  <w15:docId w15:val="{4FDC4C4F-849C-4701-9BA1-84FF48C0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DD"/>
  </w:style>
  <w:style w:type="paragraph" w:styleId="Heading1">
    <w:name w:val="heading 1"/>
    <w:basedOn w:val="Normal"/>
    <w:link w:val="Heading1Char"/>
    <w:uiPriority w:val="9"/>
    <w:qFormat/>
    <w:rsid w:val="003D5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semiHidden/>
    <w:unhideWhenUsed/>
    <w:qFormat/>
    <w:rsid w:val="003D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6DD"/>
    <w:rPr>
      <w:rFonts w:ascii="Times New Roman" w:eastAsia="Times New Roman" w:hAnsi="Times New Roman" w:cs="Times New Roman"/>
      <w:b/>
      <w:bCs/>
      <w:kern w:val="36"/>
      <w:sz w:val="48"/>
      <w:szCs w:val="48"/>
      <w:lang w:eastAsia="zh-CN"/>
    </w:rPr>
  </w:style>
  <w:style w:type="character" w:customStyle="1" w:styleId="Heading2Char">
    <w:name w:val="Heading 2 Char"/>
    <w:basedOn w:val="DefaultParagraphFont"/>
    <w:link w:val="Heading2"/>
    <w:uiPriority w:val="9"/>
    <w:semiHidden/>
    <w:rsid w:val="003D56D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D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6DD"/>
    <w:pPr>
      <w:ind w:left="720"/>
      <w:contextualSpacing/>
    </w:pPr>
  </w:style>
  <w:style w:type="paragraph" w:styleId="BalloonText">
    <w:name w:val="Balloon Text"/>
    <w:basedOn w:val="Normal"/>
    <w:link w:val="BalloonTextChar"/>
    <w:uiPriority w:val="99"/>
    <w:semiHidden/>
    <w:unhideWhenUsed/>
    <w:rsid w:val="003D5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DD"/>
    <w:rPr>
      <w:rFonts w:ascii="Segoe UI" w:hAnsi="Segoe UI" w:cs="Segoe UI"/>
      <w:sz w:val="18"/>
      <w:szCs w:val="18"/>
    </w:rPr>
  </w:style>
  <w:style w:type="paragraph" w:customStyle="1" w:styleId="EndNoteBibliographyTitle">
    <w:name w:val="EndNote Bibliography Title"/>
    <w:basedOn w:val="Normal"/>
    <w:link w:val="EndNoteBibliographyTitleChar"/>
    <w:rsid w:val="003D56D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D56DD"/>
    <w:rPr>
      <w:rFonts w:ascii="Calibri" w:hAnsi="Calibri" w:cs="Calibri"/>
      <w:noProof/>
      <w:lang w:val="en-US"/>
    </w:rPr>
  </w:style>
  <w:style w:type="paragraph" w:customStyle="1" w:styleId="EndNoteBibliography">
    <w:name w:val="EndNote Bibliography"/>
    <w:basedOn w:val="Normal"/>
    <w:link w:val="EndNoteBibliographyChar"/>
    <w:rsid w:val="003D56D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D56DD"/>
    <w:rPr>
      <w:rFonts w:ascii="Calibri" w:hAnsi="Calibri" w:cs="Calibri"/>
      <w:noProof/>
      <w:lang w:val="en-US"/>
    </w:rPr>
  </w:style>
  <w:style w:type="character" w:styleId="LineNumber">
    <w:name w:val="line number"/>
    <w:basedOn w:val="DefaultParagraphFont"/>
    <w:uiPriority w:val="99"/>
    <w:semiHidden/>
    <w:unhideWhenUsed/>
    <w:rsid w:val="003D56DD"/>
  </w:style>
  <w:style w:type="paragraph" w:styleId="Header">
    <w:name w:val="header"/>
    <w:basedOn w:val="Normal"/>
    <w:link w:val="HeaderChar"/>
    <w:uiPriority w:val="99"/>
    <w:unhideWhenUsed/>
    <w:rsid w:val="003D5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DD"/>
  </w:style>
  <w:style w:type="paragraph" w:styleId="Footer">
    <w:name w:val="footer"/>
    <w:basedOn w:val="Normal"/>
    <w:link w:val="FooterChar"/>
    <w:uiPriority w:val="99"/>
    <w:unhideWhenUsed/>
    <w:rsid w:val="003D5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DD"/>
  </w:style>
  <w:style w:type="character" w:styleId="CommentReference">
    <w:name w:val="annotation reference"/>
    <w:basedOn w:val="DefaultParagraphFont"/>
    <w:uiPriority w:val="99"/>
    <w:semiHidden/>
    <w:unhideWhenUsed/>
    <w:rsid w:val="003D56DD"/>
    <w:rPr>
      <w:sz w:val="16"/>
      <w:szCs w:val="16"/>
    </w:rPr>
  </w:style>
  <w:style w:type="paragraph" w:styleId="CommentText">
    <w:name w:val="annotation text"/>
    <w:basedOn w:val="Normal"/>
    <w:link w:val="CommentTextChar"/>
    <w:uiPriority w:val="99"/>
    <w:unhideWhenUsed/>
    <w:rsid w:val="003D56DD"/>
    <w:pPr>
      <w:spacing w:line="240" w:lineRule="auto"/>
    </w:pPr>
    <w:rPr>
      <w:sz w:val="20"/>
      <w:szCs w:val="20"/>
    </w:rPr>
  </w:style>
  <w:style w:type="character" w:customStyle="1" w:styleId="CommentTextChar">
    <w:name w:val="Comment Text Char"/>
    <w:basedOn w:val="DefaultParagraphFont"/>
    <w:link w:val="CommentText"/>
    <w:uiPriority w:val="99"/>
    <w:rsid w:val="003D56DD"/>
    <w:rPr>
      <w:sz w:val="20"/>
      <w:szCs w:val="20"/>
    </w:rPr>
  </w:style>
  <w:style w:type="paragraph" w:styleId="CommentSubject">
    <w:name w:val="annotation subject"/>
    <w:basedOn w:val="CommentText"/>
    <w:next w:val="CommentText"/>
    <w:link w:val="CommentSubjectChar"/>
    <w:uiPriority w:val="99"/>
    <w:semiHidden/>
    <w:unhideWhenUsed/>
    <w:rsid w:val="003D56DD"/>
    <w:rPr>
      <w:b/>
      <w:bCs/>
    </w:rPr>
  </w:style>
  <w:style w:type="character" w:customStyle="1" w:styleId="CommentSubjectChar">
    <w:name w:val="Comment Subject Char"/>
    <w:basedOn w:val="CommentTextChar"/>
    <w:link w:val="CommentSubject"/>
    <w:uiPriority w:val="99"/>
    <w:semiHidden/>
    <w:rsid w:val="003D56DD"/>
    <w:rPr>
      <w:b/>
      <w:bCs/>
      <w:sz w:val="20"/>
      <w:szCs w:val="20"/>
    </w:rPr>
  </w:style>
  <w:style w:type="character" w:styleId="Hyperlink">
    <w:name w:val="Hyperlink"/>
    <w:basedOn w:val="DefaultParagraphFont"/>
    <w:uiPriority w:val="99"/>
    <w:unhideWhenUsed/>
    <w:rsid w:val="003D56DD"/>
    <w:rPr>
      <w:color w:val="0000FF"/>
      <w:u w:val="single"/>
    </w:rPr>
  </w:style>
  <w:style w:type="character" w:customStyle="1" w:styleId="highlight">
    <w:name w:val="highlight"/>
    <w:basedOn w:val="DefaultParagraphFont"/>
    <w:rsid w:val="003D56DD"/>
  </w:style>
  <w:style w:type="paragraph" w:customStyle="1" w:styleId="Title1">
    <w:name w:val="Title1"/>
    <w:basedOn w:val="Normal"/>
    <w:rsid w:val="003D56D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sc">
    <w:name w:val="desc"/>
    <w:basedOn w:val="Normal"/>
    <w:rsid w:val="003D56D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tails">
    <w:name w:val="details"/>
    <w:basedOn w:val="Normal"/>
    <w:rsid w:val="003D56D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jrnl">
    <w:name w:val="jrnl"/>
    <w:basedOn w:val="DefaultParagraphFont"/>
    <w:rsid w:val="003D56DD"/>
  </w:style>
  <w:style w:type="paragraph" w:styleId="Revision">
    <w:name w:val="Revision"/>
    <w:hidden/>
    <w:uiPriority w:val="99"/>
    <w:semiHidden/>
    <w:rsid w:val="003D56DD"/>
    <w:pPr>
      <w:spacing w:after="0" w:line="240" w:lineRule="auto"/>
    </w:pPr>
  </w:style>
  <w:style w:type="table" w:customStyle="1" w:styleId="TableGrid1">
    <w:name w:val="Table Grid1"/>
    <w:basedOn w:val="TableNormal"/>
    <w:next w:val="TableGrid"/>
    <w:uiPriority w:val="39"/>
    <w:rsid w:val="003D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DefaultParagraphFont"/>
    <w:rsid w:val="003D56DD"/>
  </w:style>
  <w:style w:type="character" w:customStyle="1" w:styleId="cit">
    <w:name w:val="cit"/>
    <w:basedOn w:val="DefaultParagraphFont"/>
    <w:rsid w:val="003D56DD"/>
  </w:style>
  <w:style w:type="character" w:styleId="PlaceholderText">
    <w:name w:val="Placeholder Text"/>
    <w:basedOn w:val="DefaultParagraphFont"/>
    <w:uiPriority w:val="99"/>
    <w:semiHidden/>
    <w:rsid w:val="003D56DD"/>
    <w:rPr>
      <w:color w:val="808080"/>
    </w:rPr>
  </w:style>
  <w:style w:type="character" w:styleId="UnresolvedMention">
    <w:name w:val="Unresolved Mention"/>
    <w:basedOn w:val="DefaultParagraphFont"/>
    <w:uiPriority w:val="99"/>
    <w:semiHidden/>
    <w:unhideWhenUsed/>
    <w:rsid w:val="003D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soton.ac.uk"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7243</Words>
  <Characters>41288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Ying</dc:creator>
  <cp:keywords/>
  <dc:description/>
  <cp:lastModifiedBy>Teo, Ying</cp:lastModifiedBy>
  <cp:revision>2</cp:revision>
  <dcterms:created xsi:type="dcterms:W3CDTF">2022-07-26T17:09:00Z</dcterms:created>
  <dcterms:modified xsi:type="dcterms:W3CDTF">2022-07-26T17:09:00Z</dcterms:modified>
</cp:coreProperties>
</file>