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FEFD" w14:textId="77777777" w:rsidR="00EC5A9C" w:rsidRPr="00AF4487" w:rsidRDefault="00EC5A9C" w:rsidP="00EC5A9C">
      <w:pPr>
        <w:spacing w:after="0" w:line="240" w:lineRule="auto"/>
        <w:jc w:val="center"/>
        <w:rPr>
          <w:rFonts w:ascii="Times New Roman" w:eastAsia="Calibri" w:hAnsi="Times New Roman" w:cs="Times New Roman"/>
          <w:b/>
          <w:sz w:val="28"/>
          <w:szCs w:val="24"/>
          <w:lang w:val="en-US"/>
        </w:rPr>
      </w:pPr>
      <w:r w:rsidRPr="00AF4487">
        <w:rPr>
          <w:rFonts w:ascii="Times New Roman" w:eastAsia="Calibri" w:hAnsi="Times New Roman" w:cs="Times New Roman"/>
          <w:b/>
          <w:sz w:val="28"/>
          <w:szCs w:val="24"/>
          <w:lang w:val="en-US"/>
        </w:rPr>
        <w:t>Board sustainability committees, climate change initiatives, carbon performance, and market value</w:t>
      </w:r>
    </w:p>
    <w:p w14:paraId="158011D8"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6D394E74"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152F7BA9" w14:textId="5286647F" w:rsidR="001B6443" w:rsidRDefault="001B6443" w:rsidP="001B6443">
      <w:pPr>
        <w:spacing w:after="0" w:line="360" w:lineRule="auto"/>
        <w:jc w:val="center"/>
        <w:outlineLvl w:val="0"/>
        <w:rPr>
          <w:rFonts w:ascii="Times New Roman" w:eastAsia="Times New Roman" w:hAnsi="Times New Roman" w:cs="Times New Roman"/>
          <w:b/>
          <w:bCs/>
          <w:kern w:val="36"/>
          <w:sz w:val="24"/>
          <w:szCs w:val="24"/>
          <w:lang w:val="en-US" w:eastAsia="ru-RU"/>
        </w:rPr>
      </w:pPr>
      <w:r>
        <w:rPr>
          <w:rFonts w:ascii="Times New Roman" w:eastAsia="Times New Roman" w:hAnsi="Times New Roman" w:cs="Times New Roman"/>
          <w:b/>
          <w:bCs/>
          <w:kern w:val="36"/>
          <w:sz w:val="24"/>
          <w:szCs w:val="24"/>
          <w:lang w:val="en-US" w:eastAsia="ru-RU"/>
        </w:rPr>
        <w:t>Nurlan Orazalin (University of Southampton, UK), Collins Ntim (University of Southampton, UK) and John Malagila (University of Essex, UK)</w:t>
      </w:r>
    </w:p>
    <w:p w14:paraId="1465E1C1" w14:textId="77777777" w:rsidR="001B6443" w:rsidRDefault="001B6443" w:rsidP="00EC5A9C">
      <w:pPr>
        <w:spacing w:after="0" w:line="360" w:lineRule="auto"/>
        <w:outlineLvl w:val="0"/>
        <w:rPr>
          <w:rFonts w:ascii="Times New Roman" w:eastAsia="Times New Roman" w:hAnsi="Times New Roman" w:cs="Times New Roman"/>
          <w:b/>
          <w:bCs/>
          <w:kern w:val="36"/>
          <w:sz w:val="24"/>
          <w:szCs w:val="24"/>
          <w:lang w:val="en-US" w:eastAsia="ru-RU"/>
        </w:rPr>
      </w:pPr>
    </w:p>
    <w:p w14:paraId="4A83A0D1" w14:textId="68C62968" w:rsidR="00EC5A9C" w:rsidRPr="00AF4487" w:rsidRDefault="00EC5A9C" w:rsidP="00EC5A9C">
      <w:pPr>
        <w:spacing w:after="0" w:line="360" w:lineRule="auto"/>
        <w:outlineLvl w:val="0"/>
        <w:rPr>
          <w:rFonts w:ascii="Times New Roman" w:eastAsia="Times New Roman" w:hAnsi="Times New Roman" w:cs="Times New Roman"/>
          <w:b/>
          <w:bCs/>
          <w:kern w:val="36"/>
          <w:sz w:val="24"/>
          <w:szCs w:val="24"/>
          <w:lang w:val="en-US" w:eastAsia="ru-RU"/>
        </w:rPr>
      </w:pPr>
      <w:r w:rsidRPr="00AF4487">
        <w:rPr>
          <w:rFonts w:ascii="Times New Roman" w:eastAsia="Times New Roman" w:hAnsi="Times New Roman" w:cs="Times New Roman"/>
          <w:b/>
          <w:bCs/>
          <w:kern w:val="36"/>
          <w:sz w:val="24"/>
          <w:szCs w:val="24"/>
          <w:lang w:val="en-US" w:eastAsia="ru-RU"/>
        </w:rPr>
        <w:t>Abstract</w:t>
      </w:r>
    </w:p>
    <w:p w14:paraId="36BD4253" w14:textId="26D73EBD" w:rsidR="00E20CCC" w:rsidRPr="00AF4487" w:rsidRDefault="00EC5A9C" w:rsidP="00234192">
      <w:pPr>
        <w:spacing w:after="0" w:line="480" w:lineRule="auto"/>
        <w:jc w:val="both"/>
        <w:rPr>
          <w:rFonts w:ascii="Times New Roman" w:eastAsia="Calibri" w:hAnsi="Times New Roman" w:cs="Times New Roman"/>
          <w:sz w:val="24"/>
          <w:szCs w:val="24"/>
          <w:lang w:val="en-US"/>
        </w:rPr>
      </w:pPr>
      <w:r w:rsidRPr="00AF4487">
        <w:rPr>
          <w:rFonts w:ascii="Times New Roman" w:eastAsia="Calibri" w:hAnsi="Times New Roman" w:cs="Times New Roman"/>
          <w:sz w:val="24"/>
          <w:szCs w:val="24"/>
          <w:lang w:val="en-US"/>
        </w:rPr>
        <w:t xml:space="preserve">We examine the interrelationships among board sustainability </w:t>
      </w:r>
      <w:r w:rsidRPr="001B6443">
        <w:rPr>
          <w:rFonts w:ascii="Times New Roman" w:eastAsia="Calibri" w:hAnsi="Times New Roman" w:cs="Times New Roman"/>
          <w:color w:val="000000" w:themeColor="text1"/>
          <w:sz w:val="24"/>
          <w:szCs w:val="24"/>
          <w:lang w:val="en-US"/>
        </w:rPr>
        <w:t xml:space="preserve">committees, </w:t>
      </w:r>
      <w:r w:rsidR="007B020B" w:rsidRPr="001B6443">
        <w:rPr>
          <w:rFonts w:ascii="Times New Roman" w:eastAsia="Calibri" w:hAnsi="Times New Roman" w:cs="Times New Roman"/>
          <w:color w:val="000000" w:themeColor="text1"/>
          <w:sz w:val="24"/>
          <w:szCs w:val="24"/>
          <w:lang w:val="en-US"/>
        </w:rPr>
        <w:t xml:space="preserve">process-based </w:t>
      </w:r>
      <w:r w:rsidRPr="001B6443">
        <w:rPr>
          <w:rFonts w:ascii="Times New Roman" w:eastAsia="Calibri" w:hAnsi="Times New Roman" w:cs="Times New Roman"/>
          <w:color w:val="000000" w:themeColor="text1"/>
          <w:sz w:val="24"/>
          <w:szCs w:val="24"/>
          <w:lang w:val="en-US"/>
        </w:rPr>
        <w:t xml:space="preserve">climate change initiatives, </w:t>
      </w:r>
      <w:r w:rsidR="007B020B"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carbon performance, and market value thr</w:t>
      </w:r>
      <w:r w:rsidR="00E20CCC" w:rsidRPr="001B6443">
        <w:rPr>
          <w:rFonts w:ascii="Times New Roman" w:eastAsia="Calibri" w:hAnsi="Times New Roman" w:cs="Times New Roman"/>
          <w:color w:val="000000" w:themeColor="text1"/>
          <w:sz w:val="24"/>
          <w:szCs w:val="24"/>
          <w:lang w:val="en-US"/>
        </w:rPr>
        <w:t xml:space="preserve">ough the lens of </w:t>
      </w:r>
      <w:r w:rsidR="003B7399" w:rsidRPr="001B6443">
        <w:rPr>
          <w:rFonts w:ascii="Times New Roman" w:eastAsia="Calibri" w:hAnsi="Times New Roman" w:cs="Times New Roman"/>
          <w:color w:val="000000" w:themeColor="text1"/>
          <w:sz w:val="24"/>
          <w:szCs w:val="24"/>
          <w:lang w:val="en-US"/>
        </w:rPr>
        <w:t xml:space="preserve">economic- and social-based theoretical </w:t>
      </w:r>
      <w:r w:rsidRPr="001B6443">
        <w:rPr>
          <w:rFonts w:ascii="Times New Roman" w:eastAsia="Calibri" w:hAnsi="Times New Roman" w:cs="Times New Roman"/>
          <w:color w:val="000000" w:themeColor="text1"/>
          <w:sz w:val="24"/>
          <w:szCs w:val="24"/>
          <w:lang w:val="en-US"/>
        </w:rPr>
        <w:t>perspectives. Using a panel datase</w:t>
      </w:r>
      <w:r w:rsidR="0042206F" w:rsidRPr="001B6443">
        <w:rPr>
          <w:rFonts w:ascii="Times New Roman" w:eastAsia="Calibri" w:hAnsi="Times New Roman" w:cs="Times New Roman"/>
          <w:color w:val="000000" w:themeColor="text1"/>
          <w:sz w:val="24"/>
          <w:szCs w:val="24"/>
          <w:lang w:val="en-US"/>
        </w:rPr>
        <w:t xml:space="preserve">t of 8,408 observations from 35 </w:t>
      </w:r>
      <w:r w:rsidRPr="001B6443">
        <w:rPr>
          <w:rFonts w:ascii="Times New Roman" w:eastAsia="Calibri" w:hAnsi="Times New Roman" w:cs="Times New Roman"/>
          <w:color w:val="000000" w:themeColor="text1"/>
          <w:sz w:val="24"/>
          <w:szCs w:val="24"/>
          <w:lang w:val="en-US"/>
        </w:rPr>
        <w:t xml:space="preserve">countries between 2002 and 2019, we find that higher levels of </w:t>
      </w:r>
      <w:r w:rsidR="00525A66" w:rsidRPr="001B6443">
        <w:rPr>
          <w:rFonts w:ascii="Times New Roman" w:eastAsia="Calibri" w:hAnsi="Times New Roman" w:cs="Times New Roman"/>
          <w:color w:val="000000" w:themeColor="text1"/>
          <w:sz w:val="24"/>
          <w:szCs w:val="24"/>
          <w:lang w:val="en-US"/>
        </w:rPr>
        <w:t xml:space="preserve">actual </w:t>
      </w:r>
      <w:r w:rsidRPr="001B6443">
        <w:rPr>
          <w:rFonts w:ascii="Times New Roman" w:eastAsia="Calibri" w:hAnsi="Times New Roman" w:cs="Times New Roman"/>
          <w:color w:val="000000" w:themeColor="text1"/>
          <w:sz w:val="24"/>
          <w:szCs w:val="24"/>
          <w:lang w:val="en-US"/>
        </w:rPr>
        <w:t>greenhouse gas (GHG) emissions are negatively associated with market value</w:t>
      </w:r>
      <w:r w:rsidR="003C162A" w:rsidRPr="001B6443">
        <w:rPr>
          <w:rFonts w:ascii="Times New Roman" w:eastAsia="Calibri" w:hAnsi="Times New Roman" w:cs="Times New Roman"/>
          <w:color w:val="000000" w:themeColor="text1"/>
          <w:sz w:val="24"/>
          <w:szCs w:val="24"/>
          <w:lang w:val="en-US"/>
        </w:rPr>
        <w:t xml:space="preserve">. </w:t>
      </w:r>
      <w:r w:rsidR="00F401BC" w:rsidRPr="001B6443">
        <w:rPr>
          <w:rFonts w:ascii="Times New Roman" w:eastAsia="Calibri" w:hAnsi="Times New Roman" w:cs="Times New Roman"/>
          <w:color w:val="000000" w:themeColor="text1"/>
          <w:sz w:val="24"/>
          <w:szCs w:val="24"/>
          <w:lang w:val="en-US"/>
        </w:rPr>
        <w:t>Further, we</w:t>
      </w:r>
      <w:r w:rsidR="003C162A" w:rsidRPr="001B6443">
        <w:rPr>
          <w:rFonts w:ascii="Times New Roman" w:eastAsia="Calibri" w:hAnsi="Times New Roman" w:cs="Times New Roman"/>
          <w:color w:val="000000" w:themeColor="text1"/>
          <w:sz w:val="24"/>
          <w:szCs w:val="24"/>
          <w:lang w:val="en-US"/>
        </w:rPr>
        <w:t xml:space="preserve"> reveal a positive association between </w:t>
      </w:r>
      <w:r w:rsidR="007B020B" w:rsidRPr="001B6443">
        <w:rPr>
          <w:rFonts w:ascii="Times New Roman" w:eastAsia="Calibri" w:hAnsi="Times New Roman" w:cs="Times New Roman"/>
          <w:color w:val="000000" w:themeColor="text1"/>
          <w:sz w:val="24"/>
          <w:szCs w:val="24"/>
          <w:lang w:val="en-US"/>
        </w:rPr>
        <w:t xml:space="preserve">process-based </w:t>
      </w:r>
      <w:r w:rsidRPr="001B6443">
        <w:rPr>
          <w:rFonts w:ascii="Times New Roman" w:eastAsia="Calibri" w:hAnsi="Times New Roman" w:cs="Times New Roman"/>
          <w:color w:val="000000" w:themeColor="text1"/>
          <w:sz w:val="24"/>
          <w:szCs w:val="24"/>
          <w:lang w:val="en-US"/>
        </w:rPr>
        <w:t xml:space="preserve">climate change initiatives </w:t>
      </w:r>
      <w:r w:rsidR="003C162A" w:rsidRPr="001B6443">
        <w:rPr>
          <w:rFonts w:ascii="Times New Roman" w:eastAsia="Calibri" w:hAnsi="Times New Roman" w:cs="Times New Roman"/>
          <w:color w:val="000000" w:themeColor="text1"/>
          <w:sz w:val="24"/>
          <w:szCs w:val="24"/>
          <w:lang w:val="en-US"/>
        </w:rPr>
        <w:t xml:space="preserve">and </w:t>
      </w:r>
      <w:r w:rsidR="00F401BC" w:rsidRPr="001B6443">
        <w:rPr>
          <w:rFonts w:ascii="Times New Roman" w:eastAsia="Calibri" w:hAnsi="Times New Roman" w:cs="Times New Roman"/>
          <w:color w:val="000000" w:themeColor="text1"/>
          <w:sz w:val="24"/>
          <w:szCs w:val="24"/>
          <w:lang w:val="en-US"/>
        </w:rPr>
        <w:t xml:space="preserve">market value. </w:t>
      </w:r>
      <w:r w:rsidR="00DE03AB" w:rsidRPr="001B6443">
        <w:rPr>
          <w:rFonts w:ascii="Times New Roman" w:eastAsia="Calibri" w:hAnsi="Times New Roman" w:cs="Times New Roman"/>
          <w:color w:val="000000" w:themeColor="text1"/>
          <w:sz w:val="24"/>
          <w:szCs w:val="24"/>
          <w:lang w:val="en-US"/>
        </w:rPr>
        <w:t>W</w:t>
      </w:r>
      <w:r w:rsidRPr="001B6443">
        <w:rPr>
          <w:rFonts w:ascii="Times New Roman" w:eastAsia="Calibri" w:hAnsi="Times New Roman" w:cs="Times New Roman"/>
          <w:color w:val="000000" w:themeColor="text1"/>
          <w:sz w:val="24"/>
          <w:szCs w:val="24"/>
          <w:lang w:val="en-US"/>
        </w:rPr>
        <w:t xml:space="preserve">e </w:t>
      </w:r>
      <w:r w:rsidR="00DE03AB" w:rsidRPr="001B6443">
        <w:rPr>
          <w:rFonts w:ascii="Times New Roman" w:eastAsia="Calibri" w:hAnsi="Times New Roman" w:cs="Times New Roman"/>
          <w:color w:val="000000" w:themeColor="text1"/>
          <w:sz w:val="24"/>
          <w:szCs w:val="24"/>
          <w:lang w:val="en-US"/>
        </w:rPr>
        <w:t xml:space="preserve">then </w:t>
      </w:r>
      <w:r w:rsidRPr="001B6443">
        <w:rPr>
          <w:rFonts w:ascii="Times New Roman" w:eastAsia="Calibri" w:hAnsi="Times New Roman" w:cs="Times New Roman"/>
          <w:color w:val="000000" w:themeColor="text1"/>
          <w:sz w:val="24"/>
          <w:szCs w:val="24"/>
          <w:lang w:val="en-US"/>
        </w:rPr>
        <w:t xml:space="preserve">provide evidence that </w:t>
      </w:r>
      <w:r w:rsidR="007B020B" w:rsidRPr="001B6443">
        <w:rPr>
          <w:rFonts w:ascii="Times New Roman" w:eastAsia="Calibri" w:hAnsi="Times New Roman" w:cs="Times New Roman"/>
          <w:color w:val="000000" w:themeColor="text1"/>
          <w:sz w:val="24"/>
          <w:szCs w:val="24"/>
          <w:lang w:val="en-US"/>
        </w:rPr>
        <w:t xml:space="preserve">process-based </w:t>
      </w:r>
      <w:r w:rsidR="008831CB" w:rsidRPr="001B6443">
        <w:rPr>
          <w:rFonts w:ascii="Times New Roman" w:eastAsia="Calibri" w:hAnsi="Times New Roman" w:cs="Times New Roman"/>
          <w:color w:val="000000" w:themeColor="text1"/>
          <w:sz w:val="24"/>
          <w:szCs w:val="24"/>
          <w:lang w:val="en-US"/>
        </w:rPr>
        <w:t xml:space="preserve">climate change initiatives are positively related to </w:t>
      </w:r>
      <w:r w:rsidRPr="001B6443">
        <w:rPr>
          <w:rFonts w:ascii="Times New Roman" w:eastAsia="Calibri" w:hAnsi="Times New Roman" w:cs="Times New Roman"/>
          <w:color w:val="000000" w:themeColor="text1"/>
          <w:sz w:val="24"/>
          <w:szCs w:val="24"/>
          <w:lang w:val="en-US"/>
        </w:rPr>
        <w:t>increased levels of GHG emissions</w:t>
      </w:r>
      <w:r w:rsidR="00476390" w:rsidRPr="001B6443">
        <w:rPr>
          <w:rFonts w:ascii="Times New Roman" w:eastAsia="Calibri" w:hAnsi="Times New Roman" w:cs="Times New Roman"/>
          <w:color w:val="000000" w:themeColor="text1"/>
          <w:sz w:val="24"/>
          <w:szCs w:val="24"/>
          <w:lang w:val="en-US"/>
        </w:rPr>
        <w:t xml:space="preserve">. </w:t>
      </w:r>
      <w:r w:rsidR="00F401BC" w:rsidRPr="001B6443">
        <w:rPr>
          <w:rFonts w:ascii="Times New Roman" w:eastAsia="Calibri" w:hAnsi="Times New Roman" w:cs="Times New Roman"/>
          <w:color w:val="000000" w:themeColor="text1"/>
          <w:sz w:val="24"/>
          <w:szCs w:val="24"/>
          <w:lang w:val="en-US"/>
        </w:rPr>
        <w:t xml:space="preserve">We also observe that the presence of </w:t>
      </w:r>
      <w:r w:rsidR="00654C9F" w:rsidRPr="001B6443">
        <w:rPr>
          <w:rFonts w:ascii="Times New Roman" w:eastAsia="Calibri" w:hAnsi="Times New Roman" w:cs="Times New Roman"/>
          <w:color w:val="000000" w:themeColor="text1"/>
          <w:sz w:val="24"/>
          <w:szCs w:val="24"/>
          <w:lang w:val="en-US"/>
        </w:rPr>
        <w:t xml:space="preserve">a </w:t>
      </w:r>
      <w:r w:rsidR="00F401BC" w:rsidRPr="001B6443">
        <w:rPr>
          <w:rFonts w:ascii="Times New Roman" w:eastAsia="Calibri" w:hAnsi="Times New Roman" w:cs="Times New Roman"/>
          <w:color w:val="000000" w:themeColor="text1"/>
          <w:sz w:val="24"/>
          <w:szCs w:val="24"/>
          <w:lang w:val="en-US"/>
        </w:rPr>
        <w:t xml:space="preserve">board sustainability committee </w:t>
      </w:r>
      <w:r w:rsidR="006F73FE" w:rsidRPr="001B6443">
        <w:rPr>
          <w:rFonts w:ascii="Times New Roman" w:eastAsia="Calibri" w:hAnsi="Times New Roman" w:cs="Times New Roman"/>
          <w:color w:val="000000" w:themeColor="text1"/>
          <w:sz w:val="24"/>
          <w:szCs w:val="24"/>
          <w:lang w:val="en-US"/>
        </w:rPr>
        <w:t>has a positive impact on market value</w:t>
      </w:r>
      <w:r w:rsidR="000C4B86" w:rsidRPr="001B6443">
        <w:rPr>
          <w:rFonts w:ascii="Times New Roman" w:eastAsia="Calibri" w:hAnsi="Times New Roman" w:cs="Times New Roman"/>
          <w:color w:val="000000" w:themeColor="text1"/>
          <w:sz w:val="24"/>
          <w:szCs w:val="24"/>
          <w:lang w:val="en-US"/>
        </w:rPr>
        <w:t xml:space="preserve">, but does not </w:t>
      </w:r>
      <w:r w:rsidR="006F73FE" w:rsidRPr="001B6443">
        <w:rPr>
          <w:rFonts w:ascii="Times New Roman" w:eastAsia="Calibri" w:hAnsi="Times New Roman" w:cs="Times New Roman"/>
          <w:color w:val="000000" w:themeColor="text1"/>
          <w:sz w:val="24"/>
          <w:szCs w:val="24"/>
          <w:lang w:val="en-US"/>
        </w:rPr>
        <w:t>seem to improve outcome-based carbon performance. Fi</w:t>
      </w:r>
      <w:r w:rsidR="00E20CCC" w:rsidRPr="001B6443">
        <w:rPr>
          <w:rFonts w:ascii="Times New Roman" w:eastAsia="Calibri" w:hAnsi="Times New Roman" w:cs="Times New Roman"/>
          <w:color w:val="000000" w:themeColor="text1"/>
          <w:sz w:val="24"/>
          <w:szCs w:val="24"/>
          <w:lang w:val="en-US"/>
        </w:rPr>
        <w:t>nally, w</w:t>
      </w:r>
      <w:r w:rsidR="00E20CCC" w:rsidRPr="00AF4487">
        <w:rPr>
          <w:rFonts w:ascii="Times New Roman" w:eastAsia="Calibri" w:hAnsi="Times New Roman" w:cs="Times New Roman"/>
          <w:sz w:val="24"/>
          <w:szCs w:val="24"/>
          <w:lang w:val="en-US"/>
        </w:rPr>
        <w:t xml:space="preserve">e </w:t>
      </w:r>
      <w:r w:rsidR="00DE03AB" w:rsidRPr="00AF4487">
        <w:rPr>
          <w:rFonts w:ascii="Times New Roman" w:eastAsia="Calibri" w:hAnsi="Times New Roman" w:cs="Times New Roman"/>
          <w:sz w:val="24"/>
          <w:szCs w:val="24"/>
          <w:lang w:val="en-US"/>
        </w:rPr>
        <w:t xml:space="preserve">show that </w:t>
      </w:r>
      <w:r w:rsidR="00167803" w:rsidRPr="00AF4487">
        <w:rPr>
          <w:rFonts w:ascii="Times New Roman" w:eastAsia="Calibri" w:hAnsi="Times New Roman" w:cs="Times New Roman"/>
          <w:sz w:val="24"/>
          <w:szCs w:val="24"/>
          <w:lang w:val="en-US"/>
        </w:rPr>
        <w:t xml:space="preserve">the predicted relationships </w:t>
      </w:r>
      <w:r w:rsidR="00DE03AB" w:rsidRPr="00AF4487">
        <w:rPr>
          <w:rFonts w:ascii="Times New Roman" w:eastAsia="Calibri" w:hAnsi="Times New Roman" w:cs="Times New Roman"/>
          <w:sz w:val="24"/>
          <w:szCs w:val="24"/>
          <w:lang w:val="en-US"/>
        </w:rPr>
        <w:t xml:space="preserve">vary across </w:t>
      </w:r>
      <w:r w:rsidR="00CC219E" w:rsidRPr="00AF4487">
        <w:rPr>
          <w:rFonts w:ascii="Times New Roman" w:eastAsia="Calibri" w:hAnsi="Times New Roman" w:cs="Times New Roman"/>
          <w:sz w:val="24"/>
          <w:szCs w:val="24"/>
          <w:lang w:val="en-US"/>
        </w:rPr>
        <w:t>different</w:t>
      </w:r>
      <w:r w:rsidR="0042206F">
        <w:rPr>
          <w:rFonts w:ascii="Times New Roman" w:eastAsia="Calibri" w:hAnsi="Times New Roman" w:cs="Times New Roman"/>
          <w:sz w:val="24"/>
          <w:szCs w:val="24"/>
          <w:lang w:val="en-US"/>
        </w:rPr>
        <w:t xml:space="preserve"> </w:t>
      </w:r>
      <w:r w:rsidR="0042206F" w:rsidRPr="00AF4487">
        <w:rPr>
          <w:rFonts w:ascii="Times New Roman" w:eastAsia="Calibri" w:hAnsi="Times New Roman" w:cs="Times New Roman"/>
          <w:sz w:val="24"/>
          <w:szCs w:val="24"/>
          <w:lang w:val="en-US"/>
        </w:rPr>
        <w:t>count</w:t>
      </w:r>
      <w:r w:rsidR="0083173B">
        <w:rPr>
          <w:rFonts w:ascii="Times New Roman" w:eastAsia="Calibri" w:hAnsi="Times New Roman" w:cs="Times New Roman"/>
          <w:sz w:val="24"/>
          <w:szCs w:val="24"/>
          <w:lang w:val="en-US"/>
        </w:rPr>
        <w:t>r</w:t>
      </w:r>
      <w:r w:rsidR="0042206F" w:rsidRPr="00AF4487">
        <w:rPr>
          <w:rFonts w:ascii="Times New Roman" w:eastAsia="Calibri" w:hAnsi="Times New Roman" w:cs="Times New Roman"/>
          <w:sz w:val="24"/>
          <w:szCs w:val="24"/>
          <w:lang w:val="en-US"/>
        </w:rPr>
        <w:t>y-groups, sector-groups, and periods</w:t>
      </w:r>
      <w:r w:rsidR="0042206F">
        <w:rPr>
          <w:rFonts w:ascii="Times New Roman" w:eastAsia="Calibri" w:hAnsi="Times New Roman" w:cs="Times New Roman"/>
          <w:sz w:val="24"/>
          <w:szCs w:val="24"/>
          <w:lang w:val="en-US"/>
        </w:rPr>
        <w:t xml:space="preserve">. </w:t>
      </w:r>
      <w:r w:rsidR="002B6686" w:rsidRPr="00AF4487">
        <w:rPr>
          <w:rFonts w:ascii="Times New Roman" w:eastAsia="Calibri" w:hAnsi="Times New Roman" w:cs="Times New Roman"/>
          <w:sz w:val="24"/>
          <w:szCs w:val="24"/>
          <w:lang w:val="en-US"/>
        </w:rPr>
        <w:t xml:space="preserve">Our empirical findings are robust to </w:t>
      </w:r>
      <w:r w:rsidR="000622E4" w:rsidRPr="00AF4487">
        <w:rPr>
          <w:rFonts w:ascii="Times New Roman" w:eastAsia="Calibri" w:hAnsi="Times New Roman" w:cs="Times New Roman"/>
          <w:sz w:val="24"/>
          <w:szCs w:val="24"/>
          <w:lang w:val="en-US"/>
        </w:rPr>
        <w:t>a</w:t>
      </w:r>
      <w:r w:rsidR="00D24EA8" w:rsidRPr="00AF4487">
        <w:rPr>
          <w:rFonts w:ascii="Times New Roman" w:eastAsia="Calibri" w:hAnsi="Times New Roman" w:cs="Times New Roman"/>
          <w:sz w:val="24"/>
          <w:szCs w:val="24"/>
          <w:lang w:val="en-US"/>
        </w:rPr>
        <w:t xml:space="preserve">lternative measures, </w:t>
      </w:r>
      <w:r w:rsidR="002B6686" w:rsidRPr="00AF4487">
        <w:rPr>
          <w:rFonts w:ascii="Times New Roman" w:eastAsia="Calibri" w:hAnsi="Times New Roman" w:cs="Times New Roman"/>
          <w:sz w:val="24"/>
          <w:szCs w:val="24"/>
          <w:lang w:val="en-US"/>
        </w:rPr>
        <w:t>endogeneit</w:t>
      </w:r>
      <w:r w:rsidR="0083173B">
        <w:rPr>
          <w:rFonts w:ascii="Times New Roman" w:eastAsia="Calibri" w:hAnsi="Times New Roman" w:cs="Times New Roman"/>
          <w:sz w:val="24"/>
          <w:szCs w:val="24"/>
          <w:lang w:val="en-US"/>
        </w:rPr>
        <w:t>ies</w:t>
      </w:r>
      <w:r w:rsidR="00D24EA8" w:rsidRPr="00AF4487">
        <w:rPr>
          <w:rFonts w:ascii="Times New Roman" w:eastAsia="Calibri" w:hAnsi="Times New Roman" w:cs="Times New Roman"/>
          <w:sz w:val="24"/>
          <w:szCs w:val="24"/>
          <w:lang w:val="en-US"/>
        </w:rPr>
        <w:t>,</w:t>
      </w:r>
      <w:r w:rsidR="002B6686" w:rsidRPr="00AF4487">
        <w:rPr>
          <w:rFonts w:ascii="Times New Roman" w:eastAsia="Calibri" w:hAnsi="Times New Roman" w:cs="Times New Roman"/>
          <w:sz w:val="24"/>
          <w:szCs w:val="24"/>
          <w:lang w:val="en-US"/>
        </w:rPr>
        <w:t xml:space="preserve"> and sample selection bias</w:t>
      </w:r>
      <w:r w:rsidR="000622E4" w:rsidRPr="00AF4487">
        <w:rPr>
          <w:rFonts w:ascii="Times New Roman" w:eastAsia="Calibri" w:hAnsi="Times New Roman" w:cs="Times New Roman"/>
          <w:sz w:val="24"/>
          <w:szCs w:val="24"/>
          <w:lang w:val="en-US"/>
        </w:rPr>
        <w:t xml:space="preserve">. </w:t>
      </w:r>
      <w:r w:rsidR="00476390" w:rsidRPr="00AF4487">
        <w:rPr>
          <w:rFonts w:ascii="Times New Roman" w:eastAsia="Calibri" w:hAnsi="Times New Roman" w:cs="Times New Roman"/>
          <w:sz w:val="24"/>
          <w:szCs w:val="24"/>
          <w:lang w:val="en-US"/>
        </w:rPr>
        <w:t>Overall, our evidence supports the symbolic legitimation</w:t>
      </w:r>
      <w:r w:rsidR="001A7C06" w:rsidRPr="00AF4487">
        <w:rPr>
          <w:rFonts w:ascii="Times New Roman" w:eastAsia="Calibri" w:hAnsi="Times New Roman" w:cs="Times New Roman"/>
          <w:sz w:val="24"/>
          <w:szCs w:val="24"/>
          <w:lang w:val="en-US"/>
        </w:rPr>
        <w:t>/greenwashing</w:t>
      </w:r>
      <w:r w:rsidR="00476390" w:rsidRPr="00AF4487">
        <w:rPr>
          <w:rFonts w:ascii="Times New Roman" w:eastAsia="Calibri" w:hAnsi="Times New Roman" w:cs="Times New Roman"/>
          <w:sz w:val="24"/>
          <w:szCs w:val="24"/>
          <w:lang w:val="en-US"/>
        </w:rPr>
        <w:t xml:space="preserve"> view in that firms </w:t>
      </w:r>
      <w:r w:rsidR="00362DE4" w:rsidRPr="00AF4487">
        <w:rPr>
          <w:rFonts w:ascii="Times New Roman" w:eastAsia="Calibri" w:hAnsi="Times New Roman" w:cs="Times New Roman"/>
          <w:sz w:val="24"/>
          <w:szCs w:val="24"/>
          <w:lang w:val="en-US"/>
        </w:rPr>
        <w:t xml:space="preserve">are likely to </w:t>
      </w:r>
      <w:r w:rsidR="00476390" w:rsidRPr="00AF4487">
        <w:rPr>
          <w:rFonts w:ascii="Times New Roman" w:eastAsia="Calibri" w:hAnsi="Times New Roman" w:cs="Times New Roman"/>
          <w:sz w:val="24"/>
          <w:szCs w:val="24"/>
          <w:lang w:val="en-US"/>
        </w:rPr>
        <w:t>emplo</w:t>
      </w:r>
      <w:r w:rsidR="00476390" w:rsidRPr="001B6443">
        <w:rPr>
          <w:rFonts w:ascii="Times New Roman" w:eastAsia="Calibri" w:hAnsi="Times New Roman" w:cs="Times New Roman"/>
          <w:color w:val="000000" w:themeColor="text1"/>
          <w:sz w:val="24"/>
          <w:szCs w:val="24"/>
          <w:lang w:val="en-US"/>
        </w:rPr>
        <w:t xml:space="preserve">y </w:t>
      </w:r>
      <w:r w:rsidR="007B020B" w:rsidRPr="001B6443">
        <w:rPr>
          <w:rFonts w:ascii="Times New Roman" w:eastAsia="Calibri" w:hAnsi="Times New Roman" w:cs="Times New Roman"/>
          <w:color w:val="000000" w:themeColor="text1"/>
          <w:sz w:val="24"/>
          <w:szCs w:val="24"/>
          <w:lang w:val="en-US"/>
        </w:rPr>
        <w:t xml:space="preserve">process-based </w:t>
      </w:r>
      <w:r w:rsidR="005C771B" w:rsidRPr="001B6443">
        <w:rPr>
          <w:rFonts w:ascii="Times New Roman" w:eastAsia="Calibri" w:hAnsi="Times New Roman" w:cs="Times New Roman"/>
          <w:color w:val="000000" w:themeColor="text1"/>
          <w:sz w:val="24"/>
          <w:szCs w:val="24"/>
          <w:lang w:val="en-US"/>
        </w:rPr>
        <w:t>climate change initiatives</w:t>
      </w:r>
      <w:r w:rsidR="00476390" w:rsidRPr="001B6443">
        <w:rPr>
          <w:rFonts w:ascii="Times New Roman" w:eastAsia="Calibri" w:hAnsi="Times New Roman" w:cs="Times New Roman"/>
          <w:color w:val="000000" w:themeColor="text1"/>
          <w:sz w:val="24"/>
          <w:szCs w:val="24"/>
          <w:lang w:val="en-US"/>
        </w:rPr>
        <w:t xml:space="preserve"> under a symbolic approach to create positive impressions among stakeholders and protect </w:t>
      </w:r>
      <w:r w:rsidR="00ED2678" w:rsidRPr="001B6443">
        <w:rPr>
          <w:rFonts w:ascii="Times New Roman" w:eastAsia="Calibri" w:hAnsi="Times New Roman" w:cs="Times New Roman"/>
          <w:color w:val="000000" w:themeColor="text1"/>
          <w:sz w:val="24"/>
          <w:szCs w:val="24"/>
          <w:lang w:val="en-US"/>
        </w:rPr>
        <w:t>their legitimacy.</w:t>
      </w:r>
    </w:p>
    <w:p w14:paraId="15A6402C"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25F89F8B" w14:textId="4F8D6506" w:rsidR="00EC5A9C" w:rsidRPr="00AF4487" w:rsidRDefault="00EC5A9C" w:rsidP="00EC5A9C">
      <w:pPr>
        <w:spacing w:after="0" w:line="240" w:lineRule="auto"/>
        <w:jc w:val="both"/>
        <w:rPr>
          <w:rFonts w:ascii="Times New Roman" w:eastAsia="Calibri" w:hAnsi="Times New Roman" w:cs="Times New Roman"/>
          <w:sz w:val="24"/>
          <w:szCs w:val="24"/>
          <w:lang w:val="en-US"/>
        </w:rPr>
      </w:pPr>
      <w:r w:rsidRPr="00AF4487">
        <w:rPr>
          <w:rFonts w:ascii="Times New Roman" w:eastAsia="Calibri" w:hAnsi="Times New Roman" w:cs="Times New Roman"/>
          <w:b/>
          <w:bCs/>
          <w:sz w:val="24"/>
          <w:szCs w:val="24"/>
          <w:lang w:val="en-US"/>
        </w:rPr>
        <w:t xml:space="preserve">Keywords: </w:t>
      </w:r>
      <w:r w:rsidRPr="00AF4487">
        <w:rPr>
          <w:rFonts w:ascii="Times New Roman" w:eastAsia="Calibri" w:hAnsi="Times New Roman" w:cs="Times New Roman"/>
          <w:sz w:val="24"/>
          <w:szCs w:val="24"/>
          <w:lang w:val="en-US"/>
        </w:rPr>
        <w:t>Board sustainability committees, climate change initiatives, carbon performance, market value</w:t>
      </w:r>
      <w:r w:rsidR="00525A66" w:rsidRPr="00AF4487">
        <w:rPr>
          <w:rFonts w:ascii="Times New Roman" w:eastAsia="Calibri" w:hAnsi="Times New Roman" w:cs="Times New Roman"/>
          <w:sz w:val="24"/>
          <w:szCs w:val="24"/>
          <w:lang w:val="en-US"/>
        </w:rPr>
        <w:t xml:space="preserve">, </w:t>
      </w:r>
      <w:r w:rsidR="003B7399" w:rsidRPr="00AF4487">
        <w:rPr>
          <w:rFonts w:ascii="Times New Roman" w:eastAsia="Calibri" w:hAnsi="Times New Roman" w:cs="Times New Roman"/>
          <w:sz w:val="24"/>
          <w:szCs w:val="24"/>
          <w:lang w:val="en-US"/>
        </w:rPr>
        <w:t>economic- and social-based</w:t>
      </w:r>
      <w:r w:rsidR="00525A66" w:rsidRPr="00AF4487">
        <w:rPr>
          <w:rFonts w:ascii="Times New Roman" w:eastAsia="Calibri" w:hAnsi="Times New Roman" w:cs="Times New Roman"/>
          <w:sz w:val="24"/>
          <w:szCs w:val="24"/>
          <w:lang w:val="en-US"/>
        </w:rPr>
        <w:t xml:space="preserve"> theor</w:t>
      </w:r>
      <w:r w:rsidR="003B7399" w:rsidRPr="00AF4487">
        <w:rPr>
          <w:rFonts w:ascii="Times New Roman" w:eastAsia="Calibri" w:hAnsi="Times New Roman" w:cs="Times New Roman"/>
          <w:sz w:val="24"/>
          <w:szCs w:val="24"/>
          <w:lang w:val="en-US"/>
        </w:rPr>
        <w:t>etical perspectives</w:t>
      </w:r>
    </w:p>
    <w:p w14:paraId="4E0D5CE1"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71B10538"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2F221B3F"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4A7C1AED"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1621C42D"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286FB02A"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5FC60F7A"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4C4C9B74" w14:textId="77777777" w:rsidR="0060675E" w:rsidRPr="00AF4487" w:rsidRDefault="0060675E" w:rsidP="00EC5A9C">
      <w:pPr>
        <w:spacing w:after="0" w:line="240" w:lineRule="auto"/>
        <w:jc w:val="both"/>
        <w:rPr>
          <w:rFonts w:ascii="Times New Roman" w:eastAsia="Calibri" w:hAnsi="Times New Roman" w:cs="Times New Roman"/>
          <w:sz w:val="24"/>
          <w:szCs w:val="24"/>
          <w:lang w:val="en-US"/>
        </w:rPr>
      </w:pPr>
    </w:p>
    <w:p w14:paraId="31F48CB4" w14:textId="77777777"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0DC6ADE2" w14:textId="01926F35" w:rsidR="00EC5A9C" w:rsidRPr="00AF4487" w:rsidRDefault="00EC5A9C" w:rsidP="00EC5A9C">
      <w:pPr>
        <w:spacing w:after="0" w:line="240" w:lineRule="auto"/>
        <w:jc w:val="both"/>
        <w:rPr>
          <w:rFonts w:ascii="Times New Roman" w:eastAsia="Calibri" w:hAnsi="Times New Roman" w:cs="Times New Roman"/>
          <w:sz w:val="24"/>
          <w:szCs w:val="24"/>
          <w:lang w:val="en-US"/>
        </w:rPr>
      </w:pPr>
    </w:p>
    <w:p w14:paraId="69C0EA3E" w14:textId="28E729E3" w:rsidR="00D24EA8" w:rsidRPr="00AF4487" w:rsidRDefault="00D24EA8" w:rsidP="00EC5A9C">
      <w:pPr>
        <w:spacing w:after="0" w:line="240" w:lineRule="auto"/>
        <w:jc w:val="both"/>
        <w:rPr>
          <w:rFonts w:ascii="Times New Roman" w:eastAsia="Calibri" w:hAnsi="Times New Roman" w:cs="Times New Roman"/>
          <w:sz w:val="24"/>
          <w:szCs w:val="24"/>
          <w:lang w:val="en-US"/>
        </w:rPr>
      </w:pPr>
    </w:p>
    <w:p w14:paraId="473EB4D8" w14:textId="4BAC91F8" w:rsidR="00D24EA8" w:rsidRPr="00AF4487" w:rsidRDefault="00D24EA8" w:rsidP="00EC5A9C">
      <w:pPr>
        <w:spacing w:after="0" w:line="240" w:lineRule="auto"/>
        <w:jc w:val="both"/>
        <w:rPr>
          <w:rFonts w:ascii="Times New Roman" w:eastAsia="Calibri" w:hAnsi="Times New Roman" w:cs="Times New Roman"/>
          <w:sz w:val="24"/>
          <w:szCs w:val="24"/>
          <w:lang w:val="en-US"/>
        </w:rPr>
      </w:pPr>
    </w:p>
    <w:p w14:paraId="659AF65F" w14:textId="77777777" w:rsidR="00EC5A9C" w:rsidRPr="00AF4487" w:rsidRDefault="006F2B36" w:rsidP="00EC5A9C">
      <w:pPr>
        <w:numPr>
          <w:ilvl w:val="0"/>
          <w:numId w:val="5"/>
        </w:numPr>
        <w:spacing w:before="100" w:beforeAutospacing="1" w:after="100" w:afterAutospacing="1" w:line="240" w:lineRule="auto"/>
        <w:ind w:left="567" w:hanging="567"/>
        <w:outlineLvl w:val="0"/>
        <w:rPr>
          <w:rFonts w:ascii="Times New Roman" w:eastAsia="Times New Roman" w:hAnsi="Times New Roman" w:cs="Times New Roman"/>
          <w:b/>
          <w:bCs/>
          <w:kern w:val="36"/>
          <w:sz w:val="24"/>
          <w:szCs w:val="24"/>
          <w:lang w:eastAsia="ru-RU"/>
        </w:rPr>
      </w:pPr>
      <w:r w:rsidRPr="00AF4487">
        <w:rPr>
          <w:rFonts w:ascii="Times New Roman" w:eastAsia="Times New Roman" w:hAnsi="Times New Roman" w:cs="Times New Roman"/>
          <w:b/>
          <w:bCs/>
          <w:kern w:val="36"/>
          <w:sz w:val="24"/>
          <w:szCs w:val="24"/>
          <w:lang w:val="en-US" w:eastAsia="ru-RU"/>
        </w:rPr>
        <w:t>Introduction</w:t>
      </w:r>
    </w:p>
    <w:p w14:paraId="04EA8E0E" w14:textId="03246AB3" w:rsidR="00EC5A9C" w:rsidRPr="00AF4487" w:rsidRDefault="00EC5A9C" w:rsidP="00EC5A9C">
      <w:pPr>
        <w:spacing w:after="0" w:line="480" w:lineRule="auto"/>
        <w:jc w:val="both"/>
        <w:rPr>
          <w:rFonts w:ascii="Times New Roman" w:eastAsia="Calibri" w:hAnsi="Times New Roman" w:cs="Times New Roman"/>
          <w:sz w:val="24"/>
          <w:szCs w:val="24"/>
          <w:lang w:val="en-US"/>
        </w:rPr>
      </w:pPr>
      <w:r w:rsidRPr="00AF4487">
        <w:rPr>
          <w:rFonts w:ascii="Times New Roman" w:eastAsia="Calibri" w:hAnsi="Times New Roman" w:cs="Times New Roman"/>
          <w:sz w:val="24"/>
          <w:szCs w:val="24"/>
          <w:lang w:val="en-US"/>
        </w:rPr>
        <w:t xml:space="preserve">Climate change has attracted a growing interest among academics, practitioners, policymakers, and regulators over the past few decades </w:t>
      </w:r>
      <w:r w:rsidRPr="00AF4487">
        <w:rPr>
          <w:rFonts w:ascii="Times New Roman" w:eastAsia="Calibri" w:hAnsi="Times New Roman" w:cs="Times New Roman"/>
          <w:sz w:val="24"/>
          <w:szCs w:val="24"/>
          <w:lang w:val="en-US"/>
        </w:rPr>
        <w:fldChar w:fldCharType="begin" w:fldLock="1"/>
      </w:r>
      <w:r w:rsidR="00511E00" w:rsidRPr="00AF4487">
        <w:rPr>
          <w:rFonts w:ascii="Times New Roman" w:eastAsia="Calibri" w:hAnsi="Times New Roman" w:cs="Times New Roman"/>
          <w:sz w:val="24"/>
          <w:szCs w:val="24"/>
          <w:lang w:val="en-US"/>
        </w:rPr>
        <w:instrText>ADDIN CSL_CITATION {"citationItems":[{"id":"ITEM-1","itemData":{"DOI":"10.1002/bse.1962","ISSN":"10990836","abstract":"In the light of the significant role of environmental accounting in sustainable development, this study examines whether climate change disclosure reflects a firm's environmental performance. The novelty of the study stands on the approaches adopted to describe environmental performance. The first approach concerns performance in terms of output, direct and indirect greenhouse gas emissions, while the second one is based on environmental intention of mitigating climate change, including climate change policy and emission reduction initiatives. The Climate Performance Leadership Index is employed as a measure for climate change disclosure level, incorporating initiatives contributing to climate change mitigation, adaptation and transparency. Ordered logit regression is the appropriate methodology for the data employed concerning firms listed on FTSE 350. According to our findings, environmental performance for both adopted approaches entails a positive effect on climate change disclosure, a result that is consistent with voluntary disclosure theory. It is inferred that firms cannot manipulate their information reflecting their actual environmental performance and adopting a forthright and factual attitude towards sustainable development. Finally, findings provide an insight into managers' strategic behavior towards climate change issues. Copyright © 2017 John Wiley &amp; Sons, Ltd and ERP Environment.","author":[{"dropping-particle":"","family":"Giannarakis","given":"Grigoris","non-dropping-particle":"","parse-names":false,"suffix":""},{"dropping-particle":"","family":"Zafeiriou","given":"Eleni","non-dropping-particle":"","parse-names":false,"suffix":""},{"dropping-particle":"","family":"Sariannidis","given":"Nikolaos","non-dropping-particle":"","parse-names":false,"suffix":""}],"container-title":"Business Strategy and the Environment","id":"ITEM-1","issue":"8","issued":{"date-parts":[["2017","12","1"]]},"page":"1078-1094","publisher":"John Wiley and Sons Ltd","title":"The Impact of Carbon Performance on Climate Change Disclosure","type":"article-journal","volume":"26"},"uris":["http://www.mendeley.com/documents/?uuid=fe9b1ee5-f8e7-3eb6-b11b-286afc71f7f1"]},{"id":"ITEM-2","itemData":{"DOI":"10.1111/1467-8551.12395","ISSN":"14678551","abstract":"We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Value","type":"article-journal","volume":"31"},"uris":["http://www.mendeley.com/documents/?uuid=233c96ce-971f-33e7-ad90-be8611789ad9"]}],"mendeley":{"formattedCitation":"(Giannarakis et al. 2017; Haque and Ntim 2020)","manualFormatting":"(Giannarakis et al., 2017; Jiang et al., 2021)","plainTextFormattedCitation":"(Giannarakis et al. 2017; Haque and Ntim 2020)","previouslyFormattedCitation":"(Giannarakis et al. 2017; Haque and Ntim 2020)"},"properties":{"noteIndex":0},"schema":"https://github.com/citation-style-language/schema/raw/master/csl-citation.json"}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(Giannarakis</w:t>
      </w:r>
      <w:r w:rsidR="008F4A5E" w:rsidRPr="00AF4487">
        <w:rPr>
          <w:rFonts w:ascii="Times New Roman" w:eastAsia="Calibri" w:hAnsi="Times New Roman" w:cs="Times New Roman"/>
          <w:noProof/>
          <w:sz w:val="24"/>
          <w:szCs w:val="24"/>
          <w:lang w:val="en-US"/>
        </w:rPr>
        <w:t xml:space="preserve"> </w:t>
      </w:r>
      <w:r w:rsidR="008F4A5E" w:rsidRPr="00AF4487">
        <w:rPr>
          <w:rFonts w:ascii="Times New Roman" w:eastAsia="Calibri" w:hAnsi="Times New Roman" w:cs="Times New Roman"/>
          <w:i/>
          <w:iCs/>
          <w:noProof/>
          <w:sz w:val="24"/>
          <w:szCs w:val="24"/>
          <w:lang w:val="en-US"/>
        </w:rPr>
        <w:t>et al</w:t>
      </w:r>
      <w:r w:rsidR="008F4A5E" w:rsidRPr="00AF4487">
        <w:rPr>
          <w:rFonts w:ascii="Times New Roman" w:eastAsia="Calibri" w:hAnsi="Times New Roman" w:cs="Times New Roman"/>
          <w:noProof/>
          <w:sz w:val="24"/>
          <w:szCs w:val="24"/>
          <w:lang w:val="en-US"/>
        </w:rPr>
        <w:t>.,</w:t>
      </w:r>
      <w:r w:rsidRPr="00AF4487">
        <w:rPr>
          <w:rFonts w:ascii="Times New Roman" w:eastAsia="Calibri" w:hAnsi="Times New Roman" w:cs="Times New Roman"/>
          <w:noProof/>
          <w:sz w:val="24"/>
          <w:szCs w:val="24"/>
          <w:lang w:val="en-US"/>
        </w:rPr>
        <w:t xml:space="preserve"> 2017; Jiang </w:t>
      </w:r>
      <w:r w:rsidRPr="00AF4487">
        <w:rPr>
          <w:rFonts w:ascii="Times New Roman" w:eastAsia="Calibri" w:hAnsi="Times New Roman" w:cs="Times New Roman"/>
          <w:i/>
          <w:noProof/>
          <w:sz w:val="24"/>
          <w:szCs w:val="24"/>
          <w:lang w:val="en-US"/>
        </w:rPr>
        <w:t xml:space="preserve">et al., </w:t>
      </w:r>
      <w:r w:rsidRPr="00AF4487">
        <w:rPr>
          <w:rFonts w:ascii="Times New Roman" w:eastAsia="Calibri" w:hAnsi="Times New Roman" w:cs="Times New Roman"/>
          <w:noProof/>
          <w:sz w:val="24"/>
          <w:szCs w:val="24"/>
          <w:lang w:val="en-US"/>
        </w:rPr>
        <w:t>2021)</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becoming a dominant issue on the economic, political, and business agenda. Caused by the excessive amount of greenhouse gas (GHG) emissions, global climate change is currently a major issue of concern to businesses, governments and other stakeholders </w:t>
      </w:r>
      <w:r w:rsidRPr="00AF4487">
        <w:rPr>
          <w:rFonts w:ascii="Times New Roman" w:eastAsia="Calibri" w:hAnsi="Times New Roman" w:cs="Times New Roman"/>
          <w:sz w:val="24"/>
          <w:szCs w:val="24"/>
          <w:lang w:val="en-US"/>
        </w:rPr>
        <w:fldChar w:fldCharType="begin" w:fldLock="1"/>
      </w:r>
      <w:r w:rsidR="00C60650" w:rsidRPr="00AF4487">
        <w:rPr>
          <w:rFonts w:ascii="Times New Roman" w:eastAsia="Calibri" w:hAnsi="Times New Roman" w:cs="Times New Roman"/>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performance","type":"article-journal","volume":"52"},"uris":["http://www.mendeley.com/documents/?uuid=c71df26d-d480-3b40-b9c9-2d5e5bd33b21"]},{"id":"ITEM-2","itemData":{"DOI":"10.5465/amj.2015.0718","ISSN":"00014273","abstract":"Climate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Journal","id":"ITEM-2","issue":"5","issued":{"date-parts":[["2017","10","1"]]},"page":"1633-1661","publisher":"Academy of Management","title":"An inconvenient truth: How organizations translate climate change into business as usual","type":"article-journal","volume":"60"},"uris":["http://www.mendeley.com/documents/?uuid=1e826676-3243-3bf7-a34c-ff6e0e1b5659"]}],"mendeley":{"formattedCitation":"(Bui et al. 2020; Wright and Nyberg 2017)","manualFormatting":"(Bui et al., 2020; Downar et al., 2021)","plainTextFormattedCitation":"(Bui et al. 2020; Wright and Nyberg 2017)","previouslyFormattedCitation":"(Bui et al. 2020; Wright and Nyberg 2017)"},"properties":{"noteIndex":0},"schema":"https://github.com/citation-style-language/schema/raw/master/csl-citation.json"}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(Bui</w:t>
      </w:r>
      <w:r w:rsidR="008F4A5E" w:rsidRPr="00AF4487">
        <w:rPr>
          <w:rFonts w:ascii="Times New Roman" w:eastAsia="Calibri" w:hAnsi="Times New Roman" w:cs="Times New Roman"/>
          <w:noProof/>
          <w:sz w:val="24"/>
          <w:szCs w:val="24"/>
          <w:lang w:val="en-US"/>
        </w:rPr>
        <w:t xml:space="preserve"> </w:t>
      </w:r>
      <w:r w:rsidR="008F4A5E" w:rsidRPr="00AF4487">
        <w:rPr>
          <w:rFonts w:ascii="Times New Roman" w:eastAsia="Calibri" w:hAnsi="Times New Roman" w:cs="Times New Roman"/>
          <w:i/>
          <w:iCs/>
          <w:noProof/>
          <w:sz w:val="24"/>
          <w:szCs w:val="24"/>
          <w:lang w:val="en-US"/>
        </w:rPr>
        <w:t>et al</w:t>
      </w:r>
      <w:r w:rsidR="008F4A5E" w:rsidRPr="00AF4487">
        <w:rPr>
          <w:rFonts w:ascii="Times New Roman" w:eastAsia="Calibri" w:hAnsi="Times New Roman" w:cs="Times New Roman"/>
          <w:noProof/>
          <w:sz w:val="24"/>
          <w:szCs w:val="24"/>
          <w:lang w:val="en-US"/>
        </w:rPr>
        <w:t>.,</w:t>
      </w:r>
      <w:r w:rsidRPr="00AF4487">
        <w:rPr>
          <w:rFonts w:ascii="Times New Roman" w:eastAsia="Calibri" w:hAnsi="Times New Roman" w:cs="Times New Roman"/>
          <w:noProof/>
          <w:sz w:val="24"/>
          <w:szCs w:val="24"/>
          <w:lang w:val="en-US"/>
        </w:rPr>
        <w:t xml:space="preserve"> 2020; Downar </w:t>
      </w:r>
      <w:r w:rsidRPr="00AF4487">
        <w:rPr>
          <w:rFonts w:ascii="Times New Roman" w:eastAsia="Calibri" w:hAnsi="Times New Roman" w:cs="Times New Roman"/>
          <w:i/>
          <w:noProof/>
          <w:sz w:val="24"/>
          <w:szCs w:val="24"/>
          <w:lang w:val="en-US"/>
        </w:rPr>
        <w:t>et al.,</w:t>
      </w:r>
      <w:r w:rsidRPr="00AF4487">
        <w:rPr>
          <w:rFonts w:ascii="Times New Roman" w:eastAsia="Calibri" w:hAnsi="Times New Roman" w:cs="Times New Roman"/>
          <w:noProof/>
          <w:sz w:val="24"/>
          <w:szCs w:val="24"/>
          <w:lang w:val="en-US"/>
        </w:rPr>
        <w:t xml:space="preserve"> 2021)</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adversely affecting the environment, socio-economic systems, and subsequently human lives </w:t>
      </w:r>
      <w:r w:rsidRPr="00AF4487">
        <w:rPr>
          <w:rFonts w:ascii="Times New Roman" w:eastAsia="Calibri" w:hAnsi="Times New Roman" w:cs="Times New Roman"/>
          <w:sz w:val="24"/>
          <w:szCs w:val="24"/>
          <w:lang w:val="en-US"/>
        </w:rPr>
        <w:fldChar w:fldCharType="begin" w:fldLock="1"/>
      </w:r>
      <w:r w:rsidR="00511E00" w:rsidRPr="00AF4487">
        <w:rPr>
          <w:rFonts w:ascii="Times New Roman" w:eastAsia="Calibri" w:hAnsi="Times New Roman" w:cs="Times New Roman"/>
          <w:sz w:val="24"/>
          <w:szCs w:val="24"/>
          <w:lang w:val="en-US"/>
        </w:rPr>
        <w:instrText>ADDIN CSL_CITATION {"citationItems":[{"id":"ITEM-1","itemData":{"DOI":"10.1016/j.resourpol.2020.101828","ISSN":"03014207","abstract":"The mining industry is susceptible to climate change risks since it has the characteristics of high exposure, high sensitivity and high substitution. Firstly, this paper reviews the impact mechanism of climate change risks on corporate financial performance from direct and indirect channels. Secondly, this paper employs the unique data, climate risk indicator with 5 types of climate risks, to analyze the effect of climate change risks on the China's mineral listed companies. The empirical analysis shows that there is a correlation between climate change and financial performance of mining companies. The mining companies with different types of resource have different sensitivities to climate change risks. The climate change risks have both positive and negative effects on the financial performance of mining companies. In respond to the climate change risks, mining companies should actively implement low-carbon strategies and proactively disclose emission information to improve the brand value and create new competitive advantages for long-term development.","author":[{"dropping-particle":"","family":"Sun","given":"Yongping","non-dropping-particle":"","parse-names":false,"suffix":""},{"dropping-particle":"","family":"Yang","given":"Ying","non-dropping-particle":"","parse-names":false,"suffix":""},{"dropping-particle":"","family":"Huang","given":"Nan","non-dropping-particle":"","parse-names":false,"suffix":""},{"dropping-particle":"","family":"Zou","given":"Xin","non-dropping-particle":"","parse-names":false,"suffix":""}],"container-title":"Resources Policy","id":"ITEM-1","issued":{"date-parts":[["2020","12","1"]]},"publisher":"Elsevier Ltd","title":"The impacts of climate change risks on financial performance of mining industry: Evidence from listed companies in China","type":"article-journal","volume":"69"},"uris":["http://www.mendeley.com/documents/?uuid=81d86dc8-00fe-380e-9560-b69d5149f5bd"]},{"id":"ITEM-2","itemData":{"DOI":"10.1111/1467-8551.12295","ISSN":"14678551","abstract":"This paper introduces the special issue of the British Journal of Management on ‘Scaling Sustainability: Regulation and Resilience in Managerial Responses to Climate Change’, providing an overview of the key issues in scaling sustainability, comprising an analysis of the six papers in the special issue. We discuss the complex relationship between micro, meso and macro scales, in the context of organizations’, managers’ and consumers’ complicity in the creation and intensification of climate-changing conditions. In networking multiple sites into a ‘global’ scale, managers and organizations can lose sight of the situated, localized nature of the position from which they perform the global. We conclude that a key factor in the capacity and speed at which local actions can be scaled up is the connection of sustainability-related activities by intermediary organizations that can generate resonance between multiple sites through association or alliance, rather than imposing a single logic. Thus, more resilient approaches, which acknowledge the significance of the interconnection between scales, are required to effectively scale sustainability strategies upwards or downwards.","author":[{"dropping-particle":"","family":"Goworek","given":"Helen","non-dropping-particle":"","parse-names":false,"suffix":""},{"dropping-particle":"","family":"Land","given":"Chris","non-dropping-particle":"","parse-names":false,"suffix":""},{"dropping-particle":"","family":"Burt","given":"George","non-dropping-particle":"","parse-names":false,"suffix":""},{"dropping-particle":"","family":"Zundel","given":"Mike","non-dropping-particle":"","parse-names":false,"suffix":""},{"dropping-particle":"","family":"Saren","given":"Mike","non-dropping-particle":"","parse-names":false,"suffix":""},{"dropping-particle":"","family":"Parker","given":"Martin","non-dropping-particle":"","parse-names":false,"suffix":""},{"dropping-particle":"","family":"Lambe","given":"Brendan","non-dropping-particle":"","parse-names":false,"suffix":""}],"container-title":"British Journal of Management","id":"ITEM-2","issue":"2","issued":{"date-parts":[["2018"]]},"page":"209-219","title":"Scaling Sustainability: Regulation and Resilience in Managerial Responses to Climate Change","type":"article-journal","volume":"29"},"uris":["http://www.mendeley.com/documents/?uuid=14cfe676-7aaf-3ce9-bcc9-8f408fa9425e"]}],"mendeley":{"formattedCitation":"(Goworek et al. 2018; Sun et al. 2020)","manualFormatting":"(Goworek et al., 2018; Sun et al., 2020)","plainTextFormattedCitation":"(Goworek et al. 2018; Sun et al. 2020)","previouslyFormattedCitation":"(Goworek et al. 2018; Sun et al. 2020)"},"properties":{"noteIndex":0},"schema":"https://github.com/citation-style-language/schema/raw/master/csl-citation.json"}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 xml:space="preserve">(Goworek </w:t>
      </w:r>
      <w:r w:rsidRPr="00AF4487">
        <w:rPr>
          <w:rFonts w:ascii="Times New Roman" w:eastAsia="Calibri" w:hAnsi="Times New Roman" w:cs="Times New Roman"/>
          <w:i/>
          <w:iCs/>
          <w:noProof/>
          <w:sz w:val="24"/>
          <w:szCs w:val="24"/>
          <w:lang w:val="en-US"/>
        </w:rPr>
        <w:t>et al.</w:t>
      </w:r>
      <w:r w:rsidR="008F4A5E" w:rsidRPr="00AF4487">
        <w:rPr>
          <w:rFonts w:ascii="Times New Roman" w:eastAsia="Calibri" w:hAnsi="Times New Roman" w:cs="Times New Roman"/>
          <w:noProof/>
          <w:sz w:val="24"/>
          <w:szCs w:val="24"/>
          <w:lang w:val="en-US"/>
        </w:rPr>
        <w:t>,</w:t>
      </w:r>
      <w:r w:rsidRPr="00AF4487">
        <w:rPr>
          <w:rFonts w:ascii="Times New Roman" w:eastAsia="Calibri" w:hAnsi="Times New Roman" w:cs="Times New Roman"/>
          <w:noProof/>
          <w:sz w:val="24"/>
          <w:szCs w:val="24"/>
          <w:lang w:val="en-US"/>
        </w:rPr>
        <w:t xml:space="preserve"> 2018; Sun </w:t>
      </w:r>
      <w:r w:rsidRPr="00AF4487">
        <w:rPr>
          <w:rFonts w:ascii="Times New Roman" w:eastAsia="Calibri" w:hAnsi="Times New Roman" w:cs="Times New Roman"/>
          <w:i/>
          <w:iCs/>
          <w:noProof/>
          <w:sz w:val="24"/>
          <w:szCs w:val="24"/>
          <w:lang w:val="en-US"/>
        </w:rPr>
        <w:t>et al</w:t>
      </w:r>
      <w:r w:rsidRPr="00AF4487">
        <w:rPr>
          <w:rFonts w:ascii="Times New Roman" w:eastAsia="Calibri" w:hAnsi="Times New Roman" w:cs="Times New Roman"/>
          <w:noProof/>
          <w:sz w:val="24"/>
          <w:szCs w:val="24"/>
          <w:lang w:val="en-US"/>
        </w:rPr>
        <w:t>.</w:t>
      </w:r>
      <w:r w:rsidR="008F4A5E" w:rsidRPr="00AF4487">
        <w:rPr>
          <w:rFonts w:ascii="Times New Roman" w:eastAsia="Calibri" w:hAnsi="Times New Roman" w:cs="Times New Roman"/>
          <w:noProof/>
          <w:sz w:val="24"/>
          <w:szCs w:val="24"/>
          <w:lang w:val="en-US"/>
        </w:rPr>
        <w:t>,</w:t>
      </w:r>
      <w:r w:rsidRPr="00AF4487">
        <w:rPr>
          <w:rFonts w:ascii="Times New Roman" w:eastAsia="Calibri" w:hAnsi="Times New Roman" w:cs="Times New Roman"/>
          <w:noProof/>
          <w:sz w:val="24"/>
          <w:szCs w:val="24"/>
          <w:lang w:val="en-US"/>
        </w:rPr>
        <w:t xml:space="preserve"> 2020)</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Hence, </w:t>
      </w:r>
      <w:r w:rsidR="005D6CA1" w:rsidRPr="00AF4487">
        <w:rPr>
          <w:rFonts w:ascii="Times New Roman" w:eastAsia="Calibri" w:hAnsi="Times New Roman" w:cs="Times New Roman"/>
          <w:sz w:val="24"/>
          <w:szCs w:val="24"/>
          <w:lang w:val="en-US"/>
        </w:rPr>
        <w:t xml:space="preserve">international organizations </w:t>
      </w:r>
      <w:r w:rsidR="005B123B" w:rsidRPr="00AF4487">
        <w:rPr>
          <w:rFonts w:ascii="Times New Roman" w:eastAsia="Calibri" w:hAnsi="Times New Roman" w:cs="Times New Roman"/>
          <w:sz w:val="24"/>
          <w:szCs w:val="24"/>
          <w:lang w:val="en-US"/>
        </w:rPr>
        <w:t xml:space="preserve">and </w:t>
      </w:r>
      <w:r w:rsidRPr="00AF4487">
        <w:rPr>
          <w:rFonts w:ascii="Times New Roman" w:eastAsia="Calibri" w:hAnsi="Times New Roman" w:cs="Times New Roman"/>
          <w:sz w:val="24"/>
          <w:szCs w:val="24"/>
          <w:lang w:val="en-US"/>
        </w:rPr>
        <w:t xml:space="preserve">national governments have introduced a number of initiatives, policies and practices to combat global warming and climate change </w:t>
      </w:r>
      <w:r w:rsidRPr="00AF4487">
        <w:rPr>
          <w:rFonts w:ascii="Times New Roman" w:eastAsia="Calibri" w:hAnsi="Times New Roman" w:cs="Times New Roman"/>
          <w:sz w:val="24"/>
          <w:szCs w:val="24"/>
          <w:lang w:val="en-US"/>
        </w:rPr>
        <w:fldChar w:fldCharType="begin" w:fldLock="1"/>
      </w:r>
      <w:r w:rsidRPr="00AF4487">
        <w:rPr>
          <w:rFonts w:ascii="Times New Roman" w:eastAsia="Calibri" w:hAnsi="Times New Roman" w:cs="Times New Roman"/>
          <w:sz w:val="24"/>
          <w:szCs w:val="24"/>
          <w:lang w:val="en-US"/>
        </w:rPr>
        <w:instrText>ADDIN CSL_CITATION {"citationItems":[{"id":"ITEM-1","itemData":{"DOI":"10.1016/j.bar.2017.09.002","ISSN":"10958347","abstract":"This study attempts to broaden our understanding of the value relevance of environmental performance by providing empirical evidence on the moderating role of financial environmental reporting. Previous studies find that firms' environmental performance can be both positively and negatively associated with market value. Such contradictory findings can be attributed to the fact that environmental performance is associated with future economic benefits and costs. This study suggests that firms with recognized environmental provisions on their balance sheets enable investors to disentangle these opposite effects either by signaling strong future financial performance or by enhancing the reliability of environmental performance information. Regardless of the mechanism by which this moderation effect is invoked, it is hypothesized that capital market participants place a positive and significantly higher value on the environmental performance ratings of firms with recognized environmental provisions than on the ratings of firms without environmental provisions. Utilizing a sample of 692 firm-year observations of French listed firms and employing a linear price-level model that associates the market value of a firm's equity with its environmental performance, I provide empirical evidence to corroborate this thesis. In addition to contributing to the academic debate on the market valuation implications of environmental performance, this study intends to provide useful insights from a country that can be considered a pioneer of environmental reporting legislation; hence, it provides valuable lessons for other jurisdictions that are in the process of developing their sustainability reporting regulations. Finally, the findings of this study support the calls for more integrated reporting showing that the interaction of financial and non-financial information has market valuation implications.","author":[{"dropping-particle":"","family":"Baboukardos","given":"Diogenis","non-dropping-particle":"","parse-names":false,"suffix":""}],"container-title":"British Accounting Review","id":"ITEM-1","issue":"1","issued":{"date-parts":[["2018","1","1"]]},"page":"32-47","publisher":"Academic Press","title":"The valuation relevance of environmental performance revisited: The moderating role of environmental provisions","type":"article-journal","volume":"50"},"uris":["http://www.mendeley.com/documents/?uuid=72fb3d7e-0896-39b3-8dab-0c5600dd5cbe"]},{"id":"ITEM-2","itemData":{"DOI":"10.1111/1467-8551.12395","ISSN":"14678551","abstract":"We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Value","type":"article-journal","volume":"31"},"uris":["http://www.mendeley.com/documents/?uuid=233c96ce-971f-33e7-ad90-be8611789ad9"]}],"mendeley":{"formattedCitation":"(Baboukardos 2018; Haque and Ntim 2020)","manualFormatting":"(Baboukardos, 2018;","plainTextFormattedCitation":"(Baboukardos 2018; Haque and Ntim 2020)","previouslyFormattedCitation":"(Baboukardos 2018; Haque and Ntim 2020)"},"properties":{"noteIndex":0},"schema":"https://github.com/citation-style-language/schema/raw/master/csl-citation.json"}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(Baboukardos, 2018;</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w:t>
      </w:r>
      <w:r w:rsidRPr="00AF4487">
        <w:rPr>
          <w:rFonts w:ascii="Times New Roman" w:eastAsia="Calibri" w:hAnsi="Times New Roman" w:cs="Times New Roman"/>
          <w:sz w:val="24"/>
          <w:szCs w:val="24"/>
          <w:lang w:val="en-US"/>
        </w:rPr>
        <w:fldChar w:fldCharType="begin" w:fldLock="1"/>
      </w:r>
      <w:r w:rsidRPr="00AF4487">
        <w:rPr>
          <w:rFonts w:ascii="Times New Roman" w:eastAsia="Calibri" w:hAnsi="Times New Roman" w:cs="Times New Roman"/>
          <w:sz w:val="24"/>
          <w:szCs w:val="24"/>
          <w:lang w:val="en-US"/>
        </w:rPr>
        <w:instrText>ADDIN CSL_CITATION {"citationItems":[{"id":"ITEM-1","itemData":{"DOI":"10.1111/1467-8551.12461","ISSN":"14678551","abstract":"Public awareness about issues surrounding the physical environment and climate change is becoming more important around the world. However, there is a lack of research on the association between environment-related perceptions and reputational exposure. Therefore, we know little about whether and how reputational exposure is shaped by institutional pressures, as would be stipulated by institutional theory. Using a sample of 643 firms from 19 European countries over the period 2015–2018, we aim to shed further light on this issue. Our results show that more environmentally friendly public perceptions result in lower reputational exposure. This finding holds when, on an individual basis, we examine public opinions on energy, climate and the introduction of related policies. To ensure robustness in our results, we conduct a number of analyses and tests designed to alleviate endogeneity and correct sample bias.","author":[{"dropping-particle":"","family":"Gaganis","given":"Chrysovalantis","non-dropping-particle":"","parse-names":false,"suffix":""},{"dropping-particle":"","family":"Papadimitri","given":"Panagiota","non-dropping-particle":"","parse-names":false,"suffix":""},{"dropping-particle":"","family":"Pasiouras","given":"Fotios","non-dropping-particle":"","parse-names":false,"suffix":""},{"dropping-particle":"","family":"Ventouri","given":"Alexia","non-dropping-particle":"","parse-names":false,"suffix":""}],"container-title":"British Journal of Management","id":"ITEM-1","issued":{"date-parts":[["2021"]]},"publisher":"Blackwell Publishing Ltd","title":"Informal Institutions and Corporate Reputational Exposure: The Role of Public Environmental Perceptions","type":"article-journal"},"uris":["http://www.mendeley.com/documents/?uuid=ac09d22e-deed-3f5b-b7c7-6b647fa78213"]}],"mendeley":{"formattedCitation":"(Gaganis et al. 2021)","manualFormatting":"Gaganis et al., 2021)","plainTextFormattedCitation":"(Gaganis et al. 2021)","previouslyFormattedCitation":"(Gaganis et al. 2021)"},"properties":{"noteIndex":0},"schema":"https://github.com/citation-style-language/schema/raw/master/csl-citation.json"}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 xml:space="preserve">Gaganis </w:t>
      </w:r>
      <w:r w:rsidRPr="00AF4487">
        <w:rPr>
          <w:rFonts w:ascii="Times New Roman" w:eastAsia="Calibri" w:hAnsi="Times New Roman" w:cs="Times New Roman"/>
          <w:i/>
          <w:noProof/>
          <w:sz w:val="24"/>
          <w:szCs w:val="24"/>
          <w:lang w:val="en-US"/>
        </w:rPr>
        <w:t>et al.,</w:t>
      </w:r>
      <w:r w:rsidRPr="00AF4487">
        <w:rPr>
          <w:rFonts w:ascii="Times New Roman" w:eastAsia="Calibri" w:hAnsi="Times New Roman" w:cs="Times New Roman"/>
          <w:noProof/>
          <w:sz w:val="24"/>
          <w:szCs w:val="24"/>
          <w:lang w:val="en-US"/>
        </w:rPr>
        <w:t xml:space="preserve"> 2021)</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For example, the 1997 Kyoto Protocol and the 2015 Paris Agreement are among the most important international agreements that aim to mitigate GHG emissions and improve resilience to climate change </w:t>
      </w:r>
      <w:r w:rsidRPr="00AF4487">
        <w:rPr>
          <w:rFonts w:ascii="Times New Roman" w:eastAsia="Calibri" w:hAnsi="Times New Roman" w:cs="Times New Roman"/>
          <w:sz w:val="24"/>
          <w:szCs w:val="24"/>
          <w:lang w:val="en-US"/>
        </w:rPr>
        <w:fldChar w:fldCharType="begin" w:fldLock="1"/>
      </w:r>
      <w:r w:rsidRPr="00AF4487">
        <w:rPr>
          <w:rFonts w:ascii="Times New Roman" w:eastAsia="Calibri" w:hAnsi="Times New Roman" w:cs="Times New Roman"/>
          <w:sz w:val="24"/>
          <w:szCs w:val="24"/>
          <w:lang w:val="en-US"/>
        </w:rPr>
        <w:instrText>ADDIN CSL_CITATION {"citationItems":[{"id":"ITEM-1","itemData":{"DOI":"10.1002/bse.2007","ISSN":"10990836","abstract":"We investigate the effects of environmental policy (Climate Change Act - CCA), sustainable development frameworks (Global Reporting Initiative - GRI; UN Global Compact - UNGC) and corporate governance (CG) mechanisms on environmental performance (carbon reduction initiatives - CRIs; actual carbon performance - GHG emissions) of UK listed firms. We use the generalized method of moments (GMM) estimation technique to analyse data consisting of 2245 UK firm-year observations over the 2002-2014 period. First, we find that the CCA has a positive effect on CRIs, and this effect is stronger in better-governed firms. Second, we find that the GRI-based framework is positively associated with CRIs. Third, we find that firms with poor CG structures have lower actual carbon performance compared with their better-governed counterparts. Overall, our evidence suggests that firms can symbolically conform to environmental policy (CCA) and sustainable development frameworks (GRI, UNGC) by engaging in CRIs without necessarily improving actual environmental performance (GHG emissions) substantively. Copyright (c) 2017 John Wiley &amp; Sons, Ltd and ERP Environment","author":[{"dropping-particle":"","family":"Haque","given":"Faizul","non-dropping-particle":"","parse-names":false,"suffix":""},{"dropping-particle":"","family":"Ntim","given":"Collins G.","non-dropping-particle":"","parse-names":false,"suffix":""}],"container-title":"Business Strategy and the Environment","id":"ITEM-1","issue":"3","issued":{"date-parts":[["2018"]]},"page":"415-435","title":"Environmental Policy, Sustainable Development, Governance Mechanisms and Environmental Performance","type":"article-journal","volume":"27"},"uris":["http://www.mendeley.com/documents/?uuid=0cc52ee7-f254-4177-affe-cb73e5a2910e"]},{"id":"ITEM-2","itemData":{"DOI":"10.1111/acfi.12687","ISSN":"1467629X","abstract":"This study investigates whether corporate governance (CG) leads to improved corporate social responsibility (CSR) in relation to carbon performance. We draw on multiple theoretical lenses for CSR and use a sample of the top 350 listed UK companies. Our results show that overall CG quality has a discernible influence on carbon performance, based on outcome-based carbon emissions. Our empirical findings and inferences still hold with an action-based performance measure as well. In addition, we find that the relationship between CG and carbon performance is significantly moderated by carbon strategy and managerial awareness of carbon risk. Our evidence supports the claim that reforms of CG in the UK have promoted CSR behaviour in carbon performance, and this insight is not documented elsewhere.","author":[{"dropping-particle":"","family":"Luo","given":"Le","non-dropping-particle":"","parse-names":false,"suffix":""},{"dropping-particle":"","family":"Tang","given":"Qingliang","non-dropping-particle":"","parse-names":false,"suffix":""}],"container-title":"Accounting and Finance","id":"ITEM-2","issue":"2","issued":{"date-parts":[["2021"]]},"page":"2891-2934","title":"Corporate governance and carbon performance: role of carbon strategy and awareness of climate risk","type":"article-journal","volume":"61"},"uris":["http://www.mendeley.com/documents/?uuid=708325a8-e42a-31b9-8be6-a3126156dbea"]}],"mendeley":{"formattedCitation":"(Haque and Ntim 2018; Luo and Tang 2021)","manualFormatting":"(Luo and Tang, 2021)","plainTextFormattedCitation":"(Haque and Ntim 2018; Luo and Tang 2021)","previouslyFormattedCitation":"(Haque and Ntim 2018; Luo and Tang 2021)"},"properties":{"noteIndex":0},"schema":"https://github.com/citation-style-language/schema/raw/master/csl-citation.json"}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(Luo and Tang, 2021)</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At the same time, business organizations are under tremendous pressure from stakeholders to respond to climate change by reporting their environmental impacts and engaging in relevant initiatives in order to reduce their </w:t>
      </w:r>
      <w:r w:rsidR="00870E86" w:rsidRPr="00AF4487">
        <w:rPr>
          <w:rFonts w:ascii="Times New Roman" w:eastAsia="Calibri" w:hAnsi="Times New Roman" w:cs="Times New Roman"/>
          <w:sz w:val="24"/>
          <w:szCs w:val="24"/>
          <w:lang w:val="en-US"/>
        </w:rPr>
        <w:t xml:space="preserve">actual </w:t>
      </w:r>
      <w:r w:rsidRPr="00AF4487">
        <w:rPr>
          <w:rFonts w:ascii="Times New Roman" w:eastAsia="Calibri" w:hAnsi="Times New Roman" w:cs="Times New Roman"/>
          <w:sz w:val="24"/>
          <w:szCs w:val="24"/>
          <w:lang w:val="en-US"/>
        </w:rPr>
        <w:t xml:space="preserve">GHG emissions </w:t>
      </w:r>
      <w:r w:rsidRPr="00AF4487">
        <w:rPr>
          <w:rFonts w:ascii="Times New Roman" w:eastAsia="Calibri" w:hAnsi="Times New Roman" w:cs="Times New Roman"/>
          <w:sz w:val="24"/>
          <w:szCs w:val="24"/>
          <w:lang w:val="en-US"/>
        </w:rPr>
        <w:fldChar w:fldCharType="begin" w:fldLock="1"/>
      </w:r>
      <w:r w:rsidR="009443A3" w:rsidRPr="00AF4487">
        <w:rPr>
          <w:rFonts w:ascii="Times New Roman" w:eastAsia="Calibri" w:hAnsi="Times New Roman" w:cs="Times New Roman"/>
          <w:sz w:val="24"/>
          <w:szCs w:val="24"/>
          <w:lang w:val="en-US"/>
        </w:rPr>
        <w:instrText>ADDIN CSL_CITATION {"citationItems":[{"id":"ITEM-1","itemData":{"DOI":"10.1177/0007650315578450","ISSN":"15524205","abstract":"Effective public policy to mitigate climate change footprints should build on data-driven analysis of firm-level strategies. This article’s conceptual approach augments the resource-based view (RBV) of the firm and identifies investments in four firm-level resource domains (Governance, Information management, Systems, and Technology [GISTe]) to develop capabilities in climate change impact mitigation. The authors denote the resulting framework as the GISTe model, which frames their analysis and public policy recommendations. This research uses the 2008 Carbon Disclosure Project (CDP) database, with high-quality information on firm-level climate change strategies for 552 companies from North America and Europe. In contrast to the widely accepted myth that European firms are performing better than North American ones, the authors find a different result. Many firms, whether European or North American, do not just “talk” about climate change impact mitigation, but actually do “walk the talk.” European firms appear to be better than their North American counterparts in “walk I,” denoting attention to governance, information management, and systems. But when it comes down to “walk II,” meaning actual Technology-related investments, North American firms’ performance is equal or superior to that of the European companies. The authors formulate public policy recommendations to accelerate firm-level, sector-level, and cluster-level implementation of climate change strategies.","author":[{"dropping-particle":"","family":"Backman","given":"Charles A.","non-dropping-particle":"","parse-names":false,"suffix":""},{"dropping-particle":"","family":"Verbeke","given":"Alain","non-dropping-particle":"","parse-names":false,"suffix":""},{"dropping-particle":"","family":"Schulz","given":"Robert A.","non-dropping-particle":"","parse-names":false,"suffix":""}],"container-title":"Business and Society","id":"ITEM-1","issue":"4","issued":{"date-parts":[["2017","4","1"]]},"page":"545-575","publisher":"SAGE Publications Ltd","title":"The Drivers of Corporate Climate Change Strategies and Public Policy: A New Resource-Based View Perspective","type":"article-journal","volume":"56"},"uris":["http://www.mendeley.com/documents/?uuid=134f90f7-17e3-3b6f-80f8-48b805e8b8ec"]}],"mendeley":{"formattedCitation":"(Backman et al. 2017)","manualFormatting":"(Backman et al., 2017)","plainTextFormattedCitation":"(Backman et al. 2017)","previouslyFormattedCitation":"(Backman et al. 2017)"},"properties":{"noteIndex":0},"schema":"https://github.com/citation-style-language/schema/raw/master/csl-citation.json"}</w:instrText>
      </w:r>
      <w:r w:rsidRPr="00AF4487">
        <w:rPr>
          <w:rFonts w:ascii="Times New Roman" w:eastAsia="Calibri" w:hAnsi="Times New Roman" w:cs="Times New Roman"/>
          <w:sz w:val="24"/>
          <w:szCs w:val="24"/>
          <w:lang w:val="en-US"/>
        </w:rPr>
        <w:fldChar w:fldCharType="separate"/>
      </w:r>
      <w:r w:rsidRPr="00AF4487">
        <w:rPr>
          <w:rFonts w:ascii="Times New Roman" w:eastAsia="Calibri" w:hAnsi="Times New Roman" w:cs="Times New Roman"/>
          <w:noProof/>
          <w:sz w:val="24"/>
          <w:szCs w:val="24"/>
          <w:lang w:val="en-US"/>
        </w:rPr>
        <w:t>(Backman</w:t>
      </w:r>
      <w:r w:rsidR="008F4A5E" w:rsidRPr="00AF4487">
        <w:rPr>
          <w:rFonts w:ascii="Times New Roman" w:eastAsia="Calibri" w:hAnsi="Times New Roman" w:cs="Times New Roman"/>
          <w:noProof/>
          <w:sz w:val="24"/>
          <w:szCs w:val="24"/>
          <w:lang w:val="en-US"/>
        </w:rPr>
        <w:t xml:space="preserve"> </w:t>
      </w:r>
      <w:r w:rsidR="008F4A5E" w:rsidRPr="00AF4487">
        <w:rPr>
          <w:rFonts w:ascii="Times New Roman" w:eastAsia="Calibri" w:hAnsi="Times New Roman" w:cs="Times New Roman"/>
          <w:i/>
          <w:iCs/>
          <w:noProof/>
          <w:sz w:val="24"/>
          <w:szCs w:val="24"/>
          <w:lang w:val="en-US"/>
        </w:rPr>
        <w:t>et al</w:t>
      </w:r>
      <w:r w:rsidR="008F4A5E" w:rsidRPr="00AF4487">
        <w:rPr>
          <w:rFonts w:ascii="Times New Roman" w:eastAsia="Calibri" w:hAnsi="Times New Roman" w:cs="Times New Roman"/>
          <w:noProof/>
          <w:sz w:val="24"/>
          <w:szCs w:val="24"/>
          <w:lang w:val="en-US"/>
        </w:rPr>
        <w:t>.,</w:t>
      </w:r>
      <w:r w:rsidRPr="00AF4487">
        <w:rPr>
          <w:rFonts w:ascii="Times New Roman" w:eastAsia="Calibri" w:hAnsi="Times New Roman" w:cs="Times New Roman"/>
          <w:noProof/>
          <w:sz w:val="24"/>
          <w:szCs w:val="24"/>
          <w:lang w:val="en-US"/>
        </w:rPr>
        <w:t xml:space="preserve"> 2017)</w:t>
      </w:r>
      <w:r w:rsidRPr="00AF4487">
        <w:rPr>
          <w:rFonts w:ascii="Times New Roman" w:eastAsia="Calibri" w:hAnsi="Times New Roman" w:cs="Times New Roman"/>
          <w:sz w:val="24"/>
          <w:szCs w:val="24"/>
          <w:lang w:val="en-US"/>
        </w:rPr>
        <w:fldChar w:fldCharType="end"/>
      </w:r>
      <w:r w:rsidRPr="00AF4487">
        <w:rPr>
          <w:rFonts w:ascii="Times New Roman" w:eastAsia="Calibri" w:hAnsi="Times New Roman" w:cs="Times New Roman"/>
          <w:sz w:val="24"/>
          <w:szCs w:val="24"/>
          <w:lang w:val="en-US"/>
        </w:rPr>
        <w:t xml:space="preserve">. </w:t>
      </w:r>
    </w:p>
    <w:p w14:paraId="35586602" w14:textId="77777777" w:rsidR="005B123B" w:rsidRPr="00AF4487" w:rsidRDefault="005B123B" w:rsidP="00EC5A9C">
      <w:pPr>
        <w:spacing w:after="0" w:line="480" w:lineRule="auto"/>
        <w:jc w:val="both"/>
        <w:rPr>
          <w:rFonts w:ascii="Times New Roman" w:eastAsia="Calibri" w:hAnsi="Times New Roman" w:cs="Times New Roman"/>
          <w:sz w:val="24"/>
          <w:szCs w:val="24"/>
          <w:lang w:val="en-US"/>
        </w:rPr>
      </w:pPr>
    </w:p>
    <w:p w14:paraId="23B9F7E4" w14:textId="02AA05C5" w:rsidR="000536FF" w:rsidRPr="001B6443" w:rsidRDefault="00EC5A9C" w:rsidP="00D55AB7">
      <w:pPr>
        <w:spacing w:after="0" w:line="480" w:lineRule="auto"/>
        <w:jc w:val="both"/>
        <w:rPr>
          <w:rFonts w:ascii="Times New Roman" w:eastAsia="Calibri" w:hAnsi="Times New Roman" w:cs="Times New Roman"/>
          <w:color w:val="000000" w:themeColor="text1"/>
          <w:sz w:val="24"/>
          <w:szCs w:val="24"/>
          <w:lang w:val="en-US"/>
        </w:rPr>
      </w:pPr>
      <w:r w:rsidRPr="00AF4487">
        <w:rPr>
          <w:rFonts w:ascii="Times New Roman" w:eastAsia="Calibri" w:hAnsi="Times New Roman" w:cs="Times New Roman"/>
          <w:sz w:val="24"/>
          <w:szCs w:val="24"/>
          <w:lang w:val="en-US"/>
        </w:rPr>
        <w:t xml:space="preserve">Despite the </w:t>
      </w:r>
      <w:r w:rsidR="00870E86" w:rsidRPr="00AF4487">
        <w:rPr>
          <w:rFonts w:ascii="Times New Roman" w:eastAsia="Calibri" w:hAnsi="Times New Roman" w:cs="Times New Roman"/>
          <w:sz w:val="24"/>
          <w:szCs w:val="24"/>
          <w:lang w:val="en-US"/>
        </w:rPr>
        <w:t xml:space="preserve">steadily </w:t>
      </w:r>
      <w:r w:rsidRPr="00AF4487">
        <w:rPr>
          <w:rFonts w:ascii="Times New Roman" w:eastAsia="Calibri" w:hAnsi="Times New Roman" w:cs="Times New Roman"/>
          <w:sz w:val="24"/>
          <w:szCs w:val="24"/>
          <w:lang w:val="en-US"/>
        </w:rPr>
        <w:t>growing resea</w:t>
      </w:r>
      <w:r w:rsidRPr="001B6443">
        <w:rPr>
          <w:rFonts w:ascii="Times New Roman" w:eastAsia="Calibri" w:hAnsi="Times New Roman" w:cs="Times New Roman"/>
          <w:color w:val="000000" w:themeColor="text1"/>
          <w:sz w:val="24"/>
          <w:szCs w:val="24"/>
          <w:lang w:val="en-US"/>
        </w:rPr>
        <w:t xml:space="preserve">rch </w:t>
      </w:r>
      <w:r w:rsidR="00870E86" w:rsidRPr="001B6443">
        <w:rPr>
          <w:rFonts w:ascii="Times New Roman" w:eastAsia="Calibri" w:hAnsi="Times New Roman" w:cs="Times New Roman"/>
          <w:color w:val="000000" w:themeColor="text1"/>
          <w:sz w:val="24"/>
          <w:szCs w:val="24"/>
          <w:lang w:val="en-US"/>
        </w:rPr>
        <w:t>with</w:t>
      </w:r>
      <w:r w:rsidRPr="001B6443">
        <w:rPr>
          <w:rFonts w:ascii="Times New Roman" w:eastAsia="Calibri" w:hAnsi="Times New Roman" w:cs="Times New Roman"/>
          <w:color w:val="000000" w:themeColor="text1"/>
          <w:sz w:val="24"/>
          <w:szCs w:val="24"/>
          <w:lang w:val="en-US"/>
        </w:rPr>
        <w:t xml:space="preserve">in the climate change literature, limited attention </w:t>
      </w:r>
      <w:r w:rsidR="00870E86" w:rsidRPr="001B6443">
        <w:rPr>
          <w:rFonts w:ascii="Times New Roman" w:eastAsia="Calibri" w:hAnsi="Times New Roman" w:cs="Times New Roman"/>
          <w:color w:val="000000" w:themeColor="text1"/>
          <w:sz w:val="24"/>
          <w:szCs w:val="24"/>
          <w:lang w:val="en-US"/>
        </w:rPr>
        <w:t xml:space="preserve">has so far been paid </w:t>
      </w:r>
      <w:r w:rsidRPr="001B6443">
        <w:rPr>
          <w:rFonts w:ascii="Times New Roman" w:eastAsia="Calibri" w:hAnsi="Times New Roman" w:cs="Times New Roman"/>
          <w:color w:val="000000" w:themeColor="text1"/>
          <w:sz w:val="24"/>
          <w:szCs w:val="24"/>
          <w:lang w:val="en-US"/>
        </w:rPr>
        <w:t xml:space="preserve">to process-based </w:t>
      </w:r>
      <w:r w:rsidR="00812FD0" w:rsidRPr="001B6443">
        <w:rPr>
          <w:rFonts w:ascii="Times New Roman" w:eastAsia="Calibri" w:hAnsi="Times New Roman" w:cs="Times New Roman"/>
          <w:color w:val="000000" w:themeColor="text1"/>
          <w:sz w:val="24"/>
          <w:szCs w:val="24"/>
          <w:lang w:val="en-US"/>
        </w:rPr>
        <w:t xml:space="preserve">corporate </w:t>
      </w:r>
      <w:r w:rsidRPr="001B6443">
        <w:rPr>
          <w:rFonts w:ascii="Times New Roman" w:eastAsia="Calibri" w:hAnsi="Times New Roman" w:cs="Times New Roman"/>
          <w:color w:val="000000" w:themeColor="text1"/>
          <w:sz w:val="24"/>
          <w:szCs w:val="24"/>
          <w:lang w:val="en-US"/>
        </w:rPr>
        <w:t xml:space="preserve">climate change initiatives (PCCIs) aimed at </w:t>
      </w:r>
      <w:r w:rsidR="00A44A1B" w:rsidRPr="001B6443">
        <w:rPr>
          <w:rFonts w:ascii="Times New Roman" w:eastAsia="Calibri" w:hAnsi="Times New Roman" w:cs="Times New Roman"/>
          <w:color w:val="000000" w:themeColor="text1"/>
          <w:sz w:val="24"/>
          <w:szCs w:val="24"/>
          <w:lang w:val="en-US"/>
        </w:rPr>
        <w:t xml:space="preserve">improving corporate carbon performance by actual emissions (CCPE) and financial </w:t>
      </w:r>
      <w:r w:rsidR="002F5E89" w:rsidRPr="001B6443">
        <w:rPr>
          <w:rFonts w:ascii="Times New Roman" w:eastAsia="Calibri" w:hAnsi="Times New Roman" w:cs="Times New Roman"/>
          <w:color w:val="000000" w:themeColor="text1"/>
          <w:sz w:val="24"/>
          <w:szCs w:val="24"/>
          <w:lang w:val="en-US"/>
        </w:rPr>
        <w:t>outcomes</w:t>
      </w:r>
      <w:r w:rsidR="00824BE0" w:rsidRPr="001B6443">
        <w:rPr>
          <w:rFonts w:ascii="Times New Roman" w:eastAsia="Calibri" w:hAnsi="Times New Roman" w:cs="Times New Roman"/>
          <w:color w:val="000000" w:themeColor="text1"/>
          <w:sz w:val="24"/>
          <w:szCs w:val="24"/>
          <w:lang w:val="en-US"/>
        </w:rPr>
        <w:t xml:space="preserve"> </w:t>
      </w:r>
      <w:r w:rsidR="00824BE0"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Journal","id":"ITEM-1","issue":"5","issued":{"date-parts":[["2017","10","1"]]},"page":"1633-1661","publisher":"Academy of Management","title":"An inconvenient truth: How organizations translate climate change into business as usual","type":"article-journal","volume":"60"},"uris":["http://www.mendeley.com/documents/?uuid=1e826676-3243-3bf7-a34c-ff6e0e1b5659"]},{"id":"ITEM-2","itemData":{"DOI":"10.1007/s10551-017-3731-z","ISSN":"15730697","abstract":"Addressing climate change is among the most challenging ethical issues facing contemporary business and society. Unsustainable business activities are causing significant distributional and procedural injustices in areas such as public health and vulnerability to extreme weather events, primarily because of a distinction between primary emitters and those already experiencing the impacts of climate change. Business, as a significant contributor to climate change and beneficiary of externalizing environmental costs, has an obligation to address its environmental impacts. In this paper, we explore the role of firms’ climate change targets in shaping their emissions trends in the context of a large multi-country sample of companies. We contrast two intentions for setting emissions reductions targets: symbolic attempts to manage external stakeholder perceptions via “greenwashing” and substantive commitments to reducing environmental impacts. We argue that the attributes of firms’ climate change targets (their extent, form, and time horizon) are diagnostic of firms’ underlying intentions. Consistent with our hypotheses, while we find no overall effect of setting climate change targets on emissions, we show that targets characterized by a commitment to more ambitious emissions reductions, a longer target time frame, and absolute reductions in emissions are associated with significant reductions in firms’ emissions. Our evidence suggests the need for vigilance among policy-makers and environmental campaigners regarding the underlying intentions that accompany environmental management practices and shows that these can to some extent be diagnosed analytically.","author":[{"dropping-particle":"","family":"Dahlmann","given":"Frederik","non-dropping-particle":"","parse-names":false,"suffix":""},{"dropping-particle":"","family":"Branicki","given":"Layla","non-dropping-particle":"","parse-names":false,"suffix":""},{"dropping-particle":"","family":"Brammer","given":"Stephen","non-dropping-particle":"","parse-names":false,"suffix":""}],"container-title":"Journal of Business Ethics","id":"ITEM-2","issue":"1","issued":{"date-parts":[["2019"]]},"page":"1-24","title":"Managing Carbon Aspirations: The Influence of Corporate Climate Change Targets on Environmental Performance","type":"article-journal","volume":"158"},"uris":["http://www.mendeley.com/documents/?uuid=d14f08f9-7c46-3057-a0c5-d9fc18b62316"]}],"mendeley":{"formattedCitation":"(Dahlmann et al. 2019; Wright and Nyberg 2017)","manualFormatting":"(Dahlmann et al., 2019; Wright and Nyberg, 2017)","plainTextFormattedCitation":"(Dahlmann et al. 2019; Wright and Nyberg 2017)","previouslyFormattedCitation":"(Dahlmann et al. 2019; Wright and Nyberg 2017)"},"properties":{"noteIndex":0},"schema":"https://github.com/citation-style-language/schema/raw/master/csl-citation.json"}</w:instrText>
      </w:r>
      <w:r w:rsidR="00824BE0" w:rsidRPr="001B6443">
        <w:rPr>
          <w:rFonts w:ascii="Times New Roman" w:eastAsia="Calibri" w:hAnsi="Times New Roman" w:cs="Times New Roman"/>
          <w:color w:val="000000" w:themeColor="text1"/>
          <w:sz w:val="24"/>
          <w:szCs w:val="24"/>
          <w:lang w:val="en-US"/>
        </w:rPr>
        <w:fldChar w:fldCharType="separate"/>
      </w:r>
      <w:r w:rsidR="00824BE0" w:rsidRPr="001B6443">
        <w:rPr>
          <w:rFonts w:ascii="Times New Roman" w:eastAsia="Calibri" w:hAnsi="Times New Roman" w:cs="Times New Roman"/>
          <w:noProof/>
          <w:color w:val="000000" w:themeColor="text1"/>
          <w:sz w:val="24"/>
          <w:szCs w:val="24"/>
          <w:lang w:val="en-US"/>
        </w:rPr>
        <w:t xml:space="preserve">(Dahlmann </w:t>
      </w:r>
      <w:r w:rsidR="00824BE0" w:rsidRPr="001B6443">
        <w:rPr>
          <w:rFonts w:ascii="Times New Roman" w:eastAsia="Calibri" w:hAnsi="Times New Roman" w:cs="Times New Roman"/>
          <w:i/>
          <w:iCs/>
          <w:noProof/>
          <w:color w:val="000000" w:themeColor="text1"/>
          <w:sz w:val="24"/>
          <w:szCs w:val="24"/>
          <w:lang w:val="en-US"/>
        </w:rPr>
        <w:t>et al.</w:t>
      </w:r>
      <w:r w:rsidR="006358BC" w:rsidRPr="001B6443">
        <w:rPr>
          <w:rFonts w:ascii="Times New Roman" w:eastAsia="Calibri" w:hAnsi="Times New Roman" w:cs="Times New Roman"/>
          <w:i/>
          <w:iCs/>
          <w:noProof/>
          <w:color w:val="000000" w:themeColor="text1"/>
          <w:sz w:val="24"/>
          <w:szCs w:val="24"/>
          <w:lang w:val="en-US"/>
        </w:rPr>
        <w:t>,</w:t>
      </w:r>
      <w:r w:rsidR="00824BE0" w:rsidRPr="001B6443">
        <w:rPr>
          <w:rFonts w:ascii="Times New Roman" w:eastAsia="Calibri" w:hAnsi="Times New Roman" w:cs="Times New Roman"/>
          <w:noProof/>
          <w:color w:val="000000" w:themeColor="text1"/>
          <w:sz w:val="24"/>
          <w:szCs w:val="24"/>
          <w:lang w:val="en-US"/>
        </w:rPr>
        <w:t xml:space="preserve"> 2019; Wright and Nyberg</w:t>
      </w:r>
      <w:r w:rsidR="006358BC" w:rsidRPr="001B6443">
        <w:rPr>
          <w:rFonts w:ascii="Times New Roman" w:eastAsia="Calibri" w:hAnsi="Times New Roman" w:cs="Times New Roman"/>
          <w:noProof/>
          <w:color w:val="000000" w:themeColor="text1"/>
          <w:sz w:val="24"/>
          <w:szCs w:val="24"/>
          <w:lang w:val="en-US"/>
        </w:rPr>
        <w:t>,</w:t>
      </w:r>
      <w:r w:rsidR="00824BE0" w:rsidRPr="001B6443">
        <w:rPr>
          <w:rFonts w:ascii="Times New Roman" w:eastAsia="Calibri" w:hAnsi="Times New Roman" w:cs="Times New Roman"/>
          <w:noProof/>
          <w:color w:val="000000" w:themeColor="text1"/>
          <w:sz w:val="24"/>
          <w:szCs w:val="24"/>
          <w:lang w:val="en-US"/>
        </w:rPr>
        <w:t xml:space="preserve"> 2017)</w:t>
      </w:r>
      <w:r w:rsidR="00824BE0" w:rsidRPr="001B6443">
        <w:rPr>
          <w:rFonts w:ascii="Times New Roman" w:eastAsia="Calibri" w:hAnsi="Times New Roman" w:cs="Times New Roman"/>
          <w:color w:val="000000" w:themeColor="text1"/>
          <w:sz w:val="24"/>
          <w:szCs w:val="24"/>
          <w:lang w:val="en-US"/>
        </w:rPr>
        <w:fldChar w:fldCharType="end"/>
      </w:r>
      <w:r w:rsidR="00854968" w:rsidRPr="001B6443">
        <w:rPr>
          <w:rFonts w:ascii="Times New Roman" w:eastAsia="Calibri" w:hAnsi="Times New Roman" w:cs="Times New Roman"/>
          <w:color w:val="000000" w:themeColor="text1"/>
          <w:sz w:val="24"/>
          <w:szCs w:val="24"/>
          <w:lang w:val="en-US"/>
        </w:rPr>
        <w:t xml:space="preserve">. </w:t>
      </w:r>
      <w:r w:rsidR="00045C06" w:rsidRPr="001B6443">
        <w:rPr>
          <w:rFonts w:ascii="Times New Roman" w:eastAsia="Calibri" w:hAnsi="Times New Roman" w:cs="Times New Roman"/>
          <w:color w:val="000000" w:themeColor="text1"/>
          <w:sz w:val="24"/>
          <w:szCs w:val="24"/>
          <w:lang w:val="en-US"/>
        </w:rPr>
        <w:t>In particular, p</w:t>
      </w:r>
      <w:r w:rsidRPr="001B6443">
        <w:rPr>
          <w:rFonts w:ascii="Times New Roman" w:eastAsia="Calibri" w:hAnsi="Times New Roman" w:cs="Times New Roman"/>
          <w:color w:val="000000" w:themeColor="text1"/>
          <w:sz w:val="24"/>
          <w:szCs w:val="24"/>
          <w:lang w:val="en-US"/>
        </w:rPr>
        <w:t xml:space="preserve">rior studies have largely focused on the impact of </w:t>
      </w:r>
      <w:r w:rsidR="00D43EA7" w:rsidRPr="001B6443">
        <w:rPr>
          <w:rFonts w:ascii="Times New Roman" w:eastAsia="Calibri" w:hAnsi="Times New Roman" w:cs="Times New Roman"/>
          <w:color w:val="000000" w:themeColor="text1"/>
          <w:sz w:val="24"/>
          <w:szCs w:val="24"/>
          <w:lang w:val="en-US"/>
        </w:rPr>
        <w:t xml:space="preserve">outcome-based </w:t>
      </w:r>
      <w:r w:rsidR="00121A81" w:rsidRPr="001B6443">
        <w:rPr>
          <w:rFonts w:ascii="Times New Roman" w:eastAsia="Calibri" w:hAnsi="Times New Roman" w:cs="Times New Roman"/>
          <w:color w:val="000000" w:themeColor="text1"/>
          <w:sz w:val="24"/>
          <w:szCs w:val="24"/>
          <w:lang w:val="en-US"/>
        </w:rPr>
        <w:t xml:space="preserve">CCPE </w:t>
      </w:r>
      <w:r w:rsidR="00D43EA7" w:rsidRPr="001B6443">
        <w:rPr>
          <w:rFonts w:ascii="Times New Roman" w:eastAsia="Calibri" w:hAnsi="Times New Roman" w:cs="Times New Roman"/>
          <w:color w:val="000000" w:themeColor="text1"/>
          <w:sz w:val="24"/>
          <w:szCs w:val="24"/>
          <w:lang w:val="en-US"/>
        </w:rPr>
        <w:t xml:space="preserve">(actual </w:t>
      </w:r>
      <w:r w:rsidRPr="001B6443">
        <w:rPr>
          <w:rFonts w:ascii="Times New Roman" w:eastAsia="Calibri" w:hAnsi="Times New Roman" w:cs="Times New Roman"/>
          <w:color w:val="000000" w:themeColor="text1"/>
          <w:sz w:val="24"/>
          <w:szCs w:val="24"/>
          <w:lang w:val="en-US"/>
        </w:rPr>
        <w:t>GHG emissions</w:t>
      </w:r>
      <w:r w:rsidR="00D43EA7"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on financial outcomes and yielded mixed results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{"citationItems":[{"id":"ITEM-1","itemData":{"DOI":"10.1080/09638180.2014.927782","ISSN":"14684497","abstract":"Abstract: This study examines the valuation relevance of greenhouse gas emissions under the European Union Carbon Emissions Trading Scheme. We posit that carbon emissions affect firm valuation only to the extent that a firm's emissions exceed its carbon allowances under a cap-and-trade system and the extent of its inability to pass on carbon-related compliance costs to consumers and end-users. We measure a firm's ability to pass on the future costs by its market power and its carbon performance relative to its industry peers. The results show that firms' carbon allowances are not associated with firm valuation but the allocation shortfalls are negatively associated. We also find that the negative association between firm values and carbon emission shortfalls is mitigated for firms with better carbon performance relative to their industry peers and for firms in less competitive industry sectors. These findings, which suggest that the valuation impact of carbon emissions is unlikely to be homogenous across firms or industrial sectors, have important implications for future research design and for the disclosure and recognition of a firm's greenhouse gas liabilities.","author":[{"dropping-particle":"","family":"Clarkson","given":"Peter M.","non-dropping-particle":"","parse-names":false,"suffix":""},{"dropping-particle":"","family":"Li","given":"Yue","non-dropping-particle":"","parse-names":false,"suffix":""},{"dropping-particle":"","family":"Pinnuck","given":"Matthew","non-dropping-particle":"","parse-names":false,"suffix":""},{"dropping-particle":"","family":"Richardson","given":"Gordon D.","non-dropping-particle":"","parse-names":false,"suffix":""}],"container-title":"European Accounting Review","id":"ITEM-1","issue":"3","issued":{"date-parts":[["2015","7","3"]]},"page":"551-580","publisher":"Routledge","title":"The Valuation Relevance of Greenhouse Gas Emissions under the European Union Carbon Emissions Trading Scheme","type":"article-journal","volume":"24"},"uris":["http://www.mendeley.com/documents/?uuid=006fc3d1-c13f-353d-875c-26b0a40ab7af"]},{"id":"ITEM-2","itemData":{"DOI":"10.1002/bse.1978","ISSN":"10990836","abstract":"This article uses econometric techniques to examine the effect of corporate carbon performance on corporate financial performance. I extend the existing literature in this research field by differentiating between two measurement perspectives: carbon performance expressed as annually reported carbon dioxide (CO2) emission equivalents and improvements in carbon performance over time. Thereby, the article re-addresses the research question ‘when and how does it pay to be green?’ in the context of carbon emissions and climate change mitigation. Using a nonlinear modeling technique, the findings indicate that it pays to be green for companies with superior carbon performance but not for companies with inferior carbon performance. The results also show that carbon emission mitigation is linearly and significantly positive related to return on sales (ROS) but negatively related to Tobin's q. These contradictory findings help us to understand why – in spite of growing regulatory pressure – companies have been slow to respond with effective action to tackle climate change beyond marginal efficiency improvements that correspond to ‘low-hanging fruits’. The empirical analysis is based on an unbalanced sample of 7625 firm-year observations covering carbon emission data (Scope 1 and Scope 2) for 1640 international firms from 2003 to 2015. Copyright © 2017 John Wiley &amp; Sons, Ltd and ERP Environment.","author":[{"dropping-particle":"","family":"Lewandowski","given":"Stefan","non-dropping-particle":"","parse-names":false,"suffix":""}],"container-title":"Business Strategy and the Environment","id":"ITEM-2","issue":"8","issued":{"date-parts":[["2017","12","1"]]},"page":"1196-1211","publisher":"John Wiley and Sons Ltd","title":"Corporate Carbon and Financial Performance: The Role of Emission Reductions","type":"article-journal","volume":"26"},"uris":["http://www.mendeley.com/documents/?uuid=69caa9e0-137a-37f2-a326-473dfeafb3e7"]},{"id":"ITEM-3","itemData":{"DOI":"10.1016/j.jom.2010.01.001","ISSN":"02726963","abstract":"This paper analyzes the shareholder value effects of environmental performance by measuring the stock market reaction associated with announcements of environmental performance. We examine the market reaction to two categories of environmental performance. The first category includes 417 announcements of Corporate Environmental Initiatives (CEIs) that provide information about self-reported corporate efforts to avoid, mitigate, or offset the environmental impacts of the firm's products, services, or processes. The second category includes 363 announcements of Environmental Awards and Certifications (EACs) that provide information about recognition granted by third-parties specifically for environmental performance. Although the market does not react significantly to the aggregated CEI and EAC announcements, we find statistically significant market reactions for certain CEI and EAC subcategories. Specifically, announcements of philanthropic gifts for environmental causes are associated with significant positive market reaction, voluntary emission reductions are associated with significant negative market reaction, and ISO 14001 certifications are associated with significant positive market reaction. The difference between the market reactions to the CEI and EAC categories is statistically insignificant. Overall, the market is selective in reacting to announcements of environmental performance with certain types of announcements even valued negatively. © 2009 Elsevier B.V. All rights reserved.","author":[{"dropping-particle":"","family":"Jacobs","given":"Brian W.","non-dropping-particle":"","parse-names":false,"suffix":""},{"dropping-particle":"","family":"Singhal","given":"Vinod R.","non-dropping-particle":"","parse-names":false,"suffix":""},{"dropping-particle":"","family":"Subramanian","given":"Ravi","non-dropping-particle":"","parse-names":false,"suffix":""}],"container-title":"Journal of Operations Management","id":"ITEM-3","issue":"5","issued":{"date-parts":[["2010","9"]]},"page":"430-441","title":"An empirical investigation of environmental performance and the market value of the firm","type":"article-journal","volume":"28"},"uris":["http://www.mendeley.com/documents/?uuid=b3c0b944-cfc8-3e1d-97ff-6868bf6a732f"]},{"id":"ITEM-4","itemData":{"DOI":"10.2308/accr-50629","ISSN":"00014826","abstract":"Using hand-collected carbon emissions data for 2006 to 2008 that were voluntarily disclosed to the Carbon Disclosure Project by S&amp;P 500 firms, we examine the effects on firm value of carbon emissions and of the act of voluntarily disclosing carbon emissions. Correcting for self-selection bias from managers' decisions to disclose carbon emissions, we find that, on average, for every additional thousand metric tons of carbon emissions, firm value decreases by $212,000, where the median emissions for the disclosing firms in our sample are 1.07 million metric tons. We also examine the firm-value effects of managers' decisions to disclose carbon emissions. We find that the median value of firms that disclose their carbon emissions is about $2.3 billion higher than that of comparable non-disclosing firms. Our results indicate that the markets penalize all firms for their carbon emissions, but a further penalty is imposed on firms that do not disclose emissions information. The results are consistent with the argument that capital markets impound both carbon emissions and the act of voluntary disclosure of this information in firm valuations.","author":[{"dropping-particle":"","family":"Matsumura","given":"Ella Mae","non-dropping-particle":"","parse-names":false,"suffix":""},{"dropping-particle":"","family":"Prakash","given":"Rachna","non-dropping-particle":"","parse-names":false,"suffix":""},{"dropping-particle":"","family":"Vera-Muñoz","given":"Sandra C.","non-dropping-particle":"","parse-names":false,"suffix":""}],"container-title":"Accounting Review","id":"ITEM-4","issue":"2","issued":{"date-parts":[["2014"]]},"page":"695-724","publisher":"American Accounting Association","title":"Firm-value effects of carbon emissions and carbon disclosures","type":"article-journal","volume":"89"},"uris":["http://www.mendeley.com/documents/?uuid=b98e977d-10d0-361c-9629-b9032492b740"]}],"mendeley":{"formattedCitation":"(Clarkson et al. 2015; Jacobs et al. 2010; Lewandowski 2017; Matsumura et al. 2014)","manualFormatting":"(e.g., Clarkson et al., 2015; Jacobs et al., 2010; Lewandowski, 2017; Matsumura et al., 2014)","plainTextFormattedCitation":"(Clarkson et al. 2015; Jacobs et al. 2010; Lewandowski 2017; Matsumura et al. 2014)","previouslyFormattedCitation":"(Clarkson et al. 2015; Jacobs et al. 2010; Lewandowski 2017; Matsumura et al. 2014)"},"properties":{"noteIndex":0},"schema":"https://github.com/citation-style-language/schema/raw/master/csl-citation.json"}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(e.g., Clarkson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2015; Jacobs</w:t>
      </w:r>
      <w:r w:rsidR="008F4A5E" w:rsidRPr="001B6443">
        <w:rPr>
          <w:rFonts w:ascii="Times New Roman" w:eastAsia="Calibri" w:hAnsi="Times New Roman" w:cs="Times New Roman"/>
          <w:noProof/>
          <w:color w:val="000000" w:themeColor="text1"/>
          <w:sz w:val="24"/>
          <w:szCs w:val="24"/>
          <w:lang w:val="en-US"/>
        </w:rPr>
        <w:t xml:space="preserve"> </w:t>
      </w:r>
      <w:r w:rsidR="008F4A5E"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2010; Lewandowski, 2017; Matsumura</w:t>
      </w:r>
      <w:r w:rsidR="008F4A5E" w:rsidRPr="001B6443">
        <w:rPr>
          <w:rFonts w:ascii="Times New Roman" w:eastAsia="Calibri" w:hAnsi="Times New Roman" w:cs="Times New Roman"/>
          <w:noProof/>
          <w:color w:val="000000" w:themeColor="text1"/>
          <w:sz w:val="24"/>
          <w:szCs w:val="24"/>
          <w:lang w:val="en-US"/>
        </w:rPr>
        <w:t xml:space="preserve"> </w:t>
      </w:r>
      <w:r w:rsidR="008F4A5E"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2014)</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For example, </w:t>
      </w:r>
      <w:r w:rsidRPr="001B6443">
        <w:rPr>
          <w:rFonts w:ascii="Times New Roman" w:eastAsia="Calibri" w:hAnsi="Times New Roman" w:cs="Times New Roman"/>
          <w:color w:val="000000" w:themeColor="text1"/>
          <w:sz w:val="24"/>
          <w:szCs w:val="24"/>
          <w:lang w:val="en-US"/>
        </w:rPr>
        <w:lastRenderedPageBreak/>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{"citationItems":[{"id":"ITEM-1","itemData":{"DOI":"10.1016/j.accfor.2017.02.003","ISSN":"14676303","abstract":"This study provides evidence on the potential benefits of mandatory environmental reporting for listed firms’ market valuation. It takes advantage of recent regulation that requires all listed firms in the UK to report their annual greenhouse gas (GHG) emissions in their annual reports and shows that the magnitude of the negative association between GHG emissions and the market value of listed firms decreased after the introduction of the reporting regulation. This decline is attributed to regulation forestalling shareholders’ negative reflexive reaction toward firms’ carbon disclosures, as proposed by the theoretical work of Unerman and O'Dwyer (2007).","author":[{"dropping-particle":"","family":"Baboukardos","given":"Diogenis","non-dropping-particle":"","parse-names":false,"suffix":""}],"container-title":"Accounting Forum","id":"ITEM-1","issue":"3","issued":{"date-parts":[["2017","9","1"]]},"page":"221-233","publisher":"Elsevier Ltd","title":"Market valuation of greenhouse gas emissions under a mandatory reporting regime: Evidence from the UK","type":"article-journal","volume":"41"},"uris":["http://www.mendeley.com/documents/?uuid=e6c311cb-2f97-32af-b9cd-b183c7c801bc"]},{"id":"ITEM-2","itemData":{"DOI":"10.1002/bse.2683","ISSN":"10990836","abstract":"Companies are responding to the effects of climate change by reducing CO2 emissions as a way of managing stakeholder interests and complying with legal and regulatory requirements. In Europe, the emissions trading system is consolidated as a limiting market and control scheme to support business climate change management through a collaborative relationship between government and industry. This work focuses on the economic accounting field, analysing carbon management accounting and its impact on financial performance in scenarios attached to that trading system. The methodological approach used is quantitative, empirically testing the hypotheses through a multiple regression analysis with a sample of 350 European companies. The results attest to the importance of carbon management accounting (CMA) control and its effects on financial performance. Compared with European emission trading, the results failed to display significant differences in the relationship studied between those that make up this type of market and those that do not.","author":[{"dropping-particle":"","family":"Tuesta","given":"Naranjo Yenny","non-dropping-particle":"","parse-names":false,"suffix":""},{"dropping-particle":"","family":"Soler","given":"Crespo Cristina","non-dropping-particle":"","parse-names":false,"suffix":""},{"dropping-particle":"","family":"Feliu","given":"Ripoll Vicente","non-dropping-particle":"","parse-names":false,"suffix":""}],"container-title":"Business Strategy and the Environment","id":"ITEM-2","issue":"2","issued":{"date-parts":[["2021","2","1"]]},"page":"1270-1282","publisher":"John Wiley and Sons Ltd","title":"Carbon management accounting and financial performance: Evidence from the European Union emission trading system","type":"article-journal","volume":"30"},"uris":["http://www.mendeley.com/documents/?uuid=d4b12cf1-99a1-339b-bc48-702498a48222"]},{"id":"ITEM-3","itemData":{"DOI":"10.1016/j.bar.2020.100909","ISSN":"10958347","abstract":"Despite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Review","id":"ITEM-3","issue":"1","issued":{"date-parts":[["2021","1","1"]]},"page":"100909","publisher":"Academic Press","title":"Does the market value greenhouse gas emissions? Evidence from multi-country firm data","type":"article-journal","volume":"53"},"uris":["http://www.mendeley.com/documents/?uuid=ac06154c-7498-32c7-a53a-51d28fbf1de9"]}],"mendeley":{"formattedCitation":"(Baboukardos 2017; Choi and Luo 2021; Tuesta et al. 2021)","manualFormatting":"Baboukardos (2017) and Choi and Luo (2021)","plainTextFormattedCitation":"(Baboukardos 2017; Choi and Luo 2021; Tuesta et al. 2021)","previouslyFormattedCitation":"(Baboukardos 2017; Choi and Luo 2021; Tuesta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Baboukardos (2017)</w:t>
      </w:r>
      <w:r w:rsidR="00541ECB"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and Choi and Luo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find a negative association between GHG emissions and market value (MV), and argue that market participants r</w:t>
      </w:r>
      <w:r w:rsidR="00851397" w:rsidRPr="001B6443">
        <w:rPr>
          <w:rFonts w:ascii="Times New Roman" w:eastAsia="Calibri" w:hAnsi="Times New Roman" w:cs="Times New Roman"/>
          <w:color w:val="000000" w:themeColor="text1"/>
          <w:sz w:val="24"/>
          <w:szCs w:val="24"/>
          <w:lang w:val="en-US"/>
        </w:rPr>
        <w:t>eact negatively to excessive</w:t>
      </w:r>
      <w:r w:rsidRPr="001B6443">
        <w:rPr>
          <w:rFonts w:ascii="Times New Roman" w:eastAsia="Calibri" w:hAnsi="Times New Roman" w:cs="Times New Roman"/>
          <w:color w:val="000000" w:themeColor="text1"/>
          <w:sz w:val="24"/>
          <w:szCs w:val="24"/>
          <w:lang w:val="en-US"/>
        </w:rPr>
        <w:t xml:space="preserve"> emissions. By contrast,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{"citationItems":[{"id":"ITEM-1","itemData":{"DOI":"10.1016/j.jom.2010.01.001","ISSN":"02726963","abstract":"This paper analyzes the shareholder value effects of environmental performance by measuring the stock market reaction associated with announcements of environmental performance. We examine the market reaction to two categories of environmental performance. The first category includes 417 announcements of Corporate Environmental Initiatives (CEIs) that provide information about self-reported corporate efforts to avoid, mitigate, or offset the environmental impacts of the firm's products, services, or processes. The second category includes 363 announcements of Environmental Awards and Certifications (EACs) that provide information about recognition granted by third-parties specifically for environmental performance. Although the market does not react significantly to the aggregated CEI and EAC announcements, we find statistically significant market reactions for certain CEI and EAC subcategories. Specifically, announcements of philanthropic gifts for environmental causes are associated with significant positive market reaction, voluntary emission reductions are associated with significant negative market reaction, and ISO 14001 certifications are associated with significant positive market reaction. The difference between the market reactions to the CEI and EAC categories is statistically insignificant. Overall, the market is selective in reacting to announcements of environmental performance with certain types of announcements even valued negatively. © 2009 Elsevier B.V. All rights reserved.","author":[{"dropping-particle":"","family":"Jacobs","given":"Brian W.","non-dropping-particle":"","parse-names":false,"suffix":""},{"dropping-particle":"","family":"Singhal","given":"Vinod R.","non-dropping-particle":"","parse-names":false,"suffix":""},{"dropping-particle":"","family":"Subramanian","given":"Ravi","non-dropping-particle":"","parse-names":false,"suffix":""}],"container-title":"Journal of Operations Management","id":"ITEM-1","issue":"5","issued":{"date-parts":[["2010","9"]]},"page":"430-441","title":"An empirical investigation of environmental performance and the market value of the firm","type":"article-journal","volume":"28"},"uris":["http://www.mendeley.com/documents/?uuid=b3c0b944-cfc8-3e1d-97ff-6868bf6a732f"]},{"id":"ITEM-2","itemData":{"DOI":"10.1002/bse.1978","ISSN":"10990836","abstract":"This article uses econometric techniques to examine the effect of corporate carbon performance on corporate financial performance. I extend the existing literature in this research field by differentiating between two measurement perspectives: carbon performance expressed as annually reported carbon dioxide (CO2) emission equivalents and improvements in carbon performance over time. Thereby, the article re-addresses the research question ‘when and how does it pay to be green?’ in the context of carbon emissions and climate change mitigation. Using a nonlinear modeling technique, the findings indicate that it pays to be green for companies with superior carbon performance but not for companies with inferior carbon performance. The results also show that carbon emission mitigation is linearly and significantly positive related to return on sales (ROS) but negatively related to Tobin's q. These contradictory findings help us to understand why – in spite of growing regulatory pressure – companies have been slow to respond with effective action to tackle climate change beyond marginal efficiency improvements that correspond to ‘low-hanging fruits’. The empirical analysis is based on an unbalanced sample of 7625 firm-year observations covering carbon emission data (Scope 1 and Scope 2) for 1640 international firms from 2003 to 2015. Copyright © 2017 John Wiley &amp; Sons, Ltd and ERP Environment.","author":[{"dropping-particle":"","family":"Lewandowski","given":"Stefan","non-dropping-particle":"","parse-names":false,"suffix":""}],"container-title":"Business Strategy and the Environment","id":"ITEM-2","issue":"8","issued":{"date-parts":[["2017","12","1"]]},"page":"1196-1211","publisher":"John Wiley and Sons Ltd","title":"Corporate Carbon and Financial Performance: The Role of Emission Reductions","type":"article-journal","volume":"26"},"uris":["http://www.mendeley.com/documents/?uuid=69caa9e0-137a-37f2-a326-473dfeafb3e7"]},{"id":"ITEM-3","itemData":{"DOI":"10.1016/j.ecolecon.2013.06.020","ISSN":"09218009","abstract":"We find that firms winning Green Company Awards in China from 2008 to 2011 experienced on average insignificant and in some cases significantly negative effects on shareholder value. Various robustness checks suggest that these findings are not driven by the inefficiency of the Chinese stock market or a lack of perceived credibility of the award. In addition, we find important variation in the responses across firms: shareholders of firms in low-pollution industries and firms with primarily private ownership responded more negatively to award announcements. Furthermore, the peers of winning firms showed higher announcement returns than the award winners. Our results suggest that a key benefit of corporate environmentalism in China comes through building stronger relationships with government, and that otherwise the market generally discourages firms from environmental leadership. © 2013 Elsevier B.V.","author":[{"dropping-particle":"","family":"Lyon","given":"Thomas","non-dropping-particle":"","parse-names":false,"suffix":""},{"dropping-particle":"","family":"Lu","given":"Yao","non-dropping-particle":"","parse-names":false,"suffix":""},{"dropping-particle":"","family":"Shi","given":"Xinzheng","non-dropping-particle":"","parse-names":false,"suffix":""},{"dropping-particle":"","family":"Yin","given":"Qie","non-dropping-particle":"","parse-names":false,"suffix":""}],"container-title":"Ecological Economics","id":"ITEM-3","issued":{"date-parts":[["2013","10","1"]]},"page":"1-8","publisher":"Elsevier","title":"How do investors respond to Green Company Awards in China?","type":"article-journal","volume":"94"},"uris":["http://www.mendeley.com/documents/?uuid=fc06c874-3273-351b-89b1-32a3e1c42bb5"]}],"mendeley":{"formattedCitation":"(Jacobs et al. 2010; Lewandowski 2017; Lyon et al. 2013)","manualFormatting":"Lewandowski (2017) ","plainTextFormattedCitation":"(Jacobs et al. 2010; Lewandowski 2017; Lyon et al. 2013)","previouslyFormattedCitation":"(Jacobs et al. 2010; Lewandowski 2017; Lyon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Lewandowski (2017) </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reports that lower GHG emissions are associated with lower MV, thus suggesting that corporate commitment t</w:t>
      </w:r>
      <w:r w:rsidR="00121A81" w:rsidRPr="001B6443">
        <w:rPr>
          <w:rFonts w:ascii="Times New Roman" w:eastAsia="Calibri" w:hAnsi="Times New Roman" w:cs="Times New Roman"/>
          <w:color w:val="000000" w:themeColor="text1"/>
          <w:sz w:val="24"/>
          <w:szCs w:val="24"/>
          <w:lang w:val="en-US"/>
        </w:rPr>
        <w:t xml:space="preserve">o </w:t>
      </w:r>
      <w:r w:rsidRPr="001B6443">
        <w:rPr>
          <w:rFonts w:ascii="Times New Roman" w:eastAsia="Calibri" w:hAnsi="Times New Roman" w:cs="Times New Roman"/>
          <w:color w:val="000000" w:themeColor="text1"/>
          <w:sz w:val="24"/>
          <w:szCs w:val="24"/>
          <w:lang w:val="en-US"/>
        </w:rPr>
        <w:t>emissions reduc</w:t>
      </w:r>
      <w:r w:rsidR="00EB0F79" w:rsidRPr="001B6443">
        <w:rPr>
          <w:rFonts w:ascii="Times New Roman" w:eastAsia="Calibri" w:hAnsi="Times New Roman" w:cs="Times New Roman"/>
          <w:color w:val="000000" w:themeColor="text1"/>
          <w:sz w:val="24"/>
          <w:szCs w:val="24"/>
          <w:lang w:val="en-US"/>
        </w:rPr>
        <w:t xml:space="preserve">tions causes financial burdens. </w:t>
      </w:r>
      <w:r w:rsidRPr="001B6443">
        <w:rPr>
          <w:rFonts w:ascii="Times New Roman" w:eastAsia="Calibri" w:hAnsi="Times New Roman" w:cs="Times New Roman"/>
          <w:color w:val="000000" w:themeColor="text1"/>
          <w:sz w:val="24"/>
          <w:szCs w:val="24"/>
          <w:lang w:val="en-US"/>
        </w:rPr>
        <w:t xml:space="preserve">However, </w:t>
      </w:r>
      <w:r w:rsidR="00636BE7" w:rsidRPr="001B6443">
        <w:rPr>
          <w:rFonts w:ascii="Times New Roman" w:eastAsia="Calibri" w:hAnsi="Times New Roman" w:cs="Times New Roman"/>
          <w:color w:val="000000" w:themeColor="text1"/>
          <w:sz w:val="24"/>
          <w:szCs w:val="24"/>
          <w:lang w:val="en-US"/>
        </w:rPr>
        <w:t>the above/prior</w:t>
      </w:r>
      <w:r w:rsidRPr="001B6443">
        <w:rPr>
          <w:rFonts w:ascii="Times New Roman" w:eastAsia="Calibri" w:hAnsi="Times New Roman" w:cs="Times New Roman"/>
          <w:color w:val="000000" w:themeColor="text1"/>
          <w:sz w:val="24"/>
          <w:szCs w:val="24"/>
          <w:lang w:val="en-US"/>
        </w:rPr>
        <w:t xml:space="preserve"> studies have </w:t>
      </w:r>
      <w:r w:rsidR="00DC0616" w:rsidRPr="001B6443">
        <w:rPr>
          <w:rFonts w:ascii="Times New Roman" w:eastAsia="Calibri" w:hAnsi="Times New Roman" w:cs="Times New Roman"/>
          <w:color w:val="000000" w:themeColor="text1"/>
          <w:sz w:val="24"/>
          <w:szCs w:val="24"/>
          <w:lang w:val="en-US"/>
        </w:rPr>
        <w:t>focused mo</w:t>
      </w:r>
      <w:r w:rsidR="009B71DC" w:rsidRPr="001B6443">
        <w:rPr>
          <w:rFonts w:ascii="Times New Roman" w:eastAsia="Calibri" w:hAnsi="Times New Roman" w:cs="Times New Roman"/>
          <w:color w:val="000000" w:themeColor="text1"/>
          <w:sz w:val="24"/>
          <w:szCs w:val="24"/>
          <w:lang w:val="en-US"/>
        </w:rPr>
        <w:t>stly on individual countries/</w:t>
      </w:r>
      <w:r w:rsidR="00DC0616" w:rsidRPr="001B6443">
        <w:rPr>
          <w:rFonts w:ascii="Times New Roman" w:eastAsia="Calibri" w:hAnsi="Times New Roman" w:cs="Times New Roman"/>
          <w:color w:val="000000" w:themeColor="text1"/>
          <w:sz w:val="24"/>
          <w:szCs w:val="24"/>
          <w:lang w:val="en-US"/>
        </w:rPr>
        <w:t>regions</w:t>
      </w:r>
      <w:r w:rsidR="00E96E65" w:rsidRPr="001B6443">
        <w:rPr>
          <w:rFonts w:ascii="Times New Roman" w:eastAsia="Calibri" w:hAnsi="Times New Roman" w:cs="Times New Roman"/>
          <w:color w:val="000000" w:themeColor="text1"/>
          <w:sz w:val="24"/>
          <w:szCs w:val="24"/>
          <w:lang w:val="en-US"/>
        </w:rPr>
        <w:t>, thereby failing to consider</w:t>
      </w:r>
      <w:r w:rsidR="00636BE7" w:rsidRPr="001B6443">
        <w:rPr>
          <w:rFonts w:ascii="Times New Roman" w:eastAsia="Calibri" w:hAnsi="Times New Roman" w:cs="Times New Roman"/>
          <w:color w:val="000000" w:themeColor="text1"/>
          <w:sz w:val="24"/>
          <w:szCs w:val="24"/>
          <w:lang w:val="en-US"/>
        </w:rPr>
        <w:t xml:space="preserve"> cros</w:t>
      </w:r>
      <w:r w:rsidR="00E96E65" w:rsidRPr="001B6443">
        <w:rPr>
          <w:rFonts w:ascii="Times New Roman" w:eastAsia="Calibri" w:hAnsi="Times New Roman" w:cs="Times New Roman"/>
          <w:color w:val="000000" w:themeColor="text1"/>
          <w:sz w:val="24"/>
          <w:szCs w:val="24"/>
          <w:lang w:val="en-US"/>
        </w:rPr>
        <w:t>s-country differences</w:t>
      </w:r>
      <w:r w:rsidR="00EC4B4E" w:rsidRPr="001B6443">
        <w:rPr>
          <w:rFonts w:ascii="Times New Roman" w:eastAsia="Calibri" w:hAnsi="Times New Roman" w:cs="Times New Roman"/>
          <w:color w:val="000000" w:themeColor="text1"/>
          <w:sz w:val="24"/>
          <w:szCs w:val="24"/>
          <w:lang w:val="en-US"/>
        </w:rPr>
        <w:t xml:space="preserve">. </w:t>
      </w:r>
      <w:r w:rsidR="00493417" w:rsidRPr="001B6443">
        <w:rPr>
          <w:rFonts w:ascii="Times New Roman" w:eastAsia="Calibri" w:hAnsi="Times New Roman" w:cs="Times New Roman"/>
          <w:color w:val="000000" w:themeColor="text1"/>
          <w:sz w:val="24"/>
          <w:szCs w:val="24"/>
          <w:lang w:val="en-US"/>
        </w:rPr>
        <w:t>Accordingly</w:t>
      </w:r>
      <w:r w:rsidR="00EC4B4E" w:rsidRPr="001B6443">
        <w:rPr>
          <w:rFonts w:ascii="Times New Roman" w:eastAsia="Calibri" w:hAnsi="Times New Roman" w:cs="Times New Roman"/>
          <w:color w:val="000000" w:themeColor="text1"/>
          <w:sz w:val="24"/>
          <w:szCs w:val="24"/>
          <w:lang w:val="en-US"/>
        </w:rPr>
        <w:t xml:space="preserve">, the existing </w:t>
      </w:r>
      <w:r w:rsidR="00D55FAE" w:rsidRPr="001B6443">
        <w:rPr>
          <w:rFonts w:ascii="Times New Roman" w:eastAsia="Calibri" w:hAnsi="Times New Roman" w:cs="Times New Roman"/>
          <w:color w:val="000000" w:themeColor="text1"/>
          <w:sz w:val="24"/>
          <w:szCs w:val="24"/>
          <w:lang w:val="en-US"/>
        </w:rPr>
        <w:t xml:space="preserve">inconclusive </w:t>
      </w:r>
      <w:r w:rsidR="00EC4B4E" w:rsidRPr="001B6443">
        <w:rPr>
          <w:rFonts w:ascii="Times New Roman" w:eastAsia="Calibri" w:hAnsi="Times New Roman" w:cs="Times New Roman"/>
          <w:color w:val="000000" w:themeColor="text1"/>
          <w:sz w:val="24"/>
          <w:szCs w:val="24"/>
          <w:lang w:val="en-US"/>
        </w:rPr>
        <w:t xml:space="preserve">findings </w:t>
      </w:r>
      <w:r w:rsidR="00493417" w:rsidRPr="001B6443">
        <w:rPr>
          <w:rFonts w:ascii="Times New Roman" w:eastAsia="Calibri" w:hAnsi="Times New Roman" w:cs="Times New Roman"/>
          <w:color w:val="000000" w:themeColor="text1"/>
          <w:sz w:val="24"/>
          <w:szCs w:val="24"/>
          <w:lang w:val="en-US"/>
        </w:rPr>
        <w:t xml:space="preserve">cannot be generalized </w:t>
      </w:r>
      <w:r w:rsidR="00EC4B4E" w:rsidRPr="001B6443">
        <w:rPr>
          <w:rFonts w:ascii="Times New Roman" w:eastAsia="Calibri" w:hAnsi="Times New Roman" w:cs="Times New Roman"/>
          <w:color w:val="000000" w:themeColor="text1"/>
          <w:sz w:val="24"/>
          <w:szCs w:val="24"/>
          <w:lang w:val="en-US"/>
        </w:rPr>
        <w:t>a</w:t>
      </w:r>
      <w:r w:rsidR="00636BE7" w:rsidRPr="001B6443">
        <w:rPr>
          <w:rFonts w:ascii="Times New Roman" w:eastAsia="Calibri" w:hAnsi="Times New Roman" w:cs="Times New Roman"/>
          <w:color w:val="000000" w:themeColor="text1"/>
          <w:sz w:val="24"/>
          <w:szCs w:val="24"/>
          <w:lang w:val="en-US"/>
        </w:rPr>
        <w:t xml:space="preserve">cross </w:t>
      </w:r>
      <w:r w:rsidR="00411227" w:rsidRPr="001B6443">
        <w:rPr>
          <w:rFonts w:ascii="Times New Roman" w:eastAsia="Calibri" w:hAnsi="Times New Roman" w:cs="Times New Roman"/>
          <w:color w:val="000000" w:themeColor="text1"/>
          <w:sz w:val="24"/>
          <w:szCs w:val="24"/>
          <w:lang w:val="en-US"/>
        </w:rPr>
        <w:t>diverse economies</w:t>
      </w:r>
      <w:r w:rsidR="00636BE7" w:rsidRPr="001B6443">
        <w:rPr>
          <w:rFonts w:ascii="Times New Roman" w:eastAsia="Calibri" w:hAnsi="Times New Roman" w:cs="Times New Roman"/>
          <w:color w:val="000000" w:themeColor="text1"/>
          <w:sz w:val="24"/>
          <w:szCs w:val="24"/>
          <w:lang w:val="en-US"/>
        </w:rPr>
        <w:t xml:space="preserve"> with different </w:t>
      </w:r>
      <w:r w:rsidR="007B536E" w:rsidRPr="001B6443">
        <w:rPr>
          <w:rFonts w:ascii="Times New Roman" w:eastAsia="Calibri" w:hAnsi="Times New Roman" w:cs="Times New Roman"/>
          <w:color w:val="000000" w:themeColor="text1"/>
          <w:sz w:val="24"/>
          <w:szCs w:val="24"/>
          <w:lang w:val="en-US"/>
        </w:rPr>
        <w:t>institutional</w:t>
      </w:r>
      <w:r w:rsidR="00786103" w:rsidRPr="001B6443">
        <w:rPr>
          <w:rFonts w:ascii="Times New Roman" w:eastAsia="Calibri" w:hAnsi="Times New Roman" w:cs="Times New Roman"/>
          <w:color w:val="000000" w:themeColor="text1"/>
          <w:sz w:val="24"/>
          <w:szCs w:val="24"/>
          <w:lang w:val="en-US"/>
        </w:rPr>
        <w:t xml:space="preserve"> and </w:t>
      </w:r>
      <w:r w:rsidR="00411227" w:rsidRPr="001B6443">
        <w:rPr>
          <w:rFonts w:ascii="Times New Roman" w:eastAsia="Calibri" w:hAnsi="Times New Roman" w:cs="Times New Roman"/>
          <w:color w:val="000000" w:themeColor="text1"/>
          <w:sz w:val="24"/>
          <w:szCs w:val="24"/>
          <w:lang w:val="en-US"/>
        </w:rPr>
        <w:t>regulatory settings.</w:t>
      </w:r>
      <w:r w:rsidR="00493417" w:rsidRPr="001B6443">
        <w:rPr>
          <w:rFonts w:ascii="Times New Roman" w:eastAsia="Calibri" w:hAnsi="Times New Roman" w:cs="Times New Roman"/>
          <w:color w:val="000000" w:themeColor="text1"/>
          <w:sz w:val="24"/>
          <w:szCs w:val="24"/>
          <w:lang w:val="en-US"/>
        </w:rPr>
        <w:t xml:space="preserve"> </w:t>
      </w:r>
      <w:r w:rsidR="00802B60" w:rsidRPr="001B6443">
        <w:rPr>
          <w:rFonts w:ascii="Times New Roman" w:eastAsia="Calibri" w:hAnsi="Times New Roman" w:cs="Times New Roman"/>
          <w:color w:val="000000" w:themeColor="text1"/>
          <w:sz w:val="24"/>
          <w:szCs w:val="24"/>
          <w:lang w:val="en-US"/>
        </w:rPr>
        <w:t xml:space="preserve">As government responses to climate change </w:t>
      </w:r>
      <w:r w:rsidR="00504F69" w:rsidRPr="001B6443">
        <w:rPr>
          <w:rFonts w:ascii="Times New Roman" w:eastAsia="Calibri" w:hAnsi="Times New Roman" w:cs="Times New Roman"/>
          <w:color w:val="000000" w:themeColor="text1"/>
          <w:sz w:val="24"/>
          <w:szCs w:val="24"/>
          <w:lang w:val="en-US"/>
        </w:rPr>
        <w:t>vary</w:t>
      </w:r>
      <w:r w:rsidR="00D45084" w:rsidRPr="001B6443">
        <w:rPr>
          <w:rFonts w:ascii="Times New Roman" w:eastAsia="Calibri" w:hAnsi="Times New Roman" w:cs="Times New Roman"/>
          <w:color w:val="000000" w:themeColor="text1"/>
          <w:sz w:val="24"/>
          <w:szCs w:val="24"/>
          <w:lang w:val="en-US"/>
        </w:rPr>
        <w:t xml:space="preserve"> substantially across countries and have</w:t>
      </w:r>
      <w:r w:rsidR="00802B60" w:rsidRPr="001B6443">
        <w:rPr>
          <w:rFonts w:ascii="Times New Roman" w:eastAsia="Calibri" w:hAnsi="Times New Roman" w:cs="Times New Roman"/>
          <w:color w:val="000000" w:themeColor="text1"/>
          <w:sz w:val="24"/>
          <w:szCs w:val="24"/>
          <w:lang w:val="en-US"/>
        </w:rPr>
        <w:t xml:space="preserve"> </w:t>
      </w:r>
      <w:r w:rsidR="00504F69" w:rsidRPr="001B6443">
        <w:rPr>
          <w:rFonts w:ascii="Times New Roman" w:eastAsia="Calibri" w:hAnsi="Times New Roman" w:cs="Times New Roman"/>
          <w:color w:val="000000" w:themeColor="text1"/>
          <w:sz w:val="24"/>
          <w:szCs w:val="24"/>
          <w:lang w:val="en-US"/>
        </w:rPr>
        <w:t>different</w:t>
      </w:r>
      <w:r w:rsidR="00D45084" w:rsidRPr="001B6443">
        <w:rPr>
          <w:rFonts w:ascii="Times New Roman" w:eastAsia="Calibri" w:hAnsi="Times New Roman" w:cs="Times New Roman"/>
          <w:color w:val="000000" w:themeColor="text1"/>
          <w:sz w:val="24"/>
          <w:szCs w:val="24"/>
          <w:lang w:val="en-US"/>
        </w:rPr>
        <w:t xml:space="preserve"> </w:t>
      </w:r>
      <w:r w:rsidR="00802B60" w:rsidRPr="001B6443">
        <w:rPr>
          <w:rFonts w:ascii="Times New Roman" w:eastAsia="Calibri" w:hAnsi="Times New Roman" w:cs="Times New Roman"/>
          <w:color w:val="000000" w:themeColor="text1"/>
          <w:sz w:val="24"/>
          <w:szCs w:val="24"/>
          <w:lang w:val="en-US"/>
        </w:rPr>
        <w:t xml:space="preserve">financial </w:t>
      </w:r>
      <w:r w:rsidR="009443A3" w:rsidRPr="001B6443">
        <w:rPr>
          <w:rFonts w:ascii="Times New Roman" w:eastAsia="Calibri" w:hAnsi="Times New Roman" w:cs="Times New Roman"/>
          <w:color w:val="000000" w:themeColor="text1"/>
          <w:sz w:val="24"/>
          <w:szCs w:val="24"/>
          <w:lang w:val="en-US"/>
        </w:rPr>
        <w:t>consequences</w:t>
      </w:r>
      <w:r w:rsidR="00802B60" w:rsidRPr="001B6443">
        <w:rPr>
          <w:rFonts w:ascii="Times New Roman" w:eastAsia="Calibri" w:hAnsi="Times New Roman" w:cs="Times New Roman"/>
          <w:color w:val="000000" w:themeColor="text1"/>
          <w:sz w:val="24"/>
          <w:szCs w:val="24"/>
          <w:lang w:val="en-US"/>
        </w:rPr>
        <w:t xml:space="preserve"> for </w:t>
      </w:r>
      <w:r w:rsidR="009443A3" w:rsidRPr="001B6443">
        <w:rPr>
          <w:rFonts w:ascii="Times New Roman" w:eastAsia="Calibri" w:hAnsi="Times New Roman" w:cs="Times New Roman"/>
          <w:color w:val="000000" w:themeColor="text1"/>
          <w:sz w:val="24"/>
          <w:szCs w:val="24"/>
          <w:lang w:val="en-US"/>
        </w:rPr>
        <w:t xml:space="preserve">firms </w:t>
      </w:r>
      <w:r w:rsidR="009443A3"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2021)","manualFormatting":"(Choi and Luo, 2021)","plainTextFormattedCitation":"(Choi and Luo 2021)","previouslyFormattedCitation":"(Choi and Luo 2021)"},"properties":{"noteIndex":0},"schema":"https://github.com/citation-style-language/schema/raw/master/csl-citation.json"}</w:instrText>
      </w:r>
      <w:r w:rsidR="009443A3" w:rsidRPr="001B6443">
        <w:rPr>
          <w:rFonts w:ascii="Times New Roman" w:eastAsia="Calibri" w:hAnsi="Times New Roman" w:cs="Times New Roman"/>
          <w:color w:val="000000" w:themeColor="text1"/>
          <w:sz w:val="24"/>
          <w:szCs w:val="24"/>
          <w:lang w:val="en-US"/>
        </w:rPr>
        <w:fldChar w:fldCharType="separate"/>
      </w:r>
      <w:r w:rsidR="009443A3" w:rsidRPr="001B6443">
        <w:rPr>
          <w:rFonts w:ascii="Times New Roman" w:eastAsia="Calibri" w:hAnsi="Times New Roman" w:cs="Times New Roman"/>
          <w:noProof/>
          <w:color w:val="000000" w:themeColor="text1"/>
          <w:sz w:val="24"/>
          <w:szCs w:val="24"/>
          <w:lang w:val="en-US"/>
        </w:rPr>
        <w:t>(Choi and Luo</w:t>
      </w:r>
      <w:r w:rsidR="006358BC" w:rsidRPr="001B6443">
        <w:rPr>
          <w:rFonts w:ascii="Times New Roman" w:eastAsia="Calibri" w:hAnsi="Times New Roman" w:cs="Times New Roman"/>
          <w:noProof/>
          <w:color w:val="000000" w:themeColor="text1"/>
          <w:sz w:val="24"/>
          <w:szCs w:val="24"/>
          <w:lang w:val="en-US"/>
        </w:rPr>
        <w:t>,</w:t>
      </w:r>
      <w:r w:rsidR="009443A3" w:rsidRPr="001B6443">
        <w:rPr>
          <w:rFonts w:ascii="Times New Roman" w:eastAsia="Calibri" w:hAnsi="Times New Roman" w:cs="Times New Roman"/>
          <w:noProof/>
          <w:color w:val="000000" w:themeColor="text1"/>
          <w:sz w:val="24"/>
          <w:szCs w:val="24"/>
          <w:lang w:val="en-US"/>
        </w:rPr>
        <w:t xml:space="preserve"> 2021)</w:t>
      </w:r>
      <w:r w:rsidR="009443A3" w:rsidRPr="001B6443">
        <w:rPr>
          <w:rFonts w:ascii="Times New Roman" w:eastAsia="Calibri" w:hAnsi="Times New Roman" w:cs="Times New Roman"/>
          <w:color w:val="000000" w:themeColor="text1"/>
          <w:sz w:val="24"/>
          <w:szCs w:val="24"/>
          <w:lang w:val="en-US"/>
        </w:rPr>
        <w:fldChar w:fldCharType="end"/>
      </w:r>
      <w:r w:rsidR="00802B60"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there is a need to explore the relationships among PCCIs, </w:t>
      </w:r>
      <w:r w:rsidR="00121A81" w:rsidRPr="001B6443">
        <w:rPr>
          <w:rFonts w:ascii="Times New Roman" w:eastAsia="Calibri" w:hAnsi="Times New Roman" w:cs="Times New Roman"/>
          <w:color w:val="000000" w:themeColor="text1"/>
          <w:sz w:val="24"/>
          <w:szCs w:val="24"/>
          <w:lang w:val="en-US"/>
        </w:rPr>
        <w:t>outcome-based CCPE</w:t>
      </w:r>
      <w:r w:rsidRPr="001B6443">
        <w:rPr>
          <w:rFonts w:ascii="Times New Roman" w:eastAsia="Calibri" w:hAnsi="Times New Roman" w:cs="Times New Roman"/>
          <w:color w:val="000000" w:themeColor="text1"/>
          <w:sz w:val="24"/>
          <w:szCs w:val="24"/>
          <w:lang w:val="en-US"/>
        </w:rPr>
        <w:t>, and financ</w:t>
      </w:r>
      <w:r w:rsidR="00270EC1" w:rsidRPr="001B6443">
        <w:rPr>
          <w:rFonts w:ascii="Times New Roman" w:eastAsia="Calibri" w:hAnsi="Times New Roman" w:cs="Times New Roman"/>
          <w:color w:val="000000" w:themeColor="text1"/>
          <w:sz w:val="24"/>
          <w:szCs w:val="24"/>
          <w:lang w:val="en-US"/>
        </w:rPr>
        <w:t>ial outcomes within diverse/</w:t>
      </w:r>
      <w:r w:rsidRPr="001B6443">
        <w:rPr>
          <w:rFonts w:ascii="Times New Roman" w:eastAsia="Calibri" w:hAnsi="Times New Roman" w:cs="Times New Roman"/>
          <w:color w:val="000000" w:themeColor="text1"/>
          <w:sz w:val="24"/>
          <w:szCs w:val="24"/>
          <w:lang w:val="en-US"/>
        </w:rPr>
        <w:t xml:space="preserve">multiple economies </w:t>
      </w:r>
      <w:r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Value","type":"article-journal","volume":"31"},"uris":["http://www.mendeley.com/documents/?uuid=233c96ce-971f-33e7-ad90-be8611789ad9"]},{"id":"ITEM-3","itemData":{"DOI":"10.1016/j.jcae.2021.100279","ISSN":"18155669","abstract":"Our study focuses on the value relevance of corporate voluntary carbon disclosure. Our sample includes firms from the United States (listed in the S&amp;P 500) and firms from Brazil, Russia, India, and China that are targeted by the CDP. We examine whether the capital market rewards firms’ voluntary carbon disclosure. Voluntary carbon disclosure is measured as firms’ propensity to voluntarily disclose carbon information and the comprehensiveness and quality of their disclosure. We find that firms with greater carbon disclosure have higher firm value. Furthermore, the positive association between firm value and voluntary carbon disclosure is stronger in developing countries. We also find that large emitters with sufficient carbon disclosure experience a less negative valuation than firms with inadequate carbon disclosure. Furthermore, a subcomponent analysis suggests that the disclosure of specific types of climate risk and opportunity is rewarded by investors and can mitigate the valuation penalty of carbon emissions. These results have important implications for companies, investors, and regulators. Our analyses enhance understanding of the consequences of voluntary carbon reporting, which enriches the reporting of current financial information.","author":[{"dropping-particle":"","family":"Jiang","given":"Yan","non-dropping-particle":"","parse-names":false,"suffix":""},{"dropping-particle":"","family":"Luo","given":"Le","non-dropping-particle":"","parse-names":false,"suffix":""},{"dropping-particle":"","family":"Xu","given":"Jian Feng","non-dropping-particle":"","parse-names":false,"suffix":""},{"dropping-particle":"","family":"Shao","given":"Xiao Rui","non-dropping-particle":"","parse-names":false,"suffix":""}],"container-title":"Journal of Contemporary Accounting and Economics","id":"ITEM-3","issue":"3","issued":{"date-parts":[["2021"]]},"title":"The value relevance of corporate voluntary carbon disclosure: Evidence from the United States and BRIC countries","type":"article-journal","volume":"17"},"uris":["http://www.mendeley.com/documents/?uuid=f9f536be-928a-3855-bb6e-085c5e0a9b7c"]}],"mendeley":{"formattedCitation":"(Choi and Luo 2021; Haque and Ntim 2020; Jiang et al. 2021)","manualFormatting":"(Haque and Ntim, 2020; Jiang et al., 2021)","plainTextFormattedCitation":"(Choi and Luo 2021; Haque and Ntim 2020; Jiang et al. 2021)","previouslyFormattedCitation":"(Choi and Luo 2021; Haque and Ntim 2020; Jiang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and Ntim</w:t>
      </w:r>
      <w:r w:rsidR="006358BC"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2020; Jiang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8F4A5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008C1553" w:rsidRPr="001B6443">
        <w:rPr>
          <w:rFonts w:ascii="Times New Roman" w:eastAsia="Calibri" w:hAnsi="Times New Roman" w:cs="Times New Roman"/>
          <w:color w:val="000000" w:themeColor="text1"/>
          <w:sz w:val="24"/>
          <w:szCs w:val="24"/>
          <w:lang w:val="en-US"/>
        </w:rPr>
        <w:t xml:space="preserve">. In this case, a cross-country analysis with </w:t>
      </w:r>
      <w:r w:rsidR="00012EF6" w:rsidRPr="001B6443">
        <w:rPr>
          <w:rFonts w:ascii="Times New Roman" w:eastAsia="Calibri" w:hAnsi="Times New Roman" w:cs="Times New Roman"/>
          <w:color w:val="000000" w:themeColor="text1"/>
          <w:sz w:val="24"/>
          <w:szCs w:val="24"/>
          <w:lang w:val="en-US"/>
        </w:rPr>
        <w:t xml:space="preserve">various country-level factors </w:t>
      </w:r>
      <w:r w:rsidR="00DE05A3" w:rsidRPr="001B6443">
        <w:rPr>
          <w:rFonts w:ascii="Times New Roman" w:eastAsia="Calibri" w:hAnsi="Times New Roman" w:cs="Times New Roman"/>
          <w:color w:val="000000" w:themeColor="text1"/>
          <w:sz w:val="24"/>
          <w:szCs w:val="24"/>
          <w:lang w:val="en-US"/>
        </w:rPr>
        <w:t>can</w:t>
      </w:r>
      <w:r w:rsidR="008C1553" w:rsidRPr="001B6443">
        <w:rPr>
          <w:rFonts w:ascii="Times New Roman" w:eastAsia="Calibri" w:hAnsi="Times New Roman" w:cs="Times New Roman"/>
          <w:color w:val="000000" w:themeColor="text1"/>
          <w:sz w:val="24"/>
          <w:szCs w:val="24"/>
          <w:lang w:val="en-US"/>
        </w:rPr>
        <w:t xml:space="preserve"> </w:t>
      </w:r>
      <w:r w:rsidR="006358BC" w:rsidRPr="001B6443">
        <w:rPr>
          <w:rFonts w:ascii="Times New Roman" w:eastAsia="Calibri" w:hAnsi="Times New Roman" w:cs="Times New Roman"/>
          <w:color w:val="000000" w:themeColor="text1"/>
          <w:sz w:val="24"/>
          <w:szCs w:val="24"/>
          <w:lang w:val="en-US"/>
        </w:rPr>
        <w:t xml:space="preserve">help in </w:t>
      </w:r>
      <w:r w:rsidR="008C1553" w:rsidRPr="001B6443">
        <w:rPr>
          <w:rFonts w:ascii="Times New Roman" w:eastAsia="Calibri" w:hAnsi="Times New Roman" w:cs="Times New Roman"/>
          <w:color w:val="000000" w:themeColor="text1"/>
          <w:sz w:val="24"/>
          <w:szCs w:val="24"/>
          <w:lang w:val="en-US"/>
        </w:rPr>
        <w:t>explain</w:t>
      </w:r>
      <w:r w:rsidR="006358BC" w:rsidRPr="001B6443">
        <w:rPr>
          <w:rFonts w:ascii="Times New Roman" w:eastAsia="Calibri" w:hAnsi="Times New Roman" w:cs="Times New Roman"/>
          <w:color w:val="000000" w:themeColor="text1"/>
          <w:sz w:val="24"/>
          <w:szCs w:val="24"/>
          <w:lang w:val="en-US"/>
        </w:rPr>
        <w:t>ing</w:t>
      </w:r>
      <w:r w:rsidR="008C1553" w:rsidRPr="001B6443">
        <w:rPr>
          <w:rFonts w:ascii="Times New Roman" w:eastAsia="Calibri" w:hAnsi="Times New Roman" w:cs="Times New Roman"/>
          <w:color w:val="000000" w:themeColor="text1"/>
          <w:sz w:val="24"/>
          <w:szCs w:val="24"/>
          <w:lang w:val="en-US"/>
        </w:rPr>
        <w:t xml:space="preserve"> the </w:t>
      </w:r>
      <w:r w:rsidR="00DE05A3" w:rsidRPr="001B6443">
        <w:rPr>
          <w:rFonts w:ascii="Times New Roman" w:eastAsia="Calibri" w:hAnsi="Times New Roman" w:cs="Times New Roman"/>
          <w:color w:val="000000" w:themeColor="text1"/>
          <w:sz w:val="24"/>
          <w:szCs w:val="24"/>
          <w:lang w:val="en-US"/>
        </w:rPr>
        <w:t>mixed</w:t>
      </w:r>
      <w:r w:rsidR="008C1553" w:rsidRPr="001B6443">
        <w:rPr>
          <w:rFonts w:ascii="Times New Roman" w:eastAsia="Calibri" w:hAnsi="Times New Roman" w:cs="Times New Roman"/>
          <w:color w:val="000000" w:themeColor="text1"/>
          <w:sz w:val="24"/>
          <w:szCs w:val="24"/>
          <w:lang w:val="en-US"/>
        </w:rPr>
        <w:t xml:space="preserve"> findings documented in prior literature.</w:t>
      </w:r>
    </w:p>
    <w:p w14:paraId="6214D1B9" w14:textId="0F120C75" w:rsidR="004869C0" w:rsidRPr="001B6443" w:rsidRDefault="004869C0" w:rsidP="00D55AB7">
      <w:pPr>
        <w:spacing w:after="0" w:line="480" w:lineRule="auto"/>
        <w:jc w:val="both"/>
        <w:rPr>
          <w:rFonts w:ascii="Times New Roman" w:eastAsia="Calibri" w:hAnsi="Times New Roman" w:cs="Times New Roman"/>
          <w:color w:val="000000" w:themeColor="text1"/>
          <w:sz w:val="24"/>
          <w:szCs w:val="24"/>
          <w:lang w:val="en-US"/>
        </w:rPr>
      </w:pPr>
    </w:p>
    <w:p w14:paraId="024E11BE" w14:textId="121CDDA9" w:rsidR="00EC5A9C" w:rsidRPr="001B6443" w:rsidRDefault="00E267FA"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Consequently, </w:t>
      </w:r>
      <w:r w:rsidR="007D0193" w:rsidRPr="001B6443">
        <w:rPr>
          <w:rFonts w:ascii="Times New Roman" w:eastAsia="Calibri" w:hAnsi="Times New Roman" w:cs="Times New Roman"/>
          <w:color w:val="000000" w:themeColor="text1"/>
          <w:sz w:val="24"/>
          <w:szCs w:val="24"/>
          <w:lang w:val="en-US"/>
        </w:rPr>
        <w:t xml:space="preserve">in this study, we </w:t>
      </w:r>
      <w:r w:rsidR="005B0140" w:rsidRPr="001B6443">
        <w:rPr>
          <w:rFonts w:ascii="Times New Roman" w:eastAsia="Calibri" w:hAnsi="Times New Roman" w:cs="Times New Roman"/>
          <w:color w:val="000000" w:themeColor="text1"/>
          <w:sz w:val="24"/>
          <w:szCs w:val="24"/>
          <w:lang w:val="en-US"/>
        </w:rPr>
        <w:t xml:space="preserve">employ </w:t>
      </w:r>
      <w:r w:rsidR="00504F69" w:rsidRPr="001B6443">
        <w:rPr>
          <w:rFonts w:ascii="Times New Roman" w:eastAsia="Calibri" w:hAnsi="Times New Roman" w:cs="Times New Roman"/>
          <w:color w:val="000000" w:themeColor="text1"/>
          <w:sz w:val="24"/>
          <w:szCs w:val="24"/>
          <w:lang w:val="en-US"/>
        </w:rPr>
        <w:t xml:space="preserve">a sample of global firms </w:t>
      </w:r>
      <w:r w:rsidR="00205891" w:rsidRPr="001B6443">
        <w:rPr>
          <w:rFonts w:ascii="Times New Roman" w:eastAsia="Calibri" w:hAnsi="Times New Roman" w:cs="Times New Roman"/>
          <w:color w:val="000000" w:themeColor="text1"/>
          <w:sz w:val="24"/>
          <w:szCs w:val="24"/>
          <w:lang w:val="en-US"/>
        </w:rPr>
        <w:t>from</w:t>
      </w:r>
      <w:r w:rsidR="00504F69" w:rsidRPr="001B6443">
        <w:rPr>
          <w:rFonts w:ascii="Times New Roman" w:eastAsia="Calibri" w:hAnsi="Times New Roman" w:cs="Times New Roman"/>
          <w:color w:val="000000" w:themeColor="text1"/>
          <w:sz w:val="24"/>
          <w:szCs w:val="24"/>
          <w:lang w:val="en-US"/>
        </w:rPr>
        <w:t xml:space="preserve"> 35 countries </w:t>
      </w:r>
      <w:r w:rsidR="00205891" w:rsidRPr="001B6443">
        <w:rPr>
          <w:rFonts w:ascii="Times New Roman" w:eastAsia="Calibri" w:hAnsi="Times New Roman" w:cs="Times New Roman"/>
          <w:color w:val="000000" w:themeColor="text1"/>
          <w:sz w:val="24"/>
          <w:szCs w:val="24"/>
          <w:lang w:val="en-US"/>
        </w:rPr>
        <w:t xml:space="preserve">between 2002 and 2019 </w:t>
      </w:r>
      <w:r w:rsidR="00B07A99" w:rsidRPr="001B6443">
        <w:rPr>
          <w:rFonts w:ascii="Times New Roman" w:eastAsia="Calibri" w:hAnsi="Times New Roman" w:cs="Times New Roman"/>
          <w:color w:val="000000" w:themeColor="text1"/>
          <w:sz w:val="24"/>
          <w:szCs w:val="24"/>
          <w:lang w:val="en-US"/>
        </w:rPr>
        <w:t>to</w:t>
      </w:r>
      <w:r w:rsidR="007D0193" w:rsidRPr="001B6443">
        <w:rPr>
          <w:rFonts w:ascii="Times New Roman" w:eastAsia="Calibri" w:hAnsi="Times New Roman" w:cs="Times New Roman"/>
          <w:color w:val="000000" w:themeColor="text1"/>
          <w:sz w:val="24"/>
          <w:szCs w:val="24"/>
          <w:lang w:val="en-US"/>
        </w:rPr>
        <w:t xml:space="preserve"> examine the value relevance of both</w:t>
      </w:r>
      <w:r w:rsidR="00EC5A9C" w:rsidRPr="001B6443">
        <w:rPr>
          <w:rFonts w:ascii="Times New Roman" w:eastAsia="Calibri" w:hAnsi="Times New Roman" w:cs="Times New Roman"/>
          <w:color w:val="000000" w:themeColor="text1"/>
          <w:sz w:val="24"/>
          <w:szCs w:val="24"/>
          <w:lang w:val="en-US"/>
        </w:rPr>
        <w:t xml:space="preserve"> PCCIs</w:t>
      </w:r>
      <w:r w:rsidR="007D0193" w:rsidRPr="001B6443">
        <w:rPr>
          <w:rFonts w:ascii="Times New Roman" w:eastAsia="Calibri" w:hAnsi="Times New Roman" w:cs="Times New Roman"/>
          <w:color w:val="000000" w:themeColor="text1"/>
          <w:sz w:val="24"/>
          <w:szCs w:val="24"/>
          <w:lang w:val="en-US"/>
        </w:rPr>
        <w:t xml:space="preserve"> and </w:t>
      </w:r>
      <w:r w:rsidR="00121A8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CCPE. W</w:t>
      </w:r>
      <w:r w:rsidR="005B0140" w:rsidRPr="001B6443">
        <w:rPr>
          <w:rFonts w:ascii="Times New Roman" w:eastAsia="Calibri" w:hAnsi="Times New Roman" w:cs="Times New Roman"/>
          <w:color w:val="000000" w:themeColor="text1"/>
          <w:sz w:val="24"/>
          <w:szCs w:val="24"/>
          <w:lang w:val="en-US"/>
        </w:rPr>
        <w:t xml:space="preserve">e </w:t>
      </w:r>
      <w:r w:rsidRPr="001B6443">
        <w:rPr>
          <w:rFonts w:ascii="Times New Roman" w:eastAsia="Calibri" w:hAnsi="Times New Roman" w:cs="Times New Roman"/>
          <w:color w:val="000000" w:themeColor="text1"/>
          <w:sz w:val="24"/>
          <w:szCs w:val="24"/>
          <w:lang w:val="en-US"/>
        </w:rPr>
        <w:t>also investigate</w:t>
      </w:r>
      <w:r w:rsidR="001740D5" w:rsidRPr="001B6443">
        <w:rPr>
          <w:rFonts w:ascii="Times New Roman" w:eastAsia="Calibri" w:hAnsi="Times New Roman" w:cs="Times New Roman"/>
          <w:color w:val="000000" w:themeColor="text1"/>
          <w:sz w:val="24"/>
          <w:szCs w:val="24"/>
          <w:lang w:val="en-US"/>
        </w:rPr>
        <w:t xml:space="preserve"> whether the effects of PCCIs and CCPE on MV are moderated by </w:t>
      </w:r>
      <w:r w:rsidRPr="001B6443">
        <w:rPr>
          <w:rFonts w:ascii="Times New Roman" w:eastAsia="Calibri" w:hAnsi="Times New Roman" w:cs="Times New Roman"/>
          <w:color w:val="000000" w:themeColor="text1"/>
          <w:sz w:val="24"/>
          <w:szCs w:val="24"/>
          <w:lang w:val="en-US"/>
        </w:rPr>
        <w:t xml:space="preserve">the presence of </w:t>
      </w:r>
      <w:r w:rsidR="00D55AB7" w:rsidRPr="001B6443">
        <w:rPr>
          <w:rFonts w:ascii="Times New Roman" w:eastAsia="Calibri" w:hAnsi="Times New Roman" w:cs="Times New Roman"/>
          <w:color w:val="000000" w:themeColor="text1"/>
          <w:sz w:val="24"/>
          <w:szCs w:val="24"/>
          <w:lang w:val="en-US"/>
        </w:rPr>
        <w:t>a board sustainability committee (BSCOM)</w:t>
      </w:r>
      <w:r w:rsidRPr="001B6443">
        <w:rPr>
          <w:rFonts w:ascii="Times New Roman" w:eastAsia="Calibri" w:hAnsi="Times New Roman" w:cs="Times New Roman"/>
          <w:color w:val="000000" w:themeColor="text1"/>
          <w:sz w:val="24"/>
          <w:szCs w:val="24"/>
          <w:lang w:val="en-US"/>
        </w:rPr>
        <w:t>.</w:t>
      </w:r>
      <w:r w:rsidR="0026056B" w:rsidRPr="001B6443">
        <w:rPr>
          <w:rFonts w:ascii="Times New Roman" w:eastAsia="Calibri" w:hAnsi="Times New Roman" w:cs="Times New Roman"/>
          <w:color w:val="000000" w:themeColor="text1"/>
          <w:sz w:val="24"/>
          <w:szCs w:val="24"/>
          <w:lang w:val="en-US"/>
        </w:rPr>
        <w:t xml:space="preserve"> </w:t>
      </w:r>
      <w:r w:rsidR="00212BDC" w:rsidRPr="001B6443">
        <w:rPr>
          <w:rFonts w:ascii="Times New Roman" w:eastAsia="Calibri" w:hAnsi="Times New Roman" w:cs="Times New Roman"/>
          <w:color w:val="000000" w:themeColor="text1"/>
          <w:sz w:val="24"/>
          <w:szCs w:val="24"/>
          <w:lang w:val="en-US"/>
        </w:rPr>
        <w:t xml:space="preserve">Past research </w:t>
      </w:r>
      <w:r w:rsidR="00EC5A9C" w:rsidRPr="001B6443">
        <w:rPr>
          <w:rFonts w:ascii="Times New Roman" w:eastAsia="Calibri" w:hAnsi="Times New Roman" w:cs="Times New Roman"/>
          <w:color w:val="000000" w:themeColor="text1"/>
          <w:sz w:val="24"/>
          <w:szCs w:val="24"/>
          <w:lang w:val="en-US"/>
        </w:rPr>
        <w:t xml:space="preserve">has increasingly highlighted the role of corporate governance (CG) in formulating climate change </w:t>
      </w:r>
      <w:r w:rsidR="004869C0" w:rsidRPr="001B6443">
        <w:rPr>
          <w:rFonts w:ascii="Times New Roman" w:eastAsia="Calibri" w:hAnsi="Times New Roman" w:cs="Times New Roman"/>
          <w:color w:val="000000" w:themeColor="text1"/>
          <w:sz w:val="24"/>
          <w:szCs w:val="24"/>
          <w:lang w:val="en-US"/>
        </w:rPr>
        <w:t>initiatives/</w:t>
      </w:r>
      <w:r w:rsidR="00EC5A9C" w:rsidRPr="001B6443">
        <w:rPr>
          <w:rFonts w:ascii="Times New Roman" w:eastAsia="Calibri" w:hAnsi="Times New Roman" w:cs="Times New Roman"/>
          <w:color w:val="000000" w:themeColor="text1"/>
          <w:sz w:val="24"/>
          <w:szCs w:val="24"/>
          <w:lang w:val="en-US"/>
        </w:rPr>
        <w:t xml:space="preserve">strategies that create shareholder value </w:t>
      </w:r>
      <w:r w:rsidR="00EC5A9C"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{"citationItems":[{"id":"ITEM-1","itemData":{"DOI":"10.1111/1467-8551.12547","ISSN":"14678551","abstract":"This paper reviews the literature on corporate governance in extreme institutional environments, including both formal and informal institutions. We focus on three main areas of research: corporate governance in an international context, banking and corporate governance, and governance in entrepreneurship and innovation. We document some classic papers in each of these areas and explain how the papers in this special issue contribute to the development of these areas of research. We discuss recommendations for policy and practice and offer suggestions for future research.","author":[{"dropping-particle":"","family":"Cumming","given":"Douglas","non-dropping-particle":"","parse-names":false,"suffix":""},{"dropping-particle":"","family":"Girardone","given":"Claudia","non-dropping-particle":"","parse-names":false,"suffix":""},{"dropping-particle":"","family":"Śliwa","given":"Martyna","non-dropping-particle":"","parse-names":false,"suffix":""}],"container-title":"British Journal of Management","id":"ITEM-1","issue":"4","issued":{"date-parts":[["2021"]]},"page":"919-946","title":"Corporate Governance in Extreme Institutional Environments","type":"article-journal","volume":"32"},"uris":["http://www.mendeley.com/documents/?uuid=11a6c376-29e7-399f-b86f-8b68b72663f5"]}],"mendeley":{"formattedCitation":"(Cumming et al. 2021)","manualFormatting":"(Cumming et al., 2021; Luo and Tang, 2021)","plainTextFormattedCitation":"(Cumming et al. 2021)","previouslyFormattedCitation":"(Cumming et al. 2021)"},"properties":{"noteIndex":0},"schema":"https://github.com/citation-style-language/schema/raw/master/csl-citation.json"}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(Cumming </w:t>
      </w:r>
      <w:r w:rsidR="00EC5A9C" w:rsidRPr="001B6443">
        <w:rPr>
          <w:rFonts w:ascii="Times New Roman" w:eastAsia="Calibri" w:hAnsi="Times New Roman" w:cs="Times New Roman"/>
          <w:i/>
          <w:noProof/>
          <w:color w:val="000000" w:themeColor="text1"/>
          <w:sz w:val="24"/>
          <w:szCs w:val="24"/>
          <w:lang w:val="en-US"/>
        </w:rPr>
        <w:t>et al.,</w:t>
      </w:r>
      <w:r w:rsidR="00EC5A9C" w:rsidRPr="001B6443">
        <w:rPr>
          <w:rFonts w:ascii="Times New Roman" w:eastAsia="Calibri" w:hAnsi="Times New Roman" w:cs="Times New Roman"/>
          <w:noProof/>
          <w:color w:val="000000" w:themeColor="text1"/>
          <w:sz w:val="24"/>
          <w:szCs w:val="24"/>
          <w:lang w:val="en-US"/>
        </w:rPr>
        <w:t xml:space="preserve"> 2021; Luo and Tang, 2021)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For instance, effective board governance can increase accou</w:t>
      </w:r>
      <w:r w:rsidR="004869C0" w:rsidRPr="001B6443">
        <w:rPr>
          <w:rFonts w:ascii="Times New Roman" w:eastAsia="Calibri" w:hAnsi="Times New Roman" w:cs="Times New Roman"/>
          <w:color w:val="000000" w:themeColor="text1"/>
          <w:sz w:val="24"/>
          <w:szCs w:val="24"/>
          <w:lang w:val="en-US"/>
        </w:rPr>
        <w:t>ntability for environmental/</w:t>
      </w:r>
      <w:r w:rsidR="00EC5A9C" w:rsidRPr="001B6443">
        <w:rPr>
          <w:rFonts w:ascii="Times New Roman" w:eastAsia="Calibri" w:hAnsi="Times New Roman" w:cs="Times New Roman"/>
          <w:color w:val="000000" w:themeColor="text1"/>
          <w:sz w:val="24"/>
          <w:szCs w:val="24"/>
          <w:lang w:val="en-US"/>
        </w:rPr>
        <w:t xml:space="preserve">social impacts by promoting environmentally responsible activities and engaging in corporate social responsibility (CSR) practices in order to manage environmental </w:t>
      </w:r>
      <w:r w:rsidR="0026056B" w:rsidRPr="001B6443">
        <w:rPr>
          <w:rFonts w:ascii="Times New Roman" w:eastAsia="Calibri" w:hAnsi="Times New Roman" w:cs="Times New Roman"/>
          <w:color w:val="000000" w:themeColor="text1"/>
          <w:sz w:val="24"/>
          <w:szCs w:val="24"/>
          <w:lang w:val="en-US"/>
        </w:rPr>
        <w:t>risks/concerns</w:t>
      </w:r>
      <w:r w:rsidR="00EC5A9C" w:rsidRPr="001B6443">
        <w:rPr>
          <w:rFonts w:ascii="Times New Roman" w:eastAsia="Calibri" w:hAnsi="Times New Roman" w:cs="Times New Roman"/>
          <w:color w:val="000000" w:themeColor="text1"/>
          <w:sz w:val="24"/>
          <w:szCs w:val="24"/>
          <w:lang w:val="en-US"/>
        </w:rPr>
        <w:t xml:space="preserve"> in an efficient and effective manner</w:t>
      </w:r>
      <w:r w:rsidR="007D0F0E"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{"citationItems":[{"id":"ITEM-1","itemData":{"DOI":"10.1007/s10551-014-2343-0","ISBN":"0167-4544\\r1573-0697","ISSN":"15730697","PMID":"111968457","abstract":"This study examines the impact of board diversity on firms' corporate social responsibility (CSR) performance. Using seven different measures of board diversity across 1,489 U.S. firms from 1999 to 2011, the study finds that board diversity is positively associated with CSR performance. Board diversity is associated with a greater number of areas in which CSR is strong and a fewer number of areas in which CSR is a concern. These findings support the stakeholder theory and are consistent with the view that board diversity enhances firms' ability to satisfy the needs of their broader groups of stakeholders. We find that gender, tenure, and expertise diversities seem to be the driving factors of firms' CSR activities. Furthermore, we find that board diversity significantly increases CSR performance by increasing CSR strengths and reducing CSR concerns for firms producing consumer-oriented products and firms operating in more competitive industries. Our results remain robust using different measures of CSR performance, different estimation methods, and different samples. © 2014 Springer Science+Business Media Dordrecht.","author":[{"dropping-particle":"","family":"Harjoto","given":"Maretno","non-dropping-particle":"","parse-names":false,"suffix":""},{"dropping-particle":"","family":"Laksmana","given":"Indrarini","non-dropping-particle":"","parse-names":false,"suffix":""},{"dropping-particle":"","family":"Lee","given":"Robert","non-dropping-particle":"","parse-names":false,"suffix":""}],"container-title":"Journal of Business Ethics","id":"ITEM-1","issue":"4","issued":{"date-parts":[["2015"]]},"page":"641-660","title":"Board Diversity and Corporate Social Responsibility","type":"article-journal","volume":"132"},"uris":["http://www.mendeley.com/documents/?uuid=1828351f-e726-4e5e-a78b-6f8fa1d692af"]}],"mendeley":{"formattedCitation":"(Harjoto et al. 2015)","manualFormatting":"(Harjoto et al., 2015)","plainTextFormattedCitation":"(Harjoto et al. 2015)","previouslyFormattedCitation":"(Harjoto et al. 2015)"},"properties":{"noteIndex":0},"schema":"https://github.com/citation-style-language/schema/raw/master/csl-citation.json"}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(Harjoto</w:t>
      </w:r>
      <w:r w:rsidR="00523679" w:rsidRPr="001B6443">
        <w:rPr>
          <w:rFonts w:ascii="Times New Roman" w:eastAsia="Calibri" w:hAnsi="Times New Roman" w:cs="Times New Roman"/>
          <w:noProof/>
          <w:color w:val="000000" w:themeColor="text1"/>
          <w:sz w:val="24"/>
          <w:szCs w:val="24"/>
          <w:lang w:val="en-US"/>
        </w:rPr>
        <w:t xml:space="preserve"> </w:t>
      </w:r>
      <w:r w:rsidR="00523679" w:rsidRPr="001B6443">
        <w:rPr>
          <w:rFonts w:ascii="Times New Roman" w:eastAsia="Calibri" w:hAnsi="Times New Roman" w:cs="Times New Roman"/>
          <w:i/>
          <w:iCs/>
          <w:noProof/>
          <w:color w:val="000000" w:themeColor="text1"/>
          <w:sz w:val="24"/>
          <w:szCs w:val="24"/>
          <w:lang w:val="en-US"/>
        </w:rPr>
        <w:t>et al</w:t>
      </w:r>
      <w:r w:rsidR="00523679" w:rsidRPr="001B6443">
        <w:rPr>
          <w:rFonts w:ascii="Times New Roman" w:eastAsia="Calibri" w:hAnsi="Times New Roman" w:cs="Times New Roman"/>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2015)</w:t>
      </w:r>
      <w:r w:rsidR="00EC5A9C" w:rsidRPr="001B6443">
        <w:rPr>
          <w:rFonts w:ascii="Times New Roman" w:eastAsia="Calibri" w:hAnsi="Times New Roman" w:cs="Times New Roman"/>
          <w:color w:val="000000" w:themeColor="text1"/>
          <w:sz w:val="24"/>
          <w:szCs w:val="24"/>
          <w:lang w:val="en-US"/>
        </w:rPr>
        <w:fldChar w:fldCharType="end"/>
      </w:r>
      <w:r w:rsidR="007D0F0E"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In this regard, BSCOM</w:t>
      </w:r>
      <w:r w:rsidR="00D55AB7"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plays a crucial role in designing environmental initiatives and introducing best sustainability management practices to promote stakeholder engagement, enhance</w:t>
      </w:r>
      <w:r w:rsidR="00270EC1" w:rsidRPr="001B6443">
        <w:rPr>
          <w:rFonts w:ascii="Times New Roman" w:eastAsia="Calibri" w:hAnsi="Times New Roman" w:cs="Times New Roman"/>
          <w:color w:val="000000" w:themeColor="text1"/>
          <w:sz w:val="24"/>
          <w:szCs w:val="24"/>
          <w:lang w:val="en-US"/>
        </w:rPr>
        <w:t xml:space="preserve"> accountability</w:t>
      </w:r>
      <w:r w:rsidR="00EC5A9C" w:rsidRPr="001B6443">
        <w:rPr>
          <w:rFonts w:ascii="Times New Roman" w:eastAsia="Calibri" w:hAnsi="Times New Roman" w:cs="Times New Roman"/>
          <w:color w:val="000000" w:themeColor="text1"/>
          <w:sz w:val="24"/>
          <w:szCs w:val="24"/>
          <w:lang w:val="en-US"/>
        </w:rPr>
        <w:t xml:space="preserve">, address environmental issues, and improve corporate outcomes </w:t>
      </w:r>
      <w:r w:rsidR="00EC5A9C"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strategy","type":"article-journal","volume":"29"},"uris":["http://www.mendeley.com/documents/?uuid=05434146-b776-3687-93bb-7d50ecedde5c"]},{"id":"ITEM-2","itemData":{"DOI":"10.1111/acfi.12687","ISSN":"1467629X","abstract":"This study investigates whether corporate governance (CG) leads to improved corporate social responsibility (CSR) in relation to carbon performance. We draw on multiple theoretical lenses for CSR and use a sample of the top 350 listed UK companies. Our results show that overall CG quality has a discernible influence on carbon performance, based on outcome-based carbon emissions. Our empirical findings and inferences still hold with an action-based performance measure as well. In addition, we find that the relationship between CG and carbon performance is significantly moderated by carbon strategy and managerial awareness of carbon risk. Our evidence supports the claim that reforms of CG in the UK have promoted CSR behaviour in carbon performance, and this insight is not documented elsewhere.","author":[{"dropping-particle":"","family":"Luo","given":"Le","non-dropping-particle":"","parse-names":false,"suffix":""},{"dropping-particle":"","family":"Tang","given":"Qingliang","non-dropping-particle":"","parse-names":false,"suffix":""}],"container-title":"Accounting and Finance","id":"ITEM-2","issue":"2","issued":{"date-parts":[["2021"]]},"page":"2891-2934","title":"Corporate governance and carbon performance: role of carbon strategy and awareness of climate risk","type":"article-journal","volume":"61"},"uris":["http://www.mendeley.com/documents/?uuid=708325a8-e42a-31b9-8be6-a3126156dbea"]}],"mendeley":{"formattedCitation":"(Luo and Tang 2021; Orazalin 2020)","manualFormatting":"(Luo and Tang, 2021; Orazalin, 2020)","plainTextFormattedCitation":"(Luo and Tang 2021; Orazalin 2020)","previouslyFormattedCitation":"(Luo and Tang 2021; Orazalin 2020)"},"properties":{"noteIndex":0},"schema":"https://github.com/citation-style-language/schema/raw/master/csl-citation.json"}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(Luo and Tang, 2021; Orazalin, 2020)</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Thus, BSCOM is becoming an </w:t>
      </w:r>
      <w:r w:rsidR="00EC5A9C" w:rsidRPr="001B6443">
        <w:rPr>
          <w:rFonts w:ascii="Times New Roman" w:eastAsia="Calibri" w:hAnsi="Times New Roman" w:cs="Times New Roman"/>
          <w:color w:val="000000" w:themeColor="text1"/>
          <w:sz w:val="24"/>
          <w:szCs w:val="24"/>
          <w:lang w:val="en-US"/>
        </w:rPr>
        <w:lastRenderedPageBreak/>
        <w:t>increasingly prevalent/major governance mechanism to address climate change, promote sustainability, and create value</w:t>
      </w:r>
      <w:r w:rsidR="00D4291C" w:rsidRPr="001B6443">
        <w:rPr>
          <w:rFonts w:ascii="Times New Roman" w:eastAsia="Calibri" w:hAnsi="Times New Roman" w:cs="Times New Roman"/>
          <w:color w:val="000000" w:themeColor="text1"/>
          <w:sz w:val="24"/>
          <w:szCs w:val="24"/>
          <w:lang w:val="en-US"/>
        </w:rPr>
        <w:t xml:space="preserve"> for all </w:t>
      </w:r>
      <w:r w:rsidR="00EC5A9C" w:rsidRPr="001B6443">
        <w:rPr>
          <w:rFonts w:ascii="Times New Roman" w:eastAsia="Calibri" w:hAnsi="Times New Roman" w:cs="Times New Roman"/>
          <w:color w:val="000000" w:themeColor="text1"/>
          <w:sz w:val="24"/>
          <w:szCs w:val="24"/>
          <w:lang w:val="en-US"/>
        </w:rPr>
        <w:t xml:space="preserve">stakeholders </w:t>
      </w:r>
      <w:r w:rsidR="00EC5A9C"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Performance","type":"article-journal","volume":"154"},"uris":["http://www.mendeley.com/documents/?uuid=73547ce0-856e-39c4-9675-abc201661377"]}],"mendeley":{"formattedCitation":"(Burke et al. 2019)","manualFormatting":"(Burke et al., 2019)","plainTextFormattedCitation":"(Burke et al. 2019)","previouslyFormattedCitation":"(Burke et al. 2019)"},"properties":{"noteIndex":0},"schema":"https://github.com/citation-style-language/schema/raw/master/csl-citation.json"}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(Burke</w:t>
      </w:r>
      <w:r w:rsidR="00523679" w:rsidRPr="001B6443">
        <w:rPr>
          <w:rFonts w:ascii="Times New Roman" w:eastAsia="Calibri" w:hAnsi="Times New Roman" w:cs="Times New Roman"/>
          <w:noProof/>
          <w:color w:val="000000" w:themeColor="text1"/>
          <w:sz w:val="24"/>
          <w:szCs w:val="24"/>
          <w:lang w:val="en-US"/>
        </w:rPr>
        <w:t xml:space="preserve"> </w:t>
      </w:r>
      <w:r w:rsidR="00523679" w:rsidRPr="001B6443">
        <w:rPr>
          <w:rFonts w:ascii="Times New Roman" w:eastAsia="Calibri" w:hAnsi="Times New Roman" w:cs="Times New Roman"/>
          <w:i/>
          <w:iCs/>
          <w:noProof/>
          <w:color w:val="000000" w:themeColor="text1"/>
          <w:sz w:val="24"/>
          <w:szCs w:val="24"/>
          <w:lang w:val="en-US"/>
        </w:rPr>
        <w:t>et al.,</w:t>
      </w:r>
      <w:r w:rsidR="00EC5A9C" w:rsidRPr="001B6443">
        <w:rPr>
          <w:rFonts w:ascii="Times New Roman" w:eastAsia="Calibri" w:hAnsi="Times New Roman" w:cs="Times New Roman"/>
          <w:noProof/>
          <w:color w:val="000000" w:themeColor="text1"/>
          <w:sz w:val="24"/>
          <w:szCs w:val="24"/>
          <w:lang w:val="en-US"/>
        </w:rPr>
        <w:t xml:space="preserve"> 2019)</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However, there is a dearth of research on</w:t>
      </w:r>
      <w:r w:rsidR="00B048E8" w:rsidRPr="001B6443">
        <w:rPr>
          <w:rFonts w:ascii="Times New Roman" w:eastAsia="Calibri" w:hAnsi="Times New Roman" w:cs="Times New Roman"/>
          <w:color w:val="000000" w:themeColor="text1"/>
          <w:sz w:val="24"/>
          <w:szCs w:val="24"/>
          <w:lang w:val="en-US"/>
        </w:rPr>
        <w:t xml:space="preserve"> the impact of BSCOM on PCCIs </w:t>
      </w:r>
      <w:r w:rsidR="00EC5A9C" w:rsidRPr="001B6443">
        <w:rPr>
          <w:rFonts w:ascii="Times New Roman" w:eastAsia="Calibri" w:hAnsi="Times New Roman" w:cs="Times New Roman"/>
          <w:color w:val="000000" w:themeColor="text1"/>
          <w:sz w:val="24"/>
          <w:szCs w:val="24"/>
          <w:lang w:val="en-US"/>
        </w:rPr>
        <w:t xml:space="preserve">and performance outcomes </w:t>
      </w:r>
      <w:r w:rsidR="00EC5A9C"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{"citationItems":[{"id":"ITEM-1","itemData":{"DOI":"10.1002/bse.1960","ISBN":"1099-0836","ISSN":"10990836","abstract":"The environmental implications of corporate economic activities have led to growing demands for firms and their boards to adopt sustainable strategies and to disseminate more useful information about their activities and impacts on environment. This paper investigates the impact of board’s corporate social responsibility (CSR) strategy and orientation on the quantity and quality of environmental sustainability disclosure in UK listed firms. We find that effective board CSR strategy and CSR-oriented directors have a positive and significant impact on the quality of environmental sustainability disclosure, but not on the quantity. Our findings also suggest that the existence of a CSR committee and issuance of a stand-alone CSR report are positively and significantly related to environmental sustainability disclosure. When we distinguish between firms with high and low environmental risk, we find that the board CSR/sustainability practices that affect the quantity (quality) of environmental sustainability disclosure appear to be driven more by highly (lowly) environmentally sensitive firms. These results suggest that the board CSR/sustainability practices play an important role in ensuring a firm’s legitimacy and accountability towards stakeholders. Our findings shed new light on this under-researched area and could be of interest to companies, policy-makers and other stakeholders. Copyright © 2017 John Wiley &amp; Sons, Ltd and ERP Environment.","author":[{"dropping-particle":"","family":"Helfaya","given":"Akrum","non-dropping-particle":"","parse-names":false,"suffix":""},{"dropping-particle":"","family":"Moussa","given":"Tantawy","non-dropping-particle":"","parse-names":false,"suffix":""}],"container-title":"Business Strategy and the Environment","id":"ITEM-1","issue":"8","issued":{"date-parts":[["2017"]]},"page":"1061-1077","title":"Do Board's Corporate Social Responsibility Strategy and Orientation Influence Environmental Sustainability Disclosure? UK Evidence","type":"article-journal","volume":"26"},"uris":["http://www.mendeley.com/documents/?uuid=60ab63ec-aed5-36a7-b8a8-ea4dc738abcd"]},{"id":"ITEM-2","itemData":{"DOI":"10.1002/bse.2354","ISSN":"10990836","abstract":"©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Environment","id":"ITEM-2","issue":"1","issued":{"date-parts":[["2020"]]},"page":"140-153","title":"Do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strategy","type":"article-journal","volume":"29"},"uris":["http://www.mendeley.com/documents/?uuid=05434146-b776-3687-93bb-7d50ecedde5c"]}],"mendeley":{"formattedCitation":"(Helfaya and Moussa 2017; Orazalin 2020)","manualFormatting":"(Helfaya and Moussa, 2017; Orazalin, 2020)","plainTextFormattedCitation":"(Helfaya and Moussa 2017; Orazalin 2020)","previouslyFormattedCitation":"(Helfaya and Moussa 2017; Orazalin 2020)"},"properties":{"noteIndex":0},"schema":"https://github.com/citation-style-language/schema/raw/master/csl-citation.json"}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(Helfaya and Moussa, 2017; Orazalin, 2020)</w:t>
      </w:r>
      <w:r w:rsidR="00EC5A9C" w:rsidRPr="001B6443">
        <w:rPr>
          <w:rFonts w:ascii="Times New Roman" w:eastAsia="Calibri" w:hAnsi="Times New Roman" w:cs="Times New Roman"/>
          <w:color w:val="000000" w:themeColor="text1"/>
          <w:sz w:val="24"/>
          <w:szCs w:val="24"/>
          <w:lang w:val="en-US"/>
        </w:rPr>
        <w:fldChar w:fldCharType="end"/>
      </w:r>
      <w:r w:rsidR="004457DB" w:rsidRPr="001B6443">
        <w:rPr>
          <w:rFonts w:ascii="Times New Roman" w:eastAsia="Calibri" w:hAnsi="Times New Roman" w:cs="Times New Roman"/>
          <w:color w:val="000000" w:themeColor="text1"/>
          <w:sz w:val="24"/>
          <w:szCs w:val="24"/>
          <w:lang w:val="en-US"/>
        </w:rPr>
        <w:t xml:space="preserve">. </w:t>
      </w:r>
      <w:r w:rsidR="001936B6" w:rsidRPr="001B6443">
        <w:rPr>
          <w:rFonts w:ascii="Times New Roman" w:eastAsia="Calibri" w:hAnsi="Times New Roman" w:cs="Times New Roman"/>
          <w:color w:val="000000" w:themeColor="text1"/>
          <w:sz w:val="24"/>
          <w:szCs w:val="24"/>
          <w:lang w:val="en-US"/>
        </w:rPr>
        <w:t xml:space="preserve">We </w:t>
      </w:r>
      <w:r w:rsidR="00424072" w:rsidRPr="001B6443">
        <w:rPr>
          <w:rFonts w:ascii="Times New Roman" w:eastAsia="Calibri" w:hAnsi="Times New Roman" w:cs="Times New Roman"/>
          <w:color w:val="000000" w:themeColor="text1"/>
          <w:sz w:val="24"/>
          <w:szCs w:val="24"/>
          <w:lang w:val="en-US"/>
        </w:rPr>
        <w:t>suggest</w:t>
      </w:r>
      <w:r w:rsidR="001936B6" w:rsidRPr="001B6443">
        <w:rPr>
          <w:rFonts w:ascii="Times New Roman" w:eastAsia="Calibri" w:hAnsi="Times New Roman" w:cs="Times New Roman"/>
          <w:color w:val="000000" w:themeColor="text1"/>
          <w:sz w:val="24"/>
          <w:szCs w:val="24"/>
          <w:lang w:val="en-US"/>
        </w:rPr>
        <w:t xml:space="preserve"> that e</w:t>
      </w:r>
      <w:r w:rsidR="008669CB" w:rsidRPr="001B6443">
        <w:rPr>
          <w:rFonts w:ascii="Times New Roman" w:eastAsia="Calibri" w:hAnsi="Times New Roman" w:cs="Times New Roman"/>
          <w:color w:val="000000" w:themeColor="text1"/>
          <w:sz w:val="24"/>
          <w:szCs w:val="24"/>
          <w:lang w:val="en-US"/>
        </w:rPr>
        <w:t xml:space="preserve">xamining </w:t>
      </w:r>
      <w:r w:rsidR="006D5B25" w:rsidRPr="001B6443">
        <w:rPr>
          <w:rFonts w:ascii="Times New Roman" w:eastAsia="Calibri" w:hAnsi="Times New Roman" w:cs="Times New Roman"/>
          <w:color w:val="000000" w:themeColor="text1"/>
          <w:sz w:val="24"/>
          <w:szCs w:val="24"/>
          <w:lang w:val="en-US"/>
        </w:rPr>
        <w:t>the moderating role of BSCOM</w:t>
      </w:r>
      <w:r w:rsidR="007B7206" w:rsidRPr="001B6443">
        <w:rPr>
          <w:rFonts w:ascii="Times New Roman" w:eastAsia="Calibri" w:hAnsi="Times New Roman" w:cs="Times New Roman"/>
          <w:color w:val="000000" w:themeColor="text1"/>
          <w:sz w:val="24"/>
          <w:szCs w:val="24"/>
          <w:lang w:val="en-US"/>
        </w:rPr>
        <w:t xml:space="preserve"> </w:t>
      </w:r>
      <w:r w:rsidR="008669CB" w:rsidRPr="001B6443">
        <w:rPr>
          <w:rFonts w:ascii="Times New Roman" w:eastAsia="Calibri" w:hAnsi="Times New Roman" w:cs="Times New Roman"/>
          <w:color w:val="000000" w:themeColor="text1"/>
          <w:sz w:val="24"/>
          <w:szCs w:val="24"/>
          <w:lang w:val="en-US"/>
        </w:rPr>
        <w:t xml:space="preserve">in this context </w:t>
      </w:r>
      <w:r w:rsidR="007B7206" w:rsidRPr="001B6443">
        <w:rPr>
          <w:rFonts w:ascii="Times New Roman" w:eastAsia="Calibri" w:hAnsi="Times New Roman" w:cs="Times New Roman"/>
          <w:color w:val="000000" w:themeColor="text1"/>
          <w:sz w:val="24"/>
          <w:szCs w:val="24"/>
          <w:lang w:val="en-US"/>
        </w:rPr>
        <w:t xml:space="preserve">may provide useful insights into corporate </w:t>
      </w:r>
      <w:r w:rsidR="001936B6" w:rsidRPr="001B6443">
        <w:rPr>
          <w:rFonts w:ascii="Times New Roman" w:eastAsia="Calibri" w:hAnsi="Times New Roman" w:cs="Times New Roman"/>
          <w:color w:val="000000" w:themeColor="text1"/>
          <w:sz w:val="24"/>
          <w:szCs w:val="24"/>
          <w:lang w:val="en-US"/>
        </w:rPr>
        <w:t xml:space="preserve">climate </w:t>
      </w:r>
      <w:r w:rsidR="006E6B35" w:rsidRPr="001B6443">
        <w:rPr>
          <w:rFonts w:ascii="Times New Roman" w:eastAsia="Calibri" w:hAnsi="Times New Roman" w:cs="Times New Roman"/>
          <w:color w:val="000000" w:themeColor="text1"/>
          <w:sz w:val="24"/>
          <w:szCs w:val="24"/>
          <w:lang w:val="en-US"/>
        </w:rPr>
        <w:t>change</w:t>
      </w:r>
      <w:r w:rsidR="001936B6" w:rsidRPr="001B6443">
        <w:rPr>
          <w:rFonts w:ascii="Times New Roman" w:eastAsia="Calibri" w:hAnsi="Times New Roman" w:cs="Times New Roman"/>
          <w:color w:val="000000" w:themeColor="text1"/>
          <w:sz w:val="24"/>
          <w:szCs w:val="24"/>
          <w:lang w:val="en-US"/>
        </w:rPr>
        <w:t xml:space="preserve"> </w:t>
      </w:r>
      <w:r w:rsidR="006E6B35" w:rsidRPr="001B6443">
        <w:rPr>
          <w:rFonts w:ascii="Times New Roman" w:eastAsia="Calibri" w:hAnsi="Times New Roman" w:cs="Times New Roman"/>
          <w:color w:val="000000" w:themeColor="text1"/>
          <w:sz w:val="24"/>
          <w:szCs w:val="24"/>
          <w:lang w:val="en-US"/>
        </w:rPr>
        <w:t>strategies</w:t>
      </w:r>
      <w:r w:rsidR="007B7206" w:rsidRPr="001B6443">
        <w:rPr>
          <w:rFonts w:ascii="Times New Roman" w:eastAsia="Calibri" w:hAnsi="Times New Roman" w:cs="Times New Roman"/>
          <w:color w:val="000000" w:themeColor="text1"/>
          <w:sz w:val="24"/>
          <w:szCs w:val="24"/>
          <w:lang w:val="en-US"/>
        </w:rPr>
        <w:t>/practices across countries with different institutional frameworks and regulatory systems</w:t>
      </w:r>
      <w:r w:rsidR="007D5880"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As argued by</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{"citationItems":[{"id":"ITEM-1","itemData":{"DOI":"10.1002/bse.1925","ISSN":"10990836","abstract":"In response to pressures from governments, investors, non-governmental organizations and other stakeholders, many large corporations have adopted a variety of carbon and energy management practices, taken action to reduce their emissions and set targets to reduce their greenhouse gas emissions. Using the case of international retailers, this article examines whether, and under what conditions, non-state actors might be capable of assuming the governance roles that have historically been played by national governments. This article concludes that external governance pressures can, if they are aligned, robust and of sufficient duration, have a significant influence on internal governance processes and on corporate strategies and actions. However, the specific actions that are taken by companies – in particular those that require significant capital investments – are constrained by the ‘business case’. That is, companies will generally only invest capital in situations when there is a clear financial case (i.e. where the benefits outweigh the costs, when the rate of return meets or exceeds company targets) for action. That is, the extent to which external governance pressures can force companies to take action, in particular challenging or transformative actions that go beyond the boundaries of the business case, is not at all clear. This is particularly the case if the business case weakens, or if the opportunities for incremental change are exhausted. In that context, the power of non-state actors to force them to consider radical changes in their business processes and their use of energy therefore seems to be very limited. Copyright © 2016 The Authors. Business Strategy and the Environment published by ERP Environment and John Wiley &amp; Sons Ltd.","author":[{"dropping-particle":"","family":"Sullivan","given":"Rory","non-dropping-particle":"","parse-names":false,"suffix":""},{"dropping-particle":"","family":"Gouldson","given":"Andy","non-dropping-particle":"","parse-names":false,"suffix":""}],"container-title":"Business Strategy and the Environment","id":"ITEM-1","issue":"4","issued":{"date-parts":[["2017","5","1"]]},"page":"413-425","publisher":"John Wiley and Sons Ltd","title":"The Governance of Corporate Responses to Climate Change: An International Comparison","type":"article-journal","volume":"26"},"uris":["http://www.mendeley.com/documents/?uuid=990ca75f-371d-378a-9d06-67deff5cd1ab"]},{"id":"ITEM-2","itemData":{"DOI":"10.1111/1467-8551.12395","ISSN":"14678551","abstract":"We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 Sullivan and Gouldson 2017)","manualFormatting":" Sullivan and Gouldson (2017)","plainTextFormattedCitation":"(Haque and Ntim 2020; Sullivan and Gouldson 2017)","previouslyFormattedCitation":"(Haque and Ntim 2020; Sullivan and Gouldson 2017)"},"properties":{"noteIndex":0},"schema":"https://github.com/citation-style-language/schema/raw/master/csl-citation.json"}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 Sullivan and Gouldson (2017)</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CG practices, corporate responses to climate change, and performance outcomes are interrelated and interdependent, and therefore, it is important to assess them as a comprehensive, dynamic and interactive system rather than examining each of them individually. Therefore, we seek to address this dearth of research by </w:t>
      </w:r>
      <w:r w:rsidR="00AF4DCF" w:rsidRPr="001B6443">
        <w:rPr>
          <w:rFonts w:ascii="Times New Roman" w:eastAsia="Calibri" w:hAnsi="Times New Roman" w:cs="Times New Roman"/>
          <w:color w:val="000000" w:themeColor="text1"/>
          <w:sz w:val="24"/>
          <w:szCs w:val="24"/>
          <w:lang w:val="en-US"/>
        </w:rPr>
        <w:t xml:space="preserve">distinctively </w:t>
      </w:r>
      <w:r w:rsidR="00EC5A9C" w:rsidRPr="001B6443">
        <w:rPr>
          <w:rFonts w:ascii="Times New Roman" w:eastAsia="Calibri" w:hAnsi="Times New Roman" w:cs="Times New Roman"/>
          <w:color w:val="000000" w:themeColor="text1"/>
          <w:sz w:val="24"/>
          <w:szCs w:val="24"/>
          <w:lang w:val="en-US"/>
        </w:rPr>
        <w:t xml:space="preserve">examining the moderating </w:t>
      </w:r>
      <w:r w:rsidR="006D5B25" w:rsidRPr="001B6443">
        <w:rPr>
          <w:rFonts w:ascii="Times New Roman" w:eastAsia="Calibri" w:hAnsi="Times New Roman" w:cs="Times New Roman"/>
          <w:color w:val="000000" w:themeColor="text1"/>
          <w:sz w:val="24"/>
          <w:szCs w:val="24"/>
          <w:lang w:val="en-US"/>
        </w:rPr>
        <w:t>effect</w:t>
      </w:r>
      <w:r w:rsidR="00EC5A9C" w:rsidRPr="001B6443">
        <w:rPr>
          <w:rFonts w:ascii="Times New Roman" w:eastAsia="Calibri" w:hAnsi="Times New Roman" w:cs="Times New Roman"/>
          <w:color w:val="000000" w:themeColor="text1"/>
          <w:sz w:val="24"/>
          <w:szCs w:val="24"/>
          <w:lang w:val="en-US"/>
        </w:rPr>
        <w:t xml:space="preserve"> of BSCOM on the relationships among PCCIs, </w:t>
      </w:r>
      <w:r w:rsidR="00A23ED1" w:rsidRPr="001B6443">
        <w:rPr>
          <w:rFonts w:ascii="Times New Roman" w:eastAsia="Calibri" w:hAnsi="Times New Roman" w:cs="Times New Roman"/>
          <w:color w:val="000000" w:themeColor="text1"/>
          <w:sz w:val="24"/>
          <w:szCs w:val="24"/>
          <w:lang w:val="en-US"/>
        </w:rPr>
        <w:t xml:space="preserve">outcome-based </w:t>
      </w:r>
      <w:r w:rsidR="00EC5A9C" w:rsidRPr="001B6443">
        <w:rPr>
          <w:rFonts w:ascii="Times New Roman" w:eastAsia="Calibri" w:hAnsi="Times New Roman" w:cs="Times New Roman"/>
          <w:color w:val="000000" w:themeColor="text1"/>
          <w:sz w:val="24"/>
          <w:szCs w:val="24"/>
          <w:lang w:val="en-US"/>
        </w:rPr>
        <w:t>CCPE, and MV</w:t>
      </w:r>
      <w:r w:rsidR="005B0140" w:rsidRPr="001B6443">
        <w:rPr>
          <w:rFonts w:ascii="Times New Roman" w:eastAsia="Calibri" w:hAnsi="Times New Roman" w:cs="Times New Roman"/>
          <w:color w:val="000000" w:themeColor="text1"/>
          <w:sz w:val="24"/>
          <w:szCs w:val="24"/>
          <w:lang w:val="en-US"/>
        </w:rPr>
        <w:t xml:space="preserve"> in a multi-country context</w:t>
      </w:r>
      <w:r w:rsidR="00EC5A9C" w:rsidRPr="001B6443">
        <w:rPr>
          <w:rFonts w:ascii="Times New Roman" w:eastAsia="Calibri" w:hAnsi="Times New Roman" w:cs="Times New Roman"/>
          <w:color w:val="000000" w:themeColor="text1"/>
          <w:sz w:val="24"/>
          <w:szCs w:val="24"/>
          <w:lang w:val="en-US"/>
        </w:rPr>
        <w:t xml:space="preserve">. </w:t>
      </w:r>
    </w:p>
    <w:p w14:paraId="080B693D"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38D0FA04" w14:textId="3BCD68BA" w:rsidR="00FC799D" w:rsidRPr="001B6443" w:rsidRDefault="0090528A" w:rsidP="00FC799D">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To assess these </w:t>
      </w:r>
      <w:r w:rsidR="004D5096" w:rsidRPr="001B6443">
        <w:rPr>
          <w:rFonts w:ascii="Times New Roman" w:eastAsia="Calibri" w:hAnsi="Times New Roman" w:cs="Times New Roman"/>
          <w:color w:val="000000" w:themeColor="text1"/>
          <w:sz w:val="24"/>
          <w:szCs w:val="24"/>
          <w:lang w:val="en-US"/>
        </w:rPr>
        <w:t xml:space="preserve">relationships, we </w:t>
      </w:r>
      <w:r w:rsidR="00EC5A9C" w:rsidRPr="001B6443">
        <w:rPr>
          <w:rFonts w:ascii="Times New Roman" w:eastAsia="Calibri" w:hAnsi="Times New Roman" w:cs="Times New Roman"/>
          <w:color w:val="000000" w:themeColor="text1"/>
          <w:sz w:val="24"/>
          <w:szCs w:val="24"/>
          <w:lang w:val="en-US"/>
        </w:rPr>
        <w:t xml:space="preserve">adopt legitimacy, resource-based view (RBV), and stakeholder perspectives </w:t>
      </w:r>
      <w:r w:rsidR="00DA37D8" w:rsidRPr="001B6443">
        <w:rPr>
          <w:rFonts w:ascii="Times New Roman" w:eastAsia="Calibri" w:hAnsi="Times New Roman" w:cs="Times New Roman"/>
          <w:color w:val="000000" w:themeColor="text1"/>
          <w:sz w:val="24"/>
          <w:szCs w:val="24"/>
          <w:lang w:val="en-US"/>
        </w:rPr>
        <w:t>to form</w:t>
      </w:r>
      <w:r w:rsidR="001031D1" w:rsidRPr="001B6443">
        <w:rPr>
          <w:rFonts w:ascii="Times New Roman" w:eastAsia="Calibri" w:hAnsi="Times New Roman" w:cs="Times New Roman"/>
          <w:color w:val="000000" w:themeColor="text1"/>
          <w:sz w:val="24"/>
          <w:szCs w:val="24"/>
          <w:lang w:val="en-US"/>
        </w:rPr>
        <w:t xml:space="preserve"> a dynamic</w:t>
      </w:r>
      <w:r w:rsidR="008419D9"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 xml:space="preserve">multi-dimensional </w:t>
      </w:r>
      <w:r w:rsidR="008419D9" w:rsidRPr="001B6443">
        <w:rPr>
          <w:rFonts w:ascii="Times New Roman" w:eastAsia="Calibri" w:hAnsi="Times New Roman" w:cs="Times New Roman"/>
          <w:color w:val="000000" w:themeColor="text1"/>
          <w:sz w:val="24"/>
          <w:szCs w:val="24"/>
          <w:lang w:val="en-US"/>
        </w:rPr>
        <w:t>economic-</w:t>
      </w:r>
      <w:r w:rsidR="00EC5A9C" w:rsidRPr="001B6443">
        <w:rPr>
          <w:rFonts w:ascii="Times New Roman" w:eastAsia="Calibri" w:hAnsi="Times New Roman" w:cs="Times New Roman"/>
          <w:color w:val="000000" w:themeColor="text1"/>
          <w:sz w:val="24"/>
          <w:szCs w:val="24"/>
          <w:lang w:val="en-US"/>
        </w:rPr>
        <w:t xml:space="preserve"> and </w:t>
      </w:r>
      <w:r w:rsidR="008419D9" w:rsidRPr="001B6443">
        <w:rPr>
          <w:rFonts w:ascii="Times New Roman" w:eastAsia="Calibri" w:hAnsi="Times New Roman" w:cs="Times New Roman"/>
          <w:color w:val="000000" w:themeColor="text1"/>
          <w:sz w:val="24"/>
          <w:szCs w:val="24"/>
          <w:lang w:val="en-US"/>
        </w:rPr>
        <w:t>social-based</w:t>
      </w:r>
      <w:r w:rsidR="00EC5A9C" w:rsidRPr="001B6443">
        <w:rPr>
          <w:rFonts w:ascii="Times New Roman" w:eastAsia="Calibri" w:hAnsi="Times New Roman" w:cs="Times New Roman"/>
          <w:color w:val="000000" w:themeColor="text1"/>
          <w:sz w:val="24"/>
          <w:szCs w:val="24"/>
          <w:lang w:val="en-US"/>
        </w:rPr>
        <w:t xml:space="preserve"> theor</w:t>
      </w:r>
      <w:r w:rsidR="008419D9" w:rsidRPr="001B6443">
        <w:rPr>
          <w:rFonts w:ascii="Times New Roman" w:eastAsia="Calibri" w:hAnsi="Times New Roman" w:cs="Times New Roman"/>
          <w:color w:val="000000" w:themeColor="text1"/>
          <w:sz w:val="24"/>
          <w:szCs w:val="24"/>
          <w:lang w:val="en-US"/>
        </w:rPr>
        <w:t>etical framework</w:t>
      </w:r>
      <w:r w:rsidR="00EC5A9C" w:rsidRPr="001B6443">
        <w:rPr>
          <w:rFonts w:ascii="Times New Roman" w:eastAsia="Calibri" w:hAnsi="Times New Roman" w:cs="Times New Roman"/>
          <w:color w:val="000000" w:themeColor="text1"/>
          <w:sz w:val="24"/>
          <w:szCs w:val="24"/>
          <w:lang w:val="en-US"/>
        </w:rPr>
        <w:t>. According to the legitimacy perspective, firms exposed t</w:t>
      </w:r>
      <w:r w:rsidR="00635BE5" w:rsidRPr="001B6443">
        <w:rPr>
          <w:rFonts w:ascii="Times New Roman" w:eastAsia="Calibri" w:hAnsi="Times New Roman" w:cs="Times New Roman"/>
          <w:color w:val="000000" w:themeColor="text1"/>
          <w:sz w:val="24"/>
          <w:szCs w:val="24"/>
          <w:lang w:val="en-US"/>
        </w:rPr>
        <w:t xml:space="preserve">o greater stakeholder pressures </w:t>
      </w:r>
      <w:r w:rsidR="00EC5A9C" w:rsidRPr="001B6443">
        <w:rPr>
          <w:rFonts w:ascii="Times New Roman" w:eastAsia="Calibri" w:hAnsi="Times New Roman" w:cs="Times New Roman"/>
          <w:color w:val="000000" w:themeColor="text1"/>
          <w:sz w:val="24"/>
          <w:szCs w:val="24"/>
          <w:lang w:val="en-US"/>
        </w:rPr>
        <w:t xml:space="preserve">may </w:t>
      </w:r>
      <w:r w:rsidR="00635BE5" w:rsidRPr="001B6443">
        <w:rPr>
          <w:rFonts w:ascii="Times New Roman" w:eastAsia="Calibri" w:hAnsi="Times New Roman" w:cs="Times New Roman"/>
          <w:color w:val="000000" w:themeColor="text1"/>
          <w:sz w:val="24"/>
          <w:szCs w:val="24"/>
          <w:lang w:val="en-US"/>
        </w:rPr>
        <w:t>engage in process-oriented environmental initiatives</w:t>
      </w:r>
      <w:r w:rsidR="00DA37D8" w:rsidRPr="001B6443">
        <w:rPr>
          <w:rFonts w:ascii="Times New Roman" w:eastAsia="Calibri" w:hAnsi="Times New Roman" w:cs="Times New Roman"/>
          <w:color w:val="000000" w:themeColor="text1"/>
          <w:sz w:val="24"/>
          <w:szCs w:val="24"/>
          <w:lang w:val="en-US"/>
        </w:rPr>
        <w:t>,</w:t>
      </w:r>
      <w:r w:rsidR="00A15AE2" w:rsidRPr="001B6443">
        <w:rPr>
          <w:rFonts w:ascii="Times New Roman" w:eastAsia="Calibri" w:hAnsi="Times New Roman" w:cs="Times New Roman"/>
          <w:color w:val="000000" w:themeColor="text1"/>
          <w:sz w:val="24"/>
          <w:szCs w:val="24"/>
          <w:lang w:val="en-US"/>
        </w:rPr>
        <w:t xml:space="preserve"> such as PCCIs</w:t>
      </w:r>
      <w:r w:rsidR="00635BE5" w:rsidRPr="001B6443">
        <w:rPr>
          <w:rFonts w:ascii="Times New Roman" w:eastAsia="Calibri" w:hAnsi="Times New Roman" w:cs="Times New Roman"/>
          <w:color w:val="000000" w:themeColor="text1"/>
          <w:sz w:val="24"/>
          <w:szCs w:val="24"/>
          <w:lang w:val="en-US"/>
        </w:rPr>
        <w:t xml:space="preserve"> and </w:t>
      </w:r>
      <w:r w:rsidR="00A15AE2" w:rsidRPr="001B6443">
        <w:rPr>
          <w:rFonts w:ascii="Times New Roman" w:eastAsia="Calibri" w:hAnsi="Times New Roman" w:cs="Times New Roman"/>
          <w:color w:val="000000" w:themeColor="text1"/>
          <w:sz w:val="24"/>
          <w:szCs w:val="24"/>
          <w:lang w:val="en-US"/>
        </w:rPr>
        <w:t>introduce CG mechanisms</w:t>
      </w:r>
      <w:r w:rsidR="00DA37D8" w:rsidRPr="001B6443">
        <w:rPr>
          <w:rFonts w:ascii="Times New Roman" w:eastAsia="Calibri" w:hAnsi="Times New Roman" w:cs="Times New Roman"/>
          <w:color w:val="000000" w:themeColor="text1"/>
          <w:sz w:val="24"/>
          <w:szCs w:val="24"/>
          <w:lang w:val="en-US"/>
        </w:rPr>
        <w:t>,</w:t>
      </w:r>
      <w:r w:rsidR="00A15AE2" w:rsidRPr="001B6443">
        <w:rPr>
          <w:rFonts w:ascii="Times New Roman" w:eastAsia="Calibri" w:hAnsi="Times New Roman" w:cs="Times New Roman"/>
          <w:color w:val="000000" w:themeColor="text1"/>
          <w:sz w:val="24"/>
          <w:szCs w:val="24"/>
          <w:lang w:val="en-US"/>
        </w:rPr>
        <w:t xml:space="preserve"> such as BSCOM</w:t>
      </w:r>
      <w:r w:rsidR="00635BE5" w:rsidRPr="001B6443">
        <w:rPr>
          <w:rFonts w:ascii="Times New Roman" w:eastAsia="Calibri" w:hAnsi="Times New Roman" w:cs="Times New Roman"/>
          <w:color w:val="000000" w:themeColor="text1"/>
          <w:sz w:val="24"/>
          <w:szCs w:val="24"/>
          <w:lang w:val="en-US"/>
        </w:rPr>
        <w:t xml:space="preserve"> </w:t>
      </w:r>
      <w:r w:rsidR="00A15AE2" w:rsidRPr="001B6443">
        <w:rPr>
          <w:rFonts w:ascii="Times New Roman" w:eastAsia="Calibri" w:hAnsi="Times New Roman" w:cs="Times New Roman"/>
          <w:color w:val="000000" w:themeColor="text1"/>
          <w:sz w:val="24"/>
          <w:szCs w:val="24"/>
          <w:lang w:val="en-US"/>
        </w:rPr>
        <w:t xml:space="preserve">in order to </w:t>
      </w:r>
      <w:r w:rsidR="00635BE5" w:rsidRPr="001B6443">
        <w:rPr>
          <w:rFonts w:ascii="Times New Roman" w:eastAsia="Calibri" w:hAnsi="Times New Roman" w:cs="Times New Roman"/>
          <w:color w:val="000000" w:themeColor="text1"/>
          <w:sz w:val="24"/>
          <w:szCs w:val="24"/>
          <w:lang w:val="en-US"/>
        </w:rPr>
        <w:t xml:space="preserve">protect/maintain/improve </w:t>
      </w:r>
      <w:r w:rsidR="00EC5A9C" w:rsidRPr="001B6443">
        <w:rPr>
          <w:rFonts w:ascii="Times New Roman" w:eastAsia="Calibri" w:hAnsi="Times New Roman" w:cs="Times New Roman"/>
          <w:color w:val="000000" w:themeColor="text1"/>
          <w:sz w:val="24"/>
          <w:szCs w:val="24"/>
          <w:lang w:val="en-US"/>
        </w:rPr>
        <w:t xml:space="preserve">their legitimacy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{"citationItems":[{"id":"ITEM-1","itemData":{"DOI":"10.5465/amr.1995.9508080331","ISSN":"0363-7425","abstract":"This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manipulations.","author":[{"dropping-particle":"","family":"Suchman","given":"Mark C.","non-dropping-particle":"","parse-names":false,"suffix":""}],"container-title":"Academy of Management Review","id":"ITEM-1","issue":"3","issued":{"date-parts":[["1995","7"]]},"page":"571-610","publisher":"Academy of Management","title":"Managing Legitimacy: Strategic and Institutional Approaches","type":"article-journal","volume":"20"},"uris":["http://www.mendeley.com/documents/?uuid=25ac0a93-a4f3-3ed6-b29b-b56e1d429c2e"]}],"mendeley":{"formattedCitation":"(Suchman 1995)","manualFormatting":"(Suchman, 1995)","plainTextFormattedCitation":"(Suchman 1995)","previouslyFormattedCitation":"(Suchman 1995)"},"properties":{"noteIndex":0},"schema":"https://github.com/citation-style-language/schema/raw/master/csl-citation.json"}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(Suchman, 1995)</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w:t>
      </w:r>
      <w:r w:rsidR="00635BE5" w:rsidRPr="001B6443">
        <w:rPr>
          <w:rFonts w:ascii="Times New Roman" w:eastAsia="Calibri" w:hAnsi="Times New Roman" w:cs="Times New Roman"/>
          <w:color w:val="000000" w:themeColor="text1"/>
          <w:sz w:val="24"/>
          <w:szCs w:val="24"/>
          <w:lang w:val="en-US"/>
        </w:rPr>
        <w:t xml:space="preserve"> This can b</w:t>
      </w:r>
      <w:r w:rsidR="00D945E8" w:rsidRPr="001B6443">
        <w:rPr>
          <w:rFonts w:ascii="Times New Roman" w:eastAsia="Calibri" w:hAnsi="Times New Roman" w:cs="Times New Roman"/>
          <w:color w:val="000000" w:themeColor="text1"/>
          <w:sz w:val="24"/>
          <w:szCs w:val="24"/>
          <w:lang w:val="en-US"/>
        </w:rPr>
        <w:t>e achieved by symbolic legitim</w:t>
      </w:r>
      <w:r w:rsidR="00635BE5" w:rsidRPr="001B6443">
        <w:rPr>
          <w:rFonts w:ascii="Times New Roman" w:eastAsia="Calibri" w:hAnsi="Times New Roman" w:cs="Times New Roman"/>
          <w:color w:val="000000" w:themeColor="text1"/>
          <w:sz w:val="24"/>
          <w:szCs w:val="24"/>
          <w:lang w:val="en-US"/>
        </w:rPr>
        <w:t>ation</w:t>
      </w:r>
      <w:r w:rsidR="002E472F" w:rsidRPr="001B6443">
        <w:rPr>
          <w:rFonts w:ascii="Times New Roman" w:eastAsia="Calibri" w:hAnsi="Times New Roman" w:cs="Times New Roman"/>
          <w:color w:val="000000" w:themeColor="text1"/>
          <w:sz w:val="24"/>
          <w:szCs w:val="24"/>
          <w:lang w:val="en-US"/>
        </w:rPr>
        <w:t>/greenwashing</w:t>
      </w:r>
      <w:r w:rsidR="000D1B08" w:rsidRPr="001B6443">
        <w:rPr>
          <w:rFonts w:ascii="Times New Roman" w:eastAsia="Calibri" w:hAnsi="Times New Roman" w:cs="Times New Roman"/>
          <w:color w:val="000000" w:themeColor="text1"/>
          <w:sz w:val="24"/>
          <w:szCs w:val="24"/>
          <w:lang w:val="en-US"/>
        </w:rPr>
        <w:t>/impression management</w:t>
      </w:r>
      <w:r w:rsidR="00635BE5" w:rsidRPr="001B6443">
        <w:rPr>
          <w:rFonts w:ascii="Times New Roman" w:eastAsia="Calibri" w:hAnsi="Times New Roman" w:cs="Times New Roman"/>
          <w:color w:val="000000" w:themeColor="text1"/>
          <w:sz w:val="24"/>
          <w:szCs w:val="24"/>
          <w:lang w:val="en-US"/>
        </w:rPr>
        <w:t xml:space="preserve"> strategies </w:t>
      </w:r>
      <w:r w:rsidR="0022061B" w:rsidRPr="001B6443">
        <w:rPr>
          <w:rFonts w:ascii="Times New Roman" w:eastAsia="Calibri" w:hAnsi="Times New Roman" w:cs="Times New Roman"/>
          <w:color w:val="000000" w:themeColor="text1"/>
          <w:sz w:val="24"/>
          <w:szCs w:val="24"/>
          <w:lang w:val="en-US"/>
        </w:rPr>
        <w:t xml:space="preserve">that might </w:t>
      </w:r>
      <w:r w:rsidR="00EC5A9C" w:rsidRPr="001B6443">
        <w:rPr>
          <w:rFonts w:ascii="Times New Roman" w:eastAsia="Calibri" w:hAnsi="Times New Roman" w:cs="Times New Roman"/>
          <w:color w:val="000000" w:themeColor="text1"/>
          <w:sz w:val="24"/>
          <w:szCs w:val="24"/>
          <w:lang w:val="en-US"/>
        </w:rPr>
        <w:t xml:space="preserve">not </w:t>
      </w:r>
      <w:r w:rsidR="001B4C30" w:rsidRPr="001B6443">
        <w:rPr>
          <w:rFonts w:ascii="Times New Roman" w:eastAsia="Calibri" w:hAnsi="Times New Roman" w:cs="Times New Roman"/>
          <w:color w:val="000000" w:themeColor="text1"/>
          <w:sz w:val="24"/>
          <w:szCs w:val="24"/>
          <w:lang w:val="en-US"/>
        </w:rPr>
        <w:t xml:space="preserve">necessarily </w:t>
      </w:r>
      <w:r w:rsidR="00EC5A9C" w:rsidRPr="001B6443">
        <w:rPr>
          <w:rFonts w:ascii="Times New Roman" w:eastAsia="Calibri" w:hAnsi="Times New Roman" w:cs="Times New Roman"/>
          <w:color w:val="000000" w:themeColor="text1"/>
          <w:sz w:val="24"/>
          <w:szCs w:val="24"/>
          <w:lang w:val="en-US"/>
        </w:rPr>
        <w:t xml:space="preserve">improve </w:t>
      </w:r>
      <w:r w:rsidR="0026056B" w:rsidRPr="001B6443">
        <w:rPr>
          <w:rFonts w:ascii="Times New Roman" w:eastAsia="Calibri" w:hAnsi="Times New Roman" w:cs="Times New Roman"/>
          <w:color w:val="000000" w:themeColor="text1"/>
          <w:sz w:val="24"/>
          <w:szCs w:val="24"/>
          <w:lang w:val="en-US"/>
        </w:rPr>
        <w:t xml:space="preserve">outcome-based </w:t>
      </w:r>
      <w:r w:rsidR="00EC5A9C" w:rsidRPr="001B6443">
        <w:rPr>
          <w:rFonts w:ascii="Times New Roman" w:eastAsia="Calibri" w:hAnsi="Times New Roman" w:cs="Times New Roman"/>
          <w:color w:val="000000" w:themeColor="text1"/>
          <w:sz w:val="24"/>
          <w:szCs w:val="24"/>
          <w:lang w:val="en-US"/>
        </w:rPr>
        <w:t xml:space="preserve">CCPE </w:t>
      </w:r>
      <w:r w:rsidR="00DD3A59" w:rsidRPr="001B6443">
        <w:rPr>
          <w:rFonts w:ascii="Times New Roman" w:eastAsia="Calibri" w:hAnsi="Times New Roman" w:cs="Times New Roman"/>
          <w:color w:val="000000" w:themeColor="text1"/>
          <w:sz w:val="24"/>
          <w:szCs w:val="24"/>
          <w:lang w:val="en-US"/>
        </w:rPr>
        <w:fldChar w:fldCharType="begin" w:fldLock="1"/>
      </w:r>
      <w:r w:rsidR="00DD3A59"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Legitimation","type":"article-journal","volume":"1"},"uris":["http://www.mendeley.com/documents/?uuid=a1aab867-9285-30e6-b578-fd33459eb118"]}],"mendeley":{"formattedCitation":"(Ashforth and Gibbs 1990)","plainTextFormattedCitation":"(Ashforth and Gibbs 1990)","previouslyFormattedCitation":"(Ashforth and Gibbs 1990)"},"properties":{"noteIndex":0},"schema":"https://github.com/citation-style-language/schema/raw/master/csl-citation.json"}</w:instrText>
      </w:r>
      <w:r w:rsidR="00DD3A59" w:rsidRPr="001B6443">
        <w:rPr>
          <w:rFonts w:ascii="Times New Roman" w:eastAsia="Calibri" w:hAnsi="Times New Roman" w:cs="Times New Roman"/>
          <w:color w:val="000000" w:themeColor="text1"/>
          <w:sz w:val="24"/>
          <w:szCs w:val="24"/>
          <w:lang w:val="en-US"/>
        </w:rPr>
        <w:fldChar w:fldCharType="separate"/>
      </w:r>
      <w:r w:rsidR="00DD3A59" w:rsidRPr="001B6443">
        <w:rPr>
          <w:rFonts w:ascii="Times New Roman" w:eastAsia="Calibri" w:hAnsi="Times New Roman" w:cs="Times New Roman"/>
          <w:noProof/>
          <w:color w:val="000000" w:themeColor="text1"/>
          <w:sz w:val="24"/>
          <w:szCs w:val="24"/>
          <w:lang w:val="en-US"/>
        </w:rPr>
        <w:t>(Ashforth and Gibbs 1990)</w:t>
      </w:r>
      <w:r w:rsidR="00DD3A59"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w:t>
      </w:r>
      <w:r w:rsidR="00DD3A59" w:rsidRPr="001B6443">
        <w:rPr>
          <w:rFonts w:ascii="Times New Roman" w:eastAsia="Calibri" w:hAnsi="Times New Roman" w:cs="Times New Roman"/>
          <w:color w:val="000000" w:themeColor="text1"/>
          <w:sz w:val="24"/>
          <w:szCs w:val="24"/>
          <w:lang w:val="en-US"/>
        </w:rPr>
        <w:t xml:space="preserve"> In</w:t>
      </w:r>
      <w:r w:rsidR="00D945E8" w:rsidRPr="001B6443">
        <w:rPr>
          <w:rFonts w:ascii="Times New Roman" w:eastAsia="Calibri" w:hAnsi="Times New Roman" w:cs="Times New Roman"/>
          <w:color w:val="000000" w:themeColor="text1"/>
          <w:sz w:val="24"/>
          <w:szCs w:val="24"/>
          <w:lang w:val="en-US"/>
        </w:rPr>
        <w:t xml:space="preserve"> contrast, substantive legitim</w:t>
      </w:r>
      <w:r w:rsidR="00DD3A59" w:rsidRPr="001B6443">
        <w:rPr>
          <w:rFonts w:ascii="Times New Roman" w:eastAsia="Calibri" w:hAnsi="Times New Roman" w:cs="Times New Roman"/>
          <w:color w:val="000000" w:themeColor="text1"/>
          <w:sz w:val="24"/>
          <w:szCs w:val="24"/>
          <w:lang w:val="en-US"/>
        </w:rPr>
        <w:t xml:space="preserve">ation strategies </w:t>
      </w:r>
      <w:r w:rsidR="00A15AE2" w:rsidRPr="001B6443">
        <w:rPr>
          <w:rFonts w:ascii="Times New Roman" w:eastAsia="Calibri" w:hAnsi="Times New Roman" w:cs="Times New Roman"/>
          <w:color w:val="000000" w:themeColor="text1"/>
          <w:sz w:val="24"/>
          <w:szCs w:val="24"/>
          <w:lang w:val="en-US"/>
        </w:rPr>
        <w:t xml:space="preserve">that </w:t>
      </w:r>
      <w:r w:rsidR="0022061B" w:rsidRPr="001B6443">
        <w:rPr>
          <w:rFonts w:ascii="Times New Roman" w:eastAsia="Calibri" w:hAnsi="Times New Roman" w:cs="Times New Roman"/>
          <w:color w:val="000000" w:themeColor="text1"/>
          <w:sz w:val="24"/>
          <w:szCs w:val="24"/>
          <w:lang w:val="en-US"/>
        </w:rPr>
        <w:t xml:space="preserve">shape </w:t>
      </w:r>
      <w:r w:rsidR="00DD3A59" w:rsidRPr="001B6443">
        <w:rPr>
          <w:rFonts w:ascii="Times New Roman" w:eastAsia="Calibri" w:hAnsi="Times New Roman" w:cs="Times New Roman"/>
          <w:color w:val="000000" w:themeColor="text1"/>
          <w:sz w:val="24"/>
          <w:szCs w:val="24"/>
          <w:lang w:val="en-US"/>
        </w:rPr>
        <w:t xml:space="preserve">economically efficient </w:t>
      </w:r>
      <w:r w:rsidR="00A15AE2" w:rsidRPr="001B6443">
        <w:rPr>
          <w:rFonts w:ascii="Times New Roman" w:eastAsia="Calibri" w:hAnsi="Times New Roman" w:cs="Times New Roman"/>
          <w:color w:val="000000" w:themeColor="text1"/>
          <w:sz w:val="24"/>
          <w:szCs w:val="24"/>
          <w:lang w:val="en-US"/>
        </w:rPr>
        <w:t>actions</w:t>
      </w:r>
      <w:r w:rsidR="00DD3A59" w:rsidRPr="001B6443">
        <w:rPr>
          <w:rFonts w:ascii="Times New Roman" w:eastAsia="Calibri" w:hAnsi="Times New Roman" w:cs="Times New Roman"/>
          <w:color w:val="000000" w:themeColor="text1"/>
          <w:sz w:val="24"/>
          <w:szCs w:val="24"/>
          <w:lang w:val="en-US"/>
        </w:rPr>
        <w:t xml:space="preserve"> may lead to improved CCPE and MV</w:t>
      </w:r>
      <w:r w:rsidR="0022061B" w:rsidRPr="001B6443">
        <w:rPr>
          <w:rFonts w:ascii="Times New Roman" w:eastAsia="Calibri" w:hAnsi="Times New Roman" w:cs="Times New Roman"/>
          <w:color w:val="000000" w:themeColor="text1"/>
          <w:sz w:val="24"/>
          <w:szCs w:val="24"/>
          <w:lang w:val="en-US"/>
        </w:rPr>
        <w:t xml:space="preserve"> </w:t>
      </w:r>
      <w:r w:rsidR="0022061B" w:rsidRPr="001B6443">
        <w:rPr>
          <w:rFonts w:ascii="Times New Roman" w:eastAsia="Calibri" w:hAnsi="Times New Roman" w:cs="Times New Roman"/>
          <w:color w:val="000000" w:themeColor="text1"/>
          <w:sz w:val="24"/>
          <w:szCs w:val="24"/>
          <w:lang w:val="en-US"/>
        </w:rPr>
        <w:fldChar w:fldCharType="begin" w:fldLock="1"/>
      </w:r>
      <w:r w:rsidR="0022061B"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Legitimation","type":"article-journal","volume":"1"},"uris":["http://www.mendeley.com/documents/?uuid=a1aab867-9285-30e6-b578-fd33459eb118"]}],"mendeley":{"formattedCitation":"(Ashforth and Gibbs 1990)","plainTextFormattedCitation":"(Ashforth and Gibbs 1990)","previouslyFormattedCitation":"(Ashforth and Gibbs 1990)"},"properties":{"noteIndex":0},"schema":"https://github.com/citation-style-language/schema/raw/master/csl-citation.json"}</w:instrText>
      </w:r>
      <w:r w:rsidR="0022061B" w:rsidRPr="001B6443">
        <w:rPr>
          <w:rFonts w:ascii="Times New Roman" w:eastAsia="Calibri" w:hAnsi="Times New Roman" w:cs="Times New Roman"/>
          <w:color w:val="000000" w:themeColor="text1"/>
          <w:sz w:val="24"/>
          <w:szCs w:val="24"/>
          <w:lang w:val="en-US"/>
        </w:rPr>
        <w:fldChar w:fldCharType="separate"/>
      </w:r>
      <w:r w:rsidR="0022061B" w:rsidRPr="001B6443">
        <w:rPr>
          <w:rFonts w:ascii="Times New Roman" w:eastAsia="Calibri" w:hAnsi="Times New Roman" w:cs="Times New Roman"/>
          <w:noProof/>
          <w:color w:val="000000" w:themeColor="text1"/>
          <w:sz w:val="24"/>
          <w:szCs w:val="24"/>
          <w:lang w:val="en-US"/>
        </w:rPr>
        <w:t>(Ashforth and Gibbs 1990)</w:t>
      </w:r>
      <w:r w:rsidR="0022061B" w:rsidRPr="001B6443">
        <w:rPr>
          <w:rFonts w:ascii="Times New Roman" w:eastAsia="Calibri" w:hAnsi="Times New Roman" w:cs="Times New Roman"/>
          <w:color w:val="000000" w:themeColor="text1"/>
          <w:sz w:val="24"/>
          <w:szCs w:val="24"/>
          <w:lang w:val="en-US"/>
        </w:rPr>
        <w:fldChar w:fldCharType="end"/>
      </w:r>
      <w:r w:rsidR="0022061B" w:rsidRPr="001B6443">
        <w:rPr>
          <w:rFonts w:ascii="Times New Roman" w:eastAsia="Calibri" w:hAnsi="Times New Roman" w:cs="Times New Roman"/>
          <w:color w:val="000000" w:themeColor="text1"/>
          <w:sz w:val="24"/>
          <w:szCs w:val="24"/>
          <w:lang w:val="en-US"/>
        </w:rPr>
        <w:t xml:space="preserve">. </w:t>
      </w:r>
      <w:r w:rsidR="00C2599D" w:rsidRPr="001B6443">
        <w:rPr>
          <w:rFonts w:ascii="Times New Roman" w:eastAsia="Calibri" w:hAnsi="Times New Roman" w:cs="Times New Roman"/>
          <w:color w:val="000000" w:themeColor="text1"/>
          <w:sz w:val="24"/>
          <w:szCs w:val="24"/>
          <w:lang w:val="en-US"/>
        </w:rPr>
        <w:t>F</w:t>
      </w:r>
      <w:r w:rsidR="00F70592" w:rsidRPr="001B6443">
        <w:rPr>
          <w:rFonts w:ascii="Times New Roman" w:eastAsia="Calibri" w:hAnsi="Times New Roman" w:cs="Times New Roman"/>
          <w:color w:val="000000" w:themeColor="text1"/>
          <w:sz w:val="24"/>
          <w:szCs w:val="24"/>
          <w:lang w:val="en-US"/>
        </w:rPr>
        <w:t>rom the RBV perspective, firms may improve their environmental/carbon performance an</w:t>
      </w:r>
      <w:r w:rsidR="00420DA6" w:rsidRPr="001B6443">
        <w:rPr>
          <w:rFonts w:ascii="Times New Roman" w:eastAsia="Calibri" w:hAnsi="Times New Roman" w:cs="Times New Roman"/>
          <w:color w:val="000000" w:themeColor="text1"/>
          <w:sz w:val="24"/>
          <w:szCs w:val="24"/>
          <w:lang w:val="en-US"/>
        </w:rPr>
        <w:t xml:space="preserve">d sustain competitive advantage by </w:t>
      </w:r>
      <w:r w:rsidR="00C2599D" w:rsidRPr="001B6443">
        <w:rPr>
          <w:rFonts w:ascii="Times New Roman" w:eastAsia="Calibri" w:hAnsi="Times New Roman" w:cs="Times New Roman"/>
          <w:color w:val="000000" w:themeColor="text1"/>
          <w:sz w:val="24"/>
          <w:szCs w:val="24"/>
          <w:lang w:val="en-US"/>
        </w:rPr>
        <w:t>engaging</w:t>
      </w:r>
      <w:r w:rsidR="00EC5A9C" w:rsidRPr="001B6443">
        <w:rPr>
          <w:rFonts w:ascii="Times New Roman" w:eastAsia="Calibri" w:hAnsi="Times New Roman" w:cs="Times New Roman"/>
          <w:color w:val="000000" w:themeColor="text1"/>
          <w:sz w:val="24"/>
          <w:szCs w:val="24"/>
          <w:lang w:val="en-US"/>
        </w:rPr>
        <w:t xml:space="preserve"> in environmental </w:t>
      </w:r>
      <w:r w:rsidR="00C2599D" w:rsidRPr="001B6443">
        <w:rPr>
          <w:rFonts w:ascii="Times New Roman" w:eastAsia="Calibri" w:hAnsi="Times New Roman" w:cs="Times New Roman"/>
          <w:color w:val="000000" w:themeColor="text1"/>
          <w:sz w:val="24"/>
          <w:szCs w:val="24"/>
          <w:lang w:val="en-US"/>
        </w:rPr>
        <w:t>initiatives/</w:t>
      </w:r>
      <w:r w:rsidR="00EC5A9C" w:rsidRPr="001B6443">
        <w:rPr>
          <w:rFonts w:ascii="Times New Roman" w:eastAsia="Calibri" w:hAnsi="Times New Roman" w:cs="Times New Roman"/>
          <w:color w:val="000000" w:themeColor="text1"/>
          <w:sz w:val="24"/>
          <w:szCs w:val="24"/>
          <w:lang w:val="en-US"/>
        </w:rPr>
        <w:t>strategies</w:t>
      </w:r>
      <w:r w:rsidR="00A15AE2" w:rsidRPr="001B6443">
        <w:rPr>
          <w:rFonts w:ascii="Times New Roman" w:eastAsia="Calibri" w:hAnsi="Times New Roman" w:cs="Times New Roman"/>
          <w:color w:val="000000" w:themeColor="text1"/>
          <w:sz w:val="24"/>
          <w:szCs w:val="24"/>
          <w:lang w:val="en-US"/>
        </w:rPr>
        <w:t xml:space="preserve"> that require unique resources</w:t>
      </w:r>
      <w:r w:rsidR="00DF03A4" w:rsidRPr="001B6443">
        <w:rPr>
          <w:rFonts w:ascii="Times New Roman" w:eastAsia="Calibri" w:hAnsi="Times New Roman" w:cs="Times New Roman"/>
          <w:color w:val="000000" w:themeColor="text1"/>
          <w:sz w:val="24"/>
          <w:szCs w:val="24"/>
          <w:lang w:val="en-US"/>
        </w:rPr>
        <w:t xml:space="preserve"> (e.g., finance, physical assets, human capital, and processes)</w:t>
      </w:r>
      <w:r w:rsidR="00A15AE2" w:rsidRPr="001B6443">
        <w:rPr>
          <w:rFonts w:ascii="Times New Roman" w:eastAsia="Calibri" w:hAnsi="Times New Roman" w:cs="Times New Roman"/>
          <w:color w:val="000000" w:themeColor="text1"/>
          <w:sz w:val="24"/>
          <w:szCs w:val="24"/>
          <w:lang w:val="en-US"/>
        </w:rPr>
        <w:t xml:space="preserve"> and capabilities</w:t>
      </w:r>
      <w:r w:rsidR="00DF03A4" w:rsidRPr="001B6443">
        <w:rPr>
          <w:rFonts w:ascii="Times New Roman" w:eastAsia="Calibri" w:hAnsi="Times New Roman" w:cs="Times New Roman"/>
          <w:color w:val="000000" w:themeColor="text1"/>
          <w:sz w:val="24"/>
          <w:szCs w:val="24"/>
          <w:lang w:val="en-US"/>
        </w:rPr>
        <w:t xml:space="preserve"> (e.g.,</w:t>
      </w:r>
      <w:r w:rsidR="00AB5DFA" w:rsidRPr="001B6443">
        <w:rPr>
          <w:rFonts w:ascii="Times New Roman" w:eastAsia="Calibri" w:hAnsi="Times New Roman" w:cs="Times New Roman"/>
          <w:color w:val="000000" w:themeColor="text1"/>
          <w:sz w:val="24"/>
          <w:szCs w:val="24"/>
          <w:lang w:val="en-US"/>
        </w:rPr>
        <w:t xml:space="preserve"> a</w:t>
      </w:r>
      <w:r w:rsidR="001F6B2D" w:rsidRPr="001B6443">
        <w:rPr>
          <w:rFonts w:ascii="Times New Roman" w:eastAsia="Calibri" w:hAnsi="Times New Roman" w:cs="Times New Roman"/>
          <w:color w:val="000000" w:themeColor="text1"/>
          <w:sz w:val="24"/>
          <w:szCs w:val="24"/>
          <w:lang w:val="en-US"/>
        </w:rPr>
        <w:t>dapt</w:t>
      </w:r>
      <w:r w:rsidR="00432F90" w:rsidRPr="001B6443">
        <w:rPr>
          <w:rFonts w:ascii="Times New Roman" w:eastAsia="Calibri" w:hAnsi="Times New Roman" w:cs="Times New Roman"/>
          <w:color w:val="000000" w:themeColor="text1"/>
          <w:sz w:val="24"/>
          <w:szCs w:val="24"/>
          <w:lang w:val="en-US"/>
        </w:rPr>
        <w:t>ing</w:t>
      </w:r>
      <w:r w:rsidR="00A70467" w:rsidRPr="001B6443">
        <w:rPr>
          <w:rFonts w:ascii="Times New Roman" w:eastAsia="Calibri" w:hAnsi="Times New Roman" w:cs="Times New Roman"/>
          <w:color w:val="000000" w:themeColor="text1"/>
          <w:sz w:val="24"/>
          <w:szCs w:val="24"/>
          <w:lang w:val="en-US"/>
        </w:rPr>
        <w:t xml:space="preserve"> to climate change</w:t>
      </w:r>
      <w:r w:rsidR="004D1768" w:rsidRPr="001B6443">
        <w:rPr>
          <w:rFonts w:ascii="Times New Roman" w:eastAsia="Calibri" w:hAnsi="Times New Roman" w:cs="Times New Roman"/>
          <w:color w:val="000000" w:themeColor="text1"/>
          <w:sz w:val="24"/>
          <w:szCs w:val="24"/>
          <w:lang w:val="en-US"/>
        </w:rPr>
        <w:t>, develop</w:t>
      </w:r>
      <w:r w:rsidR="00432F90" w:rsidRPr="001B6443">
        <w:rPr>
          <w:rFonts w:ascii="Times New Roman" w:eastAsia="Calibri" w:hAnsi="Times New Roman" w:cs="Times New Roman"/>
          <w:color w:val="000000" w:themeColor="text1"/>
          <w:sz w:val="24"/>
          <w:szCs w:val="24"/>
          <w:lang w:val="en-US"/>
        </w:rPr>
        <w:t>ing</w:t>
      </w:r>
      <w:r w:rsidR="004D1768" w:rsidRPr="001B6443">
        <w:rPr>
          <w:rFonts w:ascii="Times New Roman" w:eastAsia="Calibri" w:hAnsi="Times New Roman" w:cs="Times New Roman"/>
          <w:color w:val="000000" w:themeColor="text1"/>
          <w:sz w:val="24"/>
          <w:szCs w:val="24"/>
          <w:lang w:val="en-US"/>
        </w:rPr>
        <w:t xml:space="preserve"> eco-friendly</w:t>
      </w:r>
      <w:r w:rsidR="00432F90" w:rsidRPr="001B6443">
        <w:rPr>
          <w:rFonts w:ascii="Times New Roman" w:eastAsia="Calibri" w:hAnsi="Times New Roman" w:cs="Times New Roman"/>
          <w:color w:val="000000" w:themeColor="text1"/>
          <w:sz w:val="24"/>
          <w:szCs w:val="24"/>
          <w:lang w:val="en-US"/>
        </w:rPr>
        <w:t xml:space="preserve"> </w:t>
      </w:r>
      <w:r w:rsidR="004D1768" w:rsidRPr="001B6443">
        <w:rPr>
          <w:rFonts w:ascii="Times New Roman" w:eastAsia="Calibri" w:hAnsi="Times New Roman" w:cs="Times New Roman"/>
          <w:color w:val="000000" w:themeColor="text1"/>
          <w:sz w:val="24"/>
          <w:szCs w:val="24"/>
          <w:lang w:val="en-US"/>
        </w:rPr>
        <w:t>products/processes/services, and implement</w:t>
      </w:r>
      <w:r w:rsidR="00432F90" w:rsidRPr="001B6443">
        <w:rPr>
          <w:rFonts w:ascii="Times New Roman" w:eastAsia="Calibri" w:hAnsi="Times New Roman" w:cs="Times New Roman"/>
          <w:color w:val="000000" w:themeColor="text1"/>
          <w:sz w:val="24"/>
          <w:szCs w:val="24"/>
          <w:lang w:val="en-US"/>
        </w:rPr>
        <w:t>ing</w:t>
      </w:r>
      <w:r w:rsidR="004D1768" w:rsidRPr="001B6443">
        <w:rPr>
          <w:rFonts w:ascii="Times New Roman" w:eastAsia="Calibri" w:hAnsi="Times New Roman" w:cs="Times New Roman"/>
          <w:color w:val="000000" w:themeColor="text1"/>
          <w:sz w:val="24"/>
          <w:szCs w:val="24"/>
          <w:lang w:val="en-US"/>
        </w:rPr>
        <w:t xml:space="preserve"> green </w:t>
      </w:r>
      <w:r w:rsidR="002D0EAC" w:rsidRPr="001B6443">
        <w:rPr>
          <w:rFonts w:ascii="Times New Roman" w:eastAsia="Calibri" w:hAnsi="Times New Roman" w:cs="Times New Roman"/>
          <w:color w:val="000000" w:themeColor="text1"/>
          <w:sz w:val="24"/>
          <w:szCs w:val="24"/>
          <w:lang w:val="en-US"/>
        </w:rPr>
        <w:t>projects/innovations to reduce emissions</w:t>
      </w:r>
      <w:r w:rsidR="00A70467" w:rsidRPr="001B6443">
        <w:rPr>
          <w:rFonts w:ascii="Times New Roman" w:eastAsia="Calibri" w:hAnsi="Times New Roman" w:cs="Times New Roman"/>
          <w:color w:val="000000" w:themeColor="text1"/>
          <w:sz w:val="24"/>
          <w:szCs w:val="24"/>
          <w:lang w:val="en-US"/>
        </w:rPr>
        <w:t>)</w:t>
      </w:r>
      <w:r w:rsidR="0010673C"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{"citationItems":[{"id":"ITEM-1","itemData":{"DOI":"10.1177/0149206310390219","ISSN":"01492063","abstract":"The authors revisit Hart's natural-resource-based view (NRBV) of the firm and summarize progress that has been made in testing elements of that theory and reevaluate the NRBV in light of a number of important developments that have emerged in recent years in both the resource-based view literature and in research on sustainable enterprise. First, the authors consider how the NRBV can both benefit from recent work in dynamic capabilities and can itself inform such work. Second, they review recent research in the areas of clean technology and business at the base of the pyramid and suggest how the NRBV can help inform research on the resources and capabilities needed to enter and succeed in these domains. © The Author(s) 2011.","author":[{"dropping-particle":"","family":"Hart","given":"Stuart L.","non-dropping-particle":"","parse-names":false,"suffix":""},{"dropping-particle":"","family":"Dowell","given":"Glen","non-dropping-particle":"","parse-names":false,"suffix":""}],"container-title":"Journal of Management","id":"ITEM-1","issue":"5","issued":{"date-parts":[["2011"]]},"page":"1464-1479","title":"A natural-resource-based view of the firm: Fifteen years after","type":"article-journal","volume":"37"},"uris":["http://www.mendeley.com/documents/?uuid=6af09b55-5387-3868-a9c7-5c7f7ea525e8"]}],"mendeley":{"formattedCitation":"(Hart and Dowell 2011)","manualFormatting":"( Barney, 1991; Hart and Dowell, 2011)","plainTextFormattedCitation":"(Hart and Dowell 2011)","previouslyFormattedCitation":"(Hart and Dowell 2011)"},"properties":{"noteIndex":0},"schema":"https://github.com/citation-style-language/schema/raw/master/csl-citation.json"}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w:t>
      </w:r>
      <w:r w:rsidR="00432F90" w:rsidRPr="001B6443">
        <w:rPr>
          <w:rFonts w:ascii="Times New Roman" w:eastAsia="Calibri" w:hAnsi="Times New Roman" w:cs="Times New Roman"/>
          <w:noProof/>
          <w:color w:val="000000" w:themeColor="text1"/>
          <w:sz w:val="24"/>
          <w:szCs w:val="24"/>
          <w:lang w:val="en-US"/>
        </w:rPr>
        <w:t xml:space="preserve"> Barney, 1991; </w:t>
      </w:r>
      <w:r w:rsidR="00EC5A9C" w:rsidRPr="001B6443">
        <w:rPr>
          <w:rFonts w:ascii="Times New Roman" w:eastAsia="Calibri" w:hAnsi="Times New Roman" w:cs="Times New Roman"/>
          <w:noProof/>
          <w:color w:val="000000" w:themeColor="text1"/>
          <w:sz w:val="24"/>
          <w:szCs w:val="24"/>
          <w:lang w:val="en-US"/>
        </w:rPr>
        <w:t xml:space="preserve">Hart and Dowell, </w:t>
      </w:r>
      <w:r w:rsidR="00EC5A9C" w:rsidRPr="001B6443">
        <w:rPr>
          <w:rFonts w:ascii="Times New Roman" w:eastAsia="Calibri" w:hAnsi="Times New Roman" w:cs="Times New Roman"/>
          <w:noProof/>
          <w:color w:val="000000" w:themeColor="text1"/>
          <w:sz w:val="24"/>
          <w:szCs w:val="24"/>
          <w:lang w:val="en-US"/>
        </w:rPr>
        <w:lastRenderedPageBreak/>
        <w:t>2011)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w:t>
      </w:r>
      <w:r w:rsidR="00A15AE2" w:rsidRPr="001B6443">
        <w:rPr>
          <w:rFonts w:ascii="Times New Roman" w:eastAsia="Calibri" w:hAnsi="Times New Roman" w:cs="Times New Roman"/>
          <w:color w:val="000000" w:themeColor="text1"/>
          <w:sz w:val="24"/>
          <w:szCs w:val="24"/>
          <w:lang w:val="en-US"/>
        </w:rPr>
        <w:t>In this regard</w:t>
      </w:r>
      <w:r w:rsidR="00E24053" w:rsidRPr="001B6443">
        <w:rPr>
          <w:rFonts w:ascii="Times New Roman" w:eastAsia="Calibri" w:hAnsi="Times New Roman" w:cs="Times New Roman"/>
          <w:color w:val="000000" w:themeColor="text1"/>
          <w:sz w:val="24"/>
          <w:szCs w:val="24"/>
          <w:lang w:val="en-US"/>
        </w:rPr>
        <w:t>, the benefit aspect of</w:t>
      </w:r>
      <w:r w:rsidR="00EC5A9C" w:rsidRPr="001B6443">
        <w:rPr>
          <w:rFonts w:ascii="Times New Roman" w:eastAsia="Calibri" w:hAnsi="Times New Roman" w:cs="Times New Roman"/>
          <w:color w:val="000000" w:themeColor="text1"/>
          <w:sz w:val="24"/>
          <w:szCs w:val="24"/>
          <w:lang w:val="en-US"/>
        </w:rPr>
        <w:t xml:space="preserve"> RBV supports the adoption of PCCIs, which may </w:t>
      </w:r>
      <w:r w:rsidR="00C2599D" w:rsidRPr="001B6443">
        <w:rPr>
          <w:rFonts w:ascii="Times New Roman" w:eastAsia="Calibri" w:hAnsi="Times New Roman" w:cs="Times New Roman"/>
          <w:color w:val="000000" w:themeColor="text1"/>
          <w:sz w:val="24"/>
          <w:szCs w:val="24"/>
          <w:lang w:val="en-US"/>
        </w:rPr>
        <w:t xml:space="preserve">improve </w:t>
      </w:r>
      <w:r w:rsidR="00A23ED1" w:rsidRPr="001B6443">
        <w:rPr>
          <w:rFonts w:ascii="Times New Roman" w:eastAsia="Calibri" w:hAnsi="Times New Roman" w:cs="Times New Roman"/>
          <w:color w:val="000000" w:themeColor="text1"/>
          <w:sz w:val="24"/>
          <w:szCs w:val="24"/>
          <w:lang w:val="en-US"/>
        </w:rPr>
        <w:t xml:space="preserve">outcome-based </w:t>
      </w:r>
      <w:r w:rsidR="00C2599D" w:rsidRPr="001B6443">
        <w:rPr>
          <w:rFonts w:ascii="Times New Roman" w:eastAsia="Calibri" w:hAnsi="Times New Roman" w:cs="Times New Roman"/>
          <w:color w:val="000000" w:themeColor="text1"/>
          <w:sz w:val="24"/>
          <w:szCs w:val="24"/>
          <w:lang w:val="en-US"/>
        </w:rPr>
        <w:t>CCPE</w:t>
      </w:r>
      <w:r w:rsidR="00A15AE2" w:rsidRPr="001B6443">
        <w:rPr>
          <w:rFonts w:ascii="Times New Roman" w:eastAsia="Calibri" w:hAnsi="Times New Roman" w:cs="Times New Roman"/>
          <w:color w:val="000000" w:themeColor="text1"/>
          <w:sz w:val="24"/>
          <w:szCs w:val="24"/>
          <w:lang w:val="en-US"/>
        </w:rPr>
        <w:t>,</w:t>
      </w:r>
      <w:r w:rsidR="00C2599D"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 xml:space="preserve">and ultimately </w:t>
      </w:r>
      <w:r w:rsidR="00A15AE2" w:rsidRPr="001B6443">
        <w:rPr>
          <w:rFonts w:ascii="Times New Roman" w:eastAsia="Calibri" w:hAnsi="Times New Roman" w:cs="Times New Roman"/>
          <w:color w:val="000000" w:themeColor="text1"/>
          <w:sz w:val="24"/>
          <w:szCs w:val="24"/>
          <w:lang w:val="en-US"/>
        </w:rPr>
        <w:t>increase</w:t>
      </w:r>
      <w:r w:rsidR="00EC5A9C" w:rsidRPr="001B6443">
        <w:rPr>
          <w:rFonts w:ascii="Times New Roman" w:eastAsia="Calibri" w:hAnsi="Times New Roman" w:cs="Times New Roman"/>
          <w:color w:val="000000" w:themeColor="text1"/>
          <w:sz w:val="24"/>
          <w:szCs w:val="24"/>
          <w:lang w:val="en-US"/>
        </w:rPr>
        <w:t xml:space="preserve"> MV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{"citationItems":[{"id":"ITEM-1","itemData":{"DOI":"10.1177/014920639101700108","ISSN":"15571211","abstract":"Understanding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reserved.","author":[{"dropping-particle":"","family":"Barney","given":"Jay","non-dropping-particle":"","parse-names":false,"suffix":""}],"container-title":"Journal of Management","id":"ITEM-1","issue":"1","issued":{"date-parts":[["1991"]]},"page":"99-120","title":"Firm Resources and Sustained Competitive Advantage","type":"article-journal","volume":"17"},"uris":["http://www.mendeley.com/documents/?uuid=8ca03251-4ff2-390e-9a2e-4d3115dd0206"]},{"id":"ITEM-2","itemData":{"abstract":"Historically, management theory has ignored the constraints imposed by the biophysical (natural) environment. Building upon resource- based theory, this article attempts to fill this void by proposing a natural-resource-based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advantage.","author":[{"dropping-particle":"","family":"Hart","given":"Stuart L","non-dropping-particle":"","parse-names":false,"suffix":""}],"container-title":"Academy of Management Review","id":"ITEM-2","issue":"4","issued":{"date-parts":[["1995"]]},"page":"986-1014","title":"A Natural-Resource-Based View of the Firm","type":"article-journal","volume":"20"},"uris":["http://www.mendeley.com/documents/?uuid=fe55d63c-fc52-4378-b50a-b52ca0752a36"]}],"mendeley":{"formattedCitation":"(Barney 1991; Hart 1995)","manualFormatting":"(Barney, 1991; Hart, 1995)","plainTextFormattedCitation":"(Barney 1991; Hart 1995)","previouslyFormattedCitation":"(Barney 1991; Hart 1995)"},"properties":{"noteIndex":0},"schema":"https://github.com/citation-style-language/schema/raw/master/csl-citation.json"}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(Barney, 1991; Hart, 1995)</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Howe</w:t>
      </w:r>
      <w:r w:rsidR="00E24053" w:rsidRPr="001B6443">
        <w:rPr>
          <w:rFonts w:ascii="Times New Roman" w:eastAsia="Calibri" w:hAnsi="Times New Roman" w:cs="Times New Roman"/>
          <w:color w:val="000000" w:themeColor="text1"/>
          <w:sz w:val="24"/>
          <w:szCs w:val="24"/>
          <w:lang w:val="en-US"/>
        </w:rPr>
        <w:t>ver, the cost perspective of</w:t>
      </w:r>
      <w:r w:rsidR="00EC5A9C" w:rsidRPr="001B6443">
        <w:rPr>
          <w:rFonts w:ascii="Times New Roman" w:eastAsia="Calibri" w:hAnsi="Times New Roman" w:cs="Times New Roman"/>
          <w:color w:val="000000" w:themeColor="text1"/>
          <w:sz w:val="24"/>
          <w:szCs w:val="24"/>
          <w:lang w:val="en-US"/>
        </w:rPr>
        <w:t xml:space="preserve"> RBV suggests that the implementation of PCCIs that require significant resources, is associated with higher levels of risks and opportunity costs, and thus can be detrimental to MV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{"citationItems":[{"id":"ITEM-1","itemData":{"DOI":"10.1016/j.jeem.2013.04.005","ISSN":"00950696","abstract":"This paper empirically analyzes the effect of the inclusion of German corporations in the Dow Jones STOXX Sustainability Index (DJSI STOXX) and the Dow Jones Sustainability World Index (DJSI World) on stock performance. In order to receive robust estimation results, we apply an (short-term) event study approach that is based on both a modern asset pricing model, namely the three-factor model according to Fama and French [24], and additionally a t-GARCH(1,1) model. Our empirical results suggest that stock markets may penalize the inclusion of a firm in sustainability stock indexes. This finding is mainly driven by a strongly negative effect of the inclusion in the DJSI World. In contrast, we do not find significant average cumulative abnormal returns for the inclusion in the DJSI STOXX. This suggests that the inclusion in a more visible sustainability stock index may have larger negative impacts. © 2013 Elsevier Inc.","author":[{"dropping-particle":"","family":"Oberndorfer","given":"Ulrich","non-dropping-particle":"","parse-names":false,"suffix":""},{"dropping-particle":"","family":"Schmidt","given":"Peter","non-dropping-particle":"","parse-names":false,"suffix":""},{"dropping-particle":"","family":"Wagner","given":"Marcus","non-dropping-particle":"","parse-names":false,"suffix":""},{"dropping-particle":"","family":"Ziegler","given":"Andreas","non-dropping-particle":"","parse-names":false,"suffix":""}],"container-title":"Journal of Environmental Economics and Management","id":"ITEM-1","issue":"3","issued":{"date-parts":[["2013"]]},"page":"497-509","title":"Does the stock market value the inclusion in a sustainability stock index? An event study analysis for German firms","type":"article-journal","volume":"66"},"uris":["http://www.mendeley.com/documents/?uuid=e3dce1b4-2258-33ae-b669-88cf6e9bddf3"]},{"id":"ITEM-2","itemData":{"DOI":"10.1080/09638180.2021.1916979","ISSN":"14684497","abstract":"Although the literature on carbon accounting is growing, studies on the valuation impact of firms’ carbon abatement investment (CAI) are scarce, and the influence of country-specific climate policies is largely underexplored. Drawing on both the benefit and cost perspectives of the resource-based view, we predict that investors’ perceptions of the net benefits of CAI are contingent on national climate policies. Based on a comparative analysis of data from the US, the UK, and Australia, we find that CAI is viewed as value-destroying by investors in countries that do not have a stringent climate change policy. In contrast, CAI enhances firm value in jurisdictions that implement such policies. Additional analyses show that investors also consider the characteristics of CAI (i.e., the size and payback period) and the act and extensiveness of voluntary CAI disclosure when evaluating firm value. Our findings fill important gaps in the literature and have critical implications for policymakers, investors, managers, and other stakeholders who are responsible for the transition to a carbon-neutral economy.","author":[{"dropping-particle":"","family":"He","given":"Rong","non-dropping-particle":"","parse-names":false,"suffix":""},{"dropping-particle":"","family":"Luo","given":"Le","non-dropping-particle":"","parse-names":false,"suffix":""},{"dropping-particle":"","family":"Shamsuddin","given":"Abul","non-dropping-particle":"","parse-names":false,"suffix":""},{"dropping-particle":"","family":"Tang","given":"Qingliang","non-dropping-particle":"","parse-names":false,"suffix":""}],"container-title":"European Accounting Review","id":"ITEM-2","issued":{"date-parts":[["2021"]]},"title":"The Value Relevance of Corporate Investment in Carbon Abatement: The Influence of National Climate Policy","type":"article-journal"},"uris":["http://www.mendeley.com/documents/?uuid=46cbf820-59f9-3119-89ba-3683db5d5ba7"]}],"mendeley":{"formattedCitation":"(He et al. 2021; Oberndorfer et al. 2013)","manualFormatting":"(Andreou and Kellard, 2021; Oberndorfer et al., 2013)","plainTextFormattedCitation":"(He et al. 2021; Oberndorfer et al. 2013)","previouslyFormattedCitation":"(He et al. 2021; Oberndorfer et al. 2013)"},"properties":{"noteIndex":0},"schema":"https://github.com/citation-style-language/schema/raw/master/csl-citation.json"}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(Andreou and Kellard, 2021; Oberndorfer </w:t>
      </w:r>
      <w:r w:rsidR="00EC5A9C" w:rsidRPr="001B6443">
        <w:rPr>
          <w:rFonts w:ascii="Times New Roman" w:eastAsia="Calibri" w:hAnsi="Times New Roman" w:cs="Times New Roman"/>
          <w:i/>
          <w:noProof/>
          <w:color w:val="000000" w:themeColor="text1"/>
          <w:sz w:val="24"/>
          <w:szCs w:val="24"/>
          <w:lang w:val="en-US"/>
        </w:rPr>
        <w:t>et al.,</w:t>
      </w:r>
      <w:r w:rsidR="00EC5A9C" w:rsidRPr="001B6443">
        <w:rPr>
          <w:rFonts w:ascii="Times New Roman" w:eastAsia="Calibri" w:hAnsi="Times New Roman" w:cs="Times New Roman"/>
          <w:noProof/>
          <w:color w:val="000000" w:themeColor="text1"/>
          <w:sz w:val="24"/>
          <w:szCs w:val="24"/>
          <w:lang w:val="en-US"/>
        </w:rPr>
        <w:t xml:space="preserve"> 2013)</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w:t>
      </w:r>
      <w:r w:rsidR="00FC799D" w:rsidRPr="001B6443">
        <w:rPr>
          <w:rFonts w:ascii="Times New Roman" w:eastAsia="Calibri" w:hAnsi="Times New Roman" w:cs="Times New Roman"/>
          <w:color w:val="000000" w:themeColor="text1"/>
          <w:sz w:val="24"/>
          <w:szCs w:val="24"/>
          <w:lang w:val="en-US"/>
        </w:rPr>
        <w:t>The stakeholder perspective suggests that corporate commit</w:t>
      </w:r>
      <w:r w:rsidR="00394635" w:rsidRPr="001B6443">
        <w:rPr>
          <w:rFonts w:ascii="Times New Roman" w:eastAsia="Calibri" w:hAnsi="Times New Roman" w:cs="Times New Roman"/>
          <w:color w:val="000000" w:themeColor="text1"/>
          <w:sz w:val="24"/>
          <w:szCs w:val="24"/>
          <w:lang w:val="en-US"/>
        </w:rPr>
        <w:t>ment to environmental</w:t>
      </w:r>
      <w:r w:rsidR="00FC799D" w:rsidRPr="001B6443">
        <w:rPr>
          <w:rFonts w:ascii="Times New Roman" w:eastAsia="Calibri" w:hAnsi="Times New Roman" w:cs="Times New Roman"/>
          <w:color w:val="000000" w:themeColor="text1"/>
          <w:sz w:val="24"/>
          <w:szCs w:val="24"/>
          <w:lang w:val="en-US"/>
        </w:rPr>
        <w:t xml:space="preserve"> activities enhances a firm’s relationships with </w:t>
      </w:r>
      <w:r w:rsidR="002C41F8" w:rsidRPr="001B6443">
        <w:rPr>
          <w:rFonts w:ascii="Times New Roman" w:eastAsia="Calibri" w:hAnsi="Times New Roman" w:cs="Times New Roman"/>
          <w:color w:val="000000" w:themeColor="text1"/>
          <w:sz w:val="24"/>
          <w:szCs w:val="24"/>
          <w:lang w:val="en-US"/>
        </w:rPr>
        <w:t>its</w:t>
      </w:r>
      <w:r w:rsidR="00FC799D" w:rsidRPr="001B6443">
        <w:rPr>
          <w:rFonts w:ascii="Times New Roman" w:eastAsia="Calibri" w:hAnsi="Times New Roman" w:cs="Times New Roman"/>
          <w:color w:val="000000" w:themeColor="text1"/>
          <w:sz w:val="24"/>
          <w:szCs w:val="24"/>
          <w:lang w:val="en-US"/>
        </w:rPr>
        <w:t xml:space="preserve"> stakeholders </w:t>
      </w:r>
      <w:r w:rsidR="00FC799D"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Approach","type":"book"},"uris":["http://www.mendeley.com/documents/?uuid=3bad9f52-0d99-4364-a252-1c6e0055e693"]}],"mendeley":{"formattedCitation":"(Freeman 1984)","plainTextFormattedCitation":"(Freeman 1984)","previouslyFormattedCitation":"(Freeman 1984)"},"properties":{"noteIndex":0},"schema":"https://github.com/citation-style-language/schema/raw/master/csl-citation.json"}</w:instrText>
      </w:r>
      <w:r w:rsidR="00FC799D" w:rsidRPr="001B6443">
        <w:rPr>
          <w:rFonts w:ascii="Times New Roman" w:eastAsia="Calibri" w:hAnsi="Times New Roman" w:cs="Times New Roman"/>
          <w:color w:val="000000" w:themeColor="text1"/>
          <w:sz w:val="24"/>
          <w:szCs w:val="24"/>
          <w:lang w:val="en-US"/>
        </w:rPr>
        <w:fldChar w:fldCharType="separate"/>
      </w:r>
      <w:r w:rsidR="00FC799D" w:rsidRPr="001B6443">
        <w:rPr>
          <w:rFonts w:ascii="Times New Roman" w:eastAsia="Calibri" w:hAnsi="Times New Roman" w:cs="Times New Roman"/>
          <w:noProof/>
          <w:color w:val="000000" w:themeColor="text1"/>
          <w:sz w:val="24"/>
          <w:szCs w:val="24"/>
          <w:lang w:val="en-US"/>
        </w:rPr>
        <w:t>(Freeman 1984)</w:t>
      </w:r>
      <w:r w:rsidR="00FC799D" w:rsidRPr="001B6443">
        <w:rPr>
          <w:rFonts w:ascii="Times New Roman" w:eastAsia="Calibri" w:hAnsi="Times New Roman" w:cs="Times New Roman"/>
          <w:color w:val="000000" w:themeColor="text1"/>
          <w:sz w:val="24"/>
          <w:szCs w:val="24"/>
          <w:lang w:val="en-US"/>
        </w:rPr>
        <w:fldChar w:fldCharType="end"/>
      </w:r>
      <w:r w:rsidR="00FC799D" w:rsidRPr="001B6443">
        <w:rPr>
          <w:rFonts w:ascii="Times New Roman" w:eastAsia="Calibri" w:hAnsi="Times New Roman" w:cs="Times New Roman"/>
          <w:color w:val="000000" w:themeColor="text1"/>
          <w:sz w:val="24"/>
          <w:szCs w:val="24"/>
          <w:lang w:val="en-US"/>
        </w:rPr>
        <w:t xml:space="preserve">. In this context, firms with effective CG practices can strengthen stakeholder relationships by implementing sustainability practices and promoting environmental strategies </w:t>
      </w:r>
      <w:r w:rsidR="00FC799D" w:rsidRPr="001B6443">
        <w:rPr>
          <w:rFonts w:ascii="Times New Roman" w:eastAsia="Calibri" w:hAnsi="Times New Roman" w:cs="Times New Roman"/>
          <w:color w:val="000000" w:themeColor="text1"/>
          <w:sz w:val="24"/>
          <w:szCs w:val="24"/>
          <w:lang w:val="en-US"/>
        </w:rPr>
        <w:fldChar w:fldCharType="begin" w:fldLock="1"/>
      </w:r>
      <w:r w:rsidR="00FC799D" w:rsidRPr="001B6443">
        <w:rPr>
          <w:rFonts w:ascii="Times New Roman" w:eastAsia="Calibri" w:hAnsi="Times New Roman" w:cs="Times New Roman"/>
          <w:color w:val="000000" w:themeColor="text1"/>
          <w:sz w:val="24"/>
          <w:szCs w:val="24"/>
          <w:lang w:val="en-US"/>
        </w:rPr>
        <w:instrText>ADDIN CSL_CITATION {"citationItems":[{"id":"ITEM-1","itemData":{"DOI":"10.1007/s10997-010-9160-3","ISBN":"0278-0380","ISSN":"13853457","PMID":"76286673","abstract":"We examine the relationship between corporate governance and the extent of corporate social responsibility (CSR) disclosures in the annual reports of Bangladeshi companies. A legitimacy theory framework is adopted to understand the extent to which corporate governance characteristics, such as managerial ownership, public ownership, foreign ownership, board independence, CEO duality and presence of audit committee influence organisational response to various stakeholder groups. Our results suggest that although CSR disclosures generally have a negative association with managerial ownership, such relationship becomes significant and positive for export-oriented industries. We also find public ownership, foreign ownership, board independence and presence of audit committee to have positive significant impacts on CSR disclosures. However, we fail to find any significant impact of CEO duality. Thus, our results suggest that pressures exerted by external stakeholder groups and corporate governance mechanisms involving independent outsiders may allay some concerns relating to family influence on CSR disclosure practices. Overall, our study implies that corporate governance attributes play a vital role in ensuring organisational legitimacy through CSR disclosures. The findings of our study should be of interest to regulators and policy makers in countries which share similar corporate ownership and regulatory structures.","author":[{"dropping-particle":"","family":"Michelon","given":"Giovanna","non-dropping-particle":"","parse-names":false,"suffix":""},{"dropping-particle":"","family":"Parbonetti","given":"Antonio","non-dropping-particle":"","parse-names":false,"suffix":""}],"container-title":"Journal of Management and Governance","id":"ITEM-1","issue":"3","issued":{"date-parts":[["2012"]]},"page":"477-509","title":"The effect of corporate governance on sustainability disclosure","type":"article-journal","volume":"16"},"uris":["http://www.mendeley.com/documents/?uuid=f8477a62-80e9-4089-8205-5738afc833f6"]}],"mendeley":{"formattedCitation":"(Michelon and Parbonetti 2012)","plainTextFormattedCitation":"(Michelon and Parbonetti 2012)","previouslyFormattedCitation":"(Michelon and Parbonetti 2012)"},"properties":{"noteIndex":0},"schema":"https://github.com/citation-style-language/schema/raw/master/csl-citation.json"}</w:instrText>
      </w:r>
      <w:r w:rsidR="00FC799D" w:rsidRPr="001B6443">
        <w:rPr>
          <w:rFonts w:ascii="Times New Roman" w:eastAsia="Calibri" w:hAnsi="Times New Roman" w:cs="Times New Roman"/>
          <w:color w:val="000000" w:themeColor="text1"/>
          <w:sz w:val="24"/>
          <w:szCs w:val="24"/>
          <w:lang w:val="en-US"/>
        </w:rPr>
        <w:fldChar w:fldCharType="separate"/>
      </w:r>
      <w:r w:rsidR="00FC799D" w:rsidRPr="001B6443">
        <w:rPr>
          <w:rFonts w:ascii="Times New Roman" w:eastAsia="Calibri" w:hAnsi="Times New Roman" w:cs="Times New Roman"/>
          <w:noProof/>
          <w:color w:val="000000" w:themeColor="text1"/>
          <w:sz w:val="24"/>
          <w:szCs w:val="24"/>
          <w:lang w:val="en-US"/>
        </w:rPr>
        <w:t>(Michelon and Parbonetti 2012)</w:t>
      </w:r>
      <w:r w:rsidR="00FC799D" w:rsidRPr="001B6443">
        <w:rPr>
          <w:rFonts w:ascii="Times New Roman" w:eastAsia="Calibri" w:hAnsi="Times New Roman" w:cs="Times New Roman"/>
          <w:color w:val="000000" w:themeColor="text1"/>
          <w:sz w:val="24"/>
          <w:szCs w:val="24"/>
          <w:lang w:val="en-US"/>
        </w:rPr>
        <w:fldChar w:fldCharType="end"/>
      </w:r>
      <w:r w:rsidR="00FC799D" w:rsidRPr="001B6443">
        <w:rPr>
          <w:rFonts w:ascii="Times New Roman" w:eastAsia="Calibri" w:hAnsi="Times New Roman" w:cs="Times New Roman"/>
          <w:color w:val="000000" w:themeColor="text1"/>
          <w:sz w:val="24"/>
          <w:szCs w:val="24"/>
          <w:lang w:val="en-US"/>
        </w:rPr>
        <w:t xml:space="preserve"> and ultimately improve MV by balancing the conflicting interests of </w:t>
      </w:r>
      <w:r w:rsidR="00A11CD6" w:rsidRPr="001B6443">
        <w:rPr>
          <w:rFonts w:ascii="Times New Roman" w:eastAsia="Calibri" w:hAnsi="Times New Roman" w:cs="Times New Roman"/>
          <w:color w:val="000000" w:themeColor="text1"/>
          <w:sz w:val="24"/>
          <w:szCs w:val="24"/>
          <w:lang w:val="en-US"/>
        </w:rPr>
        <w:t>their</w:t>
      </w:r>
      <w:r w:rsidR="00FC799D" w:rsidRPr="001B6443">
        <w:rPr>
          <w:rFonts w:ascii="Times New Roman" w:eastAsia="Calibri" w:hAnsi="Times New Roman" w:cs="Times New Roman"/>
          <w:color w:val="000000" w:themeColor="text1"/>
          <w:sz w:val="24"/>
          <w:szCs w:val="24"/>
          <w:lang w:val="en-US"/>
        </w:rPr>
        <w:t xml:space="preserve"> stakeholders </w:t>
      </w:r>
      <w:r w:rsidR="00FC799D"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Approach","type":"book"},"uris":["http://www.mendeley.com/documents/?uuid=3bad9f52-0d99-4364-a252-1c6e0055e693"]}],"mendeley":{"formattedCitation":"(Freeman 1984)","plainTextFormattedCitation":"(Freeman 1984)","previouslyFormattedCitation":"(Freeman 1984)"},"properties":{"noteIndex":0},"schema":"https://github.com/citation-style-language/schema/raw/master/csl-citation.json"}</w:instrText>
      </w:r>
      <w:r w:rsidR="00FC799D" w:rsidRPr="001B6443">
        <w:rPr>
          <w:rFonts w:ascii="Times New Roman" w:eastAsia="Calibri" w:hAnsi="Times New Roman" w:cs="Times New Roman"/>
          <w:color w:val="000000" w:themeColor="text1"/>
          <w:sz w:val="24"/>
          <w:szCs w:val="24"/>
          <w:lang w:val="en-US"/>
        </w:rPr>
        <w:fldChar w:fldCharType="separate"/>
      </w:r>
      <w:r w:rsidR="00FC799D" w:rsidRPr="001B6443">
        <w:rPr>
          <w:rFonts w:ascii="Times New Roman" w:eastAsia="Calibri" w:hAnsi="Times New Roman" w:cs="Times New Roman"/>
          <w:noProof/>
          <w:color w:val="000000" w:themeColor="text1"/>
          <w:sz w:val="24"/>
          <w:szCs w:val="24"/>
          <w:lang w:val="en-US"/>
        </w:rPr>
        <w:t>(Freeman 1984)</w:t>
      </w:r>
      <w:r w:rsidR="00FC799D" w:rsidRPr="001B6443">
        <w:rPr>
          <w:rFonts w:ascii="Times New Roman" w:eastAsia="Calibri" w:hAnsi="Times New Roman" w:cs="Times New Roman"/>
          <w:color w:val="000000" w:themeColor="text1"/>
          <w:sz w:val="24"/>
          <w:szCs w:val="24"/>
          <w:lang w:val="en-US"/>
        </w:rPr>
        <w:fldChar w:fldCharType="end"/>
      </w:r>
      <w:r w:rsidR="00FC799D" w:rsidRPr="001B6443">
        <w:rPr>
          <w:rFonts w:ascii="Times New Roman" w:eastAsia="Calibri" w:hAnsi="Times New Roman" w:cs="Times New Roman"/>
          <w:color w:val="000000" w:themeColor="text1"/>
          <w:sz w:val="24"/>
          <w:szCs w:val="24"/>
          <w:lang w:val="en-US"/>
        </w:rPr>
        <w:t>. Hence, the stakeholder aspect supports the implementation of PCCIs and the adoption of CG mechanisms</w:t>
      </w:r>
      <w:r w:rsidR="00A11CD6" w:rsidRPr="001B6443">
        <w:rPr>
          <w:rFonts w:ascii="Times New Roman" w:eastAsia="Calibri" w:hAnsi="Times New Roman" w:cs="Times New Roman"/>
          <w:color w:val="000000" w:themeColor="text1"/>
          <w:sz w:val="24"/>
          <w:szCs w:val="24"/>
          <w:lang w:val="en-US"/>
        </w:rPr>
        <w:t>,</w:t>
      </w:r>
      <w:r w:rsidR="00FC799D" w:rsidRPr="001B6443">
        <w:rPr>
          <w:rFonts w:ascii="Times New Roman" w:eastAsia="Calibri" w:hAnsi="Times New Roman" w:cs="Times New Roman"/>
          <w:color w:val="000000" w:themeColor="text1"/>
          <w:sz w:val="24"/>
          <w:szCs w:val="24"/>
          <w:lang w:val="en-US"/>
        </w:rPr>
        <w:t xml:space="preserve"> such as BSCOM to enhance corporate image, strengthen stakeholder relationships, and improve MV.</w:t>
      </w:r>
    </w:p>
    <w:p w14:paraId="44144668" w14:textId="77777777" w:rsidR="00FC799D" w:rsidRPr="001B6443" w:rsidRDefault="00FC799D" w:rsidP="00EC5A9C">
      <w:pPr>
        <w:spacing w:after="0" w:line="480" w:lineRule="auto"/>
        <w:jc w:val="both"/>
        <w:rPr>
          <w:rFonts w:ascii="Times New Roman" w:eastAsia="Calibri" w:hAnsi="Times New Roman" w:cs="Times New Roman"/>
          <w:color w:val="000000" w:themeColor="text1"/>
          <w:sz w:val="24"/>
          <w:szCs w:val="24"/>
          <w:lang w:val="en-US"/>
        </w:rPr>
      </w:pPr>
    </w:p>
    <w:p w14:paraId="6670E301" w14:textId="708D45FF" w:rsidR="000A1279" w:rsidRPr="001B6443" w:rsidRDefault="00C2599D" w:rsidP="000A1279">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Our study </w:t>
      </w:r>
      <w:r w:rsidR="00EC5A9C" w:rsidRPr="001B6443">
        <w:rPr>
          <w:rFonts w:ascii="Times New Roman" w:eastAsia="Calibri" w:hAnsi="Times New Roman" w:cs="Times New Roman"/>
          <w:color w:val="000000" w:themeColor="text1"/>
          <w:sz w:val="24"/>
          <w:szCs w:val="24"/>
          <w:lang w:val="en-US"/>
        </w:rPr>
        <w:t xml:space="preserve">makes several new contributions to the extant literature. First, our study is among the first to examine the effects of both PCCIs and </w:t>
      </w:r>
      <w:r w:rsidR="00A23ED1" w:rsidRPr="001B6443">
        <w:rPr>
          <w:rFonts w:ascii="Times New Roman" w:eastAsia="Calibri" w:hAnsi="Times New Roman" w:cs="Times New Roman"/>
          <w:color w:val="000000" w:themeColor="text1"/>
          <w:sz w:val="24"/>
          <w:szCs w:val="24"/>
          <w:lang w:val="en-US"/>
        </w:rPr>
        <w:t xml:space="preserve">outcome-based </w:t>
      </w:r>
      <w:r w:rsidR="00EC5A9C" w:rsidRPr="001B6443">
        <w:rPr>
          <w:rFonts w:ascii="Times New Roman" w:eastAsia="Calibri" w:hAnsi="Times New Roman" w:cs="Times New Roman"/>
          <w:color w:val="000000" w:themeColor="text1"/>
          <w:sz w:val="24"/>
          <w:szCs w:val="24"/>
          <w:lang w:val="en-US"/>
        </w:rPr>
        <w:t xml:space="preserve">CCPE on MV. While prior literature has largely explored the relationship between </w:t>
      </w:r>
      <w:r w:rsidR="00A23ED1" w:rsidRPr="001B6443">
        <w:rPr>
          <w:rFonts w:ascii="Times New Roman" w:eastAsia="Calibri" w:hAnsi="Times New Roman" w:cs="Times New Roman"/>
          <w:color w:val="000000" w:themeColor="text1"/>
          <w:sz w:val="24"/>
          <w:szCs w:val="24"/>
          <w:lang w:val="en-US"/>
        </w:rPr>
        <w:t xml:space="preserve">outcome-based </w:t>
      </w:r>
      <w:r w:rsidR="00EC5A9C" w:rsidRPr="001B6443">
        <w:rPr>
          <w:rFonts w:ascii="Times New Roman" w:eastAsia="Calibri" w:hAnsi="Times New Roman" w:cs="Times New Roman"/>
          <w:color w:val="000000" w:themeColor="text1"/>
          <w:sz w:val="24"/>
          <w:szCs w:val="24"/>
          <w:lang w:val="en-US"/>
        </w:rPr>
        <w:t xml:space="preserve">CCPE and MV, there has been limited research on the value relevance of </w:t>
      </w:r>
      <w:r w:rsidR="00590520" w:rsidRPr="001B6443">
        <w:rPr>
          <w:rFonts w:ascii="Times New Roman" w:eastAsia="Calibri" w:hAnsi="Times New Roman" w:cs="Times New Roman"/>
          <w:color w:val="000000" w:themeColor="text1"/>
          <w:sz w:val="24"/>
          <w:szCs w:val="24"/>
          <w:lang w:val="en-US"/>
        </w:rPr>
        <w:t>PCCIs</w:t>
      </w:r>
      <w:r w:rsidR="00EC5A9C"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{"citationItems":[{"id":"ITEM-1","itemData":{"DOI":"10.1080/09638180.2021.1916979","ISSN":"14684497","abstract":"Although the literature on carbon accounting is growing, studies on the valuation impact of firms’ carbon abatement investment (CAI) are scarce, and the influence of country-specific climate policies is largely underexplored. Drawing on both the benefit and cost perspectives of the resource-based view, we predict that investors’ perceptions of the net benefits of CAI are contingent on national climate policies. Based on a comparative analysis of data from the US, the UK, and Australia, we find that CAI is viewed as value-destroying by investors in countries that do not have a stringent climate change policy. In contrast, CAI enhances firm value in jurisdictions that implement such policies. Additional analyses show that investors also consider the characteristics of CAI (i.e., the size and payback period) and the act and extensiveness of voluntary CAI disclosure when evaluating firm value. Our findings fill important gaps in the literature and have critical implications for policymakers, investors, managers, and other stakeholders who are responsible for the transition to a carbon-neutral economy.","author":[{"dropping-particle":"","family":"He","given":"Rong","non-dropping-particle":"","parse-names":false,"suffix":""},{"dropping-particle":"","family":"Luo","given":"Le","non-dropping-particle":"","parse-names":false,"suffix":""},{"dropping-particle":"","family":"Shamsuddin","given":"Abul","non-dropping-particle":"","parse-names":false,"suffix":""},{"dropping-particle":"","family":"Tang","given":"Qingliang","non-dropping-particle":"","parse-names":false,"suffix":""}],"container-title":"European Accounting Review","id":"ITEM-1","issued":{"date-parts":[["2021"]]},"title":"The Value Relevance of Corporate Investment in Carbon Abatement: The Influence of National Climate Policy","type":"article-journal"},"uris":["http://www.mendeley.com/documents/?uuid=46cbf820-59f9-3119-89ba-3683db5d5ba7"]}],"mendeley":{"formattedCitation":"(He et al. 2021)","manualFormatting":"(He et al., 2021)","plainTextFormattedCitation":"(He et al. 2021)","previouslyFormattedCitation":"(He et al. 2021)"},"properties":{"noteIndex":0},"schema":"https://github.com/citation-style-language/schema/raw/master/csl-citation.json"}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(He </w:t>
      </w:r>
      <w:r w:rsidR="00EC5A9C" w:rsidRPr="001B6443">
        <w:rPr>
          <w:rFonts w:ascii="Times New Roman" w:eastAsia="Calibri" w:hAnsi="Times New Roman" w:cs="Times New Roman"/>
          <w:i/>
          <w:noProof/>
          <w:color w:val="000000" w:themeColor="text1"/>
          <w:sz w:val="24"/>
          <w:szCs w:val="24"/>
          <w:lang w:val="en-US"/>
        </w:rPr>
        <w:t>et al.,</w:t>
      </w:r>
      <w:r w:rsidR="00EC5A9C" w:rsidRPr="001B6443">
        <w:rPr>
          <w:rFonts w:ascii="Times New Roman" w:eastAsia="Calibri" w:hAnsi="Times New Roman" w:cs="Times New Roman"/>
          <w:noProof/>
          <w:color w:val="000000" w:themeColor="text1"/>
          <w:sz w:val="24"/>
          <w:szCs w:val="24"/>
          <w:lang w:val="en-US"/>
        </w:rPr>
        <w:t xml:space="preserve"> 2021)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w:t>
      </w:r>
      <w:r w:rsidR="008749EF" w:rsidRPr="001B6443">
        <w:rPr>
          <w:rFonts w:ascii="Times New Roman" w:eastAsia="Calibri" w:hAnsi="Times New Roman" w:cs="Times New Roman"/>
          <w:color w:val="000000" w:themeColor="text1"/>
          <w:sz w:val="24"/>
          <w:szCs w:val="24"/>
          <w:lang w:val="en-US"/>
        </w:rPr>
        <w:t xml:space="preserve">Our findings indicate that </w:t>
      </w:r>
      <w:r w:rsidR="00B07A99" w:rsidRPr="001B6443">
        <w:rPr>
          <w:rFonts w:ascii="Times New Roman" w:eastAsia="Calibri" w:hAnsi="Times New Roman" w:cs="Times New Roman"/>
          <w:color w:val="000000" w:themeColor="text1"/>
          <w:sz w:val="24"/>
          <w:szCs w:val="24"/>
          <w:lang w:val="en-US"/>
        </w:rPr>
        <w:t>increased levels of GHG</w:t>
      </w:r>
      <w:r w:rsidR="00BF4A3D" w:rsidRPr="001B6443">
        <w:rPr>
          <w:rFonts w:ascii="Times New Roman" w:eastAsia="Calibri" w:hAnsi="Times New Roman" w:cs="Times New Roman"/>
          <w:color w:val="000000" w:themeColor="text1"/>
          <w:sz w:val="24"/>
          <w:szCs w:val="24"/>
          <w:lang w:val="en-US"/>
        </w:rPr>
        <w:t xml:space="preserve"> emissions</w:t>
      </w:r>
      <w:r w:rsidR="008749EF" w:rsidRPr="001B6443">
        <w:rPr>
          <w:rFonts w:ascii="Times New Roman" w:eastAsia="Calibri" w:hAnsi="Times New Roman" w:cs="Times New Roman"/>
          <w:color w:val="000000" w:themeColor="text1"/>
          <w:sz w:val="24"/>
          <w:szCs w:val="24"/>
          <w:lang w:val="en-US"/>
        </w:rPr>
        <w:t xml:space="preserve"> are associated with lower MV</w:t>
      </w:r>
      <w:r w:rsidR="00BF4A3D" w:rsidRPr="001B6443">
        <w:rPr>
          <w:rFonts w:ascii="Times New Roman" w:eastAsia="Calibri" w:hAnsi="Times New Roman" w:cs="Times New Roman"/>
          <w:color w:val="000000" w:themeColor="text1"/>
          <w:sz w:val="24"/>
          <w:szCs w:val="24"/>
          <w:lang w:val="en-US"/>
        </w:rPr>
        <w:t xml:space="preserve">, </w:t>
      </w:r>
      <w:r w:rsidR="008749EF" w:rsidRPr="001B6443">
        <w:rPr>
          <w:rFonts w:ascii="Times New Roman" w:eastAsia="Calibri" w:hAnsi="Times New Roman" w:cs="Times New Roman"/>
          <w:color w:val="000000" w:themeColor="text1"/>
          <w:sz w:val="24"/>
          <w:szCs w:val="24"/>
          <w:lang w:val="en-US"/>
        </w:rPr>
        <w:t xml:space="preserve">whereas </w:t>
      </w:r>
      <w:r w:rsidR="00B07A99" w:rsidRPr="001B6443">
        <w:rPr>
          <w:rFonts w:ascii="Times New Roman" w:eastAsia="Calibri" w:hAnsi="Times New Roman" w:cs="Times New Roman"/>
          <w:color w:val="000000" w:themeColor="text1"/>
          <w:sz w:val="24"/>
          <w:szCs w:val="24"/>
          <w:lang w:val="en-US"/>
        </w:rPr>
        <w:t>PCCIs</w:t>
      </w:r>
      <w:r w:rsidR="008749EF" w:rsidRPr="001B6443">
        <w:rPr>
          <w:rFonts w:ascii="Times New Roman" w:eastAsia="Calibri" w:hAnsi="Times New Roman" w:cs="Times New Roman"/>
          <w:color w:val="000000" w:themeColor="text1"/>
          <w:sz w:val="24"/>
          <w:szCs w:val="24"/>
          <w:lang w:val="en-US"/>
        </w:rPr>
        <w:t xml:space="preserve"> have a positive impact on MV. </w:t>
      </w:r>
      <w:r w:rsidR="00EF0286" w:rsidRPr="001B6443">
        <w:rPr>
          <w:rFonts w:ascii="Times New Roman" w:eastAsia="Calibri" w:hAnsi="Times New Roman" w:cs="Times New Roman"/>
          <w:color w:val="000000" w:themeColor="text1"/>
          <w:sz w:val="24"/>
          <w:szCs w:val="24"/>
          <w:lang w:val="en-US"/>
        </w:rPr>
        <w:t xml:space="preserve">Second, extending the work of </w:t>
      </w:r>
      <w:r w:rsidR="00EF0286" w:rsidRPr="001B6443">
        <w:rPr>
          <w:rFonts w:ascii="Times New Roman" w:eastAsia="Calibri" w:hAnsi="Times New Roman" w:cs="Times New Roman"/>
          <w:color w:val="000000" w:themeColor="text1"/>
          <w:sz w:val="24"/>
          <w:szCs w:val="24"/>
          <w:lang w:val="en-US"/>
        </w:rPr>
        <w:fldChar w:fldCharType="begin" w:fldLock="1"/>
      </w:r>
      <w:r w:rsidR="00EF0286" w:rsidRPr="001B6443">
        <w:rPr>
          <w:rFonts w:ascii="Times New Roman" w:eastAsia="Calibri" w:hAnsi="Times New Roman" w:cs="Times New Roman"/>
          <w:color w:val="000000" w:themeColor="text1"/>
          <w:sz w:val="24"/>
          <w:szCs w:val="24"/>
          <w:lang w:val="en-US"/>
        </w:rPr>
        <w:instrText>ADDIN CSL_CITATION {"citationItems":[{"id":"ITEM-1","itemData":{"DOI":"10.1002/bse.2843","ISSN":"10990836","abstract":"Concern about climate change has increased the pressure on firms to be accountable for social impact and to report on environmental, social and governance (ESG) performance. Focusing on the view that sustainability-oriented firms are likely to consider wider stakeholder interests and pursue high financial reporting integrity, this paper examines the association between carbon assurance and earnings management. Using a sample of firms listed on the New York Stock Exchange, we find voluntary adoption of carbon assurance (level), carbon disclosure and gender diverse boards are negatively associated with earnings management. Additional tests using different components of carbon assurance (percent and verification) confirm our main results. Our results suggest that firms that voluntarily invest in carbon assurance, carbon disclosure and gender diverse boards are less likely to engage in earnings management and thus have higher reporting integrity. This aligns with the view that firms' ethical concerns translate into higher quality reporting.","author":[{"dropping-particle":"","family":"Bui","given":"Binh","non-dropping-particle":"","parse-names":false,"suffix":""},{"dropping-particle":"","family":"Houqe","given":"Muhammad Nurul","non-dropping-particle":"","parse-names":false,"suffix":""},{"dropping-particle":"","family":"Zaman","given":"Mahbub","non-dropping-particle":"","parse-names":false,"suffix":""}],"container-title":"Business Strategy and the Environment","id":"ITEM-1","issue":"8","issued":{"date-parts":[["2021"]]},"page":"3839-3853","title":"Climate change mitigation: Carbon assurance and reporting integrity","type":"article-journal","volume":"30"},"uris":["http://www.mendeley.com/documents/?uuid=3b52cc30-73d6-3243-a46b-80617f37a6e7"]}],"mendeley":{"formattedCitation":"(Bui et al. 2021)","manualFormatting":"Bui et al. (2021)","plainTextFormattedCitation":"(Bui et al. 2021)","previouslyFormattedCitation":"(Bui et al. 2021)"},"properties":{"noteIndex":0},"schema":"https://github.com/citation-style-language/schema/raw/master/csl-citation.json"}</w:instrText>
      </w:r>
      <w:r w:rsidR="00EF0286" w:rsidRPr="001B6443">
        <w:rPr>
          <w:rFonts w:ascii="Times New Roman" w:eastAsia="Calibri" w:hAnsi="Times New Roman" w:cs="Times New Roman"/>
          <w:color w:val="000000" w:themeColor="text1"/>
          <w:sz w:val="24"/>
          <w:szCs w:val="24"/>
          <w:lang w:val="en-US"/>
        </w:rPr>
        <w:fldChar w:fldCharType="separate"/>
      </w:r>
      <w:r w:rsidR="00EF0286" w:rsidRPr="001B6443">
        <w:rPr>
          <w:rFonts w:ascii="Times New Roman" w:eastAsia="Calibri" w:hAnsi="Times New Roman" w:cs="Times New Roman"/>
          <w:noProof/>
          <w:color w:val="000000" w:themeColor="text1"/>
          <w:sz w:val="24"/>
          <w:szCs w:val="24"/>
          <w:lang w:val="en-US"/>
        </w:rPr>
        <w:t xml:space="preserve">Bui </w:t>
      </w:r>
      <w:r w:rsidR="00EF0286" w:rsidRPr="001B6443">
        <w:rPr>
          <w:rFonts w:ascii="Times New Roman" w:eastAsia="Calibri" w:hAnsi="Times New Roman" w:cs="Times New Roman"/>
          <w:i/>
          <w:noProof/>
          <w:color w:val="000000" w:themeColor="text1"/>
          <w:sz w:val="24"/>
          <w:szCs w:val="24"/>
          <w:lang w:val="en-US"/>
        </w:rPr>
        <w:t>et al.</w:t>
      </w:r>
      <w:r w:rsidR="00EF0286" w:rsidRPr="001B6443">
        <w:rPr>
          <w:rFonts w:ascii="Times New Roman" w:eastAsia="Calibri" w:hAnsi="Times New Roman" w:cs="Times New Roman"/>
          <w:noProof/>
          <w:color w:val="000000" w:themeColor="text1"/>
          <w:sz w:val="24"/>
          <w:szCs w:val="24"/>
          <w:lang w:val="en-US"/>
        </w:rPr>
        <w:t xml:space="preserve"> (2021)</w:t>
      </w:r>
      <w:r w:rsidR="00EF0286" w:rsidRPr="001B6443">
        <w:rPr>
          <w:rFonts w:ascii="Times New Roman" w:eastAsia="Calibri" w:hAnsi="Times New Roman" w:cs="Times New Roman"/>
          <w:color w:val="000000" w:themeColor="text1"/>
          <w:sz w:val="24"/>
          <w:szCs w:val="24"/>
          <w:lang w:val="en-US"/>
        </w:rPr>
        <w:fldChar w:fldCharType="end"/>
      </w:r>
      <w:r w:rsidR="00EF0286" w:rsidRPr="001B6443">
        <w:rPr>
          <w:rFonts w:ascii="Times New Roman" w:eastAsia="Calibri" w:hAnsi="Times New Roman" w:cs="Times New Roman"/>
          <w:color w:val="000000" w:themeColor="text1"/>
          <w:sz w:val="24"/>
          <w:szCs w:val="24"/>
          <w:lang w:val="en-US"/>
        </w:rPr>
        <w:t xml:space="preserve"> on assurance of CCPE (both Scope 1 and 2</w:t>
      </w:r>
      <w:r w:rsidR="00152375" w:rsidRPr="001B6443">
        <w:rPr>
          <w:rFonts w:ascii="Times New Roman" w:eastAsia="Calibri" w:hAnsi="Times New Roman" w:cs="Times New Roman"/>
          <w:color w:val="000000" w:themeColor="text1"/>
          <w:sz w:val="24"/>
          <w:szCs w:val="24"/>
          <w:lang w:val="en-US"/>
        </w:rPr>
        <w:t xml:space="preserve"> emissions</w:t>
      </w:r>
      <w:r w:rsidR="00EF0286" w:rsidRPr="001B6443">
        <w:rPr>
          <w:rFonts w:ascii="Times New Roman" w:eastAsia="Calibri" w:hAnsi="Times New Roman" w:cs="Times New Roman"/>
          <w:color w:val="000000" w:themeColor="text1"/>
          <w:sz w:val="24"/>
          <w:szCs w:val="24"/>
          <w:lang w:val="en-US"/>
        </w:rPr>
        <w:t xml:space="preserve">) and reporting integrity, we assess </w:t>
      </w:r>
      <w:r w:rsidR="00693BEB" w:rsidRPr="001B6443">
        <w:rPr>
          <w:rFonts w:ascii="Times New Roman" w:eastAsia="Calibri" w:hAnsi="Times New Roman" w:cs="Times New Roman"/>
          <w:color w:val="000000" w:themeColor="text1"/>
          <w:sz w:val="24"/>
          <w:szCs w:val="24"/>
          <w:lang w:val="en-US"/>
        </w:rPr>
        <w:t>whether BSCOM can moderate the P</w:t>
      </w:r>
      <w:r w:rsidR="00EF0286" w:rsidRPr="001B6443">
        <w:rPr>
          <w:rFonts w:ascii="Times New Roman" w:eastAsia="Calibri" w:hAnsi="Times New Roman" w:cs="Times New Roman"/>
          <w:color w:val="000000" w:themeColor="text1"/>
          <w:sz w:val="24"/>
          <w:szCs w:val="24"/>
          <w:lang w:val="en-US"/>
        </w:rPr>
        <w:t xml:space="preserve">CCIs/CCPE and MV relationships. </w:t>
      </w:r>
      <w:r w:rsidR="00EC5A9C" w:rsidRPr="001B6443">
        <w:rPr>
          <w:rFonts w:ascii="Times New Roman" w:eastAsia="Calibri" w:hAnsi="Times New Roman" w:cs="Times New Roman"/>
          <w:color w:val="000000" w:themeColor="text1"/>
          <w:sz w:val="24"/>
          <w:szCs w:val="24"/>
          <w:lang w:val="en-US"/>
        </w:rPr>
        <w:t xml:space="preserve">While there is </w:t>
      </w:r>
      <w:r w:rsidR="00A11CD6" w:rsidRPr="001B6443">
        <w:rPr>
          <w:rFonts w:ascii="Times New Roman" w:eastAsia="Calibri" w:hAnsi="Times New Roman" w:cs="Times New Roman"/>
          <w:color w:val="000000" w:themeColor="text1"/>
          <w:sz w:val="24"/>
          <w:szCs w:val="24"/>
          <w:lang w:val="en-US"/>
        </w:rPr>
        <w:t>growing</w:t>
      </w:r>
      <w:r w:rsidR="00EC5A9C" w:rsidRPr="001B6443">
        <w:rPr>
          <w:rFonts w:ascii="Times New Roman" w:eastAsia="Calibri" w:hAnsi="Times New Roman" w:cs="Times New Roman"/>
          <w:color w:val="000000" w:themeColor="text1"/>
          <w:sz w:val="24"/>
          <w:szCs w:val="24"/>
          <w:lang w:val="en-US"/>
        </w:rPr>
        <w:t xml:space="preserve"> research on the link between carbon/environmental performance and MV, there is limited empirical evidence on whether CG characteristics affect the value relevance of PCCIs and </w:t>
      </w:r>
      <w:r w:rsidR="00577AC0" w:rsidRPr="001B6443">
        <w:rPr>
          <w:rFonts w:ascii="Times New Roman" w:eastAsia="Calibri" w:hAnsi="Times New Roman" w:cs="Times New Roman"/>
          <w:color w:val="000000" w:themeColor="text1"/>
          <w:sz w:val="24"/>
          <w:szCs w:val="24"/>
          <w:lang w:val="en-US"/>
        </w:rPr>
        <w:t xml:space="preserve">outcome-based </w:t>
      </w:r>
      <w:r w:rsidR="00EC5A9C" w:rsidRPr="001B6443">
        <w:rPr>
          <w:rFonts w:ascii="Times New Roman" w:eastAsia="Calibri" w:hAnsi="Times New Roman" w:cs="Times New Roman"/>
          <w:color w:val="000000" w:themeColor="text1"/>
          <w:sz w:val="24"/>
          <w:szCs w:val="24"/>
          <w:lang w:val="en-US"/>
        </w:rPr>
        <w:t xml:space="preserve">CCPE </w:t>
      </w:r>
      <w:r w:rsidR="00EC5A9C"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Value","type":"article-journal","volume":"31"},"uris":["http://www.mendeley.com/documents/?uuid=233c96ce-971f-33e7-ad90-be8611789ad9"]}],"mendeley":{"formattedCitation":"(Bui et al. 2020; Haque and Ntim 2020)","manualFormatting":"(Bui et al., 2020)","plainTextFormattedCitation":"(Bui et al. 2020; Haque and Ntim 2020)","previouslyFormattedCitation":"(Bui et al. 2020; Haque and Ntim 2020)"},"properties":{"noteIndex":0},"schema":"https://github.com/citation-style-language/schema/raw/master/csl-citation.json"}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(Bui</w:t>
      </w:r>
      <w:r w:rsidR="00523679" w:rsidRPr="001B6443">
        <w:rPr>
          <w:rFonts w:ascii="Times New Roman" w:eastAsia="Calibri" w:hAnsi="Times New Roman" w:cs="Times New Roman"/>
          <w:noProof/>
          <w:color w:val="000000" w:themeColor="text1"/>
          <w:sz w:val="24"/>
          <w:szCs w:val="24"/>
          <w:lang w:val="en-US"/>
        </w:rPr>
        <w:t xml:space="preserve"> </w:t>
      </w:r>
      <w:r w:rsidR="00523679" w:rsidRPr="001B6443">
        <w:rPr>
          <w:rFonts w:ascii="Times New Roman" w:eastAsia="Calibri" w:hAnsi="Times New Roman" w:cs="Times New Roman"/>
          <w:i/>
          <w:iCs/>
          <w:noProof/>
          <w:color w:val="000000" w:themeColor="text1"/>
          <w:sz w:val="24"/>
          <w:szCs w:val="24"/>
          <w:lang w:val="en-US"/>
        </w:rPr>
        <w:t>et al.</w:t>
      </w:r>
      <w:r w:rsidR="00523679" w:rsidRPr="001B6443">
        <w:rPr>
          <w:rFonts w:ascii="Times New Roman" w:eastAsia="Calibri" w:hAnsi="Times New Roman" w:cs="Times New Roman"/>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2020)</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w:t>
      </w:r>
      <w:r w:rsidR="001973C1" w:rsidRPr="001B6443">
        <w:rPr>
          <w:rFonts w:ascii="Times New Roman" w:eastAsia="Calibri" w:hAnsi="Times New Roman" w:cs="Times New Roman"/>
          <w:color w:val="000000" w:themeColor="text1"/>
          <w:sz w:val="24"/>
          <w:szCs w:val="24"/>
          <w:lang w:val="en-US"/>
        </w:rPr>
        <w:t>Our findings suggest that the presence of BSCOM improve</w:t>
      </w:r>
      <w:r w:rsidR="00185EDB" w:rsidRPr="001B6443">
        <w:rPr>
          <w:rFonts w:ascii="Times New Roman" w:eastAsia="Calibri" w:hAnsi="Times New Roman" w:cs="Times New Roman"/>
          <w:color w:val="000000" w:themeColor="text1"/>
          <w:sz w:val="24"/>
          <w:szCs w:val="24"/>
          <w:lang w:val="en-US"/>
        </w:rPr>
        <w:t>s</w:t>
      </w:r>
      <w:r w:rsidR="001973C1" w:rsidRPr="001B6443">
        <w:rPr>
          <w:rFonts w:ascii="Times New Roman" w:eastAsia="Calibri" w:hAnsi="Times New Roman" w:cs="Times New Roman"/>
          <w:color w:val="000000" w:themeColor="text1"/>
          <w:sz w:val="24"/>
          <w:szCs w:val="24"/>
          <w:lang w:val="en-US"/>
        </w:rPr>
        <w:t xml:space="preserve"> MV, but does not seem to enhance outcome-based CCPE. </w:t>
      </w:r>
      <w:r w:rsidR="00EC5A9C" w:rsidRPr="001B6443">
        <w:rPr>
          <w:rFonts w:ascii="Times New Roman" w:eastAsia="Calibri" w:hAnsi="Times New Roman" w:cs="Times New Roman"/>
          <w:color w:val="000000" w:themeColor="text1"/>
          <w:sz w:val="24"/>
          <w:szCs w:val="24"/>
          <w:lang w:val="en-US"/>
        </w:rPr>
        <w:t xml:space="preserve">Third, our study is among the first to examine the impact of </w:t>
      </w:r>
      <w:r w:rsidR="00493417" w:rsidRPr="001B6443">
        <w:rPr>
          <w:rFonts w:ascii="Times New Roman" w:eastAsia="Calibri" w:hAnsi="Times New Roman" w:cs="Times New Roman"/>
          <w:color w:val="000000" w:themeColor="text1"/>
          <w:sz w:val="24"/>
          <w:szCs w:val="24"/>
          <w:lang w:val="en-US"/>
        </w:rPr>
        <w:t xml:space="preserve">PCCIs on </w:t>
      </w:r>
      <w:r w:rsidR="00A23ED1" w:rsidRPr="001B6443">
        <w:rPr>
          <w:rFonts w:ascii="Times New Roman" w:eastAsia="Calibri" w:hAnsi="Times New Roman" w:cs="Times New Roman"/>
          <w:color w:val="000000" w:themeColor="text1"/>
          <w:sz w:val="24"/>
          <w:szCs w:val="24"/>
          <w:lang w:val="en-US"/>
        </w:rPr>
        <w:t xml:space="preserve">outcome-based </w:t>
      </w:r>
      <w:r w:rsidR="00493417" w:rsidRPr="001B6443">
        <w:rPr>
          <w:rFonts w:ascii="Times New Roman" w:eastAsia="Calibri" w:hAnsi="Times New Roman" w:cs="Times New Roman"/>
          <w:color w:val="000000" w:themeColor="text1"/>
          <w:sz w:val="24"/>
          <w:szCs w:val="24"/>
          <w:lang w:val="en-US"/>
        </w:rPr>
        <w:t>CCPE</w:t>
      </w:r>
      <w:r w:rsidR="00EC5A9C" w:rsidRPr="001B6443">
        <w:rPr>
          <w:rFonts w:ascii="Times New Roman" w:eastAsia="Calibri" w:hAnsi="Times New Roman" w:cs="Times New Roman"/>
          <w:color w:val="000000" w:themeColor="text1"/>
          <w:sz w:val="24"/>
          <w:szCs w:val="24"/>
          <w:lang w:val="en-US"/>
        </w:rPr>
        <w:t xml:space="preserve">, and subsequently </w:t>
      </w:r>
      <w:r w:rsidR="00EC5A9C" w:rsidRPr="001B6443">
        <w:rPr>
          <w:rFonts w:ascii="Times New Roman" w:eastAsia="Calibri" w:hAnsi="Times New Roman" w:cs="Times New Roman"/>
          <w:color w:val="000000" w:themeColor="text1"/>
          <w:sz w:val="24"/>
          <w:szCs w:val="24"/>
          <w:lang w:val="en-US"/>
        </w:rPr>
        <w:lastRenderedPageBreak/>
        <w:t xml:space="preserve">investigate the moderating role of BSCOM on this relationship. Despite the increasing calls for climate change research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performance","type":"article-journal","volume":"50"},"uris":["http://www.mendeley.com/documents/?uuid=79af7aa9-e472-392a-9475-56fa419ffe4f"]},{"id":"ITEM-2","itemData":{"DOI":"10.5465/amj.2015.0718","ISSN":"00014273","abstract":"Climate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Journal","id":"ITEM-2","issue":"5","issued":{"date-parts":[["2017","10","1"]]},"page":"1633-1661","publisher":"Academy of Management","title":"An inconvenient truth: How organizations translate climate change into business as usual","type":"article-journal","volume":"60"},"uris":["http://www.mendeley.com/documents/?uuid=1e826676-3243-3bf7-a34c-ff6e0e1b5659"]}],"mendeley":{"formattedCitation":"(Busch and Hoffmann 2011; Wright and Nyberg 2017)","manualFormatting":"(Busch and Hoffmann, 2011; Wright and Nyberg, 2017)","plainTextFormattedCitation":"(Busch and Hoffmann 2011; Wright and Nyberg 2017)","previouslyFormattedCitation":"(Busch and Hoffmann 2011; Wright and Nyberg 2017)"},"properties":{"noteIndex":0},"schema":"https://github.com/citation-style-language/schema/raw/master/csl-citation.json"}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(Busch and Hoffmann, 2011; Wright and Nyberg, 2017)</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research relating to the relationship between </w:t>
      </w:r>
      <w:r w:rsidR="00693BEB" w:rsidRPr="001B6443">
        <w:rPr>
          <w:rFonts w:ascii="Times New Roman" w:eastAsia="Calibri" w:hAnsi="Times New Roman" w:cs="Times New Roman"/>
          <w:color w:val="000000" w:themeColor="text1"/>
          <w:sz w:val="24"/>
          <w:szCs w:val="24"/>
          <w:lang w:val="en-US"/>
        </w:rPr>
        <w:t>PCCIs</w:t>
      </w:r>
      <w:r w:rsidR="00504F69" w:rsidRPr="001B6443">
        <w:rPr>
          <w:rFonts w:ascii="Times New Roman" w:eastAsia="Calibri" w:hAnsi="Times New Roman" w:cs="Times New Roman"/>
          <w:color w:val="000000" w:themeColor="text1"/>
          <w:sz w:val="24"/>
          <w:szCs w:val="24"/>
          <w:lang w:val="en-US"/>
        </w:rPr>
        <w:t xml:space="preserve"> and </w:t>
      </w:r>
      <w:r w:rsidR="00A23ED1" w:rsidRPr="001B6443">
        <w:rPr>
          <w:rFonts w:ascii="Times New Roman" w:eastAsia="Calibri" w:hAnsi="Times New Roman" w:cs="Times New Roman"/>
          <w:color w:val="000000" w:themeColor="text1"/>
          <w:sz w:val="24"/>
          <w:szCs w:val="24"/>
          <w:lang w:val="en-US"/>
        </w:rPr>
        <w:t xml:space="preserve">outcome-based </w:t>
      </w:r>
      <w:r w:rsidR="00BF4A3D" w:rsidRPr="001B6443">
        <w:rPr>
          <w:rFonts w:ascii="Times New Roman" w:eastAsia="Calibri" w:hAnsi="Times New Roman" w:cs="Times New Roman"/>
          <w:color w:val="000000" w:themeColor="text1"/>
          <w:sz w:val="24"/>
          <w:szCs w:val="24"/>
          <w:lang w:val="en-US"/>
        </w:rPr>
        <w:t xml:space="preserve">CCPE </w:t>
      </w:r>
      <w:r w:rsidR="00EC5A9C" w:rsidRPr="001B6443">
        <w:rPr>
          <w:rFonts w:ascii="Times New Roman" w:eastAsia="Calibri" w:hAnsi="Times New Roman" w:cs="Times New Roman"/>
          <w:color w:val="000000" w:themeColor="text1"/>
          <w:sz w:val="24"/>
          <w:szCs w:val="24"/>
          <w:lang w:val="en-US"/>
        </w:rPr>
        <w:t xml:space="preserve">has received limited attention. </w:t>
      </w:r>
      <w:r w:rsidR="008831CB" w:rsidRPr="001B6443">
        <w:rPr>
          <w:rFonts w:ascii="Times New Roman" w:eastAsia="Calibri" w:hAnsi="Times New Roman" w:cs="Times New Roman"/>
          <w:color w:val="000000" w:themeColor="text1"/>
          <w:sz w:val="24"/>
          <w:szCs w:val="24"/>
          <w:lang w:val="en-US"/>
        </w:rPr>
        <w:t>Our finding reveal</w:t>
      </w:r>
      <w:r w:rsidR="004664EC" w:rsidRPr="001B6443">
        <w:rPr>
          <w:rFonts w:ascii="Times New Roman" w:eastAsia="Calibri" w:hAnsi="Times New Roman" w:cs="Times New Roman"/>
          <w:color w:val="000000" w:themeColor="text1"/>
          <w:sz w:val="24"/>
          <w:szCs w:val="24"/>
          <w:lang w:val="en-US"/>
        </w:rPr>
        <w:t>s</w:t>
      </w:r>
      <w:r w:rsidR="006E6B35" w:rsidRPr="001B6443">
        <w:rPr>
          <w:rFonts w:ascii="Times New Roman" w:eastAsia="Calibri" w:hAnsi="Times New Roman" w:cs="Times New Roman"/>
          <w:color w:val="000000" w:themeColor="text1"/>
          <w:sz w:val="24"/>
          <w:szCs w:val="24"/>
          <w:lang w:val="en-US"/>
        </w:rPr>
        <w:t xml:space="preserve"> that </w:t>
      </w:r>
      <w:r w:rsidR="00102ABD" w:rsidRPr="001B6443">
        <w:rPr>
          <w:rFonts w:ascii="Times New Roman" w:eastAsia="Calibri" w:hAnsi="Times New Roman" w:cs="Times New Roman"/>
          <w:color w:val="000000" w:themeColor="text1"/>
          <w:sz w:val="24"/>
          <w:szCs w:val="24"/>
          <w:lang w:val="en-US"/>
        </w:rPr>
        <w:t>firms</w:t>
      </w:r>
      <w:r w:rsidR="00E17B91" w:rsidRPr="001B6443">
        <w:rPr>
          <w:rFonts w:ascii="Times New Roman" w:eastAsia="Calibri" w:hAnsi="Times New Roman" w:cs="Times New Roman"/>
          <w:color w:val="000000" w:themeColor="text1"/>
          <w:sz w:val="24"/>
          <w:szCs w:val="24"/>
          <w:lang w:val="en-US"/>
        </w:rPr>
        <w:t xml:space="preserve"> </w:t>
      </w:r>
      <w:r w:rsidR="0026056B" w:rsidRPr="001B6443">
        <w:rPr>
          <w:rFonts w:ascii="Times New Roman" w:eastAsia="Calibri" w:hAnsi="Times New Roman" w:cs="Times New Roman"/>
          <w:color w:val="000000" w:themeColor="text1"/>
          <w:sz w:val="24"/>
          <w:szCs w:val="24"/>
          <w:lang w:val="en-US"/>
        </w:rPr>
        <w:t xml:space="preserve">that engage in PCCIs continue to emit high GHG emissions, </w:t>
      </w:r>
      <w:r w:rsidR="00E17B91" w:rsidRPr="001B6443">
        <w:rPr>
          <w:rFonts w:ascii="Times New Roman" w:eastAsia="Calibri" w:hAnsi="Times New Roman" w:cs="Times New Roman"/>
          <w:color w:val="000000" w:themeColor="text1"/>
          <w:sz w:val="24"/>
          <w:szCs w:val="24"/>
          <w:lang w:val="en-US"/>
        </w:rPr>
        <w:t>thus supporting the symbolic legitimation view</w:t>
      </w:r>
      <w:r w:rsidR="00EC5A9C" w:rsidRPr="001B6443">
        <w:rPr>
          <w:rFonts w:ascii="Times New Roman" w:eastAsia="Calibri" w:hAnsi="Times New Roman" w:cs="Times New Roman"/>
          <w:color w:val="000000" w:themeColor="text1"/>
          <w:sz w:val="24"/>
          <w:szCs w:val="24"/>
          <w:lang w:val="en-US"/>
        </w:rPr>
        <w:t>.</w:t>
      </w:r>
      <w:r w:rsidR="00EF0286" w:rsidRPr="001B6443">
        <w:rPr>
          <w:rFonts w:ascii="Times New Roman" w:eastAsia="Calibri" w:hAnsi="Times New Roman" w:cs="Times New Roman"/>
          <w:color w:val="000000" w:themeColor="text1"/>
          <w:sz w:val="24"/>
          <w:szCs w:val="24"/>
          <w:lang w:val="en-US"/>
        </w:rPr>
        <w:t xml:space="preserve"> Finally, extending the study of </w:t>
      </w:r>
      <w:r w:rsidR="00EF0286" w:rsidRPr="001B6443">
        <w:rPr>
          <w:rFonts w:ascii="Times New Roman" w:eastAsia="Calibri" w:hAnsi="Times New Roman" w:cs="Times New Roman"/>
          <w:color w:val="000000" w:themeColor="text1"/>
          <w:sz w:val="24"/>
          <w:szCs w:val="24"/>
          <w:lang w:val="en-US"/>
        </w:rPr>
        <w:fldChar w:fldCharType="begin" w:fldLock="1"/>
      </w:r>
      <w:r w:rsidR="0097336D"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performance","type":"article-journal","volume":"52"},"uris":["http://www.mendeley.com/documents/?uuid=c71df26d-d480-3b40-b9c9-2d5e5bd33b21"]}],"mendeley":{"formattedCitation":"(Bui et al. 2020)","manualFormatting":"Bui et al. (2020)","plainTextFormattedCitation":"(Bui et al. 2020)","previouslyFormattedCitation":"(Bui et al. 2020)"},"properties":{"noteIndex":0},"schema":"https://github.com/citation-style-language/schema/raw/master/csl-citation.json"}</w:instrText>
      </w:r>
      <w:r w:rsidR="00EF0286" w:rsidRPr="001B6443">
        <w:rPr>
          <w:rFonts w:ascii="Times New Roman" w:eastAsia="Calibri" w:hAnsi="Times New Roman" w:cs="Times New Roman"/>
          <w:color w:val="000000" w:themeColor="text1"/>
          <w:sz w:val="24"/>
          <w:szCs w:val="24"/>
          <w:lang w:val="en-US"/>
        </w:rPr>
        <w:fldChar w:fldCharType="separate"/>
      </w:r>
      <w:r w:rsidR="00EF0286" w:rsidRPr="001B6443">
        <w:rPr>
          <w:rFonts w:ascii="Times New Roman" w:eastAsia="Calibri" w:hAnsi="Times New Roman" w:cs="Times New Roman"/>
          <w:noProof/>
          <w:color w:val="000000" w:themeColor="text1"/>
          <w:sz w:val="24"/>
          <w:szCs w:val="24"/>
          <w:lang w:val="en-US"/>
        </w:rPr>
        <w:t xml:space="preserve">Bui </w:t>
      </w:r>
      <w:r w:rsidR="00EF0286" w:rsidRPr="001B6443">
        <w:rPr>
          <w:rFonts w:ascii="Times New Roman" w:eastAsia="Calibri" w:hAnsi="Times New Roman" w:cs="Times New Roman"/>
          <w:i/>
          <w:noProof/>
          <w:color w:val="000000" w:themeColor="text1"/>
          <w:sz w:val="24"/>
          <w:szCs w:val="24"/>
          <w:lang w:val="en-US"/>
        </w:rPr>
        <w:t>et al.</w:t>
      </w:r>
      <w:r w:rsidR="00EF0286" w:rsidRPr="001B6443">
        <w:rPr>
          <w:rFonts w:ascii="Times New Roman" w:eastAsia="Calibri" w:hAnsi="Times New Roman" w:cs="Times New Roman"/>
          <w:noProof/>
          <w:color w:val="000000" w:themeColor="text1"/>
          <w:sz w:val="24"/>
          <w:szCs w:val="24"/>
          <w:lang w:val="en-US"/>
        </w:rPr>
        <w:t xml:space="preserve"> (2020)</w:t>
      </w:r>
      <w:r w:rsidR="00EF0286" w:rsidRPr="001B6443">
        <w:rPr>
          <w:rFonts w:ascii="Times New Roman" w:eastAsia="Calibri" w:hAnsi="Times New Roman" w:cs="Times New Roman"/>
          <w:color w:val="000000" w:themeColor="text1"/>
          <w:sz w:val="24"/>
          <w:szCs w:val="24"/>
          <w:lang w:val="en-US"/>
        </w:rPr>
        <w:fldChar w:fldCharType="end"/>
      </w:r>
      <w:r w:rsidR="00EF0286" w:rsidRPr="001B6443">
        <w:rPr>
          <w:rFonts w:ascii="Times New Roman" w:eastAsia="Calibri" w:hAnsi="Times New Roman" w:cs="Times New Roman"/>
          <w:color w:val="000000" w:themeColor="text1"/>
          <w:sz w:val="24"/>
          <w:szCs w:val="24"/>
          <w:lang w:val="en-US"/>
        </w:rPr>
        <w:t xml:space="preserve"> on climate governance (governance mechanisms/measures aimed at mitigating climate risks), CCPE, and carbon</w:t>
      </w:r>
      <w:r w:rsidR="00152375" w:rsidRPr="001B6443">
        <w:rPr>
          <w:rFonts w:ascii="Times New Roman" w:eastAsia="Calibri" w:hAnsi="Times New Roman" w:cs="Times New Roman"/>
          <w:color w:val="000000" w:themeColor="text1"/>
          <w:sz w:val="24"/>
          <w:szCs w:val="24"/>
          <w:lang w:val="en-US"/>
        </w:rPr>
        <w:t xml:space="preserve"> disclosure</w:t>
      </w:r>
      <w:r w:rsidR="006A6CDE" w:rsidRPr="001B6443">
        <w:rPr>
          <w:rFonts w:ascii="Times New Roman" w:eastAsia="Calibri" w:hAnsi="Times New Roman" w:cs="Times New Roman"/>
          <w:color w:val="000000" w:themeColor="text1"/>
          <w:sz w:val="24"/>
          <w:szCs w:val="24"/>
          <w:lang w:val="en-US"/>
        </w:rPr>
        <w:t xml:space="preserve">, </w:t>
      </w:r>
      <w:r w:rsidR="00EF0286" w:rsidRPr="001B6443">
        <w:rPr>
          <w:rFonts w:ascii="Times New Roman" w:eastAsia="Calibri" w:hAnsi="Times New Roman" w:cs="Times New Roman"/>
          <w:color w:val="000000" w:themeColor="text1"/>
          <w:sz w:val="24"/>
          <w:szCs w:val="24"/>
          <w:lang w:val="en-US"/>
        </w:rPr>
        <w:t>we explore whether the predicted relationships differ between countries under the European Union Emission Trading System (EU ETS) and non-EU ETS countries</w:t>
      </w:r>
      <w:r w:rsidR="006A6CDE" w:rsidRPr="001B6443">
        <w:rPr>
          <w:rFonts w:ascii="Times New Roman" w:eastAsia="Calibri" w:hAnsi="Times New Roman" w:cs="Times New Roman"/>
          <w:color w:val="000000" w:themeColor="text1"/>
          <w:sz w:val="24"/>
          <w:szCs w:val="24"/>
          <w:lang w:val="en-US"/>
        </w:rPr>
        <w:t xml:space="preserve">. </w:t>
      </w:r>
      <w:commentRangeStart w:id="0"/>
      <w:r w:rsidR="006A6CDE" w:rsidRPr="001B6443">
        <w:rPr>
          <w:rFonts w:ascii="Times New Roman" w:eastAsia="Calibri" w:hAnsi="Times New Roman" w:cs="Times New Roman"/>
          <w:color w:val="000000" w:themeColor="text1"/>
          <w:sz w:val="24"/>
          <w:szCs w:val="24"/>
          <w:lang w:val="en-US"/>
        </w:rPr>
        <w:t xml:space="preserve">Our findings indicate that </w:t>
      </w:r>
      <w:r w:rsidR="00EF0286" w:rsidRPr="001B6443">
        <w:rPr>
          <w:rFonts w:ascii="Times New Roman" w:eastAsia="Calibri" w:hAnsi="Times New Roman" w:cs="Times New Roman"/>
          <w:color w:val="000000" w:themeColor="text1"/>
          <w:sz w:val="24"/>
          <w:szCs w:val="24"/>
          <w:lang w:val="en-US"/>
        </w:rPr>
        <w:t>market participants react more negatively to increased emissions in EU ETS countries</w:t>
      </w:r>
      <w:r w:rsidR="00C26F57" w:rsidRPr="001B6443">
        <w:rPr>
          <w:rFonts w:ascii="Times New Roman" w:eastAsia="Calibri" w:hAnsi="Times New Roman" w:cs="Times New Roman"/>
          <w:color w:val="000000" w:themeColor="text1"/>
          <w:sz w:val="24"/>
          <w:szCs w:val="24"/>
          <w:lang w:val="en-US"/>
        </w:rPr>
        <w:t xml:space="preserve"> compared to non-EU ETS countries</w:t>
      </w:r>
      <w:r w:rsidR="00EF0286" w:rsidRPr="001B6443">
        <w:rPr>
          <w:rFonts w:ascii="Times New Roman" w:eastAsia="Calibri" w:hAnsi="Times New Roman" w:cs="Times New Roman"/>
          <w:color w:val="000000" w:themeColor="text1"/>
          <w:sz w:val="24"/>
          <w:szCs w:val="24"/>
          <w:lang w:val="en-US"/>
        </w:rPr>
        <w:t>.</w:t>
      </w:r>
      <w:commentRangeEnd w:id="0"/>
      <w:r w:rsidR="00984B5F" w:rsidRPr="001B6443">
        <w:rPr>
          <w:rStyle w:val="CommentReference"/>
          <w:color w:val="000000" w:themeColor="text1"/>
        </w:rPr>
        <w:commentReference w:id="0"/>
      </w:r>
      <w:r w:rsidR="00152375" w:rsidRPr="001B6443">
        <w:rPr>
          <w:rFonts w:ascii="Times New Roman" w:eastAsia="Calibri" w:hAnsi="Times New Roman" w:cs="Times New Roman"/>
          <w:color w:val="000000" w:themeColor="text1"/>
          <w:sz w:val="24"/>
          <w:szCs w:val="24"/>
          <w:lang w:val="en-US"/>
        </w:rPr>
        <w:t xml:space="preserve"> Our results also reveal that the EU ETS leads to observable reductions in emissions and suggest that regulatory pressures might affect corporate engagement in climate mit</w:t>
      </w:r>
      <w:r w:rsidR="000A1279" w:rsidRPr="001B6443">
        <w:rPr>
          <w:rFonts w:ascii="Times New Roman" w:eastAsia="Calibri" w:hAnsi="Times New Roman" w:cs="Times New Roman"/>
          <w:color w:val="000000" w:themeColor="text1"/>
          <w:sz w:val="24"/>
          <w:szCs w:val="24"/>
          <w:lang w:val="en-US"/>
        </w:rPr>
        <w:t xml:space="preserve">igation activities/initiatives. </w:t>
      </w:r>
    </w:p>
    <w:p w14:paraId="02EC7633" w14:textId="73185CD2" w:rsidR="000A1279" w:rsidRPr="001B6443" w:rsidRDefault="000A1279" w:rsidP="000A1279">
      <w:pPr>
        <w:spacing w:after="0" w:line="480" w:lineRule="auto"/>
        <w:jc w:val="both"/>
        <w:rPr>
          <w:rFonts w:ascii="Times New Roman" w:eastAsia="Calibri" w:hAnsi="Times New Roman" w:cs="Times New Roman"/>
          <w:color w:val="000000" w:themeColor="text1"/>
          <w:sz w:val="24"/>
          <w:szCs w:val="24"/>
          <w:lang w:val="en-US"/>
        </w:rPr>
      </w:pPr>
    </w:p>
    <w:p w14:paraId="514218AA" w14:textId="775B52E8" w:rsidR="00DB11AC" w:rsidRPr="001B6443" w:rsidRDefault="00DB11AC" w:rsidP="00DB11A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The rest of this paper is </w:t>
      </w:r>
      <w:r w:rsidR="00AF308E" w:rsidRPr="001B6443">
        <w:rPr>
          <w:rFonts w:ascii="Times New Roman" w:eastAsia="Calibri" w:hAnsi="Times New Roman" w:cs="Times New Roman"/>
          <w:color w:val="000000" w:themeColor="text1"/>
          <w:sz w:val="24"/>
          <w:szCs w:val="24"/>
          <w:lang w:val="en-US"/>
        </w:rPr>
        <w:t>organized as follows. Section 2 provides the study’s background</w:t>
      </w:r>
      <w:r w:rsidRPr="001B6443">
        <w:rPr>
          <w:rFonts w:ascii="Times New Roman" w:eastAsia="Calibri" w:hAnsi="Times New Roman" w:cs="Times New Roman"/>
          <w:color w:val="000000" w:themeColor="text1"/>
          <w:sz w:val="24"/>
          <w:szCs w:val="24"/>
          <w:lang w:val="en-US"/>
        </w:rPr>
        <w:t>. Section 3 presents the theoretical framework</w:t>
      </w:r>
      <w:r w:rsidR="00984B5F" w:rsidRPr="001B6443">
        <w:rPr>
          <w:rFonts w:ascii="Times New Roman" w:eastAsia="Calibri" w:hAnsi="Times New Roman" w:cs="Times New Roman"/>
          <w:color w:val="000000" w:themeColor="text1"/>
          <w:sz w:val="24"/>
          <w:szCs w:val="24"/>
          <w:lang w:val="en-US"/>
        </w:rPr>
        <w:t xml:space="preserve">, followed by the </w:t>
      </w:r>
      <w:r w:rsidRPr="001B6443">
        <w:rPr>
          <w:rFonts w:ascii="Times New Roman" w:eastAsia="Calibri" w:hAnsi="Times New Roman" w:cs="Times New Roman"/>
          <w:color w:val="000000" w:themeColor="text1"/>
          <w:sz w:val="24"/>
          <w:szCs w:val="24"/>
          <w:lang w:val="en-US"/>
        </w:rPr>
        <w:t xml:space="preserve">review </w:t>
      </w:r>
      <w:r w:rsidR="00984B5F" w:rsidRPr="001B6443">
        <w:rPr>
          <w:rFonts w:ascii="Times New Roman" w:eastAsia="Calibri" w:hAnsi="Times New Roman" w:cs="Times New Roman"/>
          <w:color w:val="000000" w:themeColor="text1"/>
          <w:sz w:val="24"/>
          <w:szCs w:val="24"/>
          <w:lang w:val="en-US"/>
        </w:rPr>
        <w:t xml:space="preserve">of </w:t>
      </w:r>
      <w:r w:rsidRPr="001B6443">
        <w:rPr>
          <w:rFonts w:ascii="Times New Roman" w:eastAsia="Calibri" w:hAnsi="Times New Roman" w:cs="Times New Roman"/>
          <w:color w:val="000000" w:themeColor="text1"/>
          <w:sz w:val="24"/>
          <w:szCs w:val="24"/>
          <w:lang w:val="en-US"/>
        </w:rPr>
        <w:t>prior studies and hypotheses</w:t>
      </w:r>
      <w:r w:rsidR="00984B5F" w:rsidRPr="001B6443">
        <w:rPr>
          <w:rFonts w:ascii="Times New Roman" w:eastAsia="Calibri" w:hAnsi="Times New Roman" w:cs="Times New Roman"/>
          <w:color w:val="000000" w:themeColor="text1"/>
          <w:sz w:val="24"/>
          <w:szCs w:val="24"/>
          <w:lang w:val="en-US"/>
        </w:rPr>
        <w:t xml:space="preserve"> development in Section 4</w:t>
      </w:r>
      <w:r w:rsidRPr="001B6443">
        <w:rPr>
          <w:rFonts w:ascii="Times New Roman" w:eastAsia="Calibri" w:hAnsi="Times New Roman" w:cs="Times New Roman"/>
          <w:color w:val="000000" w:themeColor="text1"/>
          <w:sz w:val="24"/>
          <w:szCs w:val="24"/>
          <w:lang w:val="en-US"/>
        </w:rPr>
        <w:t>. Section 5 explains the research methodology. Section 6 presents the results and Section 7 concludes.</w:t>
      </w:r>
    </w:p>
    <w:p w14:paraId="08ADE937" w14:textId="77777777" w:rsidR="00DB11AC" w:rsidRPr="001B6443" w:rsidRDefault="00DB11AC" w:rsidP="000A1279">
      <w:pPr>
        <w:spacing w:after="0" w:line="480" w:lineRule="auto"/>
        <w:jc w:val="both"/>
        <w:rPr>
          <w:rFonts w:ascii="Times New Roman" w:eastAsia="Calibri" w:hAnsi="Times New Roman" w:cs="Times New Roman"/>
          <w:color w:val="000000" w:themeColor="text1"/>
          <w:sz w:val="24"/>
          <w:szCs w:val="24"/>
          <w:lang w:val="en-US"/>
        </w:rPr>
      </w:pPr>
    </w:p>
    <w:p w14:paraId="5D7201E8" w14:textId="436BC935" w:rsidR="00EC5A9C" w:rsidRPr="001B6443" w:rsidRDefault="00EC5A9C" w:rsidP="00590520">
      <w:pPr>
        <w:numPr>
          <w:ilvl w:val="0"/>
          <w:numId w:val="5"/>
        </w:numPr>
        <w:spacing w:before="100" w:beforeAutospacing="1" w:after="100" w:afterAutospacing="1" w:line="240" w:lineRule="auto"/>
        <w:ind w:left="567" w:hanging="567"/>
        <w:outlineLvl w:val="0"/>
        <w:rPr>
          <w:rFonts w:ascii="Times New Roman" w:eastAsia="Times New Roman" w:hAnsi="Times New Roman" w:cs="Times New Roman"/>
          <w:b/>
          <w:bCs/>
          <w:color w:val="000000" w:themeColor="text1"/>
          <w:kern w:val="36"/>
          <w:sz w:val="24"/>
          <w:szCs w:val="24"/>
          <w:lang w:val="en-US" w:eastAsia="ru-RU"/>
        </w:rPr>
      </w:pPr>
      <w:r w:rsidRPr="001B6443">
        <w:rPr>
          <w:rFonts w:ascii="Times New Roman" w:eastAsia="Times New Roman" w:hAnsi="Times New Roman" w:cs="Times New Roman"/>
          <w:b/>
          <w:bCs/>
          <w:color w:val="000000" w:themeColor="text1"/>
          <w:kern w:val="36"/>
          <w:sz w:val="24"/>
          <w:szCs w:val="24"/>
          <w:lang w:val="en-US" w:eastAsia="ru-RU"/>
        </w:rPr>
        <w:t xml:space="preserve">Climate change </w:t>
      </w:r>
      <w:r w:rsidR="001F42BC" w:rsidRPr="001B6443">
        <w:rPr>
          <w:rFonts w:ascii="Times New Roman" w:eastAsia="Times New Roman" w:hAnsi="Times New Roman" w:cs="Times New Roman"/>
          <w:b/>
          <w:bCs/>
          <w:color w:val="000000" w:themeColor="text1"/>
          <w:kern w:val="36"/>
          <w:sz w:val="24"/>
          <w:szCs w:val="24"/>
          <w:lang w:val="en-US" w:eastAsia="ru-RU"/>
        </w:rPr>
        <w:t xml:space="preserve">initiatives </w:t>
      </w:r>
      <w:r w:rsidRPr="001B6443">
        <w:rPr>
          <w:rFonts w:ascii="Times New Roman" w:eastAsia="Times New Roman" w:hAnsi="Times New Roman" w:cs="Times New Roman"/>
          <w:b/>
          <w:bCs/>
          <w:color w:val="000000" w:themeColor="text1"/>
          <w:kern w:val="36"/>
          <w:sz w:val="24"/>
          <w:szCs w:val="24"/>
          <w:lang w:val="en-US" w:eastAsia="ru-RU"/>
        </w:rPr>
        <w:t>around the world</w:t>
      </w:r>
    </w:p>
    <w:p w14:paraId="6FBEDF6C" w14:textId="59FC8B20" w:rsidR="00AF4EC6" w:rsidRPr="001B6443" w:rsidRDefault="00EC5A9C" w:rsidP="00AF4EC6">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Growing concern</w:t>
      </w:r>
      <w:r w:rsidR="005016F0" w:rsidRPr="001B6443">
        <w:rPr>
          <w:rFonts w:ascii="Times New Roman" w:eastAsia="Calibri" w:hAnsi="Times New Roman" w:cs="Times New Roman"/>
          <w:color w:val="000000" w:themeColor="text1"/>
          <w:sz w:val="24"/>
          <w:szCs w:val="24"/>
          <w:lang w:val="en-US"/>
        </w:rPr>
        <w:t>s</w:t>
      </w:r>
      <w:r w:rsidRPr="001B6443">
        <w:rPr>
          <w:rFonts w:ascii="Times New Roman" w:eastAsia="Calibri" w:hAnsi="Times New Roman" w:cs="Times New Roman"/>
          <w:color w:val="000000" w:themeColor="text1"/>
          <w:sz w:val="24"/>
          <w:szCs w:val="24"/>
          <w:lang w:val="en-US"/>
        </w:rPr>
        <w:t xml:space="preserve"> over the increasing levels of GHG emissions worldwide ha</w:t>
      </w:r>
      <w:r w:rsidR="005016F0" w:rsidRPr="001B6443">
        <w:rPr>
          <w:rFonts w:ascii="Times New Roman" w:eastAsia="Calibri" w:hAnsi="Times New Roman" w:cs="Times New Roman"/>
          <w:color w:val="000000" w:themeColor="text1"/>
          <w:sz w:val="24"/>
          <w:szCs w:val="24"/>
          <w:lang w:val="en-US"/>
        </w:rPr>
        <w:t>ve</w:t>
      </w:r>
      <w:r w:rsidRPr="001B6443">
        <w:rPr>
          <w:rFonts w:ascii="Times New Roman" w:eastAsia="Calibri" w:hAnsi="Times New Roman" w:cs="Times New Roman"/>
          <w:color w:val="000000" w:themeColor="text1"/>
          <w:sz w:val="24"/>
          <w:szCs w:val="24"/>
          <w:lang w:val="en-US"/>
        </w:rPr>
        <w:t xml:space="preserve"> led the global community to respond to global warming and climate change by undertaking various initiatives, deals, and reforms. The United Nations Framework Convention on Climate Change (UNFCCC), introduced in 1992 following the Rio Earth Summit and entered into force in 1994, was the first international effort to address global warming and climate change. However, the UNFCCC was unsuccessful in </w:t>
      </w:r>
      <w:r w:rsidRPr="001B6443">
        <w:rPr>
          <w:rFonts w:ascii="Times New Roman" w:eastAsia="Calibri" w:hAnsi="Times New Roman" w:cs="Times New Roman"/>
          <w:color w:val="000000" w:themeColor="text1"/>
          <w:sz w:val="24"/>
          <w:szCs w:val="24"/>
          <w:lang w:val="en-US"/>
        </w:rPr>
        <w:lastRenderedPageBreak/>
        <w:t>r</w:t>
      </w:r>
      <w:r w:rsidR="00DB11AC" w:rsidRPr="001B6443">
        <w:rPr>
          <w:rFonts w:ascii="Times New Roman" w:eastAsia="Calibri" w:hAnsi="Times New Roman" w:cs="Times New Roman"/>
          <w:color w:val="000000" w:themeColor="text1"/>
          <w:sz w:val="24"/>
          <w:szCs w:val="24"/>
          <w:lang w:val="en-US"/>
        </w:rPr>
        <w:t xml:space="preserve">educing GHG emissions worldwide, which has been confirmed by numerous reports/data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{"citationItems":[{"id":"ITEM-1","itemData":{"DOI":"10.1080/14747731.2019.1669915","ISSN":"1474774X","abstract":"This Special Editorial on the Climate Emergency makes the case that although we are living in the time of Global Climate Emergency we are not yet acting as if we are in an imminent crisis. The authors review key aspects of the institutional response and climate science over the past several decades and the role of the economic system in perpetuating inertia on reduction of greenhouse gas emissions. Humanity is now the primary influence on the planet, and events in and around COP24 are the latest reminder that we live in a pathological system. A political economy has rendered the UNFCCC process as yet a successful failure. Fundamental change is urgently required. The conclusions contain recommendations and a call to action now.","author":[{"dropping-particle":"","family":"Gills","given":"Barry","non-dropping-particle":"","parse-names":false,"suffix":""},{"dropping-particle":"","family":"Morgan","given":"Jamie","non-dropping-particle":"","parse-names":false,"suffix":""}],"container-title":"Globalizations","id":"ITEM-1","issue":"6","issued":{"date-parts":[["2020"]]},"page":"885-902","publisher":"Routledge","title":"Global Climate Emergency: after COP24, climate science, urgency, and the threat to humanity","type":"article-journal","volume":"17"},"uris":["http://www.mendeley.com/documents/?uuid=81d14295-3498-3b5b-9c48-c0aed3c5ad5b"]}],"mendeley":{"formattedCitation":"(Gills and Morgan 2020)","manualFormatting":"(Gills and Morgan, 2020)","plainTextFormattedCitation":"(Gills and Morgan 2020)","previouslyFormattedCitation":"(Gills and Morgan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(Gills and Morgan, 2020)</w:t>
      </w:r>
      <w:r w:rsidRPr="001B6443">
        <w:rPr>
          <w:rFonts w:ascii="Times New Roman" w:eastAsia="Calibri" w:hAnsi="Times New Roman" w:cs="Times New Roman"/>
          <w:color w:val="000000" w:themeColor="text1"/>
          <w:sz w:val="24"/>
          <w:szCs w:val="24"/>
          <w:lang w:val="en-US"/>
        </w:rPr>
        <w:fldChar w:fldCharType="end"/>
      </w:r>
      <w:r w:rsidR="002F204D"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For example, annual global emissions in terms of </w:t>
      </w:r>
      <w:proofErr w:type="spellStart"/>
      <w:r w:rsidRPr="001B6443">
        <w:rPr>
          <w:rFonts w:ascii="Times New Roman" w:eastAsia="Calibri" w:hAnsi="Times New Roman" w:cs="Times New Roman"/>
          <w:color w:val="000000" w:themeColor="text1"/>
          <w:sz w:val="24"/>
          <w:szCs w:val="24"/>
          <w:lang w:val="en-US"/>
        </w:rPr>
        <w:t>gigatonnes</w:t>
      </w:r>
      <w:proofErr w:type="spellEnd"/>
      <w:r w:rsidRPr="001B6443">
        <w:rPr>
          <w:rFonts w:ascii="Times New Roman" w:eastAsia="Calibri" w:hAnsi="Times New Roman" w:cs="Times New Roman"/>
          <w:color w:val="000000" w:themeColor="text1"/>
          <w:sz w:val="24"/>
          <w:szCs w:val="24"/>
          <w:lang w:val="en-US"/>
        </w:rPr>
        <w:t xml:space="preserve"> of carbon dioxide (GtCO2) increased from 23.7 GtCO2 in 1995 to more than 30 GtCO2 every year during 2006-2012 and well above 35 GtCO2 each year during 2012-2018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author":[{"dropping-particle":"","family":"Olivier","given":"J.G.J.","non-dropping-particle":"","parse-names":false,"suffix":""},{"dropping-particle":"","family":"Peters","given":"J.A.H.W.","non-dropping-particle":"","parse-names":false,"suffix":""}],"container-title":"PBL Netherlands Environmental Assessment Agency","id":"ITEM-1","issue":"May","issued":{"date-parts":[["2020"]]},"publisher-place":"The Hague","title":"Trends in Global CO2 and Total Greenhouse Gas Emissions: Report 2019","type":"report","volume":"2020"},"uris":["http://www.mendeley.com/documents/?uuid=374f2d54-1512-3e18-b976-2a0e706e5150"]}],"mendeley":{"formattedCitation":"(Olivier and Peters 2020)","manualFormatting":"(Olivier and Peters, 2020)","plainTextFormattedCitation":"(Olivier and Peters 2020)","previouslyFormattedCitation":"(Olivier and Peters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(Olivier and Peters, 2020)</w:t>
      </w:r>
      <w:r w:rsidRPr="001B6443">
        <w:rPr>
          <w:rFonts w:ascii="Times New Roman" w:eastAsia="Calibri" w:hAnsi="Times New Roman" w:cs="Times New Roman"/>
          <w:color w:val="000000" w:themeColor="text1"/>
          <w:sz w:val="24"/>
          <w:szCs w:val="24"/>
          <w:lang w:val="en-US"/>
        </w:rPr>
        <w:fldChar w:fldCharType="end"/>
      </w:r>
      <w:r w:rsidR="00AF4EC6" w:rsidRPr="001B6443">
        <w:rPr>
          <w:rFonts w:ascii="Times New Roman" w:eastAsia="Calibri" w:hAnsi="Times New Roman" w:cs="Times New Roman"/>
          <w:color w:val="000000" w:themeColor="text1"/>
          <w:sz w:val="24"/>
          <w:szCs w:val="24"/>
          <w:lang w:val="en-US"/>
        </w:rPr>
        <w:t xml:space="preserve">. According to the United Nations Environmental </w:t>
      </w:r>
      <w:proofErr w:type="spellStart"/>
      <w:r w:rsidR="00AF4EC6" w:rsidRPr="001B6443">
        <w:rPr>
          <w:rFonts w:ascii="Times New Roman" w:eastAsia="Calibri" w:hAnsi="Times New Roman" w:cs="Times New Roman"/>
          <w:color w:val="000000" w:themeColor="text1"/>
          <w:sz w:val="24"/>
          <w:szCs w:val="24"/>
          <w:lang w:val="en-US"/>
        </w:rPr>
        <w:t>Programme</w:t>
      </w:r>
      <w:proofErr w:type="spellEnd"/>
      <w:r w:rsidR="00AF4EC6" w:rsidRPr="001B6443">
        <w:rPr>
          <w:rFonts w:ascii="Times New Roman" w:eastAsia="Calibri" w:hAnsi="Times New Roman" w:cs="Times New Roman"/>
          <w:color w:val="000000" w:themeColor="text1"/>
          <w:sz w:val="24"/>
          <w:szCs w:val="24"/>
          <w:lang w:val="en-US"/>
        </w:rPr>
        <w:t xml:space="preserve">, total GHG emissions in GtCO2 reached a record high of 55.3 in 2018 </w:t>
      </w:r>
      <w:r w:rsidR="00AF4EC6" w:rsidRPr="001B6443">
        <w:rPr>
          <w:rFonts w:ascii="Times New Roman" w:eastAsia="Calibri" w:hAnsi="Times New Roman" w:cs="Times New Roman"/>
          <w:color w:val="000000" w:themeColor="text1"/>
          <w:sz w:val="24"/>
          <w:szCs w:val="24"/>
          <w:lang w:val="en-US"/>
        </w:rPr>
        <w:fldChar w:fldCharType="begin" w:fldLock="1"/>
      </w:r>
      <w:r w:rsidR="00AF4EC6" w:rsidRPr="001B6443">
        <w:rPr>
          <w:rFonts w:ascii="Times New Roman" w:eastAsia="Calibri" w:hAnsi="Times New Roman" w:cs="Times New Roman"/>
          <w:color w:val="000000" w:themeColor="text1"/>
          <w:sz w:val="24"/>
          <w:szCs w:val="24"/>
          <w:lang w:val="en-US"/>
        </w:rPr>
        <w:instrText>ADDIN CSL_CITATION {"citationItems":[{"id":"ITEM-1","itemData":{"ISBN":"9789280737660","abstract":"\"November 2019.\"","author":[{"dropping-particle":"","family":"United Nations Environment Programme","given":"","non-dropping-particle":"","parse-names":false,"suffix":""}],"container-title":"Emissions Gap Report 2019","id":"ITEM-1","issued":{"date-parts":[["2019"]]},"number-of-pages":"82","title":"Emissions Gap Report 2019","type":"book"},"uris":["http://www.mendeley.com/documents/?uuid=ddcd85f6-447c-4404-b401-3293f5bb0039"]}],"mendeley":{"formattedCitation":"(United Nations Environment Programme 2019)","manualFormatting":"(United Nations Environment Programme, 2019)","plainTextFormattedCitation":"(United Nations Environment Programme 2019)","previouslyFormattedCitation":"(United Nations Environment Programme 2019)"},"properties":{"noteIndex":0},"schema":"https://github.com/citation-style-language/schema/raw/master/csl-citation.json"}</w:instrText>
      </w:r>
      <w:r w:rsidR="00AF4EC6" w:rsidRPr="001B6443">
        <w:rPr>
          <w:rFonts w:ascii="Times New Roman" w:eastAsia="Calibri" w:hAnsi="Times New Roman" w:cs="Times New Roman"/>
          <w:color w:val="000000" w:themeColor="text1"/>
          <w:sz w:val="24"/>
          <w:szCs w:val="24"/>
          <w:lang w:val="en-US"/>
        </w:rPr>
        <w:fldChar w:fldCharType="separate"/>
      </w:r>
      <w:r w:rsidR="00AF4EC6" w:rsidRPr="001B6443">
        <w:rPr>
          <w:rFonts w:ascii="Times New Roman" w:eastAsia="Calibri" w:hAnsi="Times New Roman" w:cs="Times New Roman"/>
          <w:color w:val="000000" w:themeColor="text1"/>
          <w:sz w:val="24"/>
          <w:szCs w:val="24"/>
          <w:lang w:val="en-US"/>
        </w:rPr>
        <w:t>(United Nations Environment Programme, 2019)</w:t>
      </w:r>
      <w:r w:rsidR="00AF4EC6" w:rsidRPr="001B6443">
        <w:rPr>
          <w:rFonts w:ascii="Times New Roman" w:eastAsia="Calibri" w:hAnsi="Times New Roman" w:cs="Times New Roman"/>
          <w:color w:val="000000" w:themeColor="text1"/>
          <w:sz w:val="24"/>
          <w:szCs w:val="24"/>
          <w:lang w:val="en-US"/>
        </w:rPr>
        <w:fldChar w:fldCharType="end"/>
      </w:r>
      <w:r w:rsidR="00AF4EC6" w:rsidRPr="001B6443">
        <w:rPr>
          <w:rFonts w:ascii="Times New Roman" w:eastAsia="Calibri" w:hAnsi="Times New Roman" w:cs="Times New Roman"/>
          <w:color w:val="000000" w:themeColor="text1"/>
          <w:sz w:val="24"/>
          <w:szCs w:val="24"/>
          <w:lang w:val="en-US"/>
        </w:rPr>
        <w:t>.</w:t>
      </w:r>
    </w:p>
    <w:p w14:paraId="3DC34485" w14:textId="77777777" w:rsidR="00AF4EC6" w:rsidRPr="001B6443" w:rsidRDefault="00AF4EC6" w:rsidP="00AF4EC6">
      <w:pPr>
        <w:spacing w:after="0" w:line="480" w:lineRule="auto"/>
        <w:jc w:val="both"/>
        <w:rPr>
          <w:rFonts w:ascii="Times New Roman" w:eastAsia="Calibri" w:hAnsi="Times New Roman" w:cs="Times New Roman"/>
          <w:color w:val="000000" w:themeColor="text1"/>
          <w:sz w:val="24"/>
          <w:szCs w:val="24"/>
          <w:lang w:val="en-US"/>
        </w:rPr>
      </w:pPr>
    </w:p>
    <w:p w14:paraId="2F71B26B" w14:textId="77AAD51E" w:rsidR="008718D3" w:rsidRPr="001B6443" w:rsidRDefault="00EC5A9C" w:rsidP="008718D3">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The Kyoto Protocol, adopted in 1997, was the first global treaty, which extended the UNFCCC. The Protocol provided a legally binding framework for participating countries to introduce standards, guidelines, and reforms to </w:t>
      </w:r>
      <w:r w:rsidR="00AA4CCF" w:rsidRPr="001B6443">
        <w:rPr>
          <w:rFonts w:ascii="Times New Roman" w:eastAsia="Calibri" w:hAnsi="Times New Roman" w:cs="Times New Roman"/>
          <w:color w:val="000000" w:themeColor="text1"/>
          <w:sz w:val="24"/>
          <w:szCs w:val="24"/>
          <w:lang w:val="en-US"/>
        </w:rPr>
        <w:t xml:space="preserve">mitigate GHG emissions. </w:t>
      </w:r>
      <w:r w:rsidRPr="001B6443">
        <w:rPr>
          <w:rFonts w:ascii="Times New Roman" w:eastAsia="Calibri" w:hAnsi="Times New Roman" w:cs="Times New Roman"/>
          <w:color w:val="000000" w:themeColor="text1"/>
          <w:sz w:val="24"/>
          <w:szCs w:val="24"/>
          <w:lang w:val="en-US"/>
        </w:rPr>
        <w:t>As part of the Protocol, European countries implemented a number</w:t>
      </w:r>
      <w:r w:rsidR="006A6CDE" w:rsidRPr="001B6443">
        <w:rPr>
          <w:rFonts w:ascii="Times New Roman" w:eastAsia="Calibri" w:hAnsi="Times New Roman" w:cs="Times New Roman"/>
          <w:color w:val="000000" w:themeColor="text1"/>
          <w:sz w:val="24"/>
          <w:szCs w:val="24"/>
          <w:lang w:val="en-US"/>
        </w:rPr>
        <w:t xml:space="preserve"> of climate change policies/</w:t>
      </w:r>
      <w:r w:rsidRPr="001B6443">
        <w:rPr>
          <w:rFonts w:ascii="Times New Roman" w:eastAsia="Calibri" w:hAnsi="Times New Roman" w:cs="Times New Roman"/>
          <w:color w:val="000000" w:themeColor="text1"/>
          <w:sz w:val="24"/>
          <w:szCs w:val="24"/>
          <w:lang w:val="en-US"/>
        </w:rPr>
        <w:t xml:space="preserve">legislations to introduce </w:t>
      </w:r>
      <w:r w:rsidR="006A6CDE" w:rsidRPr="001B6443">
        <w:rPr>
          <w:rFonts w:ascii="Times New Roman" w:eastAsia="Calibri" w:hAnsi="Times New Roman" w:cs="Times New Roman"/>
          <w:color w:val="000000" w:themeColor="text1"/>
          <w:sz w:val="24"/>
          <w:szCs w:val="24"/>
          <w:lang w:val="en-US"/>
        </w:rPr>
        <w:t>the EU ETS</w:t>
      </w:r>
      <w:r w:rsidR="00AA4CCF"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{"citationItems":[{"id":"ITEM-1","itemData":{"abstract":"This guide provides detailed information about the EU Emissions Trading System (EU ETS), including information about how the system was designed and how it operates. • This document is aimed at those who want to understand the EU ETS. Although it has been written for non-experts, this guide does not provide the underlying theory of market-based instruments and emissions trading systems in general. Some prior basic knowledge of the principles of an emissions trading system would be helpful when using this manual. (see e.g. Hansjèurgens (2010), “Emissions Trading for Climate Policy” or Ellerman et al. (2010), “Pricing Carbon: The European Union Emissions Trading Scheme”). • How to use this guide: This guide can be read from start to finish, but can also be used as a reference for specific components of the EU ETS. Please refer to the Table of Contents to find the relevant sections of interest, and then click directly through to that part of the guide. DISCLAIMER:","author":[{"dropping-particle":"","family":"European Commission","given":"","non-dropping-particle":"","parse-names":false,"suffix":""}],"container-title":"Climate Action","id":"ITEM-1","issued":{"date-parts":[["2015"]]},"title":"EU ETS Handbook","type":"webpage"},"uris":["http://www.mendeley.com/documents/?uuid=8159fc94-5fb8-33ce-b67a-decb6344ba1d"]}],"mendeley":{"formattedCitation":"(European Commission 2015)","manualFormatting":"(European Commission, 2015)","plainTextFormattedCitation":"(European Commission 2015)","previouslyFormattedCitation":"(European Commission 2015)"},"properties":{"noteIndex":0},"schema":"https://github.com/citation-style-language/schema/raw/master/csl-citation.json"}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(European Commission, 2015)</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00AA4CCF"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The Paris climate agree</w:t>
      </w:r>
      <w:r w:rsidR="008A0313" w:rsidRPr="001B6443">
        <w:rPr>
          <w:rFonts w:ascii="Times New Roman" w:eastAsia="Calibri" w:hAnsi="Times New Roman" w:cs="Times New Roman"/>
          <w:color w:val="000000" w:themeColor="text1"/>
          <w:sz w:val="24"/>
          <w:szCs w:val="24"/>
          <w:lang w:val="en-US"/>
        </w:rPr>
        <w:t xml:space="preserve">ment was introduced </w:t>
      </w:r>
      <w:r w:rsidRPr="001B6443">
        <w:rPr>
          <w:rFonts w:ascii="Times New Roman" w:eastAsia="Calibri" w:hAnsi="Times New Roman" w:cs="Times New Roman"/>
          <w:color w:val="000000" w:themeColor="text1"/>
          <w:sz w:val="24"/>
          <w:szCs w:val="24"/>
          <w:lang w:val="en-US"/>
        </w:rPr>
        <w:t>in December 2015 to replace the Kyoto Protocol</w:t>
      </w:r>
      <w:r w:rsidR="002165C0" w:rsidRPr="001B6443">
        <w:rPr>
          <w:rFonts w:ascii="Times New Roman" w:eastAsia="Calibri" w:hAnsi="Times New Roman" w:cs="Times New Roman"/>
          <w:color w:val="000000" w:themeColor="text1"/>
          <w:sz w:val="24"/>
          <w:szCs w:val="24"/>
          <w:lang w:val="en-US"/>
        </w:rPr>
        <w:t xml:space="preserve">, effectively from 2016. </w:t>
      </w:r>
      <w:r w:rsidRPr="001B6443">
        <w:rPr>
          <w:rFonts w:ascii="Times New Roman" w:eastAsia="Calibri" w:hAnsi="Times New Roman" w:cs="Times New Roman"/>
          <w:color w:val="000000" w:themeColor="text1"/>
          <w:sz w:val="24"/>
          <w:szCs w:val="24"/>
          <w:lang w:val="en-US"/>
        </w:rPr>
        <w:t xml:space="preserve">The agreement requires each nation to prepare, submit, and maintain nationally </w:t>
      </w:r>
      <w:r w:rsidR="00AA4CCF" w:rsidRPr="001B6443">
        <w:rPr>
          <w:rFonts w:ascii="Times New Roman" w:eastAsia="Calibri" w:hAnsi="Times New Roman" w:cs="Times New Roman"/>
          <w:color w:val="000000" w:themeColor="text1"/>
          <w:sz w:val="24"/>
          <w:szCs w:val="24"/>
          <w:lang w:val="en-US"/>
        </w:rPr>
        <w:t>determined contributions</w:t>
      </w:r>
      <w:r w:rsidR="002165C0" w:rsidRPr="001B6443">
        <w:rPr>
          <w:rFonts w:ascii="Times New Roman" w:eastAsia="Calibri" w:hAnsi="Times New Roman" w:cs="Times New Roman"/>
          <w:color w:val="000000" w:themeColor="text1"/>
          <w:sz w:val="24"/>
          <w:szCs w:val="24"/>
          <w:lang w:val="en-US"/>
        </w:rPr>
        <w:t xml:space="preserve"> </w:t>
      </w:r>
      <w:r w:rsidR="008A0313" w:rsidRPr="001B6443">
        <w:rPr>
          <w:rFonts w:ascii="Times New Roman" w:eastAsia="Calibri" w:hAnsi="Times New Roman" w:cs="Times New Roman"/>
          <w:color w:val="000000" w:themeColor="text1"/>
          <w:sz w:val="24"/>
          <w:szCs w:val="24"/>
          <w:lang w:val="en-US"/>
        </w:rPr>
        <w:t>intended to re</w:t>
      </w:r>
      <w:r w:rsidR="00B462EF" w:rsidRPr="001B6443">
        <w:rPr>
          <w:rFonts w:ascii="Times New Roman" w:eastAsia="Calibri" w:hAnsi="Times New Roman" w:cs="Times New Roman"/>
          <w:color w:val="000000" w:themeColor="text1"/>
          <w:sz w:val="24"/>
          <w:szCs w:val="24"/>
          <w:lang w:val="en-US"/>
        </w:rPr>
        <w:t xml:space="preserve">duce </w:t>
      </w:r>
      <w:r w:rsidRPr="001B6443">
        <w:rPr>
          <w:rFonts w:ascii="Times New Roman" w:eastAsia="Calibri" w:hAnsi="Times New Roman" w:cs="Times New Roman"/>
          <w:color w:val="000000" w:themeColor="text1"/>
          <w:sz w:val="24"/>
          <w:szCs w:val="24"/>
          <w:lang w:val="en-US"/>
        </w:rPr>
        <w:t>emissions and adapt to climate change.</w:t>
      </w:r>
      <w:r w:rsidRPr="001B6443">
        <w:rPr>
          <w:color w:val="000000" w:themeColor="text1"/>
          <w:vertAlign w:val="superscript"/>
        </w:rPr>
        <w:footnoteReference w:id="1"/>
      </w:r>
      <w:r w:rsidR="00AA4CCF"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To date, a number of countries have adopted an</w:t>
      </w:r>
      <w:r w:rsidR="002F204D" w:rsidRPr="001B6443">
        <w:rPr>
          <w:rFonts w:ascii="Times New Roman" w:eastAsia="Calibri" w:hAnsi="Times New Roman" w:cs="Times New Roman"/>
          <w:color w:val="000000" w:themeColor="text1"/>
          <w:sz w:val="24"/>
          <w:szCs w:val="24"/>
          <w:lang w:val="en-US"/>
        </w:rPr>
        <w:t>d implemented domestic laws/</w:t>
      </w:r>
      <w:r w:rsidRPr="001B6443">
        <w:rPr>
          <w:rFonts w:ascii="Times New Roman" w:eastAsia="Calibri" w:hAnsi="Times New Roman" w:cs="Times New Roman"/>
          <w:color w:val="000000" w:themeColor="text1"/>
          <w:sz w:val="24"/>
          <w:szCs w:val="24"/>
          <w:lang w:val="en-US"/>
        </w:rPr>
        <w:t>regulations to combat climate change. Nevertheless, and as demonstrated by the 2021 UN climate change conference of the parties (COP26) in Glasgow, there has been little progress in developing and imple</w:t>
      </w:r>
      <w:r w:rsidR="008A0313" w:rsidRPr="001B6443">
        <w:rPr>
          <w:rFonts w:ascii="Times New Roman" w:eastAsia="Calibri" w:hAnsi="Times New Roman" w:cs="Times New Roman"/>
          <w:color w:val="000000" w:themeColor="text1"/>
          <w:sz w:val="24"/>
          <w:szCs w:val="24"/>
          <w:lang w:val="en-US"/>
        </w:rPr>
        <w:t>menting explicit guidelines/</w:t>
      </w:r>
      <w:r w:rsidRPr="001B6443">
        <w:rPr>
          <w:rFonts w:ascii="Times New Roman" w:eastAsia="Calibri" w:hAnsi="Times New Roman" w:cs="Times New Roman"/>
          <w:color w:val="000000" w:themeColor="text1"/>
          <w:sz w:val="24"/>
          <w:szCs w:val="24"/>
          <w:lang w:val="en-US"/>
        </w:rPr>
        <w:t>policies for businesses that could help regulators assess corporate commitments to climate change mitigation and control GHG emissions</w:t>
      </w:r>
      <w:r w:rsidR="00AA4CCF" w:rsidRPr="001B6443">
        <w:rPr>
          <w:rFonts w:ascii="Times New Roman" w:eastAsia="Calibri" w:hAnsi="Times New Roman" w:cs="Times New Roman"/>
          <w:color w:val="000000" w:themeColor="text1"/>
          <w:sz w:val="24"/>
          <w:szCs w:val="24"/>
          <w:lang w:val="en-US"/>
        </w:rPr>
        <w:t xml:space="preserve"> </w:t>
      </w:r>
      <w:r w:rsidR="00AA4CCF" w:rsidRPr="001B6443">
        <w:rPr>
          <w:rFonts w:ascii="Times New Roman" w:eastAsia="Calibri" w:hAnsi="Times New Roman" w:cs="Times New Roman"/>
          <w:color w:val="000000" w:themeColor="text1"/>
          <w:sz w:val="24"/>
          <w:szCs w:val="24"/>
          <w:lang w:val="en-US"/>
        </w:rPr>
        <w:fldChar w:fldCharType="begin" w:fldLock="1"/>
      </w:r>
      <w:r w:rsidR="00AA4CCF" w:rsidRPr="001B6443">
        <w:rPr>
          <w:rFonts w:ascii="Times New Roman" w:eastAsia="Calibri" w:hAnsi="Times New Roman" w:cs="Times New Roman"/>
          <w:color w:val="000000" w:themeColor="text1"/>
          <w:sz w:val="24"/>
          <w:szCs w:val="24"/>
          <w:lang w:val="en-US"/>
        </w:rPr>
        <w:instrText>ADDIN CSL_CITATION {"citationItems":[{"id":"ITEM-1","itemData":{"author":[{"dropping-particle":"","family":"Climate Change Committee","given":"","non-dropping-particle":"","parse-names":false,"suffix":""}],"id":"ITEM-1","issued":{"date-parts":[["2021"]]},"publisher-place":"London","title":"COP26 : Key outcomes and next steps for the UK","type":"report"},"uris":["http://www.mendeley.com/documents/?uuid=7c7e8e07-c4fa-405a-93ed-64e9d688eac4"]}],"mendeley":{"formattedCitation":"(Climate Change Committee 2021)","plainTextFormattedCitation":"(Climate Change Committee 2021)","previouslyFormattedCitation":"(Climate Change Committee 2021)"},"properties":{"noteIndex":0},"schema":"https://github.com/citation-style-language/schema/raw/master/csl-citation.json"}</w:instrText>
      </w:r>
      <w:r w:rsidR="00AA4CCF" w:rsidRPr="001B6443">
        <w:rPr>
          <w:rFonts w:ascii="Times New Roman" w:eastAsia="Calibri" w:hAnsi="Times New Roman" w:cs="Times New Roman"/>
          <w:color w:val="000000" w:themeColor="text1"/>
          <w:sz w:val="24"/>
          <w:szCs w:val="24"/>
          <w:lang w:val="en-US"/>
        </w:rPr>
        <w:fldChar w:fldCharType="separate"/>
      </w:r>
      <w:r w:rsidR="00AA4CCF" w:rsidRPr="001B6443">
        <w:rPr>
          <w:rFonts w:ascii="Times New Roman" w:eastAsia="Calibri" w:hAnsi="Times New Roman" w:cs="Times New Roman"/>
          <w:noProof/>
          <w:color w:val="000000" w:themeColor="text1"/>
          <w:sz w:val="24"/>
          <w:szCs w:val="24"/>
          <w:lang w:val="en-US"/>
        </w:rPr>
        <w:t>(Climate Change Committee 2021)</w:t>
      </w:r>
      <w:r w:rsidR="00AA4CCF" w:rsidRPr="001B6443">
        <w:rPr>
          <w:rFonts w:ascii="Times New Roman" w:eastAsia="Calibri" w:hAnsi="Times New Roman" w:cs="Times New Roman"/>
          <w:color w:val="000000" w:themeColor="text1"/>
          <w:sz w:val="24"/>
          <w:szCs w:val="24"/>
          <w:lang w:val="en-US"/>
        </w:rPr>
        <w:fldChar w:fldCharType="end"/>
      </w:r>
      <w:r w:rsidR="00C87B78" w:rsidRPr="001B6443">
        <w:rPr>
          <w:rFonts w:ascii="Times New Roman" w:eastAsia="Calibri" w:hAnsi="Times New Roman" w:cs="Times New Roman"/>
          <w:color w:val="000000" w:themeColor="text1"/>
          <w:sz w:val="24"/>
          <w:szCs w:val="24"/>
          <w:lang w:val="en-US"/>
        </w:rPr>
        <w:t xml:space="preserve">. </w:t>
      </w:r>
      <w:r w:rsidR="008718D3" w:rsidRPr="001B6443">
        <w:rPr>
          <w:rFonts w:ascii="Times New Roman" w:eastAsia="Calibri" w:hAnsi="Times New Roman" w:cs="Times New Roman"/>
          <w:color w:val="000000" w:themeColor="text1"/>
          <w:sz w:val="24"/>
          <w:szCs w:val="24"/>
          <w:lang w:val="en-US"/>
        </w:rPr>
        <w:t>Consequently, this study seeks to explore how global companies, operating in different jurisdictions with different environmental regulations and stakeholder pressures, respond to climate change risks/threats.</w:t>
      </w:r>
    </w:p>
    <w:p w14:paraId="0D57989D" w14:textId="77777777" w:rsidR="00A81EAD" w:rsidRPr="001B6443" w:rsidRDefault="00A81EAD" w:rsidP="00EC5A9C">
      <w:pPr>
        <w:spacing w:after="0" w:line="480" w:lineRule="auto"/>
        <w:jc w:val="both"/>
        <w:rPr>
          <w:rFonts w:ascii="Times New Roman" w:eastAsia="Calibri" w:hAnsi="Times New Roman" w:cs="Times New Roman"/>
          <w:b/>
          <w:color w:val="000000" w:themeColor="text1"/>
          <w:sz w:val="24"/>
          <w:szCs w:val="24"/>
          <w:lang w:val="en-US"/>
        </w:rPr>
      </w:pPr>
    </w:p>
    <w:p w14:paraId="6653DB15" w14:textId="77777777" w:rsidR="00EC5A9C" w:rsidRPr="001B6443" w:rsidRDefault="006F2B36" w:rsidP="00590520">
      <w:pPr>
        <w:pStyle w:val="ListParagraph"/>
        <w:numPr>
          <w:ilvl w:val="0"/>
          <w:numId w:val="5"/>
        </w:num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lang w:val="en-US" w:eastAsia="ru-RU"/>
        </w:rPr>
      </w:pPr>
      <w:r w:rsidRPr="001B6443">
        <w:rPr>
          <w:rFonts w:ascii="Times New Roman" w:eastAsia="Times New Roman" w:hAnsi="Times New Roman" w:cs="Times New Roman"/>
          <w:b/>
          <w:bCs/>
          <w:color w:val="000000" w:themeColor="text1"/>
          <w:kern w:val="36"/>
          <w:sz w:val="24"/>
          <w:szCs w:val="24"/>
          <w:lang w:val="en-US" w:eastAsia="ru-RU"/>
        </w:rPr>
        <w:t>Theoretical framework</w:t>
      </w:r>
    </w:p>
    <w:p w14:paraId="78631EC2" w14:textId="77777777" w:rsidR="004D157D" w:rsidRPr="001B6443" w:rsidRDefault="00865E92"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As we explore </w:t>
      </w:r>
      <w:r w:rsidR="0090528A" w:rsidRPr="001B6443">
        <w:rPr>
          <w:rFonts w:ascii="Times New Roman" w:eastAsia="Calibri" w:hAnsi="Times New Roman" w:cs="Times New Roman"/>
          <w:color w:val="000000" w:themeColor="text1"/>
          <w:sz w:val="24"/>
          <w:szCs w:val="24"/>
          <w:lang w:val="en-US"/>
        </w:rPr>
        <w:t xml:space="preserve">the </w:t>
      </w:r>
      <w:r w:rsidRPr="001B6443">
        <w:rPr>
          <w:rFonts w:ascii="Times New Roman" w:eastAsia="Calibri" w:hAnsi="Times New Roman" w:cs="Times New Roman"/>
          <w:color w:val="000000" w:themeColor="text1"/>
          <w:sz w:val="24"/>
          <w:szCs w:val="24"/>
          <w:lang w:val="en-US"/>
        </w:rPr>
        <w:t xml:space="preserve">associations among BSCOM, CCPE, </w:t>
      </w:r>
      <w:r w:rsidR="00482A5A" w:rsidRPr="001B6443">
        <w:rPr>
          <w:rFonts w:ascii="Times New Roman" w:eastAsia="Calibri" w:hAnsi="Times New Roman" w:cs="Times New Roman"/>
          <w:color w:val="000000" w:themeColor="text1"/>
          <w:sz w:val="24"/>
          <w:szCs w:val="24"/>
          <w:lang w:val="en-US"/>
        </w:rPr>
        <w:t>PCCIs, and MV</w:t>
      </w:r>
      <w:r w:rsidRPr="001B6443">
        <w:rPr>
          <w:rFonts w:ascii="Times New Roman" w:eastAsia="Calibri" w:hAnsi="Times New Roman" w:cs="Times New Roman"/>
          <w:color w:val="000000" w:themeColor="text1"/>
          <w:sz w:val="24"/>
          <w:szCs w:val="24"/>
          <w:lang w:val="en-US"/>
        </w:rPr>
        <w:t xml:space="preserve">, we deem it appropriate to draw insights </w:t>
      </w:r>
      <w:r w:rsidR="00CD718B" w:rsidRPr="001B6443">
        <w:rPr>
          <w:rFonts w:ascii="Times New Roman" w:eastAsia="Calibri" w:hAnsi="Times New Roman" w:cs="Times New Roman"/>
          <w:color w:val="000000" w:themeColor="text1"/>
          <w:sz w:val="24"/>
          <w:szCs w:val="24"/>
          <w:lang w:val="en-US"/>
        </w:rPr>
        <w:t xml:space="preserve">from </w:t>
      </w:r>
      <w:r w:rsidRPr="001B6443">
        <w:rPr>
          <w:rFonts w:ascii="Times New Roman" w:eastAsia="Calibri" w:hAnsi="Times New Roman" w:cs="Times New Roman"/>
          <w:color w:val="000000" w:themeColor="text1"/>
          <w:sz w:val="24"/>
          <w:szCs w:val="24"/>
          <w:lang w:val="en-US"/>
        </w:rPr>
        <w:t xml:space="preserve">RBV, legitimacy and stakeholder theoretical perspectives to form a dynamic multi-dimensional </w:t>
      </w:r>
      <w:r w:rsidR="00CC7799" w:rsidRPr="001B6443">
        <w:rPr>
          <w:rFonts w:ascii="Times New Roman" w:eastAsia="Calibri" w:hAnsi="Times New Roman" w:cs="Times New Roman"/>
          <w:color w:val="000000" w:themeColor="text1"/>
          <w:sz w:val="24"/>
          <w:szCs w:val="24"/>
          <w:lang w:val="en-US"/>
        </w:rPr>
        <w:t xml:space="preserve">socio-economic-based </w:t>
      </w:r>
      <w:r w:rsidRPr="001B6443">
        <w:rPr>
          <w:rFonts w:ascii="Times New Roman" w:eastAsia="Calibri" w:hAnsi="Times New Roman" w:cs="Times New Roman"/>
          <w:color w:val="000000" w:themeColor="text1"/>
          <w:sz w:val="24"/>
          <w:szCs w:val="24"/>
          <w:lang w:val="en-US"/>
        </w:rPr>
        <w:t>theoretical framework</w:t>
      </w:r>
      <w:r w:rsidR="00CD718B" w:rsidRPr="001B6443">
        <w:rPr>
          <w:rFonts w:ascii="Times New Roman" w:eastAsia="Calibri" w:hAnsi="Times New Roman" w:cs="Times New Roman"/>
          <w:color w:val="000000" w:themeColor="text1"/>
          <w:sz w:val="24"/>
          <w:szCs w:val="24"/>
          <w:lang w:val="en-US"/>
        </w:rPr>
        <w:t xml:space="preserve"> to </w:t>
      </w:r>
      <w:r w:rsidR="00A676FE" w:rsidRPr="001B6443">
        <w:rPr>
          <w:rFonts w:ascii="Times New Roman" w:eastAsia="Calibri" w:hAnsi="Times New Roman" w:cs="Times New Roman"/>
          <w:color w:val="000000" w:themeColor="text1"/>
          <w:sz w:val="24"/>
          <w:szCs w:val="24"/>
          <w:lang w:val="en-US"/>
        </w:rPr>
        <w:t>inform</w:t>
      </w:r>
      <w:r w:rsidR="00CD718B" w:rsidRPr="001B6443">
        <w:rPr>
          <w:rFonts w:ascii="Times New Roman" w:eastAsia="Calibri" w:hAnsi="Times New Roman" w:cs="Times New Roman"/>
          <w:color w:val="000000" w:themeColor="text1"/>
          <w:sz w:val="24"/>
          <w:szCs w:val="24"/>
          <w:lang w:val="en-US"/>
        </w:rPr>
        <w:t xml:space="preserve"> our analysis</w:t>
      </w:r>
      <w:r w:rsidRPr="001B6443">
        <w:rPr>
          <w:rFonts w:ascii="Times New Roman" w:eastAsia="Calibri" w:hAnsi="Times New Roman" w:cs="Times New Roman"/>
          <w:color w:val="000000" w:themeColor="text1"/>
          <w:sz w:val="24"/>
          <w:szCs w:val="24"/>
          <w:lang w:val="en-US"/>
        </w:rPr>
        <w:t xml:space="preserve">.  In this case, </w:t>
      </w:r>
      <w:r w:rsidR="00CC7799" w:rsidRPr="001B6443">
        <w:rPr>
          <w:rFonts w:ascii="Times New Roman" w:eastAsia="Calibri" w:hAnsi="Times New Roman" w:cs="Times New Roman"/>
          <w:color w:val="000000" w:themeColor="text1"/>
          <w:sz w:val="24"/>
          <w:szCs w:val="24"/>
          <w:lang w:val="en-US"/>
        </w:rPr>
        <w:t>t</w:t>
      </w:r>
      <w:r w:rsidR="00EC5A9C" w:rsidRPr="001B6443">
        <w:rPr>
          <w:rFonts w:ascii="Times New Roman" w:eastAsia="Calibri" w:hAnsi="Times New Roman" w:cs="Times New Roman"/>
          <w:color w:val="000000" w:themeColor="text1"/>
          <w:sz w:val="24"/>
          <w:szCs w:val="24"/>
          <w:lang w:val="en-US"/>
        </w:rPr>
        <w:t xml:space="preserve">he RBV suggests that a firm’s competitive advantage evolves from essential resources that are valuable, rare, inimitable, and difficult to substitute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{"citationItems":[{"id":"ITEM-1","itemData":{"DOI":"10.1177/014920639101700108","ISSN":"15571211","abstract":"Understanding sources of sustained competitive advantage has become a major area of research in strategic management. Building on the assumptions that strategic resources are heterogeneously distributed acrossfirms and that these differences are stable over time, this article examines the link betweenfirm resources and sustained competitive advantage. Four empirical indicators of the potential of firm resources to generate sustained competitive advantage-value, rareness, imitability, and substitutability-are discussed. The model is applied by analyzing the potential of severalfirm resourcesfor generating sustained competitive advantages. The article concludes by examining implications of this firm resource model of sustained competitive advantage for other business disciplines. © 1991, Sage Publications. All rights reserved.","author":[{"dropping-particle":"","family":"Barney","given":"Jay","non-dropping-particle":"","parse-names":false,"suffix":""}],"container-title":"Journal of Management","id":"ITEM-1","issue":"1","issued":{"date-parts":[["1991"]]},"page":"99-120","title":"Firm Resources and Sustained Competitive Advantage","type":"article-journal","volume":"17"},"uris":["http://www.mendeley.com/documents/?uuid=8ca03251-4ff2-390e-9a2e-4d3115dd0206"]}],"mendeley":{"formattedCitation":"(Barney 1991)","manualFormatting":"(Barney, 1991)","plainTextFormattedCitation":"(Barney 1991)","previouslyFormattedCitation":"(Barney 1991)"},"properties":{"noteIndex":0},"schema":"https://github.com/citation-style-language/schema/raw/master/csl-citation.json"}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(Barney, 1991)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These resources include physical assets, financial resources, human capital, and organizational processes that may develop unique capabilities and competencies that are instrumental to competitive advantage and </w:t>
      </w:r>
      <w:r w:rsidR="00962469" w:rsidRPr="001B6443">
        <w:rPr>
          <w:rFonts w:ascii="Times New Roman" w:eastAsia="Calibri" w:hAnsi="Times New Roman" w:cs="Times New Roman"/>
          <w:color w:val="000000" w:themeColor="text1"/>
          <w:sz w:val="24"/>
          <w:szCs w:val="24"/>
          <w:lang w:val="en-US"/>
        </w:rPr>
        <w:t>increased</w:t>
      </w:r>
      <w:r w:rsidR="00EC5A9C" w:rsidRPr="001B6443">
        <w:rPr>
          <w:rFonts w:ascii="Times New Roman" w:eastAsia="Calibri" w:hAnsi="Times New Roman" w:cs="Times New Roman"/>
          <w:color w:val="000000" w:themeColor="text1"/>
          <w:sz w:val="24"/>
          <w:szCs w:val="24"/>
          <w:lang w:val="en-US"/>
        </w:rPr>
        <w:t xml:space="preserve"> MV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{"citationItems":[{"id":"ITEM-1","itemData":{"DOI":"10.1177/0007650315578450","ISSN":"15524205","abstract":"Effective public policy to mitigate climate change footprints should build on data-driven analysis of firm-level strategies. This article’s conceptual approach augments the resource-based view (RBV) of the firm and identifies investments in four firm-level resource domains (Governance, Information management, Systems, and Technology [GISTe]) to develop capabilities in climate change impact mitigation. The authors denote the resulting framework as the GISTe model, which frames their analysis and public policy recommendations. This research uses the 2008 Carbon Disclosure Project (CDP) database, with high-quality information on firm-level climate change strategies for 552 companies from North America and Europe. In contrast to the widely accepted myth that European firms are performing better than North American ones, the authors find a different result. Many firms, whether European or North American, do not just “talk” about climate change impact mitigation, but actually do “walk the talk.” European firms appear to be better than their North American counterparts in “walk I,” denoting attention to governance, information management, and systems. But when it comes down to “walk II,” meaning actual Technology-related investments, North American firms’ performance is equal or superior to that of the European companies. The authors formulate public policy recommendations to accelerate firm-level, sector-level, and cluster-level implementation of climate change strategies.","author":[{"dropping-particle":"","family":"Backman","given":"Charles A.","non-dropping-particle":"","parse-names":false,"suffix":""},{"dropping-particle":"","family":"Verbeke","given":"Alain","non-dropping-particle":"","parse-names":false,"suffix":""},{"dropping-particle":"","family":"Schulz","given":"Robert A.","non-dropping-particle":"","parse-names":false,"suffix":""}],"container-title":"Business and Society","id":"ITEM-1","issue":"4","issued":{"date-parts":[["2017","4","1"]]},"page":"545-575","publisher":"SAGE Publications Ltd","title":"The Drivers of Corporate Climate Change Strategies and Public Policy: A New Resource-Based View Perspective","type":"article-journal","volume":"56"},"uris":["http://www.mendeley.com/documents/?uuid=134f90f7-17e3-3b6f-80f8-48b805e8b8ec"]}],"mendeley":{"formattedCitation":"(Backman et al. 2017)","manualFormatting":"(Backman, Verbeke and Schulz, 2017)","plainTextFormattedCitation":"(Backman et al. 2017)","previouslyFormattedCitation":"(Backman et al. 2017)"},"properties":{"noteIndex":0},"schema":"https://github.com/citation-style-language/schema/raw/master/csl-citation.json"}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(Backman, Verbeke and Schulz, 2017)</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The adapted RBV concept to climate change suggests that firms can improve environmental performance and sustain competitive advantage by adopting proactive environmental strategies that require unique resources and capabilities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{"citationItems":[{"id":"ITEM-1","itemData":{"abstract":"Historically, management theory has ignored the constraints imposed by the biophysical (natural) environment. Building upon resource- based theory, this article attempts to fill this void by proposing a natural-resource-based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advantage.","author":[{"dropping-particle":"","family":"Hart","given":"Stuart L","non-dropping-particle":"","parse-names":false,"suffix":""}],"container-title":"Academy of Management Review","id":"ITEM-1","issue":"4","issued":{"date-parts":[["1995"]]},"page":"986-1014","title":"A Natural-Resource-Based View of the Firm","type":"article-journal","volume":"20"},"uris":["http://www.mendeley.com/documents/?uuid=fe55d63c-fc52-4378-b50a-b52ca0752a36"]}],"mendeley":{"formattedCitation":"(Hart 1995)","manualFormatting":"(Hart, 1995)","plainTextFormattedCitation":"(Hart 1995)","previouslyFormattedCitation":"(Hart 1995)"},"properties":{"noteIndex":0},"schema":"https://github.com/citation-style-language/schema/raw/master/csl-citation.json"}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(Hart, 1995)</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In particular, the adoption of PCCIs can enhance economic efficiency, reduce operating and litigation costs, mitigate business risks, strengthen stakeholder relationships, and create sustainable advantage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{"citationItems":[{"id":"ITEM-1","itemData":{"DOI":"10.1177/0149206310390219","ISSN":"01492063","abstract":"The authors revisit Hart's natural-resource-based view (NRBV) of the firm and summarize progress that has been made in testing elements of that theory and reevaluate the NRBV in light of a number of important developments that have emerged in recent years in both the resource-based view literature and in research on sustainable enterprise. First, the authors consider how the NRBV can both benefit from recent work in dynamic capabilities and can itself inform such work. Second, they review recent research in the areas of clean technology and business at the base of the pyramid and suggest how the NRBV can help inform research on the resources and capabilities needed to enter and succeed in these domains. © The Author(s) 2011.","author":[{"dropping-particle":"","family":"Hart","given":"Stuart L.","non-dropping-particle":"","parse-names":false,"suffix":""},{"dropping-particle":"","family":"Dowell","given":"Glen","non-dropping-particle":"","parse-names":false,"suffix":""}],"container-title":"Journal of Management","id":"ITEM-1","issue":"5","issued":{"date-parts":[["2011"]]},"page":"1464-1479","title":"A natural-resource-based view of the firm: Fifteen years after","type":"article-journal","volume":"37"},"uris":["http://www.mendeley.com/documents/?uuid=6af09b55-5387-3868-a9c7-5c7f7ea525e8"]}],"mendeley":{"formattedCitation":"(Hart and Dowell 2011)","manualFormatting":"(Hart and Dowell, 2011)","plainTextFormattedCitation":"(Hart and Dowell 2011)","previouslyFormattedCitation":"(Hart and Dowell 2011)"},"properties":{"noteIndex":0},"schema":"https://github.com/citation-style-language/schema/raw/master/csl-citation.json"}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(Hart and Dowell, 2011)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PCCIs may also develop resource combinations for green innovation, prevent GHG emissions and waste, and enhance internal resilience to climate change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{"citationItems":[{"id":"ITEM-1","itemData":{"DOI":"10.1016/j.jeem.2010.04.004","ISSN":"00950696","abstract":"This paper examines the effects of firm-level innovation in carbon-abatement technologies on optimal cap-and-trade schemes with and without price controls. We characterize optimal cap-and-trade regulation with a price cap and a price floor, and compare it to the special cases of pure taxation and a simple emissions cap. Innovation shifts the tradeoff between price- and quantity-based instruments towards quantity-based emissions trading schemes. More specifically, an increase in innovation effectiveness lowers the optimal emissions cap, and leads to relaxed price controls unless the slope of the marginal environmental damage curve is small. Because of the decrease in the emissions cap, innovation in abatement technologies can lead to a higher expected carbon price, so as to provide sufficient incentives for private R&amp;D investments. The expected carbon price decreases once innovative technologies are widely used. © 2010 Elsevier Inc.","author":[{"dropping-particle":"","family":"Weber","given":"Thomas A.","non-dropping-particle":"","parse-names":false,"suffix":""},{"dropping-particle":"","family":"Neuhoff","given":"Karsten","non-dropping-particle":"","parse-names":false,"suffix":""}],"container-title":"Journal of Environmental Economics and Management","id":"ITEM-1","issue":"2","issued":{"date-parts":[["2010"]]},"page":"115-132","title":"Carbon markets and technological innovation","type":"article-journal","volume":"60"},"uris":["http://www.mendeley.com/documents/?uuid=963d5ea8-2b30-3aad-a61c-984896c86b44"]}],"mendeley":{"formattedCitation":"(Weber and Neuhoff 2010)","manualFormatting":"(Weber and Neuhoff, 2010)","plainTextFormattedCitation":"(Weber and Neuhoff 2010)","previouslyFormattedCitation":"(Weber and Neuhoff 2010)"},"properties":{"noteIndex":0},"schema":"https://github.com/citation-style-language/schema/raw/master/csl-citation.json"}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(Weber and Neuhoff, 2010)</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Hence, from the benefit aspect </w:t>
      </w:r>
      <w:r w:rsidR="00E24053" w:rsidRPr="001B6443">
        <w:rPr>
          <w:rFonts w:ascii="Times New Roman" w:eastAsia="Calibri" w:hAnsi="Times New Roman" w:cs="Times New Roman"/>
          <w:color w:val="000000" w:themeColor="text1"/>
          <w:sz w:val="24"/>
          <w:szCs w:val="24"/>
          <w:lang w:val="en-US"/>
        </w:rPr>
        <w:t>of</w:t>
      </w:r>
      <w:r w:rsidR="00EC5A9C" w:rsidRPr="001B6443">
        <w:rPr>
          <w:rFonts w:ascii="Times New Roman" w:eastAsia="Calibri" w:hAnsi="Times New Roman" w:cs="Times New Roman"/>
          <w:color w:val="000000" w:themeColor="text1"/>
          <w:sz w:val="24"/>
          <w:szCs w:val="24"/>
          <w:lang w:val="en-US"/>
        </w:rPr>
        <w:t xml:space="preserve"> RBV, firms with the advantages of valuable resources have a greater capacity to engage in PCCIs aimed at enhancing economic efficiency and gaining sustained competitive advantage, which in turn, can be positively valued by market participants </w:t>
      </w:r>
      <w:r w:rsidR="00EC5A9C"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{"citationItems":[{"id":"ITEM-1","itemData":{"abstract":"Historically, management theory has ignored the constraints imposed by the biophysical (natural) environment. Building upon resource- based theory, this article attempts to fill this void by proposing a natural-resource-based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advantage.","author":[{"dropping-particle":"","family":"Hart","given":"Stuart L","non-dropping-particle":"","parse-names":false,"suffix":""}],"container-title":"Academy of Management Review","id":"ITEM-1","issue":"4","issued":{"date-parts":[["1995"]]},"page":"986-1014","title":"A Natural-Resource-Based View of the Firm","type":"article-journal","volume":"20"},"uris":["http://www.mendeley.com/documents/?uuid=fe55d63c-fc52-4378-b50a-b52ca0752a36"]},{"id":"ITEM-2","itemData":{"DOI":"10.1080/09638180.2021.1916979","ISSN":"14684497","abstract":"Although the literature on carbon accounting is growing, studies on the valuation impact of firms’ carbon abatement investment (CAI) are scarce, and the influence of country-specific climate policies is largely underexplored. Drawing on both the benefit and cost perspectives of the resource-based view, we predict that investors’ perceptions of the net benefits of CAI are contingent on national climate policies. Based on a comparative analysis of data from the US, the UK, and Australia, we find that CAI is viewed as value-destroying by investors in countries that do not have a stringent climate change policy. In contrast, CAI enhances firm value in jurisdictions that implement such policies. Additional analyses show that investors also consider the characteristics of CAI (i.e., the size and payback period) and the act and extensiveness of voluntary CAI disclosure when evaluating firm value. Our findings fill important gaps in the literature and have critical implications for policymakers, investors, managers, and other stakeholders who are responsible for the transition to a carbon-neutral economy.","author":[{"dropping-particle":"","family":"He","given":"Rong","non-dropping-particle":"","parse-names":false,"suffix":""},{"dropping-particle":"","family":"Luo","given":"Le","non-dropping-particle":"","parse-names":false,"suffix":""},{"dropping-particle":"","family":"Shamsuddin","given":"Abul","non-dropping-particle":"","parse-names":false,"suffix":""},{"dropping-particle":"","family":"Tang","given":"Qingliang","non-dropping-particle":"","parse-names":false,"suffix":""}],"container-title":"European Accounting Review","id":"ITEM-2","issued":{"date-parts":[["2021"]]},"title":"The Value Relevance of Corporate Investment in Carbon Abatement: The Influence of National Climate Policy","type":"article-journal"},"uris":["http://www.mendeley.com/documents/?uuid=46cbf820-59f9-3119-89ba-3683db5d5ba7"]},{"id":"ITEM-3","itemData":{"DOI":"10.1111/1467-8551.12395","ISSN":"14678551","abstract":"We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Management","id":"ITEM-3","issue":"3","issued":{"date-parts":[["2020","7","1"]]},"page":"525-546","publisher":"Blackwell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 Hart 1995; He et al. 2021)","manualFormatting":"(Haque and Ntim 2020; Hart 1995; He et al., 2021)","plainTextFormattedCitation":"(Haque and Ntim 2020; Hart 1995; He et al. 2021)","previouslyFormattedCitation":"(Haque and Ntim 2020; Hart 1995; He et al. 2021)"},"properties":{"noteIndex":0},"schema":"https://github.com/citation-style-language/schema/raw/master/csl-citation.json"}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(Haque and Ntim 2020; Hart 1995; He </w:t>
      </w:r>
      <w:r w:rsidR="00EC5A9C" w:rsidRPr="001B6443">
        <w:rPr>
          <w:rFonts w:ascii="Times New Roman" w:eastAsia="Calibri" w:hAnsi="Times New Roman" w:cs="Times New Roman"/>
          <w:i/>
          <w:iCs/>
          <w:noProof/>
          <w:color w:val="000000" w:themeColor="text1"/>
          <w:sz w:val="24"/>
          <w:szCs w:val="24"/>
          <w:lang w:val="en-US"/>
        </w:rPr>
        <w:t>et al.</w:t>
      </w:r>
      <w:r w:rsidR="008F4A5E" w:rsidRPr="001B6443">
        <w:rPr>
          <w:rFonts w:ascii="Times New Roman" w:eastAsia="Calibri" w:hAnsi="Times New Roman" w:cs="Times New Roman"/>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2021)</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w:t>
      </w:r>
    </w:p>
    <w:p w14:paraId="4C6D4475" w14:textId="77777777" w:rsidR="004D157D" w:rsidRPr="001B6443" w:rsidRDefault="004D157D" w:rsidP="00EC5A9C">
      <w:pPr>
        <w:spacing w:after="0" w:line="480" w:lineRule="auto"/>
        <w:jc w:val="both"/>
        <w:rPr>
          <w:rFonts w:ascii="Times New Roman" w:eastAsia="Calibri" w:hAnsi="Times New Roman" w:cs="Times New Roman"/>
          <w:color w:val="000000" w:themeColor="text1"/>
          <w:sz w:val="24"/>
          <w:szCs w:val="24"/>
          <w:lang w:val="en-US"/>
        </w:rPr>
      </w:pPr>
    </w:p>
    <w:p w14:paraId="61FC0065" w14:textId="0D9FF456" w:rsidR="00B4327D"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However, improvements in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CCPE require substantial economic resources to implement PCCIs to have a positive effect on MV. In this reg</w:t>
      </w:r>
      <w:r w:rsidR="00E24053" w:rsidRPr="001B6443">
        <w:rPr>
          <w:rFonts w:ascii="Times New Roman" w:eastAsia="Calibri" w:hAnsi="Times New Roman" w:cs="Times New Roman"/>
          <w:color w:val="000000" w:themeColor="text1"/>
          <w:sz w:val="24"/>
          <w:szCs w:val="24"/>
          <w:lang w:val="en-US"/>
        </w:rPr>
        <w:t>ard, the cost perspective of</w:t>
      </w:r>
      <w:r w:rsidRPr="001B6443">
        <w:rPr>
          <w:rFonts w:ascii="Times New Roman" w:eastAsia="Calibri" w:hAnsi="Times New Roman" w:cs="Times New Roman"/>
          <w:color w:val="000000" w:themeColor="text1"/>
          <w:sz w:val="24"/>
          <w:szCs w:val="24"/>
          <w:lang w:val="en-US"/>
        </w:rPr>
        <w:t xml:space="preserve"> RBV suggests that engaging in PCCIs imposes high costs on any organization, and economic efficiency may be </w:t>
      </w:r>
      <w:r w:rsidRPr="001B6443">
        <w:rPr>
          <w:rFonts w:ascii="Times New Roman" w:eastAsia="Calibri" w:hAnsi="Times New Roman" w:cs="Times New Roman"/>
          <w:color w:val="000000" w:themeColor="text1"/>
          <w:sz w:val="24"/>
          <w:szCs w:val="24"/>
          <w:lang w:val="en-US"/>
        </w:rPr>
        <w:lastRenderedPageBreak/>
        <w:t xml:space="preserve">achieved gradually over longer periods of time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{"citationItems":[{"id":"ITEM-1","itemData":{"DOI":"10.1080/09638180.2021.1916979","ISSN":"14684497","abstract":"Although the literature on carbon accounting is growing, studies on the valuation impact of firms’ carbon abatement investment (CAI) are scarce, and the influence of country-specific climate policies is largely underexplored. Drawing on both the benefit and cost perspectives of the resource-based view, we predict that investors’ perceptions of the net benefits of CAI are contingent on national climate policies. Based on a comparative analysis of data from the US, the UK, and Australia, we find that CAI is viewed as value-destroying by investors in countries that do not have a stringent climate change policy. In contrast, CAI enhances firm value in jurisdictions that implement such policies. Additional analyses show that investors also consider the characteristics of CAI (i.e., the size and payback period) and the act and extensiveness of voluntary CAI disclosure when evaluating firm value. Our findings fill important gaps in the literature and have critical implications for policymakers, investors, managers, and other stakeholders who are responsible for the transition to a carbon-neutral economy.","author":[{"dropping-particle":"","family":"He","given":"Rong","non-dropping-particle":"","parse-names":false,"suffix":""},{"dropping-particle":"","family":"Luo","given":"Le","non-dropping-particle":"","parse-names":false,"suffix":""},{"dropping-particle":"","family":"Shamsuddin","given":"Abul","non-dropping-particle":"","parse-names":false,"suffix":""},{"dropping-particle":"","family":"Tang","given":"Qingliang","non-dropping-particle":"","parse-names":false,"suffix":""}],"container-title":"European Accounting Review","id":"ITEM-1","issued":{"date-parts":[["2021"]]},"title":"The Value Relevance of Corporate Investment in Carbon Abatement: The Influence of National Climate Policy","type":"article-journal"},"uris":["http://www.mendeley.com/documents/?uuid=46cbf820-59f9-3119-89ba-3683db5d5ba7"]},{"id":"ITEM-2","itemData":{"DOI":"10.1016/j.jeem.2013.04.005","ISSN":"00950696","abstract":"This paper empirically analyzes the effect of the inclusion of German corporations in the Dow Jones STOXX Sustainability Index (DJSI STOXX) and the Dow Jones Sustainability World Index (DJSI World) on stock performance. In order to receive robust estimation results, we apply an (short-term) event study approach that is based on both a modern asset pricing model, namely the three-factor model according to Fama and French [24], and additionally a t-GARCH(1,1) model. Our empirical results suggest that stock markets may penalize the inclusion of a firm in sustainability stock indexes. This finding is mainly driven by a strongly negative effect of the inclusion in the DJSI World. In contrast, we do not find significant average cumulative abnormal returns for the inclusion in the DJSI STOXX. This suggests that the inclusion in a more visible sustainability stock index may have larger negative impacts. © 2013 Elsevier Inc.","author":[{"dropping-particle":"","family":"Oberndorfer","given":"Ulrich","non-dropping-particle":"","parse-names":false,"suffix":""},{"dropping-particle":"","family":"Schmidt","given":"Peter","non-dropping-particle":"","parse-names":false,"suffix":""},{"dropping-particle":"","family":"Wagner","given":"Marcus","non-dropping-particle":"","parse-names":false,"suffix":""},{"dropping-particle":"","family":"Ziegler","given":"Andreas","non-dropping-particle":"","parse-names":false,"suffix":""}],"container-title":"Journal of Environmental Economics and Management","id":"ITEM-2","issue":"3","issued":{"date-parts":[["2013"]]},"page":"497-509","title":"Does the stock market value the inclusion in a sustainability stock index? An event study analysis for German firms","type":"article-journal","volume":"66"},"uris":["http://www.mendeley.com/documents/?uuid=e3dce1b4-2258-33ae-b669-88cf6e9bddf3"]}],"mendeley":{"formattedCitation":"(He et al. 2021; Oberndorfer et al. 2013)","manualFormatting":"(He et al., 2021; Oberndorfer et al., 2013)","plainTextFormattedCitation":"(He et al. 2021; Oberndorfer et al. 2013)","previouslyFormattedCitation":"(He et al. 2021; Oberndorfer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(He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2021; Oberndorfer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Thus, the adoption of PCCIs that require significant time, effort, and financial resources that otherwise could be invested in other profitable projects is associated with higher levels of risks and opportunity costs, and thus can damage MV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performance","type":"article-journal","volume":"50"},"uris":["http://www.mendeley.com/documents/?uuid=79af7aa9-e472-392a-9475-56fa419ffe4f"]}],"mendeley":{"formattedCitation":"(Busch and Hoffmann 2011)","manualFormatting":"(Busch and Hoffmann, 2011)","plainTextFormattedCitation":"(Busch and Hoffmann 2011)","previouslyFormattedCitation":"(Busch and Hoffmann 2011)"},"properties":{"noteIndex":0},"schema":"https://github.com/citation-style-language/schema/raw/master/csl-citation.json"}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(Busch and Hoffmann, 2011)</w:t>
      </w:r>
      <w:r w:rsidRPr="001B6443">
        <w:rPr>
          <w:rFonts w:ascii="Times New Roman" w:eastAsia="Calibri" w:hAnsi="Times New Roman" w:cs="Times New Roman"/>
          <w:color w:val="000000" w:themeColor="text1"/>
          <w:sz w:val="24"/>
          <w:szCs w:val="24"/>
          <w:lang w:val="en-US"/>
        </w:rPr>
        <w:fldChar w:fldCharType="end"/>
      </w:r>
      <w:r w:rsidR="00B4327D" w:rsidRPr="001B6443">
        <w:rPr>
          <w:rFonts w:ascii="Times New Roman" w:eastAsia="Calibri" w:hAnsi="Times New Roman" w:cs="Times New Roman"/>
          <w:color w:val="000000" w:themeColor="text1"/>
          <w:sz w:val="24"/>
          <w:szCs w:val="24"/>
          <w:lang w:val="en-US"/>
        </w:rPr>
        <w:t xml:space="preserve">. </w:t>
      </w:r>
    </w:p>
    <w:p w14:paraId="177B82DD" w14:textId="77777777" w:rsidR="00B4327D" w:rsidRPr="001B6443" w:rsidRDefault="00B4327D" w:rsidP="00EC5A9C">
      <w:pPr>
        <w:spacing w:after="0" w:line="480" w:lineRule="auto"/>
        <w:jc w:val="both"/>
        <w:rPr>
          <w:rFonts w:ascii="Times New Roman" w:eastAsia="Calibri" w:hAnsi="Times New Roman" w:cs="Times New Roman"/>
          <w:color w:val="000000" w:themeColor="text1"/>
          <w:sz w:val="24"/>
          <w:szCs w:val="24"/>
          <w:lang w:val="en-US"/>
        </w:rPr>
      </w:pPr>
    </w:p>
    <w:p w14:paraId="2F5E0937" w14:textId="1BA802AE" w:rsidR="00B4327D"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The legitimacy view postulates that firms should align their business activities with the social values of society in which they operate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{"citationItems":[{"id":"ITEM-1","itemData":{"DOI":"10.1108/09513570210435852","ISBN":"0951357021043","ISSN":"0951-3574","PMID":"211212442","abstract":"This paper serves as an introduction to this special issue of Accounting, Auditing &amp; Accountability Journal; an issue which embraces themes associated with social and environmental reporting (SAR) and its role in maintaining or creating organisational legitimacy. In an effort to place this research in context the paper begins by making reference to contemporary trends occurring in social and environmental accounting research generally, and this is then followed by an overview of some of the many research questions which are currently being addressed in the area. Understanding motivations for disclosure is shown to be one of the issues attracting considerable research attention, and the desire to legitimise an organisation's operations is in turn shown to be one of the many possible motivations. This role of legitimacy theory in explaining managers'decisions is then discussed motivations. The role of legitimacy theory, as it is currently used, must still be considered to be a relatively under-developed theory of managerial behaviour. Nevertheless, it is argued that the theory provides useful insights. Finally, the paper indicates how the other papers in this issue of AAAJ contribute to the ongoing development of legitimacy theory in SAR research.","author":[{"dropping-particle":"","family":"Deegan","given":"Craig","non-dropping-particle":"","parse-names":false,"suffix":""}],"container-title":"Accounting, Auditing &amp; Accountability Journal","id":"ITEM-1","issue":"3","issued":{"date-parts":[["2002"]]},"page":"282-311","title":"The legitimising effect of social and environmental disclosures – a theoretical foundation","type":"article-journal","volume":"15"},"uris":["http://www.mendeley.com/documents/?uuid=20db2159-4335-4b52-9d95-3358fcfd973d"]},{"id":"ITEM-2","itemData":{"DOI":"10.1086/226550","ISBN":"0226677087","ISSN":"0002-9602","PMID":"11343720","abstract":"JSTOR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Many formal organizational structures arise as reflections of ratio-nalized institutional rules. The elaboration of such rules in modern states and societies accounts in part for the expansion and increased complexity of formal organizational structures. Institutional rules function as myths which organizations incorporate, gaining legitimacy, resources, stability, and enhanced survival prospects. Organizations whose structures become isomorphic with the myths of the institu-tional environment-in contrast with those primarily structured by the demands of technical production and exchange-decrease internal coordination and control in order to maintain legitimacy. Structures are decoupled from each other and from ongoing activities. In place of coordination, inspection, and evaluation, a logic of confidence and good faith is employed. Formal organizations are generally understood to be systems of coordinated","author":[{"dropping-particle":"","family":"Meyer","given":"John W.","non-dropping-particle":"","parse-names":false,"suffix":""},{"dropping-particle":"","family":"Rowan","given":"Brian","non-dropping-particle":"","parse-names":false,"suffix":""}],"container-title":"American Journal of Sociology","id":"ITEM-2","issue":"2","issued":{"date-parts":[["1977"]]},"page":"340-363","title":"Institutionalized Organizations: Formal Structure as Myth and Ceremony","type":"article-journal","volume":"83"},"uris":["http://www.mendeley.com/documents/?uuid=d36c00b0-d5d4-4783-92ec-8845affb3ddb"]}],"mendeley":{"formattedCitation":"(Deegan 2002; Meyer and Rowan 1977)","manualFormatting":"(Deegan, 2002; Meyer and Rowan, 1977)","plainTextFormattedCitation":"(Deegan 2002; Meyer and Rowan 1977)","previouslyFormattedCitation":"(Deegan 2002; Meyer and Rowan 1977)"},"properties":{"noteIndex":0},"schema":"https://github.com/citation-style-language/schema/raw/master/csl-citation.json"}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(Deegan, 2002; Meyer and Rowan, 1977)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Legitimacy, therefore, refers to the degree to which various stakeholders regard the actions of an organization as desirable, proper, and useful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{"citationItems":[{"id":"ITEM-1","itemData":{"DOI":"10.5465/amr.1995.9508080331","ISSN":"0363-7425","abstract":"This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manipulations.","author":[{"dropping-particle":"","family":"Suchman","given":"Mark C.","non-dropping-particle":"","parse-names":false,"suffix":""}],"container-title":"Academy of Management Review","id":"ITEM-1","issue":"3","issued":{"date-parts":[["1995","7"]]},"page":"571-610","publisher":"Academy of Management","title":"Managing Legitimacy: Strategic and Institutional Approaches","type":"article-journal","volume":"20"},"uris":["http://www.mendeley.com/documents/?uuid=25ac0a93-a4f3-3ed6-b29b-b56e1d429c2e"]}],"mendeley":{"formattedCitation":"(Suchman 1995)","manualFormatting":"(Suchman, 1995)","plainTextFormattedCitation":"(Suchman 1995)","previouslyFormattedCitation":"(Suchman 1995)"},"properties":{"noteIndex":0},"schema":"https://github.com/citation-style-language/schema/raw/master/csl-citation.json"}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(Suchman, 1995)</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With strong legitimacy, firms can get </w:t>
      </w:r>
      <w:r w:rsidR="00B156BF" w:rsidRPr="001B6443">
        <w:rPr>
          <w:rFonts w:ascii="Times New Roman" w:eastAsia="Calibri" w:hAnsi="Times New Roman" w:cs="Times New Roman"/>
          <w:color w:val="000000" w:themeColor="text1"/>
          <w:sz w:val="24"/>
          <w:szCs w:val="24"/>
          <w:lang w:val="en-US"/>
        </w:rPr>
        <w:t>good</w:t>
      </w:r>
      <w:r w:rsidRPr="001B6443">
        <w:rPr>
          <w:rFonts w:ascii="Times New Roman" w:eastAsia="Calibri" w:hAnsi="Times New Roman" w:cs="Times New Roman"/>
          <w:color w:val="000000" w:themeColor="text1"/>
          <w:sz w:val="24"/>
          <w:szCs w:val="24"/>
          <w:lang w:val="en-US"/>
        </w:rPr>
        <w:t xml:space="preserve"> access to economic resources, attract and retain talented employees, improve relationships with stakeholders, and compete more effectively in the market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{"citationItems":[{"id":"ITEM-1","itemData":{"DOI":"10.2307/2392573","ISBN":"2002155238","ISSN":"00018392","PMID":"22064392","abstract":"Among the most widely cited books in the social sciences, The External Control of Organizations has long been required reading for any student of organization studies. The book, reissued on its 25th anniversary as part of the Stanford Business Classics series, includes a new preface written by Jeffrey Pfeffer, which examines the legacy of this influential work in current research and its relationship to other theories. The External Control of Organizations explores how external constraints affect organizations and provides insights for designing and managing organizations to mitigate these constraints. All organizations are dependent on the environment for their survival. As the authors contend, \"it is the fact of the organization's dependence on the environment that makes the external constraint and control of organizational behavior both possible and almost inevitable.\" Organizations can either try to change their environments through political means or form interorganizational relationships to control or absorb uncertainty. This seminal book established the resource dependence approach that has informed so many other important organization theories.","author":[{"dropping-particle":"","family":"Pfeffer","given":"J.","non-dropping-particle":"","parse-names":false,"suffix":""},{"dropping-particle":"","family":"Salancik","given":"Gerald R","non-dropping-particle":"","parse-names":false,"suffix":""}],"container-title":"Harper and Row","id":"ITEM-1","issued":{"date-parts":[["1978"]]},"title":"The External Control of Organizations: A Resource Dependence Approach","type":"book"},"uris":["http://www.mendeley.com/documents/?uuid=bab162be-4e4c-37fa-8838-6bd218bad370"]},{"id":"ITEM-2","itemData":{"DOI":"10.2307/258610","ISSN":"03637425","abstract":"This article applies the convergent insights of institutional and resource dependence perspectives to the prediction of strategic responses to institutional processes. The article offers a typology of strategic responses that vary in active organizational resistance from passive conformity to proactive manipulation. Ten institutional factors are hypothesized to predict the occurrence of the alternative proposed strategies and the degree of organizational conformity or resistance to institutional pressures.","author":[{"dropping-particle":"","family":"Oliver","given":"Christine","non-dropping-particle":"","parse-names":false,"suffix":""}],"container-title":"The Academy of Management Review","id":"ITEM-2","issue":"1","issued":{"date-parts":[["1991","1"]]},"page":"145-179","publisher":"The Academy of Management","title":"Strategic responses to institutional processes","type":"article-journal","volume":"16"},"uris":["http://www.mendeley.com/documents/?uuid=480fd9f4-8cd5-3687-9528-86f2107ffc06"]}],"mendeley":{"formattedCitation":"(Oliver 1991; Pfeffer and Salancik 1978)","manualFormatting":"(Oliver, 1991; Pfeffer and Salancik, 1978)","plainTextFormattedCitation":"(Oliver 1991; Pfeffer and Salancik 1978)","previouslyFormattedCitation":"(Oliver 1991; Pfeffer and Salancik 1978)"},"properties":{"noteIndex":0},"schema":"https://github.com/citation-style-language/schema/raw/master/csl-citation.json"}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(Oliver, 1991; Pfeffer and Salancik, 1978)</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In this regard, firms seeking </w:t>
      </w:r>
      <w:r w:rsidR="00A317E8" w:rsidRPr="001B6443">
        <w:rPr>
          <w:rFonts w:ascii="Times New Roman" w:eastAsia="Calibri" w:hAnsi="Times New Roman" w:cs="Times New Roman"/>
          <w:color w:val="000000" w:themeColor="text1"/>
          <w:sz w:val="24"/>
          <w:szCs w:val="24"/>
          <w:lang w:val="en-US"/>
        </w:rPr>
        <w:t>legitimacy can be</w:t>
      </w:r>
      <w:r w:rsidRPr="001B6443">
        <w:rPr>
          <w:rFonts w:ascii="Times New Roman" w:eastAsia="Calibri" w:hAnsi="Times New Roman" w:cs="Times New Roman"/>
          <w:color w:val="000000" w:themeColor="text1"/>
          <w:sz w:val="24"/>
          <w:szCs w:val="24"/>
          <w:lang w:val="en-US"/>
        </w:rPr>
        <w:t xml:space="preserve"> motivated by sym</w:t>
      </w:r>
      <w:r w:rsidR="003E6C53" w:rsidRPr="001B6443">
        <w:rPr>
          <w:rFonts w:ascii="Times New Roman" w:eastAsia="Calibri" w:hAnsi="Times New Roman" w:cs="Times New Roman"/>
          <w:color w:val="000000" w:themeColor="text1"/>
          <w:sz w:val="24"/>
          <w:szCs w:val="24"/>
          <w:lang w:val="en-US"/>
        </w:rPr>
        <w:t>bolic (‘</w:t>
      </w:r>
      <w:r w:rsidR="000D1B08" w:rsidRPr="001B6443">
        <w:rPr>
          <w:rFonts w:ascii="Times New Roman" w:eastAsia="Calibri" w:hAnsi="Times New Roman" w:cs="Times New Roman"/>
          <w:color w:val="000000" w:themeColor="text1"/>
          <w:sz w:val="24"/>
          <w:szCs w:val="24"/>
          <w:lang w:val="en-US"/>
        </w:rPr>
        <w:t>greenwashing/</w:t>
      </w:r>
      <w:r w:rsidR="003E6C53" w:rsidRPr="001B6443">
        <w:rPr>
          <w:rFonts w:ascii="Times New Roman" w:eastAsia="Calibri" w:hAnsi="Times New Roman" w:cs="Times New Roman"/>
          <w:color w:val="000000" w:themeColor="text1"/>
          <w:sz w:val="24"/>
          <w:szCs w:val="24"/>
          <w:lang w:val="en-US"/>
        </w:rPr>
        <w:t xml:space="preserve">impression management’) </w:t>
      </w:r>
      <w:r w:rsidR="00EC5919" w:rsidRPr="001B6443">
        <w:rPr>
          <w:rFonts w:ascii="Times New Roman" w:eastAsia="Calibri" w:hAnsi="Times New Roman" w:cs="Times New Roman"/>
          <w:color w:val="000000" w:themeColor="text1"/>
          <w:sz w:val="24"/>
          <w:szCs w:val="24"/>
          <w:lang w:val="en-US"/>
        </w:rPr>
        <w:t>and/</w:t>
      </w:r>
      <w:r w:rsidR="003E6C53" w:rsidRPr="001B6443">
        <w:rPr>
          <w:rFonts w:ascii="Times New Roman" w:eastAsia="Calibri" w:hAnsi="Times New Roman" w:cs="Times New Roman"/>
          <w:color w:val="000000" w:themeColor="text1"/>
          <w:sz w:val="24"/>
          <w:szCs w:val="24"/>
          <w:lang w:val="en-US"/>
        </w:rPr>
        <w:t xml:space="preserve">or </w:t>
      </w:r>
      <w:r w:rsidRPr="001B6443">
        <w:rPr>
          <w:rFonts w:ascii="Times New Roman" w:eastAsia="Calibri" w:hAnsi="Times New Roman" w:cs="Times New Roman"/>
          <w:color w:val="000000" w:themeColor="text1"/>
          <w:sz w:val="24"/>
          <w:szCs w:val="24"/>
          <w:lang w:val="en-US"/>
        </w:rPr>
        <w:t>substantive (‘economically efficient’)</w:t>
      </w:r>
      <w:r w:rsidR="00D945E8" w:rsidRPr="001B6443">
        <w:rPr>
          <w:rFonts w:ascii="Times New Roman" w:eastAsia="Calibri" w:hAnsi="Times New Roman" w:cs="Times New Roman"/>
          <w:color w:val="000000" w:themeColor="text1"/>
          <w:sz w:val="24"/>
          <w:szCs w:val="24"/>
          <w:lang w:val="en-US"/>
        </w:rPr>
        <w:t xml:space="preserve"> legitim</w:t>
      </w:r>
      <w:r w:rsidR="006F2B36" w:rsidRPr="001B6443">
        <w:rPr>
          <w:rFonts w:ascii="Times New Roman" w:eastAsia="Calibri" w:hAnsi="Times New Roman" w:cs="Times New Roman"/>
          <w:color w:val="000000" w:themeColor="text1"/>
          <w:sz w:val="24"/>
          <w:szCs w:val="24"/>
          <w:lang w:val="en-US"/>
        </w:rPr>
        <w:t>ation strategies</w:t>
      </w:r>
      <w:r w:rsidRPr="001B6443">
        <w:rPr>
          <w:rFonts w:ascii="Times New Roman" w:eastAsia="Calibri" w:hAnsi="Times New Roman" w:cs="Times New Roman"/>
          <w:color w:val="000000" w:themeColor="text1"/>
          <w:sz w:val="24"/>
          <w:szCs w:val="24"/>
          <w:lang w:val="en-US"/>
        </w:rPr>
        <w:t>.</w:t>
      </w:r>
      <w:r w:rsidR="006F2B36" w:rsidRPr="001B6443">
        <w:rPr>
          <w:rFonts w:ascii="Times New Roman" w:eastAsia="Calibri" w:hAnsi="Times New Roman" w:cs="Times New Roman"/>
          <w:color w:val="000000" w:themeColor="text1"/>
          <w:sz w:val="24"/>
          <w:szCs w:val="24"/>
          <w:lang w:val="en-US"/>
        </w:rPr>
        <w:t xml:space="preserve"> </w:t>
      </w:r>
      <w:r w:rsidR="001176CB" w:rsidRPr="001B6443">
        <w:rPr>
          <w:rFonts w:ascii="Times New Roman" w:eastAsia="Calibri" w:hAnsi="Times New Roman" w:cs="Times New Roman"/>
          <w:color w:val="000000" w:themeColor="text1"/>
          <w:sz w:val="24"/>
          <w:szCs w:val="24"/>
          <w:lang w:val="en-US"/>
        </w:rPr>
        <w:t xml:space="preserve">Symbolic strategies </w:t>
      </w:r>
      <w:r w:rsidR="00D06B47" w:rsidRPr="001B6443">
        <w:rPr>
          <w:rFonts w:ascii="Times New Roman" w:eastAsia="Calibri" w:hAnsi="Times New Roman" w:cs="Times New Roman"/>
          <w:color w:val="000000" w:themeColor="text1"/>
          <w:sz w:val="24"/>
          <w:szCs w:val="24"/>
          <w:lang w:val="en-US"/>
        </w:rPr>
        <w:t xml:space="preserve">drive a firm’s engagement in </w:t>
      </w:r>
      <w:r w:rsidR="001176CB" w:rsidRPr="001B6443">
        <w:rPr>
          <w:rFonts w:ascii="Times New Roman" w:eastAsia="Calibri" w:hAnsi="Times New Roman" w:cs="Times New Roman"/>
          <w:color w:val="000000" w:themeColor="text1"/>
          <w:sz w:val="24"/>
          <w:szCs w:val="24"/>
          <w:lang w:val="en-US"/>
        </w:rPr>
        <w:t xml:space="preserve">superficial impressions </w:t>
      </w:r>
      <w:r w:rsidR="00D06B47" w:rsidRPr="001B6443">
        <w:rPr>
          <w:rFonts w:ascii="Times New Roman" w:eastAsia="Calibri" w:hAnsi="Times New Roman" w:cs="Times New Roman"/>
          <w:color w:val="000000" w:themeColor="text1"/>
          <w:sz w:val="24"/>
          <w:szCs w:val="24"/>
          <w:lang w:val="en-US"/>
        </w:rPr>
        <w:t xml:space="preserve">to </w:t>
      </w:r>
      <w:r w:rsidR="00AF0D30" w:rsidRPr="001B6443">
        <w:rPr>
          <w:rFonts w:ascii="Times New Roman" w:eastAsia="Calibri" w:hAnsi="Times New Roman" w:cs="Times New Roman"/>
          <w:color w:val="000000" w:themeColor="text1"/>
          <w:sz w:val="24"/>
          <w:szCs w:val="24"/>
          <w:lang w:val="en-US"/>
        </w:rPr>
        <w:t xml:space="preserve">manage stakeholders concerns on sustainability-related issues </w:t>
      </w:r>
      <w:r w:rsidR="00D94F91" w:rsidRPr="001B6443">
        <w:rPr>
          <w:rFonts w:ascii="Times New Roman" w:eastAsia="Calibri" w:hAnsi="Times New Roman" w:cs="Times New Roman"/>
          <w:color w:val="000000" w:themeColor="text1"/>
          <w:sz w:val="24"/>
          <w:szCs w:val="24"/>
          <w:lang w:val="en-US"/>
        </w:rPr>
        <w:t>rather than to bring meanin</w:t>
      </w:r>
      <w:r w:rsidR="00367F93" w:rsidRPr="001B6443">
        <w:rPr>
          <w:rFonts w:ascii="Times New Roman" w:eastAsia="Calibri" w:hAnsi="Times New Roman" w:cs="Times New Roman"/>
          <w:color w:val="000000" w:themeColor="text1"/>
          <w:sz w:val="24"/>
          <w:szCs w:val="24"/>
          <w:lang w:val="en-US"/>
        </w:rPr>
        <w:t xml:space="preserve">gful improvements in </w:t>
      </w:r>
      <w:r w:rsidR="00A102D6" w:rsidRPr="001B6443">
        <w:rPr>
          <w:rFonts w:ascii="Times New Roman" w:eastAsia="Calibri" w:hAnsi="Times New Roman" w:cs="Times New Roman"/>
          <w:color w:val="000000" w:themeColor="text1"/>
          <w:sz w:val="24"/>
          <w:szCs w:val="24"/>
          <w:lang w:val="en-US"/>
        </w:rPr>
        <w:t xml:space="preserve">environmental/social </w:t>
      </w:r>
      <w:r w:rsidR="00D94F91" w:rsidRPr="001B6443">
        <w:rPr>
          <w:rFonts w:ascii="Times New Roman" w:eastAsia="Calibri" w:hAnsi="Times New Roman" w:cs="Times New Roman"/>
          <w:color w:val="000000" w:themeColor="text1"/>
          <w:sz w:val="24"/>
          <w:szCs w:val="24"/>
          <w:lang w:val="en-US"/>
        </w:rPr>
        <w:t>outcomes</w:t>
      </w:r>
      <w:r w:rsidR="00A317E8" w:rsidRPr="001B6443">
        <w:rPr>
          <w:rFonts w:ascii="Times New Roman" w:eastAsia="Calibri" w:hAnsi="Times New Roman" w:cs="Times New Roman"/>
          <w:color w:val="000000" w:themeColor="text1"/>
          <w:sz w:val="24"/>
          <w:szCs w:val="24"/>
          <w:lang w:val="en-US"/>
        </w:rPr>
        <w:t xml:space="preserve"> </w:t>
      </w:r>
      <w:r w:rsidR="00A317E8" w:rsidRPr="001B6443">
        <w:rPr>
          <w:rFonts w:ascii="Times New Roman" w:eastAsia="Calibri" w:hAnsi="Times New Roman" w:cs="Times New Roman"/>
          <w:color w:val="000000" w:themeColor="text1"/>
          <w:sz w:val="24"/>
          <w:szCs w:val="24"/>
          <w:lang w:val="en-US"/>
        </w:rPr>
        <w:fldChar w:fldCharType="begin" w:fldLock="1"/>
      </w:r>
      <w:r w:rsidR="00A317E8"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Legitimation","type":"article-journal","volume":"1"},"uris":["http://www.mendeley.com/documents/?uuid=a1aab867-9285-30e6-b578-fd33459eb118"]}],"mendeley":{"formattedCitation":"(Ashforth and Gibbs 1990)","manualFormatting":"(Ashforth and Gibbs, 1990)","plainTextFormattedCitation":"(Ashforth and Gibbs 1990)","previouslyFormattedCitation":"(Ashforth and Gibbs 1990)"},"properties":{"noteIndex":0},"schema":"https://github.com/citation-style-language/schema/raw/master/csl-citation.json"}</w:instrText>
      </w:r>
      <w:r w:rsidR="00A317E8" w:rsidRPr="001B6443">
        <w:rPr>
          <w:rFonts w:ascii="Times New Roman" w:eastAsia="Calibri" w:hAnsi="Times New Roman" w:cs="Times New Roman"/>
          <w:color w:val="000000" w:themeColor="text1"/>
          <w:sz w:val="24"/>
          <w:szCs w:val="24"/>
          <w:lang w:val="en-US"/>
        </w:rPr>
        <w:fldChar w:fldCharType="separate"/>
      </w:r>
      <w:r w:rsidR="00A317E8" w:rsidRPr="001B6443">
        <w:rPr>
          <w:rFonts w:ascii="Times New Roman" w:eastAsia="Calibri" w:hAnsi="Times New Roman" w:cs="Times New Roman"/>
          <w:noProof/>
          <w:color w:val="000000" w:themeColor="text1"/>
          <w:sz w:val="24"/>
          <w:szCs w:val="24"/>
          <w:lang w:val="en-US"/>
        </w:rPr>
        <w:t>(Ashforth and Gibbs, 1990)</w:t>
      </w:r>
      <w:r w:rsidR="00A317E8" w:rsidRPr="001B6443">
        <w:rPr>
          <w:rFonts w:ascii="Times New Roman" w:eastAsia="Calibri" w:hAnsi="Times New Roman" w:cs="Times New Roman"/>
          <w:color w:val="000000" w:themeColor="text1"/>
          <w:sz w:val="24"/>
          <w:szCs w:val="24"/>
          <w:lang w:val="en-US"/>
        </w:rPr>
        <w:fldChar w:fldCharType="end"/>
      </w:r>
      <w:r w:rsidR="00D94F91" w:rsidRPr="001B6443">
        <w:rPr>
          <w:rFonts w:ascii="Times New Roman" w:eastAsia="Calibri" w:hAnsi="Times New Roman" w:cs="Times New Roman"/>
          <w:color w:val="000000" w:themeColor="text1"/>
          <w:sz w:val="24"/>
          <w:szCs w:val="24"/>
          <w:lang w:val="en-US"/>
        </w:rPr>
        <w:t>.</w:t>
      </w:r>
      <w:r w:rsidR="00AF0D30" w:rsidRPr="001B6443">
        <w:rPr>
          <w:rFonts w:ascii="Times New Roman" w:eastAsia="Calibri" w:hAnsi="Times New Roman" w:cs="Times New Roman"/>
          <w:color w:val="000000" w:themeColor="text1"/>
          <w:sz w:val="24"/>
          <w:szCs w:val="24"/>
          <w:lang w:val="en-US"/>
        </w:rPr>
        <w:t xml:space="preserve"> </w:t>
      </w:r>
      <w:r w:rsidR="00732838" w:rsidRPr="001B6443">
        <w:rPr>
          <w:rFonts w:ascii="Times New Roman" w:eastAsia="Calibri" w:hAnsi="Times New Roman" w:cs="Times New Roman"/>
          <w:color w:val="000000" w:themeColor="text1"/>
          <w:sz w:val="24"/>
          <w:szCs w:val="24"/>
          <w:lang w:val="en-US"/>
        </w:rPr>
        <w:t>In this case</w:t>
      </w:r>
      <w:r w:rsidRPr="001B6443">
        <w:rPr>
          <w:rFonts w:ascii="Times New Roman" w:eastAsia="Calibri" w:hAnsi="Times New Roman" w:cs="Times New Roman"/>
          <w:color w:val="000000" w:themeColor="text1"/>
          <w:sz w:val="24"/>
          <w:szCs w:val="24"/>
          <w:lang w:val="en-US"/>
        </w:rPr>
        <w:t xml:space="preserve">, firms with </w:t>
      </w:r>
      <w:r w:rsidR="00962469" w:rsidRPr="001B6443">
        <w:rPr>
          <w:rFonts w:ascii="Times New Roman" w:eastAsia="Calibri" w:hAnsi="Times New Roman" w:cs="Times New Roman"/>
          <w:color w:val="000000" w:themeColor="text1"/>
          <w:sz w:val="24"/>
          <w:szCs w:val="24"/>
          <w:lang w:val="en-US"/>
        </w:rPr>
        <w:t>weak</w:t>
      </w:r>
      <w:r w:rsidRPr="001B6443">
        <w:rPr>
          <w:rFonts w:ascii="Times New Roman" w:eastAsia="Calibri" w:hAnsi="Times New Roman" w:cs="Times New Roman"/>
          <w:color w:val="000000" w:themeColor="text1"/>
          <w:sz w:val="24"/>
          <w:szCs w:val="24"/>
          <w:lang w:val="en-US"/>
        </w:rPr>
        <w:t xml:space="preserve"> carbon/environmental performance are exposed to greater stakeholder pressures, and therefore, may undertake symbolic</w:t>
      </w:r>
      <w:r w:rsidR="00762E1C" w:rsidRPr="001B6443">
        <w:rPr>
          <w:rFonts w:ascii="Times New Roman" w:eastAsia="Calibri" w:hAnsi="Times New Roman" w:cs="Times New Roman"/>
          <w:color w:val="000000" w:themeColor="text1"/>
          <w:sz w:val="24"/>
          <w:szCs w:val="24"/>
          <w:lang w:val="en-US"/>
        </w:rPr>
        <w:t>/greenwashing</w:t>
      </w:r>
      <w:r w:rsidRPr="001B6443">
        <w:rPr>
          <w:rFonts w:ascii="Times New Roman" w:eastAsia="Calibri" w:hAnsi="Times New Roman" w:cs="Times New Roman"/>
          <w:color w:val="000000" w:themeColor="text1"/>
          <w:sz w:val="24"/>
          <w:szCs w:val="24"/>
          <w:lang w:val="en-US"/>
        </w:rPr>
        <w:t xml:space="preserve"> efforts i</w:t>
      </w:r>
      <w:r w:rsidR="001176CB" w:rsidRPr="001B6443">
        <w:rPr>
          <w:rFonts w:ascii="Times New Roman" w:eastAsia="Calibri" w:hAnsi="Times New Roman" w:cs="Times New Roman"/>
          <w:color w:val="000000" w:themeColor="text1"/>
          <w:sz w:val="24"/>
          <w:szCs w:val="24"/>
          <w:lang w:val="en-US"/>
        </w:rPr>
        <w:t xml:space="preserve">n order to gain/maintain/repair </w:t>
      </w:r>
      <w:r w:rsidRPr="001B6443">
        <w:rPr>
          <w:rFonts w:ascii="Times New Roman" w:eastAsia="Calibri" w:hAnsi="Times New Roman" w:cs="Times New Roman"/>
          <w:color w:val="000000" w:themeColor="text1"/>
          <w:sz w:val="24"/>
          <w:szCs w:val="24"/>
          <w:lang w:val="en-US"/>
        </w:rPr>
        <w:t>legitimacy</w:t>
      </w:r>
      <w:r w:rsidR="001176CB"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{"citationItems":[{"id":"ITEM-1","itemData":{"DOI":"10.5465/amr.1995.9508080331","ISSN":"0363-7425","abstract":"This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manipulations.","author":[{"dropping-particle":"","family":"Suchman","given":"Mark C.","non-dropping-particle":"","parse-names":false,"suffix":""}],"container-title":"Academy of Management Review","id":"ITEM-1","issue":"3","issued":{"date-parts":[["1995","7"]]},"page":"571-610","publisher":"Academy of Management","title":"Managing Legitimacy: Strategic and Institutional Approaches","type":"article-journal","volume":"20"},"uris":["http://www.mendeley.com/documents/?uuid=25ac0a93-a4f3-3ed6-b29b-b56e1d429c2e"]}],"mendeley":{"formattedCitation":"(Suchman 1995)","manualFormatting":"(Suchman, 1995)","plainTextFormattedCitation":"(Suchman 1995)","previouslyFormattedCitation":"(Suchman 1995)"},"properties":{"noteIndex":0},"schema":"https://github.com/citation-style-language/schema/raw/master/csl-citation.json"}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(Suchman, 1995)</w:t>
      </w:r>
      <w:r w:rsidRPr="001B6443">
        <w:rPr>
          <w:rFonts w:ascii="Times New Roman" w:eastAsia="Calibri" w:hAnsi="Times New Roman" w:cs="Times New Roman"/>
          <w:color w:val="000000" w:themeColor="text1"/>
          <w:sz w:val="24"/>
          <w:szCs w:val="24"/>
          <w:lang w:val="en-US"/>
        </w:rPr>
        <w:fldChar w:fldCharType="end"/>
      </w:r>
      <w:r w:rsidR="001176CB"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but such efforts might not improve carbon/environmental performance </w:t>
      </w:r>
      <w:r w:rsidRPr="001B6443">
        <w:rPr>
          <w:rFonts w:ascii="Times New Roman" w:eastAsia="Calibri" w:hAnsi="Times New Roman" w:cs="Times New Roman"/>
          <w:color w:val="000000" w:themeColor="text1"/>
          <w:sz w:val="24"/>
          <w:szCs w:val="24"/>
          <w:lang w:val="en-US"/>
        </w:rPr>
        <w:fldChar w:fldCharType="begin" w:fldLock="1"/>
      </w:r>
      <w:r w:rsidR="0031585D" w:rsidRPr="001B6443">
        <w:rPr>
          <w:rFonts w:ascii="Times New Roman" w:eastAsia="Calibri" w:hAnsi="Times New Roman" w:cs="Times New Roman"/>
          <w:color w:val="000000" w:themeColor="text1"/>
          <w:sz w:val="24"/>
          <w:szCs w:val="24"/>
          <w:lang w:val="en-US"/>
        </w:rPr>
        <w:instrText>ADDIN CSL_CITATION {"citationItems":[{"id":"ITEM-1","itemData":{"DOI":"10.1002/bse.2837","ISSN":"0964-4733","author":[{"dropping-particle":"","family":"Crossley","given":"Richard M.","non-dropping-particle":"","parse-names":false,"suffix":""},{"dropping-particle":"","family":"Elmagrhi","given":"Mohamed H.","non-dropping-particle":"","parse-names":false,"suffix":""},{"dropping-particle":"","family":"Ntim","given":"Collins G.","non-dropping-particle":"","parse-names":false,"suffix":""}],"container-title":"Business Strategy and the Environment","id":"ITEM-1","issued":{"date-parts":[["2021"]]},"page":"1-23","title":"Sustainability and legitimacy theory: The case of sustainable social and environmental practices of small and medium‐sized enterprises","type":"article-journal"},"uris":["http://www.mendeley.com/documents/?uuid=e2888752-7a9f-4e73-8d17-10a49ac8fc3c"]}],"mendeley":{"formattedCitation":"(Crossley et al. 2021)","manualFormatting":"(Crossley et al., 2021)","plainTextFormattedCitation":"(Crossley et al. 2021)","previouslyFormattedCitation":"(Crossley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(Crossley </w:t>
      </w:r>
      <w:r w:rsidRPr="001B6443">
        <w:rPr>
          <w:rFonts w:ascii="Times New Roman" w:eastAsia="Calibri" w:hAnsi="Times New Roman" w:cs="Times New Roman"/>
          <w:i/>
          <w:noProof/>
          <w:color w:val="000000" w:themeColor="text1"/>
          <w:sz w:val="24"/>
          <w:szCs w:val="24"/>
          <w:lang w:val="en-US"/>
        </w:rPr>
        <w:t>et al.</w:t>
      </w:r>
      <w:r w:rsidR="0031585D" w:rsidRPr="001B6443">
        <w:rPr>
          <w:rFonts w:ascii="Times New Roman" w:eastAsia="Calibri" w:hAnsi="Times New Roman" w:cs="Times New Roman"/>
          <w:i/>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p>
    <w:p w14:paraId="672FBC2B" w14:textId="77777777" w:rsidR="00B4327D" w:rsidRPr="001B6443" w:rsidRDefault="00B4327D" w:rsidP="00EC5A9C">
      <w:pPr>
        <w:spacing w:after="0" w:line="480" w:lineRule="auto"/>
        <w:jc w:val="both"/>
        <w:rPr>
          <w:rFonts w:ascii="Times New Roman" w:eastAsia="Calibri" w:hAnsi="Times New Roman" w:cs="Times New Roman"/>
          <w:color w:val="000000" w:themeColor="text1"/>
          <w:sz w:val="24"/>
          <w:szCs w:val="24"/>
          <w:lang w:val="en-US"/>
        </w:rPr>
      </w:pPr>
    </w:p>
    <w:p w14:paraId="607B38DB" w14:textId="45945939"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In contrast, </w:t>
      </w:r>
      <w:r w:rsidR="006F2B36" w:rsidRPr="001B6443">
        <w:rPr>
          <w:rFonts w:ascii="Times New Roman" w:eastAsia="Calibri" w:hAnsi="Times New Roman" w:cs="Times New Roman"/>
          <w:color w:val="000000" w:themeColor="text1"/>
          <w:sz w:val="24"/>
          <w:szCs w:val="24"/>
          <w:lang w:val="en-US"/>
        </w:rPr>
        <w:t xml:space="preserve">substantive strategies involve fundamental changes in a firm’s goals, </w:t>
      </w:r>
      <w:r w:rsidR="004B6223" w:rsidRPr="001B6443">
        <w:rPr>
          <w:rFonts w:ascii="Times New Roman" w:eastAsia="Calibri" w:hAnsi="Times New Roman" w:cs="Times New Roman"/>
          <w:color w:val="000000" w:themeColor="text1"/>
          <w:sz w:val="24"/>
          <w:szCs w:val="24"/>
          <w:lang w:val="en-US"/>
        </w:rPr>
        <w:t>behavior</w:t>
      </w:r>
      <w:r w:rsidR="00C00B61" w:rsidRPr="001B6443">
        <w:rPr>
          <w:rFonts w:ascii="Times New Roman" w:eastAsia="Calibri" w:hAnsi="Times New Roman" w:cs="Times New Roman"/>
          <w:color w:val="000000" w:themeColor="text1"/>
          <w:sz w:val="24"/>
          <w:szCs w:val="24"/>
          <w:lang w:val="en-US"/>
        </w:rPr>
        <w:t xml:space="preserve">, and practices to meet the expectations and needs of societal stakeholders </w:t>
      </w:r>
      <w:r w:rsidR="00C00B61" w:rsidRPr="001B6443">
        <w:rPr>
          <w:rFonts w:ascii="Times New Roman" w:eastAsia="Calibri" w:hAnsi="Times New Roman" w:cs="Times New Roman"/>
          <w:color w:val="000000" w:themeColor="text1"/>
          <w:sz w:val="24"/>
          <w:szCs w:val="24"/>
          <w:lang w:val="en-US"/>
        </w:rPr>
        <w:fldChar w:fldCharType="begin" w:fldLock="1"/>
      </w:r>
      <w:r w:rsidR="00764112"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Legitimation","type":"article-journal","volume":"1"},"uris":["http://www.mendeley.com/documents/?uuid=a1aab867-9285-30e6-b578-fd33459eb118"]}],"mendeley":{"formattedCitation":"(Ashforth and Gibbs 1990)","plainTextFormattedCitation":"(Ashforth and Gibbs 1990)","previouslyFormattedCitation":"(Ashforth and Gibbs 1990)"},"properties":{"noteIndex":0},"schema":"https://github.com/citation-style-language/schema/raw/master/csl-citation.json"}</w:instrText>
      </w:r>
      <w:r w:rsidR="00C00B61" w:rsidRPr="001B6443">
        <w:rPr>
          <w:rFonts w:ascii="Times New Roman" w:eastAsia="Calibri" w:hAnsi="Times New Roman" w:cs="Times New Roman"/>
          <w:color w:val="000000" w:themeColor="text1"/>
          <w:sz w:val="24"/>
          <w:szCs w:val="24"/>
          <w:lang w:val="en-US"/>
        </w:rPr>
        <w:fldChar w:fldCharType="separate"/>
      </w:r>
      <w:r w:rsidR="00C00B61" w:rsidRPr="001B6443">
        <w:rPr>
          <w:rFonts w:ascii="Times New Roman" w:eastAsia="Calibri" w:hAnsi="Times New Roman" w:cs="Times New Roman"/>
          <w:noProof/>
          <w:color w:val="000000" w:themeColor="text1"/>
          <w:sz w:val="24"/>
          <w:szCs w:val="24"/>
          <w:lang w:val="en-US"/>
        </w:rPr>
        <w:t>(Ashforth and Gibbs 1990)</w:t>
      </w:r>
      <w:r w:rsidR="00C00B61" w:rsidRPr="001B6443">
        <w:rPr>
          <w:rFonts w:ascii="Times New Roman" w:eastAsia="Calibri" w:hAnsi="Times New Roman" w:cs="Times New Roman"/>
          <w:color w:val="000000" w:themeColor="text1"/>
          <w:sz w:val="24"/>
          <w:szCs w:val="24"/>
          <w:lang w:val="en-US"/>
        </w:rPr>
        <w:fldChar w:fldCharType="end"/>
      </w:r>
      <w:r w:rsidR="00C00B61" w:rsidRPr="001B6443">
        <w:rPr>
          <w:rFonts w:ascii="Times New Roman" w:eastAsia="Calibri" w:hAnsi="Times New Roman" w:cs="Times New Roman"/>
          <w:color w:val="000000" w:themeColor="text1"/>
          <w:sz w:val="24"/>
          <w:szCs w:val="24"/>
          <w:lang w:val="en-US"/>
        </w:rPr>
        <w:t xml:space="preserve">. </w:t>
      </w:r>
      <w:r w:rsidR="006F2B36" w:rsidRPr="001B6443">
        <w:rPr>
          <w:rFonts w:ascii="Times New Roman" w:eastAsia="Calibri" w:hAnsi="Times New Roman" w:cs="Times New Roman"/>
          <w:color w:val="000000" w:themeColor="text1"/>
          <w:sz w:val="24"/>
          <w:szCs w:val="24"/>
          <w:lang w:val="en-US"/>
        </w:rPr>
        <w:t xml:space="preserve">In this regard, </w:t>
      </w:r>
      <w:r w:rsidR="00C00B61" w:rsidRPr="001B6443">
        <w:rPr>
          <w:rFonts w:ascii="Times New Roman" w:eastAsia="Calibri" w:hAnsi="Times New Roman" w:cs="Times New Roman"/>
          <w:color w:val="000000" w:themeColor="text1"/>
          <w:sz w:val="24"/>
          <w:szCs w:val="24"/>
          <w:lang w:val="en-US"/>
        </w:rPr>
        <w:t xml:space="preserve">firms can </w:t>
      </w:r>
      <w:r w:rsidRPr="001B6443">
        <w:rPr>
          <w:rFonts w:ascii="Times New Roman" w:eastAsia="Calibri" w:hAnsi="Times New Roman" w:cs="Times New Roman"/>
          <w:color w:val="000000" w:themeColor="text1"/>
          <w:sz w:val="24"/>
          <w:szCs w:val="24"/>
          <w:lang w:val="en-US"/>
        </w:rPr>
        <w:t>undertake economically efficient</w:t>
      </w:r>
      <w:r w:rsidR="00C00B61"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actions to tackle climate change by adopting PCCIs that may </w:t>
      </w:r>
      <w:r w:rsidR="001176CB" w:rsidRPr="001B6443">
        <w:rPr>
          <w:rFonts w:ascii="Times New Roman" w:eastAsia="Calibri" w:hAnsi="Times New Roman" w:cs="Times New Roman"/>
          <w:color w:val="000000" w:themeColor="text1"/>
          <w:sz w:val="24"/>
          <w:szCs w:val="24"/>
          <w:lang w:val="en-US"/>
        </w:rPr>
        <w:t>lead to improved</w:t>
      </w:r>
      <w:r w:rsidRPr="001B6443">
        <w:rPr>
          <w:rFonts w:ascii="Times New Roman" w:eastAsia="Calibri" w:hAnsi="Times New Roman" w:cs="Times New Roman"/>
          <w:color w:val="000000" w:themeColor="text1"/>
          <w:sz w:val="24"/>
          <w:szCs w:val="24"/>
          <w:lang w:val="en-US"/>
        </w:rPr>
        <w:t xml:space="preserve">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CCPE and MV. However, as the adoption of comp</w:t>
      </w:r>
      <w:r w:rsidR="00B156BF" w:rsidRPr="001B6443">
        <w:rPr>
          <w:rFonts w:ascii="Times New Roman" w:eastAsia="Calibri" w:hAnsi="Times New Roman" w:cs="Times New Roman"/>
          <w:color w:val="000000" w:themeColor="text1"/>
          <w:sz w:val="24"/>
          <w:szCs w:val="24"/>
          <w:lang w:val="en-US"/>
        </w:rPr>
        <w:t>rehensive</w:t>
      </w:r>
      <w:r w:rsidRPr="001B6443">
        <w:rPr>
          <w:rFonts w:ascii="Times New Roman" w:eastAsia="Calibri" w:hAnsi="Times New Roman" w:cs="Times New Roman"/>
          <w:color w:val="000000" w:themeColor="text1"/>
          <w:sz w:val="24"/>
          <w:szCs w:val="24"/>
          <w:lang w:val="en-US"/>
        </w:rPr>
        <w:t xml:space="preserve"> PCCIs requires significant investments and resources, it is more likely that firms </w:t>
      </w:r>
      <w:r w:rsidRPr="001B6443">
        <w:rPr>
          <w:rFonts w:ascii="Times New Roman" w:eastAsia="Calibri" w:hAnsi="Times New Roman" w:cs="Times New Roman"/>
          <w:color w:val="000000" w:themeColor="text1"/>
          <w:sz w:val="24"/>
          <w:szCs w:val="24"/>
          <w:lang w:val="en-US"/>
        </w:rPr>
        <w:lastRenderedPageBreak/>
        <w:t xml:space="preserve">employ </w:t>
      </w:r>
      <w:r w:rsidR="00647F3D" w:rsidRPr="001B6443">
        <w:rPr>
          <w:rFonts w:ascii="Times New Roman" w:eastAsia="Calibri" w:hAnsi="Times New Roman" w:cs="Times New Roman"/>
          <w:color w:val="000000" w:themeColor="text1"/>
          <w:sz w:val="24"/>
          <w:szCs w:val="24"/>
          <w:lang w:val="en-US"/>
        </w:rPr>
        <w:t xml:space="preserve">symbolic </w:t>
      </w:r>
      <w:r w:rsidR="006F2B36" w:rsidRPr="001B6443">
        <w:rPr>
          <w:rFonts w:ascii="Times New Roman" w:eastAsia="Calibri" w:hAnsi="Times New Roman" w:cs="Times New Roman"/>
          <w:color w:val="000000" w:themeColor="text1"/>
          <w:sz w:val="24"/>
          <w:szCs w:val="24"/>
          <w:lang w:val="en-US"/>
        </w:rPr>
        <w:t xml:space="preserve">PCCIs and </w:t>
      </w:r>
      <w:r w:rsidR="006A650D" w:rsidRPr="001B6443">
        <w:rPr>
          <w:rFonts w:ascii="Times New Roman" w:eastAsia="Calibri" w:hAnsi="Times New Roman" w:cs="Times New Roman"/>
          <w:color w:val="000000" w:themeColor="text1"/>
          <w:sz w:val="24"/>
          <w:szCs w:val="24"/>
          <w:lang w:val="en-US"/>
        </w:rPr>
        <w:t xml:space="preserve">promote </w:t>
      </w:r>
      <w:r w:rsidRPr="001B6443">
        <w:rPr>
          <w:rFonts w:ascii="Times New Roman" w:eastAsia="Calibri" w:hAnsi="Times New Roman" w:cs="Times New Roman"/>
          <w:color w:val="000000" w:themeColor="text1"/>
          <w:sz w:val="24"/>
          <w:szCs w:val="24"/>
          <w:lang w:val="en-US"/>
        </w:rPr>
        <w:t xml:space="preserve">governance mechanisms, such as BSCOM </w:t>
      </w:r>
      <w:r w:rsidR="006F2B36" w:rsidRPr="001B6443">
        <w:rPr>
          <w:rFonts w:ascii="Times New Roman" w:eastAsia="Calibri" w:hAnsi="Times New Roman" w:cs="Times New Roman"/>
          <w:color w:val="000000" w:themeColor="text1"/>
          <w:sz w:val="24"/>
          <w:szCs w:val="24"/>
          <w:lang w:val="en-US"/>
        </w:rPr>
        <w:t>to create</w:t>
      </w:r>
      <w:r w:rsidRPr="001B6443">
        <w:rPr>
          <w:rFonts w:ascii="Times New Roman" w:eastAsia="Calibri" w:hAnsi="Times New Roman" w:cs="Times New Roman"/>
          <w:color w:val="000000" w:themeColor="text1"/>
          <w:sz w:val="24"/>
          <w:szCs w:val="24"/>
          <w:lang w:val="en-US"/>
        </w:rPr>
        <w:t xml:space="preserve"> positive impression</w:t>
      </w:r>
      <w:r w:rsidR="006F2B36" w:rsidRPr="001B6443">
        <w:rPr>
          <w:rFonts w:ascii="Times New Roman" w:eastAsia="Calibri" w:hAnsi="Times New Roman" w:cs="Times New Roman"/>
          <w:color w:val="000000" w:themeColor="text1"/>
          <w:sz w:val="24"/>
          <w:szCs w:val="24"/>
          <w:lang w:val="en-US"/>
        </w:rPr>
        <w:t>s</w:t>
      </w:r>
      <w:r w:rsidR="00DB43DF" w:rsidRPr="001B6443">
        <w:rPr>
          <w:rFonts w:ascii="Times New Roman" w:eastAsia="Calibri" w:hAnsi="Times New Roman" w:cs="Times New Roman"/>
          <w:color w:val="000000" w:themeColor="text1"/>
          <w:sz w:val="24"/>
          <w:szCs w:val="24"/>
          <w:lang w:val="en-US"/>
        </w:rPr>
        <w:t xml:space="preserve"> (greenwashing)</w:t>
      </w:r>
      <w:r w:rsidRPr="001B6443">
        <w:rPr>
          <w:rFonts w:ascii="Times New Roman" w:eastAsia="Calibri" w:hAnsi="Times New Roman" w:cs="Times New Roman"/>
          <w:color w:val="000000" w:themeColor="text1"/>
          <w:sz w:val="24"/>
          <w:szCs w:val="24"/>
          <w:lang w:val="en-US"/>
        </w:rPr>
        <w:t xml:space="preserve"> </w:t>
      </w:r>
      <w:r w:rsidR="006F2B36" w:rsidRPr="001B6443">
        <w:rPr>
          <w:rFonts w:ascii="Times New Roman" w:eastAsia="Calibri" w:hAnsi="Times New Roman" w:cs="Times New Roman"/>
          <w:color w:val="000000" w:themeColor="text1"/>
          <w:sz w:val="24"/>
          <w:szCs w:val="24"/>
          <w:lang w:val="en-US"/>
        </w:rPr>
        <w:t>among stakeholders</w:t>
      </w:r>
      <w:r w:rsidR="00BF0607" w:rsidRPr="001B6443">
        <w:rPr>
          <w:rFonts w:ascii="Times New Roman" w:eastAsia="Calibri" w:hAnsi="Times New Roman" w:cs="Times New Roman"/>
          <w:color w:val="000000" w:themeColor="text1"/>
          <w:sz w:val="24"/>
          <w:szCs w:val="24"/>
          <w:lang w:val="en-US"/>
        </w:rPr>
        <w:t xml:space="preserve"> and protect MV</w:t>
      </w:r>
      <w:r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{"citationItems":[{"id":"ITEM-1","itemData":{"DOI":"10.1002/bse.1880","ISSN":"10990836","abstract":"Existing remuneration plans for CEOs still mainly focus on financial performance and do not necessarily promote sustainable value creation for their firms. By way of reaction to this, a growing number of academics and practitioners are acknowledging the need for the inclusion of sustainability targets in executive remuneration. This study examines the current status of the use of sustainability targets in executive remuneration specified by country, sector and targets. Based on a sample of 490 listed firms from 11 countries and different sectors, the use of targets related to sustainability in executive remuneration is assessed. The targets are specified by kind of target (short term and long term) and content of target (environmental, social or a combination of both). The results of this study show that (a) in 2010 on average 33% of the firms used sustainability targets in remuneration, (b) mainly the ‘dirty’ industries use targets, (c) the targets used are mainly short-term targets and (d) they focus on social issues. Copyright © 2015 John Wiley &amp; Sons, Ltd and ERP Environment.","author":[{"dropping-particle":"","family":"Maas","given":"Karen","non-dropping-particle":"","parse-names":false,"suffix":""},{"dropping-particle":"","family":"Rosendaal","given":"Sanne","non-dropping-particle":"","parse-names":false,"suffix":""}],"container-title":"Business Strategy and the Environment","id":"ITEM-1","issue":"6","issued":{"date-parts":[["2016","9","1"]]},"page":"390-401","publisher":"John Wiley and Sons Ltd","title":"Sustainability Targets in Executive Remuneration: Targets, Time Frame, Country and Sector Specification","type":"article-journal","volume":"25"},"uris":["http://www.mendeley.com/documents/?uuid=a8295d0c-96c6-3545-aa7f-6fb49889f6fe"]},{"id":"ITEM-2","itemData":{"DOI":"10.5465/AMJ.2009.36461950","ISBN":"00014273","ISSN":"00014273","PMID":"36461950","abstract":"Relying on institutional theory, agency rationale, and environmental management research, we hypothesize that, in polluting industries, good environmental performance increases CEO pay; that environmental governance mechanisms strengthen this linkage; that pollution prevention strategies affect executive compensation more than end-of-pipe pollution control; and that long-term pay increases pollution prevention success. Using longitudinal data on 469 U.S. firms, we found support for three hypotheses. Contrary to our expectations, firms with an explicit environmental pay policy and an environmental committee do not reward environmental strategies more than those without such structures, suggesting that these mechanisms play a merely symbolic role.","author":[{"dropping-particle":"","family":"Berrone","given":"Pascual","non-dropping-particle":"","parse-names":false,"suffix":""},{"dropping-particle":"","family":"Gomez-Mejia","given":"Luis R.","non-dropping-particle":"","parse-names":false,"suffix":""}],"container-title":"Academy of Management Journal","id":"ITEM-2","issue":"1","issued":{"date-parts":[["2009"]]},"page":"103-126","title":"Environmental performance and executive compensation: An integrated agency-institutional perspective","type":"article-journal","volume":"52"},"uris":["http://www.mendeley.com/documents/?uuid=09e90e30-48af-3454-9713-af450eb249a9"]}],"mendeley":{"formattedCitation":"(Berrone and Gomez-Mejia 2009; Maas and Rosendaal 2016)","manualFormatting":"(Berrone and Gomez-Mejia, 2009; Maas and Rosendaal, 2016)","plainTextFormattedCitation":"(Berrone and Gomez-Mejia 2009; Maas and Rosendaal 2016)","previouslyFormattedCitation":"(Berrone and Gomez-Mejia 2009; Maas and Rosendaal 2016)"},"properties":{"noteIndex":0},"schema":"https://github.com/citation-style-language/schema/raw/master/csl-citation.json"}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(Berrone and Gomez-Mejia, 2009; Maas and Rosendaal, 2016)</w:t>
      </w:r>
      <w:r w:rsidRPr="001B6443">
        <w:rPr>
          <w:rFonts w:ascii="Times New Roman" w:eastAsia="Calibri" w:hAnsi="Times New Roman" w:cs="Times New Roman"/>
          <w:color w:val="000000" w:themeColor="text1"/>
          <w:sz w:val="24"/>
          <w:szCs w:val="24"/>
          <w:lang w:val="en-US"/>
        </w:rPr>
        <w:fldChar w:fldCharType="end"/>
      </w:r>
      <w:r w:rsidR="00647F3D" w:rsidRPr="001B6443">
        <w:rPr>
          <w:rFonts w:ascii="Times New Roman" w:eastAsia="Calibri" w:hAnsi="Times New Roman" w:cs="Times New Roman"/>
          <w:color w:val="000000" w:themeColor="text1"/>
          <w:sz w:val="24"/>
          <w:szCs w:val="24"/>
          <w:lang w:val="en-US"/>
        </w:rPr>
        <w:t>, but such</w:t>
      </w:r>
      <w:r w:rsidRPr="001B6443">
        <w:rPr>
          <w:rFonts w:ascii="Times New Roman" w:eastAsia="Calibri" w:hAnsi="Times New Roman" w:cs="Times New Roman"/>
          <w:color w:val="000000" w:themeColor="text1"/>
          <w:sz w:val="24"/>
          <w:szCs w:val="24"/>
          <w:lang w:val="en-US"/>
        </w:rPr>
        <w:t xml:space="preserve"> commitments do not improve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Value","type":"article-journal","volume":"31"},"uris":["http://www.mendeley.com/documents/?uuid=233c96ce-971f-33e7-ad90-be8611789ad9"]},{"id":"ITEM-2","itemData":{"DOI":"10.5465/AMR.2007.25275678","ISSN":"03637425","abstract":"We provide a multilevel theoretical model to understand why business organizations are increasingly engaging in corporate social responsibility (CSR) initiatives and thereby exhibiting the potential to exert positive social change. Our model integrates theories of organizational justice, corporate governance, and varieties of capitalism to argue that organizations are pressured to engage in CSR by many different actors, each driven by instrumental, relational, and moral motives. We conclude by high-lighting empirical questions for future research and discussing some managerial implications. Copyright of the Academy of Management, all rights reserved.","author":[{"dropping-particle":"V.","family":"Aguilera","given":"Ruth","non-dropping-particle":"","parse-names":false,"suffix":""},{"dropping-particle":"","family":"Rupp","given":"Deborah E.","non-dropping-particle":"","parse-names":false,"suffix":""},{"dropping-particle":"","family":"Williams","given":"Cynthia A.","non-dropping-particle":"","parse-names":false,"suffix":""},{"dropping-particle":"","family":"Ganapathi","given":"Jyoti","non-dropping-particle":"","parse-names":false,"suffix":""}],"container-title":"Academy of Management Review","id":"ITEM-2","issue":"3","issued":{"date-parts":[["2007"]]},"page":"836-863","publisher":"Academy of Management","title":"Putting the s back in corporate social responsibility: A multilevel theory of social change in organizations","type":"article-journal","volume":"32"},"uris":["http://www.mendeley.com/documents/?uuid=bd4938bb-d95d-3777-a7e2-2c78ff1aed9b"]}],"mendeley":{"formattedCitation":"(Aguilera et al. 2007; Haque and Ntim 2020)","manualFormatting":"(Aguilera et al., 2007)","plainTextFormattedCitation":"(Aguilera et al. 2007; Haque and Ntim 2020)","previouslyFormattedCitation":"(Aguilera et al. 2007;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(Aguilera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2007)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p>
    <w:p w14:paraId="72410EA2"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44DB5E54" w14:textId="085B6B2E" w:rsidR="00EC5A9C" w:rsidRPr="001B6443" w:rsidRDefault="00E24DC3"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Finally, t</w:t>
      </w:r>
      <w:r w:rsidR="00EC5A9C" w:rsidRPr="001B6443">
        <w:rPr>
          <w:rFonts w:ascii="Times New Roman" w:eastAsia="Calibri" w:hAnsi="Times New Roman" w:cs="Times New Roman"/>
          <w:color w:val="000000" w:themeColor="text1"/>
          <w:sz w:val="24"/>
          <w:szCs w:val="24"/>
          <w:lang w:val="en-US"/>
        </w:rPr>
        <w:t xml:space="preserve">he stakeholder perspective suggests that corporate </w:t>
      </w:r>
      <w:r w:rsidR="00A102D6" w:rsidRPr="001B6443">
        <w:rPr>
          <w:rFonts w:ascii="Times New Roman" w:eastAsia="Calibri" w:hAnsi="Times New Roman" w:cs="Times New Roman"/>
          <w:color w:val="000000" w:themeColor="text1"/>
          <w:sz w:val="24"/>
          <w:szCs w:val="24"/>
          <w:lang w:val="en-US"/>
        </w:rPr>
        <w:t>commitment to environmental/</w:t>
      </w:r>
      <w:r w:rsidR="00EC5A9C" w:rsidRPr="001B6443">
        <w:rPr>
          <w:rFonts w:ascii="Times New Roman" w:eastAsia="Calibri" w:hAnsi="Times New Roman" w:cs="Times New Roman"/>
          <w:color w:val="000000" w:themeColor="text1"/>
          <w:sz w:val="24"/>
          <w:szCs w:val="24"/>
          <w:lang w:val="en-US"/>
        </w:rPr>
        <w:t xml:space="preserve">social activities enhances a firm’s relationships with all stakeholders </w:t>
      </w:r>
      <w:r w:rsidR="00EC5A9C"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Approach","type":"book"},"uris":["http://www.mendeley.com/documents/?uuid=3bad9f52-0d99-4364-a252-1c6e0055e693"]}],"mendeley":{"formattedCitation":"(Freeman 1984)","manualFormatting":"(Freeman 1984; Rodgers et al., 2013)","plainTextFormattedCitation":"(Freeman 1984)","previouslyFormattedCitation":"(Freeman 1984)"},"properties":{"noteIndex":0},"schema":"https://github.com/citation-style-language/schema/raw/master/csl-citation.json"}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(Freeman 1984; Rodgers </w:t>
      </w:r>
      <w:r w:rsidR="00EC5A9C" w:rsidRPr="001B6443">
        <w:rPr>
          <w:rFonts w:ascii="Times New Roman" w:eastAsia="Calibri" w:hAnsi="Times New Roman" w:cs="Times New Roman"/>
          <w:i/>
          <w:noProof/>
          <w:color w:val="000000" w:themeColor="text1"/>
          <w:sz w:val="24"/>
          <w:szCs w:val="24"/>
          <w:lang w:val="en-US"/>
        </w:rPr>
        <w:t>et al.</w:t>
      </w:r>
      <w:r w:rsidR="0031585D" w:rsidRPr="001B6443">
        <w:rPr>
          <w:rFonts w:ascii="Times New Roman" w:eastAsia="Calibri" w:hAnsi="Times New Roman" w:cs="Times New Roman"/>
          <w:i/>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2013)</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Prior literature suggests that strong corporate environmental performance can reduce employee turnover</w:t>
      </w:r>
      <w:r w:rsidR="00260038"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 xml:space="preserve">thus supporting the notion that potential employees prefer organizations with greater environmental accountability </w:t>
      </w:r>
      <w:r w:rsidR="00EC5A9C"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{"citationItems":[{"id":"ITEM-1","itemData":{"DOI":"10.5465/AMJ.2009.36461950","ISBN":"00014273","ISSN":"00014273","PMID":"36461950","abstract":"Relying on institutional theory, agency rationale, and environmental management research, we hypothesize that, in polluting industries, good environmental performance increases CEO pay; that environmental governance mechanisms strengthen this linkage; that pollution prevention strategies affect executive compensation more than end-of-pipe pollution control; and that long-term pay increases pollution prevention success. Using longitudinal data on 469 U.S. firms, we found support for three hypotheses. Contrary to our expectations, firms with an explicit environmental pay policy and an environmental committee do not reward environmental strategies more than those without such structures, suggesting that these mechanisms play a merely symbolic role.","author":[{"dropping-particle":"","family":"Berrone","given":"Pascual","non-dropping-particle":"","parse-names":false,"suffix":""},{"dropping-particle":"","family":"Gomez-Mejia","given":"Luis R.","non-dropping-particle":"","parse-names":false,"suffix":""}],"container-title":"Academy of Management Journal","id":"ITEM-1","issue":"1","issued":{"date-parts":[["2009"]]},"page":"103-126","title":"Environmental performance and executive compensation: An integrated agency-institutional perspective","type":"article-journal","volume":"52"},"uris":["http://www.mendeley.com/documents/?uuid=09e90e30-48af-3454-9713-af450eb249a9"]},{"id":"ITEM-2","itemData":{"DOI":"10.1177/0007650302041003003","ISSN":"00076503","abstract":"Building on existing studies suggesting that corporate social performance (CSP) is important in the job choice process, the authors investigate job seekers’perceptions of importance of CSP and explore effects of CSP dimensions on organizational attractiveness. Job seekers consider CSP important to assessment of firms and rate five specific CSP dimensions (environment, community relations, employee relations, diversity, and product issues) as more important than six other CSP dimensions. Using signaling theory and social identity theory, the authors hypothesize differences in effects of CSP data on ratings of employer attractiveness and find that environment, community relations, and diversity dimensions have the largest affect on attractiveness ratings. © 2002, Sage Publications. All rights reserved.","author":[{"dropping-particle":"","family":"Backhaus","given":"Kristin B.","non-dropping-particle":"","parse-names":false,"suffix":""},{"dropping-particle":"","family":"Stone","given":"Brett A.","non-dropping-particle":"","parse-names":false,"suffix":""},{"dropping-particle":"","family":"Heiner","given":"Karl","non-dropping-particle":"","parse-names":false,"suffix":""}],"container-title":"Business &amp; Society","id":"ITEM-2","issue":"3","issued":{"date-parts":[["2002"]]},"page":"292-318","title":"Exploringthe Relationship Between Corporate Social Performance and Employer Attractiveness","type":"article-journal","volume":"41"},"uris":["http://www.mendeley.com/documents/?uuid=3d21994d-7b67-3ffe-b5f6-1d49f1d045e7"]}],"mendeley":{"formattedCitation":"(Backhaus et al. 2002; Berrone and Gomez-Mejia 2009)","manualFormatting":"(Backhaus et al., 2002; Berrone and Gomez-Mejia, 2009)","plainTextFormattedCitation":"(Backhaus et al. 2002; Berrone and Gomez-Mejia 2009)","previouslyFormattedCitation":"(Backhaus et al. 2002; Berrone and Gomez-Mejia 2009)"},"properties":{"noteIndex":0},"schema":"https://github.com/citation-style-language/schema/raw/master/csl-citation.json"}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 xml:space="preserve">(Backhaus </w:t>
      </w:r>
      <w:r w:rsidR="00EC5A9C" w:rsidRPr="001B6443">
        <w:rPr>
          <w:rFonts w:ascii="Times New Roman" w:eastAsia="Calibri" w:hAnsi="Times New Roman" w:cs="Times New Roman"/>
          <w:i/>
          <w:noProof/>
          <w:color w:val="000000" w:themeColor="text1"/>
          <w:sz w:val="24"/>
          <w:szCs w:val="24"/>
          <w:lang w:val="en-US"/>
        </w:rPr>
        <w:t>et al.</w:t>
      </w:r>
      <w:r w:rsidR="0031585D" w:rsidRPr="001B6443">
        <w:rPr>
          <w:rFonts w:ascii="Times New Roman" w:eastAsia="Calibri" w:hAnsi="Times New Roman" w:cs="Times New Roman"/>
          <w:i/>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2002; Berrone and Gomez-Mejia</w:t>
      </w:r>
      <w:r w:rsidR="00AC084D" w:rsidRPr="001B6443">
        <w:rPr>
          <w:rFonts w:ascii="Times New Roman" w:eastAsia="Calibri" w:hAnsi="Times New Roman" w:cs="Times New Roman"/>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2009)</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Customers also respond positively to strong </w:t>
      </w:r>
      <w:r w:rsidR="00FC67BC" w:rsidRPr="001B6443">
        <w:rPr>
          <w:rFonts w:ascii="Times New Roman" w:eastAsia="Calibri" w:hAnsi="Times New Roman" w:cs="Times New Roman"/>
          <w:color w:val="000000" w:themeColor="text1"/>
          <w:sz w:val="24"/>
          <w:szCs w:val="24"/>
          <w:lang w:val="en-US"/>
        </w:rPr>
        <w:t xml:space="preserve">environmental </w:t>
      </w:r>
      <w:r w:rsidR="00EC5A9C" w:rsidRPr="001B6443">
        <w:rPr>
          <w:rFonts w:ascii="Times New Roman" w:eastAsia="Calibri" w:hAnsi="Times New Roman" w:cs="Times New Roman"/>
          <w:color w:val="000000" w:themeColor="text1"/>
          <w:sz w:val="24"/>
          <w:szCs w:val="24"/>
          <w:lang w:val="en-US"/>
        </w:rPr>
        <w:t xml:space="preserve">performance by increasing their demand for environmentally sustainable products/services and paying premium prices </w:t>
      </w:r>
      <w:r w:rsidR="00EC5A9C"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{"citationItems":[{"id":"ITEM-1","itemData":{"DOI":"10.1016/j.ijresmar.2007.01.001","ISSN":"01678116","abstract":"This research examines the moderating influence of the extent to which a brand's social initiatives are integrated into its competitive positioning (i.e., a CSR positioning) on consumer reactions to CSR. We find that positive CSR beliefs held by consumers are associated not only with greater purchase likelihood but also with longer-term loyalty and advocacy behaviors. More importantly, we find that not all CSR initiatives are created equal: a brand that positions itself on CSR, integrating its CSR strategy with its core business strategy, is more likely than brands that merely engage in CSR to reap a range of CSR-specific benefits in the consumer domain. © 2007 Elsevier B.V. All rights reserved.","author":[{"dropping-particle":"","family":"Du","given":"Shuili","non-dropping-particle":"","parse-names":false,"suffix":""},{"dropping-particle":"","family":"Bhattacharya","given":"C. B.","non-dropping-particle":"","parse-names":false,"suffix":""},{"dropping-particle":"","family":"Sen","given":"Sankar","non-dropping-particle":"","parse-names":false,"suffix":""}],"container-title":"International Journal of Research in Marketing","id":"ITEM-1","issue":"3","issued":{"date-parts":[["2007","9"]]},"page":"224-241","title":"Reaping relational rewards from corporate social responsibility: The role of competitive positioning","type":"article-journal","volume":"24"},"uris":["http://www.mendeley.com/documents/?uuid=47ad22e1-4e20-393e-a60d-3a8020db2c6f"]},{"id":"ITEM-2","itemData":{"DOI":"10.5465/AMJ.2009.36461950","ISBN":"00014273","ISSN":"00014273","PMID":"36461950","abstract":"Relying on institutional theory, agency rationale, and environmental management research, we hypothesize that, in polluting industries, good environmental performance increases CEO pay; that environmental governance mechanisms strengthen this linkage; that pollution prevention strategies affect executive compensation more than end-of-pipe pollution control; and that long-term pay increases pollution prevention success. Using longitudinal data on 469 U.S. firms, we found support for three hypotheses. Contrary to our expectations, firms with an explicit environmental pay policy and an environmental committee do not reward environmental strategies more than those without such structures, suggesting that these mechanisms play a merely symbolic role.","author":[{"dropping-particle":"","family":"Berrone","given":"Pascual","non-dropping-particle":"","parse-names":false,"suffix":""},{"dropping-particle":"","family":"Gomez-Mejia","given":"Luis R.","non-dropping-particle":"","parse-names":false,"suffix":""}],"container-title":"Academy of Management Journal","id":"ITEM-2","issue":"1","issued":{"date-parts":[["2009"]]},"page":"103-126","title":"Environmental performance and executive compensation: An integrated agency-institutional perspective","type":"article-journal","volume":"52"},"uris":["http://www.mendeley.com/documents/?uuid=09e90e30-48af-3454-9713-af450eb249a9"]}],"mendeley":{"formattedCitation":"(Berrone and Gomez-Mejia 2009; Du et al. 2007)","manualFormatting":"(Berrone and Gomez-Mejia, 2009; Du et al., 2007)","plainTextFormattedCitation":"(Berrone and Gomez-Mejia 2009; Du et al. 2007)","previouslyFormattedCitation":"(Berrone and Gomez-Mejia 2009; Du et al. 2007)"},"properties":{"noteIndex":0},"schema":"https://github.com/citation-style-language/schema/raw/master/csl-citation.json"}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(Berrone and Gomez-Mejia</w:t>
      </w:r>
      <w:r w:rsidR="00AC084D" w:rsidRPr="001B6443">
        <w:rPr>
          <w:rFonts w:ascii="Times New Roman" w:eastAsia="Calibri" w:hAnsi="Times New Roman" w:cs="Times New Roman"/>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2009; Du </w:t>
      </w:r>
      <w:r w:rsidR="00EC5A9C" w:rsidRPr="001B6443">
        <w:rPr>
          <w:rFonts w:ascii="Times New Roman" w:eastAsia="Calibri" w:hAnsi="Times New Roman" w:cs="Times New Roman"/>
          <w:i/>
          <w:noProof/>
          <w:color w:val="000000" w:themeColor="text1"/>
          <w:sz w:val="24"/>
          <w:szCs w:val="24"/>
          <w:lang w:val="en-US"/>
        </w:rPr>
        <w:t>et al.</w:t>
      </w:r>
      <w:r w:rsidR="005F3E3F" w:rsidRPr="001B6443">
        <w:rPr>
          <w:rFonts w:ascii="Times New Roman" w:eastAsia="Calibri" w:hAnsi="Times New Roman" w:cs="Times New Roman"/>
          <w:i/>
          <w:noProof/>
          <w:color w:val="000000" w:themeColor="text1"/>
          <w:sz w:val="24"/>
          <w:szCs w:val="24"/>
          <w:lang w:val="en-US"/>
        </w:rPr>
        <w:t>,</w:t>
      </w:r>
      <w:r w:rsidR="00EC5A9C" w:rsidRPr="001B6443">
        <w:rPr>
          <w:rFonts w:ascii="Times New Roman" w:eastAsia="Calibri" w:hAnsi="Times New Roman" w:cs="Times New Roman"/>
          <w:noProof/>
          <w:color w:val="000000" w:themeColor="text1"/>
          <w:sz w:val="24"/>
          <w:szCs w:val="24"/>
          <w:lang w:val="en-US"/>
        </w:rPr>
        <w:t xml:space="preserve"> 2007)</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xml:space="preserve">. In this context, firms with effective CG practices can strengthen stakeholder relationships by implementing sustainability practices and promoting environmental </w:t>
      </w:r>
      <w:r w:rsidR="00FC67BC" w:rsidRPr="001B6443">
        <w:rPr>
          <w:rFonts w:ascii="Times New Roman" w:eastAsia="Calibri" w:hAnsi="Times New Roman" w:cs="Times New Roman"/>
          <w:color w:val="000000" w:themeColor="text1"/>
          <w:sz w:val="24"/>
          <w:szCs w:val="24"/>
          <w:lang w:val="en-US"/>
        </w:rPr>
        <w:t>initiatives/</w:t>
      </w:r>
      <w:r w:rsidR="00EC5A9C" w:rsidRPr="001B6443">
        <w:rPr>
          <w:rFonts w:ascii="Times New Roman" w:eastAsia="Calibri" w:hAnsi="Times New Roman" w:cs="Times New Roman"/>
          <w:color w:val="000000" w:themeColor="text1"/>
          <w:sz w:val="24"/>
          <w:szCs w:val="24"/>
          <w:lang w:val="en-US"/>
        </w:rPr>
        <w:t xml:space="preserve">strategies </w:t>
      </w:r>
      <w:r w:rsidR="00EC5A9C" w:rsidRPr="001B6443">
        <w:rPr>
          <w:rFonts w:ascii="Times New Roman" w:eastAsia="Calibri" w:hAnsi="Times New Roman" w:cs="Times New Roman"/>
          <w:color w:val="000000" w:themeColor="text1"/>
          <w:sz w:val="24"/>
          <w:szCs w:val="24"/>
          <w:lang w:val="en-US"/>
        </w:rPr>
        <w:fldChar w:fldCharType="begin" w:fldLock="1"/>
      </w:r>
      <w:r w:rsidR="00EC5A9C" w:rsidRPr="001B6443">
        <w:rPr>
          <w:rFonts w:ascii="Times New Roman" w:eastAsia="Calibri" w:hAnsi="Times New Roman" w:cs="Times New Roman"/>
          <w:color w:val="000000" w:themeColor="text1"/>
          <w:sz w:val="24"/>
          <w:szCs w:val="24"/>
          <w:lang w:val="en-US"/>
        </w:rPr>
        <w:instrText>ADDIN CSL_CITATION {"citationItems":[{"id":"ITEM-1","itemData":{"DOI":"10.1007/s10997-010-9160-3","ISBN":"0278-0380","ISSN":"13853457","PMID":"76286673","abstract":"We examine the relationship between corporate governance and the extent of corporate social responsibility (CSR) disclosures in the annual reports of Bangladeshi companies. A legitimacy theory framework is adopted to understand the extent to which corporate governance characteristics, such as managerial ownership, public ownership, foreign ownership, board independence, CEO duality and presence of audit committee influence organisational response to various stakeholder groups. Our results suggest that although CSR disclosures generally have a negative association with managerial ownership, such relationship becomes significant and positive for export-oriented industries. We also find public ownership, foreign ownership, board independence and presence of audit committee to have positive significant impacts on CSR disclosures. However, we fail to find any significant impact of CEO duality. Thus, our results suggest that pressures exerted by external stakeholder groups and corporate governance mechanisms involving independent outsiders may allay some concerns relating to family influence on CSR disclosure practices. Overall, our study implies that corporate governance attributes play a vital role in ensuring organisational legitimacy through CSR disclosures. The findings of our study should be of interest to regulators and policy makers in countries which share similar corporate ownership and regulatory structures.","author":[{"dropping-particle":"","family":"Michelon","given":"Giovanna","non-dropping-particle":"","parse-names":false,"suffix":""},{"dropping-particle":"","family":"Parbonetti","given":"Antonio","non-dropping-particle":"","parse-names":false,"suffix":""}],"container-title":"Journal of Management and Governance","id":"ITEM-1","issue":"3","issued":{"date-parts":[["2012"]]},"page":"477-509","title":"The effect of corporate governance on sustainability disclosure","type":"article-journal","volume":"16"},"uris":["http://www.mendeley.com/documents/?uuid=f8477a62-80e9-4089-8205-5738afc833f6"]}],"mendeley":{"formattedCitation":"(Michelon and Parbonetti 2012)","plainTextFormattedCitation":"(Michelon and Parbonetti 2012)","previouslyFormattedCitation":"(Michelon and Parbonetti 2012)"},"properties":{"noteIndex":0},"schema":"https://github.com/citation-style-language/schema/raw/master/csl-citation.json"}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(Michelon and Parbonetti 2012)</w:t>
      </w:r>
      <w:r w:rsidR="00EC5A9C" w:rsidRPr="001B6443">
        <w:rPr>
          <w:rFonts w:ascii="Times New Roman" w:eastAsia="Calibri" w:hAnsi="Times New Roman" w:cs="Times New Roman"/>
          <w:color w:val="000000" w:themeColor="text1"/>
          <w:sz w:val="24"/>
          <w:szCs w:val="24"/>
          <w:lang w:val="en-US"/>
        </w:rPr>
        <w:fldChar w:fldCharType="end"/>
      </w:r>
      <w:r w:rsidR="00FC67BC" w:rsidRPr="001B6443">
        <w:rPr>
          <w:rFonts w:ascii="Times New Roman" w:eastAsia="Calibri" w:hAnsi="Times New Roman" w:cs="Times New Roman"/>
          <w:color w:val="000000" w:themeColor="text1"/>
          <w:sz w:val="24"/>
          <w:szCs w:val="24"/>
          <w:lang w:val="en-US"/>
        </w:rPr>
        <w:t>,</w:t>
      </w:r>
      <w:r w:rsidR="00EC5A9C" w:rsidRPr="001B6443">
        <w:rPr>
          <w:rFonts w:ascii="Times New Roman" w:eastAsia="Calibri" w:hAnsi="Times New Roman" w:cs="Times New Roman"/>
          <w:color w:val="000000" w:themeColor="text1"/>
          <w:sz w:val="24"/>
          <w:szCs w:val="24"/>
          <w:lang w:val="en-US"/>
        </w:rPr>
        <w:t xml:space="preserve"> and ultimately improve MV by balancing the conflicting interests of all stakeholders </w:t>
      </w:r>
      <w:r w:rsidR="00EC5A9C"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{"citationItems":[{"id":"ITEM-1","itemData":{"ISBN":"0273019139","ISSN":"15565068","PMID":"134","abstract":"The purpose of this chapter is to outline the development of the idea of stakeholder management as it has come to be applied in strategic management. We begin by developing a brief history of the concept. We then suggest that traditionally the stakeholder approach to strategic management has several related characteristics that serve as distinguishing features. We review recent work on stakeholder theory and suggest how stakeholder management has affected the practice of management. We end by suggesting further research questions.","author":[{"dropping-particle":"","family":"Freeman","given":"R. Edward","non-dropping-particle":"","parse-names":false,"suffix":""}],"container-title":"Pitman Series in Business and Public Policy","id":"ITEM-1","issued":{"date-parts":[["1984"]]},"number-of-pages":"276","title":"Strategic Management: A Stakeholder Approach","type":"book"},"uris":["http://www.mendeley.com/documents/?uuid=3bad9f52-0d99-4364-a252-1c6e0055e693"]}],"mendeley":{"formattedCitation":"(Freeman 1984)","plainTextFormattedCitation":"(Freeman 1984)","previouslyFormattedCitation":"(Freeman 1984)"},"properties":{"noteIndex":0},"schema":"https://github.com/citation-style-language/schema/raw/master/csl-citation.json"}</w:instrText>
      </w:r>
      <w:r w:rsidR="00EC5A9C" w:rsidRPr="001B6443">
        <w:rPr>
          <w:rFonts w:ascii="Times New Roman" w:eastAsia="Calibri" w:hAnsi="Times New Roman" w:cs="Times New Roman"/>
          <w:color w:val="000000" w:themeColor="text1"/>
          <w:sz w:val="24"/>
          <w:szCs w:val="24"/>
          <w:lang w:val="en-US"/>
        </w:rPr>
        <w:fldChar w:fldCharType="separate"/>
      </w:r>
      <w:r w:rsidR="00EC5A9C" w:rsidRPr="001B6443">
        <w:rPr>
          <w:rFonts w:ascii="Times New Roman" w:eastAsia="Calibri" w:hAnsi="Times New Roman" w:cs="Times New Roman"/>
          <w:noProof/>
          <w:color w:val="000000" w:themeColor="text1"/>
          <w:sz w:val="24"/>
          <w:szCs w:val="24"/>
          <w:lang w:val="en-US"/>
        </w:rPr>
        <w:t>(Freeman 1984)</w:t>
      </w:r>
      <w:r w:rsidR="00EC5A9C" w:rsidRPr="001B6443">
        <w:rPr>
          <w:rFonts w:ascii="Times New Roman" w:eastAsia="Calibri" w:hAnsi="Times New Roman" w:cs="Times New Roman"/>
          <w:color w:val="000000" w:themeColor="text1"/>
          <w:sz w:val="24"/>
          <w:szCs w:val="24"/>
          <w:lang w:val="en-US"/>
        </w:rPr>
        <w:fldChar w:fldCharType="end"/>
      </w:r>
      <w:r w:rsidR="00EC5A9C" w:rsidRPr="001B6443">
        <w:rPr>
          <w:rFonts w:ascii="Times New Roman" w:eastAsia="Calibri" w:hAnsi="Times New Roman" w:cs="Times New Roman"/>
          <w:color w:val="000000" w:themeColor="text1"/>
          <w:sz w:val="24"/>
          <w:szCs w:val="24"/>
          <w:lang w:val="en-US"/>
        </w:rPr>
        <w:t>. Hence, the stakeholder aspect supports the implementation of PCCIs, the promotion of CG mechanisms</w:t>
      </w:r>
      <w:r w:rsidR="005D1BA2" w:rsidRPr="001B6443">
        <w:rPr>
          <w:rFonts w:ascii="Times New Roman" w:eastAsia="Calibri" w:hAnsi="Times New Roman" w:cs="Times New Roman"/>
          <w:color w:val="000000" w:themeColor="text1"/>
          <w:sz w:val="24"/>
          <w:szCs w:val="24"/>
          <w:lang w:val="en-US"/>
        </w:rPr>
        <w:t>,</w:t>
      </w:r>
      <w:r w:rsidR="00EC5A9C" w:rsidRPr="001B6443">
        <w:rPr>
          <w:rFonts w:ascii="Times New Roman" w:eastAsia="Calibri" w:hAnsi="Times New Roman" w:cs="Times New Roman"/>
          <w:color w:val="000000" w:themeColor="text1"/>
          <w:sz w:val="24"/>
          <w:szCs w:val="24"/>
          <w:lang w:val="en-US"/>
        </w:rPr>
        <w:t xml:space="preserve"> such as BSCOM, and the implementation of sustainability-related practices to enhance corporate image, strengthen the relationships with stakeholders, and improve MV.</w:t>
      </w:r>
    </w:p>
    <w:p w14:paraId="410AEB90" w14:textId="77777777" w:rsidR="00E24DC3" w:rsidRPr="001B6443" w:rsidRDefault="00E24DC3" w:rsidP="00EC5A9C">
      <w:pPr>
        <w:spacing w:after="0" w:line="480" w:lineRule="auto"/>
        <w:jc w:val="both"/>
        <w:rPr>
          <w:rFonts w:ascii="Times New Roman" w:eastAsia="Calibri" w:hAnsi="Times New Roman" w:cs="Times New Roman"/>
          <w:color w:val="000000" w:themeColor="text1"/>
          <w:sz w:val="24"/>
          <w:szCs w:val="24"/>
          <w:lang w:val="en-US"/>
        </w:rPr>
      </w:pPr>
    </w:p>
    <w:p w14:paraId="2EBE9190" w14:textId="4773FE2C" w:rsidR="00EC5A9C" w:rsidRPr="001B6443" w:rsidRDefault="00CC5225"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Put</w:t>
      </w:r>
      <w:r w:rsidR="00EC5A9C" w:rsidRPr="001B6443">
        <w:rPr>
          <w:rFonts w:ascii="Times New Roman" w:eastAsia="Calibri" w:hAnsi="Times New Roman" w:cs="Times New Roman"/>
          <w:color w:val="000000" w:themeColor="text1"/>
          <w:sz w:val="24"/>
          <w:szCs w:val="24"/>
          <w:lang w:val="en-US"/>
        </w:rPr>
        <w:t xml:space="preserve"> together, legitimacy, RBV, and stakeholder </w:t>
      </w:r>
      <w:r w:rsidR="00DB43DF" w:rsidRPr="001B6443">
        <w:rPr>
          <w:rFonts w:ascii="Times New Roman" w:eastAsia="Calibri" w:hAnsi="Times New Roman" w:cs="Times New Roman"/>
          <w:color w:val="000000" w:themeColor="text1"/>
          <w:sz w:val="24"/>
          <w:szCs w:val="24"/>
          <w:lang w:val="en-US"/>
        </w:rPr>
        <w:t xml:space="preserve">theoretical </w:t>
      </w:r>
      <w:r w:rsidR="00EC5A9C" w:rsidRPr="001B6443">
        <w:rPr>
          <w:rFonts w:ascii="Times New Roman" w:eastAsia="Calibri" w:hAnsi="Times New Roman" w:cs="Times New Roman"/>
          <w:color w:val="000000" w:themeColor="text1"/>
          <w:sz w:val="24"/>
          <w:szCs w:val="24"/>
          <w:lang w:val="en-US"/>
        </w:rPr>
        <w:t>perspectives suggest that global companies exposed to different stakeholder pressures and environmental regulations can adopt PCCIs</w:t>
      </w:r>
      <w:r w:rsidR="00327AC7" w:rsidRPr="001B6443">
        <w:rPr>
          <w:rFonts w:ascii="Times New Roman" w:eastAsia="Calibri" w:hAnsi="Times New Roman" w:cs="Times New Roman"/>
          <w:color w:val="000000" w:themeColor="text1"/>
          <w:sz w:val="24"/>
          <w:szCs w:val="24"/>
          <w:lang w:val="en-US"/>
        </w:rPr>
        <w:t xml:space="preserve"> and establish </w:t>
      </w:r>
      <w:r w:rsidR="00EC5A9C" w:rsidRPr="001B6443">
        <w:rPr>
          <w:rFonts w:ascii="Times New Roman" w:eastAsia="Calibri" w:hAnsi="Times New Roman" w:cs="Times New Roman"/>
          <w:color w:val="000000" w:themeColor="text1"/>
          <w:sz w:val="24"/>
          <w:szCs w:val="24"/>
          <w:lang w:val="en-US"/>
        </w:rPr>
        <w:t>BSCOM that may (</w:t>
      </w:r>
      <w:r w:rsidR="00E24DC3" w:rsidRPr="001B6443">
        <w:rPr>
          <w:rFonts w:ascii="Times New Roman" w:eastAsia="Calibri" w:hAnsi="Times New Roman" w:cs="Times New Roman"/>
          <w:color w:val="000000" w:themeColor="text1"/>
          <w:sz w:val="24"/>
          <w:szCs w:val="24"/>
          <w:lang w:val="en-US"/>
        </w:rPr>
        <w:t>i</w:t>
      </w:r>
      <w:r w:rsidR="00EC5A9C" w:rsidRPr="001B6443">
        <w:rPr>
          <w:rFonts w:ascii="Times New Roman" w:eastAsia="Calibri" w:hAnsi="Times New Roman" w:cs="Times New Roman"/>
          <w:color w:val="000000" w:themeColor="text1"/>
          <w:sz w:val="24"/>
          <w:szCs w:val="24"/>
          <w:lang w:val="en-US"/>
        </w:rPr>
        <w:t>) enhance reputation and maintain</w:t>
      </w:r>
      <w:r w:rsidR="00EC5919" w:rsidRPr="001B6443">
        <w:rPr>
          <w:rFonts w:ascii="Times New Roman" w:eastAsia="Calibri" w:hAnsi="Times New Roman" w:cs="Times New Roman"/>
          <w:color w:val="000000" w:themeColor="text1"/>
          <w:sz w:val="24"/>
          <w:szCs w:val="24"/>
          <w:lang w:val="en-US"/>
        </w:rPr>
        <w:t xml:space="preserve"> legitimacy on a symbolic</w:t>
      </w:r>
      <w:r w:rsidR="00AC084D" w:rsidRPr="001B6443">
        <w:rPr>
          <w:rFonts w:ascii="Times New Roman" w:eastAsia="Calibri" w:hAnsi="Times New Roman" w:cs="Times New Roman"/>
          <w:color w:val="000000" w:themeColor="text1"/>
          <w:sz w:val="24"/>
          <w:szCs w:val="24"/>
          <w:lang w:val="en-US"/>
        </w:rPr>
        <w:t xml:space="preserve">/greenwashing </w:t>
      </w:r>
      <w:r w:rsidR="00EC5919" w:rsidRPr="001B6443">
        <w:rPr>
          <w:rFonts w:ascii="Times New Roman" w:eastAsia="Calibri" w:hAnsi="Times New Roman" w:cs="Times New Roman"/>
          <w:color w:val="000000" w:themeColor="text1"/>
          <w:sz w:val="24"/>
          <w:szCs w:val="24"/>
          <w:lang w:val="en-US"/>
        </w:rPr>
        <w:t xml:space="preserve">level </w:t>
      </w:r>
      <w:r w:rsidR="00530358"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Society","id":"ITEM-2","issue":"2","issued":{"date-parts":[["2011","6"]]},"page":"233-265","title":"How hot is your bottom line? linking carbon and financial performance","type":"article-journal","volume":"50"},"uris":["http://www.mendeley.com/documents/?uuid=79af7aa9-e472-392a-9475-56fa419ffe4f"]},{"id":"ITEM-3","itemData":{"DOI":"10.1007/s10551-017-3453-2","ISSN":"15730697","abstract":"This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Ethics","id":"ITEM-3","issue":"4","issued":{"date-parts":[["2019"]]},"page":"1161-1186","title":"The Heterogeneity of Board-Level Sustainability Committees and Corporate Social Performance","type":"article-journal","volume":"154"},"uris":["http://www.mendeley.com/documents/?uuid=73547ce0-856e-39c4-9675-abc201661377"]},{"id":"ITEM-4","itemData":{"DOI":"10.1002/smj.1952","ISBN":"1097-0266","ISSN":"01432095","PMID":"31767271","abstract":"Like governance structure and alliance scope, partner selection may serve to safeguard firms’ intellectual assets in R&amp;D alliances. We categorize potential alliance partners into friends, acquaintances, and strangers, depending on their previous alliance experience. Data on 1,159 R&amp;D alliances indicate that the more radical an alliance’s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alliances.","author":[{"dropping-particle":"","family":"Walls","given":"Judith L.","non-dropping-particle":"","parse-names":false,"suffix":""},{"dropping-particle":"","family":"Berrone","given":"Pascual","non-dropping-particle":"","parse-names":false,"suffix":""},{"dropping-particle":"","family":"Phan","given":"Phillip H.","non-dropping-particle":"","parse-names":false,"suffix":""}],"container-title":"Strategic Management Journal","id":"ITEM-4","issue":"8","issued":{"date-parts":[["2012"]]},"page":"885-913","title":"Corporate governance and environmental performance: Is there really a link?","type":"article-journal","volume":"33"},"uris":["http://www.mendeley.com/documents/?uuid=48f13855-f0f7-4cab-b5b5-37a88c5d07a2"]}],"mendeley":{"formattedCitation":"(Burke et al. 2019; Busch and Hoffmann 2011; Haque and Ntim 2020; Walls et al. 2012)","manualFormatting":"(Burke et al., 2019; Busch and Hoffmann, 2011; Haque and Ntim, 2020; Walls et al., 2012)","plainTextFormattedCitation":"(Burke et al. 2019; Busch and Hoffmann 2011; Haque and Ntim 2020; Walls et al. 2012)","previouslyFormattedCitation":"(Burke et al. 2019; Busch and Hoffmann 2011; Haque and Ntim 2020; Walls et al. 2012)"},"properties":{"noteIndex":0},"schema":"https://github.com/citation-style-language/schema/raw/master/csl-citation.json"}</w:instrText>
      </w:r>
      <w:r w:rsidR="00530358" w:rsidRPr="001B6443">
        <w:rPr>
          <w:rFonts w:ascii="Times New Roman" w:eastAsia="Calibri" w:hAnsi="Times New Roman" w:cs="Times New Roman"/>
          <w:color w:val="000000" w:themeColor="text1"/>
          <w:sz w:val="24"/>
          <w:szCs w:val="24"/>
          <w:lang w:val="en-US"/>
        </w:rPr>
        <w:fldChar w:fldCharType="separate"/>
      </w:r>
      <w:r w:rsidR="00C5105D" w:rsidRPr="001B6443">
        <w:rPr>
          <w:rFonts w:ascii="Times New Roman" w:eastAsia="Calibri" w:hAnsi="Times New Roman" w:cs="Times New Roman"/>
          <w:noProof/>
          <w:color w:val="000000" w:themeColor="text1"/>
          <w:sz w:val="24"/>
          <w:szCs w:val="24"/>
          <w:lang w:val="en-US"/>
        </w:rPr>
        <w:t xml:space="preserve">(Burke </w:t>
      </w:r>
      <w:r w:rsidR="00C5105D" w:rsidRPr="001B6443">
        <w:rPr>
          <w:rFonts w:ascii="Times New Roman" w:eastAsia="Calibri" w:hAnsi="Times New Roman" w:cs="Times New Roman"/>
          <w:i/>
          <w:iCs/>
          <w:noProof/>
          <w:color w:val="000000" w:themeColor="text1"/>
          <w:sz w:val="24"/>
          <w:szCs w:val="24"/>
          <w:lang w:val="en-US"/>
        </w:rPr>
        <w:t>et al</w:t>
      </w:r>
      <w:r w:rsidR="00C5105D" w:rsidRPr="001B6443">
        <w:rPr>
          <w:rFonts w:ascii="Times New Roman" w:eastAsia="Calibri" w:hAnsi="Times New Roman" w:cs="Times New Roman"/>
          <w:noProof/>
          <w:color w:val="000000" w:themeColor="text1"/>
          <w:sz w:val="24"/>
          <w:szCs w:val="24"/>
          <w:lang w:val="en-US"/>
        </w:rPr>
        <w:t>.</w:t>
      </w:r>
      <w:r w:rsidR="00AC084D" w:rsidRPr="001B6443">
        <w:rPr>
          <w:rFonts w:ascii="Times New Roman" w:eastAsia="Calibri" w:hAnsi="Times New Roman" w:cs="Times New Roman"/>
          <w:noProof/>
          <w:color w:val="000000" w:themeColor="text1"/>
          <w:sz w:val="24"/>
          <w:szCs w:val="24"/>
          <w:lang w:val="en-US"/>
        </w:rPr>
        <w:t>,</w:t>
      </w:r>
      <w:r w:rsidR="00C5105D" w:rsidRPr="001B6443">
        <w:rPr>
          <w:rFonts w:ascii="Times New Roman" w:eastAsia="Calibri" w:hAnsi="Times New Roman" w:cs="Times New Roman"/>
          <w:noProof/>
          <w:color w:val="000000" w:themeColor="text1"/>
          <w:sz w:val="24"/>
          <w:szCs w:val="24"/>
          <w:lang w:val="en-US"/>
        </w:rPr>
        <w:t xml:space="preserve"> 2019; Busch and Hoffmann</w:t>
      </w:r>
      <w:r w:rsidR="00AC084D" w:rsidRPr="001B6443">
        <w:rPr>
          <w:rFonts w:ascii="Times New Roman" w:eastAsia="Calibri" w:hAnsi="Times New Roman" w:cs="Times New Roman"/>
          <w:noProof/>
          <w:color w:val="000000" w:themeColor="text1"/>
          <w:sz w:val="24"/>
          <w:szCs w:val="24"/>
          <w:lang w:val="en-US"/>
        </w:rPr>
        <w:t>,</w:t>
      </w:r>
      <w:r w:rsidR="00C5105D" w:rsidRPr="001B6443">
        <w:rPr>
          <w:rFonts w:ascii="Times New Roman" w:eastAsia="Calibri" w:hAnsi="Times New Roman" w:cs="Times New Roman"/>
          <w:noProof/>
          <w:color w:val="000000" w:themeColor="text1"/>
          <w:sz w:val="24"/>
          <w:szCs w:val="24"/>
          <w:lang w:val="en-US"/>
        </w:rPr>
        <w:t xml:space="preserve"> 2011; Haque and Ntim</w:t>
      </w:r>
      <w:r w:rsidR="00AC084D" w:rsidRPr="001B6443">
        <w:rPr>
          <w:rFonts w:ascii="Times New Roman" w:eastAsia="Calibri" w:hAnsi="Times New Roman" w:cs="Times New Roman"/>
          <w:noProof/>
          <w:color w:val="000000" w:themeColor="text1"/>
          <w:sz w:val="24"/>
          <w:szCs w:val="24"/>
          <w:lang w:val="en-US"/>
        </w:rPr>
        <w:t>,</w:t>
      </w:r>
      <w:r w:rsidR="00C5105D" w:rsidRPr="001B6443">
        <w:rPr>
          <w:rFonts w:ascii="Times New Roman" w:eastAsia="Calibri" w:hAnsi="Times New Roman" w:cs="Times New Roman"/>
          <w:noProof/>
          <w:color w:val="000000" w:themeColor="text1"/>
          <w:sz w:val="24"/>
          <w:szCs w:val="24"/>
          <w:lang w:val="en-US"/>
        </w:rPr>
        <w:t xml:space="preserve"> 2020; </w:t>
      </w:r>
      <w:r w:rsidR="00C5105D" w:rsidRPr="001B6443">
        <w:rPr>
          <w:rFonts w:ascii="Times New Roman" w:eastAsia="Calibri" w:hAnsi="Times New Roman" w:cs="Times New Roman"/>
          <w:noProof/>
          <w:color w:val="000000" w:themeColor="text1"/>
          <w:sz w:val="24"/>
          <w:szCs w:val="24"/>
          <w:lang w:val="en-US"/>
        </w:rPr>
        <w:lastRenderedPageBreak/>
        <w:t xml:space="preserve">Walls </w:t>
      </w:r>
      <w:r w:rsidR="00C5105D" w:rsidRPr="001B6443">
        <w:rPr>
          <w:rFonts w:ascii="Times New Roman" w:eastAsia="Calibri" w:hAnsi="Times New Roman" w:cs="Times New Roman"/>
          <w:i/>
          <w:iCs/>
          <w:noProof/>
          <w:color w:val="000000" w:themeColor="text1"/>
          <w:sz w:val="24"/>
          <w:szCs w:val="24"/>
          <w:lang w:val="en-US"/>
        </w:rPr>
        <w:t>et al</w:t>
      </w:r>
      <w:r w:rsidR="00C5105D" w:rsidRPr="001B6443">
        <w:rPr>
          <w:rFonts w:ascii="Times New Roman" w:eastAsia="Calibri" w:hAnsi="Times New Roman" w:cs="Times New Roman"/>
          <w:noProof/>
          <w:color w:val="000000" w:themeColor="text1"/>
          <w:sz w:val="24"/>
          <w:szCs w:val="24"/>
          <w:lang w:val="en-US"/>
        </w:rPr>
        <w:t>.</w:t>
      </w:r>
      <w:r w:rsidR="00AC084D" w:rsidRPr="001B6443">
        <w:rPr>
          <w:rFonts w:ascii="Times New Roman" w:eastAsia="Calibri" w:hAnsi="Times New Roman" w:cs="Times New Roman"/>
          <w:noProof/>
          <w:color w:val="000000" w:themeColor="text1"/>
          <w:sz w:val="24"/>
          <w:szCs w:val="24"/>
          <w:lang w:val="en-US"/>
        </w:rPr>
        <w:t>,</w:t>
      </w:r>
      <w:r w:rsidR="00C5105D" w:rsidRPr="001B6443">
        <w:rPr>
          <w:rFonts w:ascii="Times New Roman" w:eastAsia="Calibri" w:hAnsi="Times New Roman" w:cs="Times New Roman"/>
          <w:noProof/>
          <w:color w:val="000000" w:themeColor="text1"/>
          <w:sz w:val="24"/>
          <w:szCs w:val="24"/>
          <w:lang w:val="en-US"/>
        </w:rPr>
        <w:t xml:space="preserve"> 2012)</w:t>
      </w:r>
      <w:r w:rsidR="00530358" w:rsidRPr="001B6443">
        <w:rPr>
          <w:rFonts w:ascii="Times New Roman" w:eastAsia="Calibri" w:hAnsi="Times New Roman" w:cs="Times New Roman"/>
          <w:color w:val="000000" w:themeColor="text1"/>
          <w:sz w:val="24"/>
          <w:szCs w:val="24"/>
          <w:lang w:val="en-US"/>
        </w:rPr>
        <w:fldChar w:fldCharType="end"/>
      </w:r>
      <w:r w:rsidR="00530358" w:rsidRPr="001B6443">
        <w:rPr>
          <w:rFonts w:ascii="Times New Roman" w:eastAsia="Calibri" w:hAnsi="Times New Roman" w:cs="Times New Roman"/>
          <w:color w:val="000000" w:themeColor="text1"/>
          <w:sz w:val="24"/>
          <w:szCs w:val="24"/>
          <w:lang w:val="en-US"/>
        </w:rPr>
        <w:t xml:space="preserve"> </w:t>
      </w:r>
      <w:r w:rsidR="00EC5919" w:rsidRPr="001B6443">
        <w:rPr>
          <w:rFonts w:ascii="Times New Roman" w:eastAsia="Calibri" w:hAnsi="Times New Roman" w:cs="Times New Roman"/>
          <w:color w:val="000000" w:themeColor="text1"/>
          <w:sz w:val="24"/>
          <w:szCs w:val="24"/>
          <w:lang w:val="en-US"/>
        </w:rPr>
        <w:t>and/</w:t>
      </w:r>
      <w:r w:rsidR="00EC5A9C" w:rsidRPr="001B6443">
        <w:rPr>
          <w:rFonts w:ascii="Times New Roman" w:eastAsia="Calibri" w:hAnsi="Times New Roman" w:cs="Times New Roman"/>
          <w:color w:val="000000" w:themeColor="text1"/>
          <w:sz w:val="24"/>
          <w:szCs w:val="24"/>
          <w:lang w:val="en-US"/>
        </w:rPr>
        <w:t>or (</w:t>
      </w:r>
      <w:r w:rsidR="00E24DC3" w:rsidRPr="001B6443">
        <w:rPr>
          <w:rFonts w:ascii="Times New Roman" w:eastAsia="Calibri" w:hAnsi="Times New Roman" w:cs="Times New Roman"/>
          <w:color w:val="000000" w:themeColor="text1"/>
          <w:sz w:val="24"/>
          <w:szCs w:val="24"/>
          <w:lang w:val="en-US"/>
        </w:rPr>
        <w:t>ii</w:t>
      </w:r>
      <w:r w:rsidR="002B4B1B" w:rsidRPr="001B6443">
        <w:rPr>
          <w:rFonts w:ascii="Times New Roman" w:eastAsia="Calibri" w:hAnsi="Times New Roman" w:cs="Times New Roman"/>
          <w:color w:val="000000" w:themeColor="text1"/>
          <w:sz w:val="24"/>
          <w:szCs w:val="24"/>
          <w:lang w:val="en-US"/>
        </w:rPr>
        <w:t xml:space="preserve">) substantively mitigate </w:t>
      </w:r>
      <w:r w:rsidR="00EC5A9C" w:rsidRPr="001B6443">
        <w:rPr>
          <w:rFonts w:ascii="Times New Roman" w:eastAsia="Calibri" w:hAnsi="Times New Roman" w:cs="Times New Roman"/>
          <w:color w:val="000000" w:themeColor="text1"/>
          <w:sz w:val="24"/>
          <w:szCs w:val="24"/>
          <w:lang w:val="en-US"/>
        </w:rPr>
        <w:t>emissions through improved efficiency and reduced operating costs</w:t>
      </w:r>
      <w:r w:rsidR="0016357D" w:rsidRPr="001B6443">
        <w:rPr>
          <w:rFonts w:ascii="Times New Roman" w:eastAsia="Calibri" w:hAnsi="Times New Roman" w:cs="Times New Roman"/>
          <w:color w:val="000000" w:themeColor="text1"/>
          <w:sz w:val="24"/>
          <w:szCs w:val="24"/>
          <w:lang w:val="en-US"/>
        </w:rPr>
        <w:t xml:space="preserve"> </w:t>
      </w:r>
      <w:r w:rsidR="0016357D"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performance","type":"article-journal","volume":"52"},"uris":["http://www.mendeley.com/documents/?uuid=c71df26d-d480-3b40-b9c9-2d5e5bd33b21"]},{"id":"ITEM-2","itemData":{"DOI":"10.1002/bse.2843","ISSN":"10990836","abstract":"Concern about climate change has increased the pressure on firms to be accountable for social impact and to report on environmental, social and governance (ESG) performance. Focusing on the view that sustainability-oriented firms are likely to consider wider stakeholder interests and pursue high financial reporting integrity, this paper examines the association between carbon assurance and earnings management. Using a sample of firms listed on the New York Stock Exchange, we find voluntary adoption of carbon assurance (level), carbon disclosure and gender diverse boards are negatively associated with earnings management. Additional tests using different components of carbon assurance (percent and verification) confirm our main results. Our results suggest that firms that voluntarily invest in carbon assurance, carbon disclosure and gender diverse boards are less likely to engage in earnings management and thus have higher reporting integrity. This aligns with the view that firms' ethical concerns translate into higher quality reporting.","author":[{"dropping-particle":"","family":"Bui","given":"Binh","non-dropping-particle":"","parse-names":false,"suffix":""},{"dropping-particle":"","family":"Houqe","given":"Muhammad Nurul","non-dropping-particle":"","parse-names":false,"suffix":""},{"dropping-particle":"","family":"Zaman","given":"Mahbub","non-dropping-particle":"","parse-names":false,"suffix":""}],"container-title":"Business Strategy and the Environment","id":"ITEM-2","issue":"8","issued":{"date-parts":[["2021"]]},"page":"3839-3853","title":"Climate change mitigation: Carbon assurance and reporting integrity","type":"article-journal","volume":"30"},"uris":["http://www.mendeley.com/documents/?uuid=3b52cc30-73d6-3243-a46b-80617f37a6e7"]},{"id":"ITEM-3","itemData":{"DOI":"10.1007/s10551-017-3731-z","ISSN":"15730697","abstract":"Addressing climate change is among the most challenging ethical issues facing contemporary business and society. Unsustainable business activities are causing significant distributional and procedural injustices in areas such as public health and vulnerability to extreme weather events, primarily because of a distinction between primary emitters and those already experiencing the impacts of climate change. Business, as a significant contributor to climate change and beneficiary of externalizing environmental costs, has an obligation to address its environmental impacts. In this paper, we explore the role of firms’ climate change targets in shaping their emissions trends in the context of a large multi-country sample of companies. We contrast two intentions for setting emissions reductions targets: symbolic attempts to manage external stakeholder perceptions via “greenwashing” and substantive commitments to reducing environmental impacts. We argue that the attributes of firms’ climate change targets (their extent, form, and time horizon) are diagnostic of firms’ underlying intentions. Consistent with our hypotheses, while we find no overall effect of setting climate change targets on emissions, we show that targets characterized by a commitment to more ambitious emissions reductions, a longer target time frame, and absolute reductions in emissions are associated with significant reductions in firms’ emissions. Our evidence suggests the need for vigilance among policy-makers and environmental campaigners regarding the underlying intentions that accompany environmental management practices and shows that these can to some extent be diagnosed analytically.","author":[{"dropping-particle":"","family":"Dahlmann","given":"Frederik","non-dropping-particle":"","parse-names":false,"suffix":""},{"dropping-particle":"","family":"Branicki","given":"Layla","non-dropping-particle":"","parse-names":false,"suffix":""},{"dropping-particle":"","family":"Brammer","given":"Stephen","non-dropping-particle":"","parse-names":false,"suffix":""}],"container-title":"Journal of Business Ethics","id":"ITEM-3","issue":"1","issued":{"date-parts":[["2019"]]},"page":"1-24","title":"Managing Carbon Aspirations: The Influence of Corporate Climate Change Targets on Environmental Performance","type":"article-journal","volume":"158"},"uris":["http://www.mendeley.com/documents/?uuid=d14f08f9-7c46-3057-a0c5-d9fc18b62316"]}],"mendeley":{"formattedCitation":"(Bui et al. 2020, 2021; Dahlmann et al. 2019)","manualFormatting":"(Bui et al., 2020, 2021; Dahlmann et al., 2019)","plainTextFormattedCitation":"(Bui et al. 2020, 2021; Dahlmann et al. 2019)","previouslyFormattedCitation":"(Bui et al. 2020, 2021; Dahlmann et al. 2019)"},"properties":{"noteIndex":0},"schema":"https://github.com/citation-style-language/schema/raw/master/csl-citation.json"}</w:instrText>
      </w:r>
      <w:r w:rsidR="0016357D" w:rsidRPr="001B6443">
        <w:rPr>
          <w:rFonts w:ascii="Times New Roman" w:eastAsia="Calibri" w:hAnsi="Times New Roman" w:cs="Times New Roman"/>
          <w:color w:val="000000" w:themeColor="text1"/>
          <w:sz w:val="24"/>
          <w:szCs w:val="24"/>
          <w:lang w:val="en-US"/>
        </w:rPr>
        <w:fldChar w:fldCharType="separate"/>
      </w:r>
      <w:r w:rsidR="0016357D" w:rsidRPr="001B6443">
        <w:rPr>
          <w:rFonts w:ascii="Times New Roman" w:eastAsia="Calibri" w:hAnsi="Times New Roman" w:cs="Times New Roman"/>
          <w:noProof/>
          <w:color w:val="000000" w:themeColor="text1"/>
          <w:sz w:val="24"/>
          <w:szCs w:val="24"/>
          <w:lang w:val="en-US"/>
        </w:rPr>
        <w:t xml:space="preserve">(Bui </w:t>
      </w:r>
      <w:r w:rsidR="0016357D" w:rsidRPr="001B6443">
        <w:rPr>
          <w:rFonts w:ascii="Times New Roman" w:eastAsia="Calibri" w:hAnsi="Times New Roman" w:cs="Times New Roman"/>
          <w:i/>
          <w:noProof/>
          <w:color w:val="000000" w:themeColor="text1"/>
          <w:sz w:val="24"/>
          <w:szCs w:val="24"/>
          <w:lang w:val="en-US"/>
        </w:rPr>
        <w:t>et al.,</w:t>
      </w:r>
      <w:r w:rsidR="0016357D" w:rsidRPr="001B6443">
        <w:rPr>
          <w:rFonts w:ascii="Times New Roman" w:eastAsia="Calibri" w:hAnsi="Times New Roman" w:cs="Times New Roman"/>
          <w:noProof/>
          <w:color w:val="000000" w:themeColor="text1"/>
          <w:sz w:val="24"/>
          <w:szCs w:val="24"/>
          <w:lang w:val="en-US"/>
        </w:rPr>
        <w:t xml:space="preserve"> 2020, 2021; Dahlmann </w:t>
      </w:r>
      <w:r w:rsidR="0016357D" w:rsidRPr="001B6443">
        <w:rPr>
          <w:rFonts w:ascii="Times New Roman" w:eastAsia="Calibri" w:hAnsi="Times New Roman" w:cs="Times New Roman"/>
          <w:i/>
          <w:noProof/>
          <w:color w:val="000000" w:themeColor="text1"/>
          <w:sz w:val="24"/>
          <w:szCs w:val="24"/>
          <w:lang w:val="en-US"/>
        </w:rPr>
        <w:t>et al.,</w:t>
      </w:r>
      <w:r w:rsidR="0016357D" w:rsidRPr="001B6443">
        <w:rPr>
          <w:rFonts w:ascii="Times New Roman" w:eastAsia="Calibri" w:hAnsi="Times New Roman" w:cs="Times New Roman"/>
          <w:noProof/>
          <w:color w:val="000000" w:themeColor="text1"/>
          <w:sz w:val="24"/>
          <w:szCs w:val="24"/>
          <w:lang w:val="en-US"/>
        </w:rPr>
        <w:t xml:space="preserve"> 2019)</w:t>
      </w:r>
      <w:r w:rsidR="0016357D" w:rsidRPr="001B6443">
        <w:rPr>
          <w:rFonts w:ascii="Times New Roman" w:eastAsia="Calibri" w:hAnsi="Times New Roman" w:cs="Times New Roman"/>
          <w:color w:val="000000" w:themeColor="text1"/>
          <w:sz w:val="24"/>
          <w:szCs w:val="24"/>
          <w:lang w:val="en-US"/>
        </w:rPr>
        <w:fldChar w:fldCharType="end"/>
      </w:r>
      <w:r w:rsidR="0016357D" w:rsidRPr="001B6443">
        <w:rPr>
          <w:rFonts w:ascii="Times New Roman" w:eastAsia="Calibri" w:hAnsi="Times New Roman" w:cs="Times New Roman"/>
          <w:color w:val="000000" w:themeColor="text1"/>
          <w:sz w:val="24"/>
          <w:szCs w:val="24"/>
          <w:lang w:val="en-US"/>
        </w:rPr>
        <w:t xml:space="preserve">. </w:t>
      </w:r>
    </w:p>
    <w:p w14:paraId="5FE2FB01" w14:textId="0C411109"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034A3668" w14:textId="77777777" w:rsidR="00EC5A9C" w:rsidRPr="001B6443" w:rsidRDefault="00EC5A9C" w:rsidP="00EC5A9C">
      <w:pPr>
        <w:numPr>
          <w:ilvl w:val="0"/>
          <w:numId w:val="5"/>
        </w:numPr>
        <w:spacing w:after="0" w:line="480" w:lineRule="auto"/>
        <w:ind w:left="567" w:hanging="567"/>
        <w:outlineLvl w:val="0"/>
        <w:rPr>
          <w:rFonts w:ascii="Times New Roman" w:eastAsia="Times New Roman" w:hAnsi="Times New Roman" w:cs="Times New Roman"/>
          <w:b/>
          <w:bCs/>
          <w:color w:val="000000" w:themeColor="text1"/>
          <w:kern w:val="36"/>
          <w:sz w:val="24"/>
          <w:szCs w:val="24"/>
          <w:lang w:val="en-US" w:eastAsia="ru-RU"/>
        </w:rPr>
      </w:pPr>
      <w:r w:rsidRPr="001B6443">
        <w:rPr>
          <w:rFonts w:ascii="Times New Roman" w:eastAsia="Times New Roman" w:hAnsi="Times New Roman" w:cs="Times New Roman"/>
          <w:b/>
          <w:bCs/>
          <w:color w:val="000000" w:themeColor="text1"/>
          <w:kern w:val="36"/>
          <w:sz w:val="24"/>
          <w:szCs w:val="24"/>
          <w:lang w:val="en-US" w:eastAsia="ru-RU"/>
        </w:rPr>
        <w:t>Literature review and hypotheses development</w:t>
      </w:r>
    </w:p>
    <w:p w14:paraId="5115D460"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Carbon performance, climate change initiatives, and market value</w:t>
      </w:r>
    </w:p>
    <w:p w14:paraId="4D81413E" w14:textId="20E2535B" w:rsidR="000E7A3E"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According to the </w:t>
      </w:r>
      <w:r w:rsidR="003B7CA3" w:rsidRPr="001B6443">
        <w:rPr>
          <w:rFonts w:ascii="Times New Roman" w:eastAsia="Calibri" w:hAnsi="Times New Roman" w:cs="Times New Roman"/>
          <w:color w:val="000000" w:themeColor="text1"/>
          <w:sz w:val="24"/>
          <w:szCs w:val="24"/>
          <w:lang w:val="en-US"/>
        </w:rPr>
        <w:t xml:space="preserve">benefit aspect of </w:t>
      </w:r>
      <w:r w:rsidR="00FC67BC" w:rsidRPr="001B6443">
        <w:rPr>
          <w:rFonts w:ascii="Times New Roman" w:eastAsia="Calibri" w:hAnsi="Times New Roman" w:cs="Times New Roman"/>
          <w:color w:val="000000" w:themeColor="text1"/>
          <w:sz w:val="24"/>
          <w:szCs w:val="24"/>
          <w:lang w:val="en-US"/>
        </w:rPr>
        <w:t>RBV</w:t>
      </w:r>
      <w:r w:rsidRPr="001B6443">
        <w:rPr>
          <w:rFonts w:ascii="Times New Roman" w:eastAsia="Calibri" w:hAnsi="Times New Roman" w:cs="Times New Roman"/>
          <w:color w:val="000000" w:themeColor="text1"/>
          <w:sz w:val="24"/>
          <w:szCs w:val="24"/>
          <w:lang w:val="en-US"/>
        </w:rPr>
        <w:t xml:space="preserve">, proactive environmental strategies are likely to reduce carbon emissions and improve MV through enhanced operational efficiency, effective energy savings, and greater access to resources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{"citationItems":[{"id":"ITEM-1","itemData":{"abstract":"Historically, management theory has ignored the constraints imposed by the biophysical (natural) environment. Building upon resource- based theory, this article attempts to fill this void by proposing a natural-resource-based view of the firm-a theory of competitive ad- vantage based upon the firm's relationship to the natural environ- ment. It is composed of three interconnected strategies: pollution pre- vention, product stewardship, and sustainable development. Propositions are advanced for each of these strategies regarding key resource requirements and their contributions to sustained competi- tive advantage.","author":[{"dropping-particle":"","family":"Hart","given":"Stuart L","non-dropping-particle":"","parse-names":false,"suffix":""}],"container-title":"Academy of Management Review","id":"ITEM-1","issue":"4","issued":{"date-parts":[["1995"]]},"page":"986-1014","title":"A Natural-Resource-Based View of the Firm","type":"article-journal","volume":"20"},"uris":["http://www.mendeley.com/documents/?uuid=fe55d63c-fc52-4378-b50a-b52ca0752a36"]},{"id":"ITEM-2","itemData":{"DOI":"10.1177/0149206310390219","ISSN":"01492063","abstract":"The authors revisit Hart's natural-resource-based view (NRBV) of the firm and summarize progress that has been made in testing elements of that theory and reevaluate the NRBV in light of a number of important developments that have emerged in recent years in both the resource-based view literature and in research on sustainable enterprise. First, the authors consider how the NRBV can both benefit from recent work in dynamic capabilities and can itself inform such work. Second, they review recent research in the areas of clean technology and business at the base of the pyramid and suggest how the NRBV can help inform research on the resources and capabilities needed to enter and succeed in these domains. © The Author(s) 2011.","author":[{"dropping-particle":"","family":"Hart","given":"Stuart L.","non-dropping-particle":"","parse-names":false,"suffix":""},{"dropping-particle":"","family":"Dowell","given":"Glen","non-dropping-particle":"","parse-names":false,"suffix":""}],"container-title":"Journal of Management","id":"ITEM-2","issue":"5","issued":{"date-parts":[["2011"]]},"page":"1464-1479","title":"A natural-resource-based view of the firm: Fifteen years after","type":"article-journal","volume":"37"},"uris":["http://www.mendeley.com/documents/?uuid=6af09b55-5387-3868-a9c7-5c7f7ea525e8"]}],"mendeley":{"formattedCitation":"(Hart 1995; Hart and Dowell 2011)","manualFormatting":"(Hart, 1995; Hart and Dowell, 2011)","plainTextFormattedCitation":"(Hart 1995; Hart and Dowell 2011)","previouslyFormattedCitation":"(Hart 1995; Hart and Dowell 2011)"},"properties":{"noteIndex":0},"schema":"https://github.com/citation-style-language/schema/raw/master/csl-citation.json"}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(Hart, 1995; Hart and Dowell, 2011)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0E7A3E" w:rsidRPr="001B6443">
        <w:rPr>
          <w:rFonts w:ascii="Times New Roman" w:eastAsia="Calibri" w:hAnsi="Times New Roman" w:cs="Times New Roman"/>
          <w:color w:val="000000" w:themeColor="text1"/>
          <w:sz w:val="24"/>
          <w:szCs w:val="24"/>
          <w:lang w:val="en-US"/>
        </w:rPr>
        <w:t xml:space="preserve">However, from the </w:t>
      </w:r>
      <w:r w:rsidRPr="001B6443">
        <w:rPr>
          <w:rFonts w:ascii="Times New Roman" w:eastAsia="Calibri" w:hAnsi="Times New Roman" w:cs="Times New Roman"/>
          <w:color w:val="000000" w:themeColor="text1"/>
          <w:sz w:val="24"/>
          <w:szCs w:val="24"/>
          <w:lang w:val="en-US"/>
        </w:rPr>
        <w:t xml:space="preserve">cost perspective, such environmental initiatives require substantive efforts, involve high risks and costs, and subsequently may damage MV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{"citationItems":[{"id":"ITEM-1","itemData":{"DOI":"10.1080/09638180.2021.1916979","ISSN":"14684497","abstract":"Although the literature on carbon accounting is growing, studies on the valuation impact of firms’ carbon abatement investment (CAI) are scarce, and the influence of country-specific climate policies is largely underexplored. Drawing on both the benefit and cost perspectives of the resource-based view, we predict that investors’ perceptions of the net benefits of CAI are contingent on national climate policies. Based on a comparative analysis of data from the US, the UK, and Australia, we find that CAI is viewed as value-destroying by investors in countries that do not have a stringent climate change policy. In contrast, CAI enhances firm value in jurisdictions that implement such policies. Additional analyses show that investors also consider the characteristics of CAI (i.e., the size and payback period) and the act and extensiveness of voluntary CAI disclosure when evaluating firm value. Our findings fill important gaps in the literature and have critical implications for policymakers, investors, managers, and other stakeholders who are responsible for the transition to a carbon-neutral economy.","author":[{"dropping-particle":"","family":"He","given":"Rong","non-dropping-particle":"","parse-names":false,"suffix":""},{"dropping-particle":"","family":"Luo","given":"Le","non-dropping-particle":"","parse-names":false,"suffix":""},{"dropping-particle":"","family":"Shamsuddin","given":"Abul","non-dropping-particle":"","parse-names":false,"suffix":""},{"dropping-particle":"","family":"Tang","given":"Qingliang","non-dropping-particle":"","parse-names":false,"suffix":""}],"container-title":"European Accounting Review","id":"ITEM-1","issued":{"date-parts":[["2021"]]},"title":"The Value Relevance of Corporate Investment in Carbon Abatement: The Influence of National Climate Policy","type":"article-journal"},"uris":["http://www.mendeley.com/documents/?uuid=46cbf820-59f9-3119-89ba-3683db5d5ba7"]},{"id":"ITEM-2","itemData":{"DOI":"10.1016/j.jeem.2013.04.005","ISSN":"00950696","abstract":"This paper empirically analyzes the effect of the inclusion of German corporations in the Dow Jones STOXX Sustainability Index (DJSI STOXX) and the Dow Jones Sustainability World Index (DJSI World) on stock performance. In order to receive robust estimation results, we apply an (short-term) event study approach that is based on both a modern asset pricing model, namely the three-factor model according to Fama and French [24], and additionally a t-GARCH(1,1) model. Our empirical results suggest that stock markets may penalize the inclusion of a firm in sustainability stock indexes. This finding is mainly driven by a strongly negative effect of the inclusion in the DJSI World. In contrast, we do not find significant average cumulative abnormal returns for the inclusion in the DJSI STOXX. This suggests that the inclusion in a more visible sustainability stock index may have larger negative impacts. © 2013 Elsevier Inc.","author":[{"dropping-particle":"","family":"Oberndorfer","given":"Ulrich","non-dropping-particle":"","parse-names":false,"suffix":""},{"dropping-particle":"","family":"Schmidt","given":"Peter","non-dropping-particle":"","parse-names":false,"suffix":""},{"dropping-particle":"","family":"Wagner","given":"Marcus","non-dropping-particle":"","parse-names":false,"suffix":""},{"dropping-particle":"","family":"Ziegler","given":"Andreas","non-dropping-particle":"","parse-names":false,"suffix":""}],"container-title":"Journal of Environmental Economics and Management","id":"ITEM-2","issue":"3","issued":{"date-parts":[["2013"]]},"page":"497-509","title":"Does the stock market value the inclusion in a sustainability stock index? An event study analysis for German firms","type":"article-journal","volume":"66"},"uris":["http://www.mendeley.com/documents/?uuid=e3dce1b4-2258-33ae-b669-88cf6e9bddf3"]}],"mendeley":{"formattedCitation":"(He et al. 2021; Oberndorfer et al. 2013)","manualFormatting":"(He et al., 2021; Oberndorfer et al., 2013)","plainTextFormattedCitation":"(He et al. 2021; Oberndorfer et al. 2013)","previouslyFormattedCitation":"(He et al. 2021; Oberndorfer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(He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2021; Oberndorfer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This argument also supports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{"citationItems":[{"id":"ITEM-1","itemData":{"ISSN":"1086-1718","abstract":"Advises managers on analyzing their competitors in terms of the industry structure, forecasting trends, developing competitive strategies, and selecting new industries to enter","author":[{"dropping-particle":"","family":"Porter","given":"Michael E","non-dropping-particle":"","parse-names":false,"suffix":""}],"container-title":"The Free Press","id":"ITEM-1","issued":{"date-parts":[["1980"]]},"publisher":"The Free Press","publisher-place":"New York","title":"Competitive strategy: Techniques for analyzing industries and competitors","type":"book"},"uris":["http://www.mendeley.com/documents/?uuid=f3ef19d2-9788-3129-a393-e711c38db51a"]}],"mendeley":{"formattedCitation":"(Porter 1980)","manualFormatting":"Porter's (1980)","plainTextFormattedCitation":"(Porter 1980)","previouslyFormattedCitation":"(Porter 1980)"},"properties":{"noteIndex":0},"schema":"https://github.com/citation-style-language/schema/raw/master/csl-citation.json"}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Porter's (1980)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view of competitive strategy in that any managerial effort to improve process-based environmental performance is regarded as a waste of resources.</w:t>
      </w:r>
      <w:r w:rsidR="004A6503" w:rsidRPr="001B6443">
        <w:rPr>
          <w:rFonts w:ascii="Times New Roman" w:eastAsia="Calibri" w:hAnsi="Times New Roman" w:cs="Times New Roman"/>
          <w:color w:val="000000" w:themeColor="text1"/>
          <w:sz w:val="24"/>
          <w:szCs w:val="24"/>
          <w:lang w:val="en-US"/>
        </w:rPr>
        <w:t xml:space="preserve"> At the same time, firms focus on improving outcome-based carbon/environmental performance in order to enhance stakeholder relationships, sustain competitive advantage, and ultimately improve MV </w:t>
      </w:r>
      <w:r w:rsidR="004A6503" w:rsidRPr="001B6443">
        <w:rPr>
          <w:rFonts w:ascii="Times New Roman" w:eastAsia="Calibri" w:hAnsi="Times New Roman" w:cs="Times New Roman"/>
          <w:color w:val="000000" w:themeColor="text1"/>
          <w:sz w:val="24"/>
          <w:szCs w:val="24"/>
          <w:lang w:val="en-US"/>
        </w:rPr>
        <w:fldChar w:fldCharType="begin" w:fldLock="1"/>
      </w:r>
      <w:r w:rsidR="003A1CA6"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performance","type":"article-journal","volume":"50"},"uris":["http://www.mendeley.com/documents/?uuid=79af7aa9-e472-392a-9475-56fa419ffe4f"]}],"mendeley":{"formattedCitation":"(Busch and Hoffmann 2011)","plainTextFormattedCitation":"(Busch and Hoffmann 2011)","previouslyFormattedCitation":"(Busch and Hoffmann 2011)"},"properties":{"noteIndex":0},"schema":"https://github.com/citation-style-language/schema/raw/master/csl-citation.json"}</w:instrText>
      </w:r>
      <w:r w:rsidR="004A6503" w:rsidRPr="001B6443">
        <w:rPr>
          <w:rFonts w:ascii="Times New Roman" w:eastAsia="Calibri" w:hAnsi="Times New Roman" w:cs="Times New Roman"/>
          <w:color w:val="000000" w:themeColor="text1"/>
          <w:sz w:val="24"/>
          <w:szCs w:val="24"/>
          <w:lang w:val="en-US"/>
        </w:rPr>
        <w:fldChar w:fldCharType="separate"/>
      </w:r>
      <w:r w:rsidR="004A6503" w:rsidRPr="001B6443">
        <w:rPr>
          <w:rFonts w:ascii="Times New Roman" w:eastAsia="Calibri" w:hAnsi="Times New Roman" w:cs="Times New Roman"/>
          <w:noProof/>
          <w:color w:val="000000" w:themeColor="text1"/>
          <w:sz w:val="24"/>
          <w:szCs w:val="24"/>
          <w:lang w:val="en-US"/>
        </w:rPr>
        <w:t>(Busch and Hoffmann 2011)</w:t>
      </w:r>
      <w:r w:rsidR="004A6503" w:rsidRPr="001B6443">
        <w:rPr>
          <w:rFonts w:ascii="Times New Roman" w:eastAsia="Calibri" w:hAnsi="Times New Roman" w:cs="Times New Roman"/>
          <w:color w:val="000000" w:themeColor="text1"/>
          <w:sz w:val="24"/>
          <w:szCs w:val="24"/>
          <w:lang w:val="en-US"/>
        </w:rPr>
        <w:fldChar w:fldCharType="end"/>
      </w:r>
      <w:r w:rsidR="00CF4896" w:rsidRPr="001B6443">
        <w:rPr>
          <w:rFonts w:ascii="Times New Roman" w:eastAsia="Calibri" w:hAnsi="Times New Roman" w:cs="Times New Roman"/>
          <w:color w:val="000000" w:themeColor="text1"/>
          <w:sz w:val="24"/>
          <w:szCs w:val="24"/>
          <w:lang w:val="en-US"/>
        </w:rPr>
        <w:t>,</w:t>
      </w:r>
      <w:r w:rsidR="004A6503" w:rsidRPr="001B6443">
        <w:rPr>
          <w:rFonts w:ascii="Times New Roman" w:eastAsia="Calibri" w:hAnsi="Times New Roman" w:cs="Times New Roman"/>
          <w:color w:val="000000" w:themeColor="text1"/>
          <w:sz w:val="24"/>
          <w:szCs w:val="24"/>
          <w:lang w:val="en-US"/>
        </w:rPr>
        <w:t xml:space="preserve"> as capital markets penalize firms with higher levels of GHG emissions and reward firms with </w:t>
      </w:r>
      <w:r w:rsidR="005C5382" w:rsidRPr="001B6443">
        <w:rPr>
          <w:rFonts w:ascii="Times New Roman" w:eastAsia="Calibri" w:hAnsi="Times New Roman" w:cs="Times New Roman"/>
          <w:color w:val="000000" w:themeColor="text1"/>
          <w:sz w:val="24"/>
          <w:szCs w:val="24"/>
          <w:lang w:val="en-US"/>
        </w:rPr>
        <w:t>better</w:t>
      </w:r>
      <w:r w:rsidR="004A6503" w:rsidRPr="001B6443">
        <w:rPr>
          <w:rFonts w:ascii="Times New Roman" w:eastAsia="Calibri" w:hAnsi="Times New Roman" w:cs="Times New Roman"/>
          <w:color w:val="000000" w:themeColor="text1"/>
          <w:sz w:val="24"/>
          <w:szCs w:val="24"/>
          <w:lang w:val="en-US"/>
        </w:rPr>
        <w:t xml:space="preserve"> </w:t>
      </w:r>
      <w:r w:rsidR="00A23ED1" w:rsidRPr="001B6443">
        <w:rPr>
          <w:rFonts w:ascii="Times New Roman" w:eastAsia="Calibri" w:hAnsi="Times New Roman" w:cs="Times New Roman"/>
          <w:color w:val="000000" w:themeColor="text1"/>
          <w:sz w:val="24"/>
          <w:szCs w:val="24"/>
          <w:lang w:val="en-US"/>
        </w:rPr>
        <w:t xml:space="preserve">outcome-based </w:t>
      </w:r>
      <w:r w:rsidR="004A6503" w:rsidRPr="001B6443">
        <w:rPr>
          <w:rFonts w:ascii="Times New Roman" w:eastAsia="Calibri" w:hAnsi="Times New Roman" w:cs="Times New Roman"/>
          <w:color w:val="000000" w:themeColor="text1"/>
          <w:sz w:val="24"/>
          <w:szCs w:val="24"/>
          <w:lang w:val="en-US"/>
        </w:rPr>
        <w:t xml:space="preserve">CCPE </w:t>
      </w:r>
      <w:r w:rsidR="004A6503" w:rsidRPr="001B6443">
        <w:rPr>
          <w:rFonts w:ascii="Times New Roman" w:eastAsia="Calibri" w:hAnsi="Times New Roman" w:cs="Times New Roman"/>
          <w:color w:val="000000" w:themeColor="text1"/>
          <w:sz w:val="24"/>
          <w:szCs w:val="24"/>
          <w:lang w:val="en-US"/>
        </w:rPr>
        <w:fldChar w:fldCharType="begin" w:fldLock="1"/>
      </w:r>
      <w:r w:rsidR="004A6503"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2021)","manualFormatting":"(Choi and Luo, 2021)","plainTextFormattedCitation":"(Choi and Luo 2021)","previouslyFormattedCitation":"(Choi and Luo 2021)"},"properties":{"noteIndex":0},"schema":"https://github.com/citation-style-language/schema/raw/master/csl-citation.json"}</w:instrText>
      </w:r>
      <w:r w:rsidR="004A6503" w:rsidRPr="001B6443">
        <w:rPr>
          <w:rFonts w:ascii="Times New Roman" w:eastAsia="Calibri" w:hAnsi="Times New Roman" w:cs="Times New Roman"/>
          <w:color w:val="000000" w:themeColor="text1"/>
          <w:sz w:val="24"/>
          <w:szCs w:val="24"/>
          <w:lang w:val="en-US"/>
        </w:rPr>
        <w:fldChar w:fldCharType="separate"/>
      </w:r>
      <w:r w:rsidR="004A6503" w:rsidRPr="001B6443">
        <w:rPr>
          <w:rFonts w:ascii="Times New Roman" w:eastAsia="Calibri" w:hAnsi="Times New Roman" w:cs="Times New Roman"/>
          <w:noProof/>
          <w:color w:val="000000" w:themeColor="text1"/>
          <w:sz w:val="24"/>
          <w:szCs w:val="24"/>
          <w:lang w:val="en-US"/>
        </w:rPr>
        <w:t>(Choi and Luo, 2021)</w:t>
      </w:r>
      <w:r w:rsidR="004A6503" w:rsidRPr="001B6443">
        <w:rPr>
          <w:rFonts w:ascii="Times New Roman" w:eastAsia="Calibri" w:hAnsi="Times New Roman" w:cs="Times New Roman"/>
          <w:color w:val="000000" w:themeColor="text1"/>
          <w:sz w:val="24"/>
          <w:szCs w:val="24"/>
          <w:lang w:val="en-US"/>
        </w:rPr>
        <w:fldChar w:fldCharType="end"/>
      </w:r>
      <w:r w:rsidR="004A6503" w:rsidRPr="001B6443">
        <w:rPr>
          <w:rFonts w:ascii="Times New Roman" w:eastAsia="Calibri" w:hAnsi="Times New Roman" w:cs="Times New Roman"/>
          <w:color w:val="000000" w:themeColor="text1"/>
          <w:sz w:val="24"/>
          <w:szCs w:val="24"/>
          <w:lang w:val="en-US"/>
        </w:rPr>
        <w:t>.</w:t>
      </w:r>
      <w:r w:rsidR="00E920D3" w:rsidRPr="001B6443">
        <w:rPr>
          <w:rFonts w:ascii="Times New Roman" w:eastAsia="Calibri" w:hAnsi="Times New Roman" w:cs="Times New Roman"/>
          <w:color w:val="000000" w:themeColor="text1"/>
          <w:sz w:val="24"/>
          <w:szCs w:val="24"/>
          <w:lang w:val="en-US"/>
        </w:rPr>
        <w:t xml:space="preserve"> In this circumstance, substantive environmental initiatives</w:t>
      </w:r>
      <w:r w:rsidR="00DB0EED" w:rsidRPr="001B6443">
        <w:rPr>
          <w:rFonts w:ascii="Times New Roman" w:eastAsia="Calibri" w:hAnsi="Times New Roman" w:cs="Times New Roman"/>
          <w:color w:val="000000" w:themeColor="text1"/>
          <w:sz w:val="24"/>
          <w:szCs w:val="24"/>
          <w:lang w:val="en-US"/>
        </w:rPr>
        <w:t xml:space="preserve">/practices/processes </w:t>
      </w:r>
      <w:r w:rsidR="009669D3" w:rsidRPr="001B6443">
        <w:rPr>
          <w:rFonts w:ascii="Times New Roman" w:eastAsia="Calibri" w:hAnsi="Times New Roman" w:cs="Times New Roman"/>
          <w:color w:val="000000" w:themeColor="text1"/>
          <w:sz w:val="24"/>
          <w:szCs w:val="24"/>
          <w:lang w:val="en-US"/>
        </w:rPr>
        <w:t xml:space="preserve">may lead to improved </w:t>
      </w:r>
      <w:r w:rsidR="00A23ED1" w:rsidRPr="001B6443">
        <w:rPr>
          <w:rFonts w:ascii="Times New Roman" w:eastAsia="Calibri" w:hAnsi="Times New Roman" w:cs="Times New Roman"/>
          <w:color w:val="000000" w:themeColor="text1"/>
          <w:sz w:val="24"/>
          <w:szCs w:val="24"/>
          <w:lang w:val="en-US"/>
        </w:rPr>
        <w:t xml:space="preserve">outcome-based </w:t>
      </w:r>
      <w:r w:rsidR="009669D3" w:rsidRPr="001B6443">
        <w:rPr>
          <w:rFonts w:ascii="Times New Roman" w:eastAsia="Calibri" w:hAnsi="Times New Roman" w:cs="Times New Roman"/>
          <w:color w:val="000000" w:themeColor="text1"/>
          <w:sz w:val="24"/>
          <w:szCs w:val="24"/>
          <w:lang w:val="en-US"/>
        </w:rPr>
        <w:t>CCPE</w:t>
      </w:r>
      <w:r w:rsidR="00DB0EED" w:rsidRPr="001B6443">
        <w:rPr>
          <w:rFonts w:ascii="Times New Roman" w:eastAsia="Calibri" w:hAnsi="Times New Roman" w:cs="Times New Roman"/>
          <w:color w:val="000000" w:themeColor="text1"/>
          <w:sz w:val="24"/>
          <w:szCs w:val="24"/>
          <w:lang w:val="en-US"/>
        </w:rPr>
        <w:t xml:space="preserve">. However, </w:t>
      </w:r>
      <w:r w:rsidR="009669D3" w:rsidRPr="001B6443">
        <w:rPr>
          <w:rFonts w:ascii="Times New Roman" w:eastAsia="Calibri" w:hAnsi="Times New Roman" w:cs="Times New Roman"/>
          <w:color w:val="000000" w:themeColor="text1"/>
          <w:sz w:val="24"/>
          <w:szCs w:val="24"/>
          <w:lang w:val="en-US"/>
        </w:rPr>
        <w:t xml:space="preserve">firms are less likely to undertake concrete actions in pursuing </w:t>
      </w:r>
      <w:r w:rsidR="00DB0EED" w:rsidRPr="001B6443">
        <w:rPr>
          <w:rFonts w:ascii="Times New Roman" w:eastAsia="Calibri" w:hAnsi="Times New Roman" w:cs="Times New Roman"/>
          <w:color w:val="000000" w:themeColor="text1"/>
          <w:sz w:val="24"/>
          <w:szCs w:val="24"/>
          <w:lang w:val="en-US"/>
        </w:rPr>
        <w:t>such co</w:t>
      </w:r>
      <w:r w:rsidR="00B156BF" w:rsidRPr="001B6443">
        <w:rPr>
          <w:rFonts w:ascii="Times New Roman" w:eastAsia="Calibri" w:hAnsi="Times New Roman" w:cs="Times New Roman"/>
          <w:color w:val="000000" w:themeColor="text1"/>
          <w:sz w:val="24"/>
          <w:szCs w:val="24"/>
          <w:lang w:val="en-US"/>
        </w:rPr>
        <w:t>mplicated</w:t>
      </w:r>
      <w:r w:rsidR="00DB0EED" w:rsidRPr="001B6443">
        <w:rPr>
          <w:rFonts w:ascii="Times New Roman" w:eastAsia="Calibri" w:hAnsi="Times New Roman" w:cs="Times New Roman"/>
          <w:color w:val="000000" w:themeColor="text1"/>
          <w:sz w:val="24"/>
          <w:szCs w:val="24"/>
          <w:lang w:val="en-US"/>
        </w:rPr>
        <w:t xml:space="preserve"> and costly initiatives</w:t>
      </w:r>
      <w:r w:rsidR="009669D3" w:rsidRPr="001B6443">
        <w:rPr>
          <w:rFonts w:ascii="Times New Roman" w:eastAsia="Calibri" w:hAnsi="Times New Roman" w:cs="Times New Roman"/>
          <w:color w:val="000000" w:themeColor="text1"/>
          <w:sz w:val="24"/>
          <w:szCs w:val="24"/>
          <w:lang w:val="en-US"/>
        </w:rPr>
        <w:t>, since they require significant economic resources and investments amid</w:t>
      </w:r>
      <w:r w:rsidR="003A1CA6" w:rsidRPr="001B6443">
        <w:rPr>
          <w:rFonts w:ascii="Times New Roman" w:eastAsia="Calibri" w:hAnsi="Times New Roman" w:cs="Times New Roman"/>
          <w:color w:val="000000" w:themeColor="text1"/>
          <w:sz w:val="24"/>
          <w:szCs w:val="24"/>
          <w:lang w:val="en-US"/>
        </w:rPr>
        <w:t xml:space="preserve"> economic/financial benefits </w:t>
      </w:r>
      <w:r w:rsidR="003A1CA6"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003A1CA6" w:rsidRPr="001B6443">
        <w:rPr>
          <w:rFonts w:ascii="Times New Roman" w:eastAsia="Calibri" w:hAnsi="Times New Roman" w:cs="Times New Roman"/>
          <w:color w:val="000000" w:themeColor="text1"/>
          <w:sz w:val="24"/>
          <w:szCs w:val="24"/>
          <w:lang w:val="en-US"/>
        </w:rPr>
        <w:fldChar w:fldCharType="separate"/>
      </w:r>
      <w:r w:rsidR="003A1CA6" w:rsidRPr="001B6443">
        <w:rPr>
          <w:rFonts w:ascii="Times New Roman" w:eastAsia="Calibri" w:hAnsi="Times New Roman" w:cs="Times New Roman"/>
          <w:noProof/>
          <w:color w:val="000000" w:themeColor="text1"/>
          <w:sz w:val="24"/>
          <w:szCs w:val="24"/>
          <w:lang w:val="en-US"/>
        </w:rPr>
        <w:t>(Haque and Ntim</w:t>
      </w:r>
      <w:r w:rsidR="00002344" w:rsidRPr="001B6443">
        <w:rPr>
          <w:rFonts w:ascii="Times New Roman" w:eastAsia="Calibri" w:hAnsi="Times New Roman" w:cs="Times New Roman"/>
          <w:noProof/>
          <w:color w:val="000000" w:themeColor="text1"/>
          <w:sz w:val="24"/>
          <w:szCs w:val="24"/>
          <w:lang w:val="en-US"/>
        </w:rPr>
        <w:t>,</w:t>
      </w:r>
      <w:r w:rsidR="003A1CA6" w:rsidRPr="001B6443">
        <w:rPr>
          <w:rFonts w:ascii="Times New Roman" w:eastAsia="Calibri" w:hAnsi="Times New Roman" w:cs="Times New Roman"/>
          <w:noProof/>
          <w:color w:val="000000" w:themeColor="text1"/>
          <w:sz w:val="24"/>
          <w:szCs w:val="24"/>
          <w:lang w:val="en-US"/>
        </w:rPr>
        <w:t xml:space="preserve"> 2020)</w:t>
      </w:r>
      <w:r w:rsidR="003A1CA6" w:rsidRPr="001B6443">
        <w:rPr>
          <w:rFonts w:ascii="Times New Roman" w:eastAsia="Calibri" w:hAnsi="Times New Roman" w:cs="Times New Roman"/>
          <w:color w:val="000000" w:themeColor="text1"/>
          <w:sz w:val="24"/>
          <w:szCs w:val="24"/>
          <w:lang w:val="en-US"/>
        </w:rPr>
        <w:fldChar w:fldCharType="end"/>
      </w:r>
      <w:r w:rsidR="003A1CA6" w:rsidRPr="001B6443">
        <w:rPr>
          <w:rFonts w:ascii="Times New Roman" w:eastAsia="Calibri" w:hAnsi="Times New Roman" w:cs="Times New Roman"/>
          <w:color w:val="000000" w:themeColor="text1"/>
          <w:sz w:val="24"/>
          <w:szCs w:val="24"/>
          <w:lang w:val="en-US"/>
        </w:rPr>
        <w:t xml:space="preserve">. </w:t>
      </w:r>
      <w:r w:rsidR="004A6503" w:rsidRPr="001B6443">
        <w:rPr>
          <w:rFonts w:ascii="Times New Roman" w:eastAsia="Calibri" w:hAnsi="Times New Roman" w:cs="Times New Roman"/>
          <w:color w:val="000000" w:themeColor="text1"/>
          <w:sz w:val="24"/>
          <w:szCs w:val="24"/>
          <w:lang w:val="en-US"/>
        </w:rPr>
        <w:t>Hence</w:t>
      </w:r>
      <w:r w:rsidRPr="001B6443">
        <w:rPr>
          <w:rFonts w:ascii="Times New Roman" w:eastAsia="Calibri" w:hAnsi="Times New Roman" w:cs="Times New Roman"/>
          <w:color w:val="000000" w:themeColor="text1"/>
          <w:sz w:val="24"/>
          <w:szCs w:val="24"/>
          <w:lang w:val="en-US"/>
        </w:rPr>
        <w:t xml:space="preserve">, from the </w:t>
      </w:r>
      <w:r w:rsidR="00D945E8" w:rsidRPr="001B6443">
        <w:rPr>
          <w:rFonts w:ascii="Times New Roman" w:eastAsia="Calibri" w:hAnsi="Times New Roman" w:cs="Times New Roman"/>
          <w:color w:val="000000" w:themeColor="text1"/>
          <w:sz w:val="24"/>
          <w:szCs w:val="24"/>
          <w:lang w:val="en-US"/>
        </w:rPr>
        <w:t>symbolic legitim</w:t>
      </w:r>
      <w:r w:rsidR="008E2ADA" w:rsidRPr="001B6443">
        <w:rPr>
          <w:rFonts w:ascii="Times New Roman" w:eastAsia="Calibri" w:hAnsi="Times New Roman" w:cs="Times New Roman"/>
          <w:color w:val="000000" w:themeColor="text1"/>
          <w:sz w:val="24"/>
          <w:szCs w:val="24"/>
          <w:lang w:val="en-US"/>
        </w:rPr>
        <w:t>ation</w:t>
      </w:r>
      <w:r w:rsidR="002C0B3F" w:rsidRPr="001B6443">
        <w:rPr>
          <w:rFonts w:ascii="Times New Roman" w:eastAsia="Calibri" w:hAnsi="Times New Roman" w:cs="Times New Roman"/>
          <w:color w:val="000000" w:themeColor="text1"/>
          <w:sz w:val="24"/>
          <w:szCs w:val="24"/>
          <w:lang w:val="en-US"/>
        </w:rPr>
        <w:t>/greenwashing</w:t>
      </w:r>
      <w:r w:rsidR="008E2ADA" w:rsidRPr="001B6443">
        <w:rPr>
          <w:rFonts w:ascii="Times New Roman" w:eastAsia="Calibri" w:hAnsi="Times New Roman" w:cs="Times New Roman"/>
          <w:color w:val="000000" w:themeColor="text1"/>
          <w:sz w:val="24"/>
          <w:szCs w:val="24"/>
          <w:lang w:val="en-US"/>
        </w:rPr>
        <w:t xml:space="preserve"> strategies </w:t>
      </w:r>
      <w:r w:rsidRPr="001B6443">
        <w:rPr>
          <w:rFonts w:ascii="Times New Roman" w:eastAsia="Calibri" w:hAnsi="Times New Roman" w:cs="Times New Roman"/>
          <w:color w:val="000000" w:themeColor="text1"/>
          <w:sz w:val="24"/>
          <w:szCs w:val="24"/>
          <w:lang w:val="en-US"/>
        </w:rPr>
        <w:t>perspective, firms may engage in symbolic PCCIs to gain legitimacy, impress stakehold</w:t>
      </w:r>
      <w:r w:rsidR="004A6503" w:rsidRPr="001B6443">
        <w:rPr>
          <w:rFonts w:ascii="Times New Roman" w:eastAsia="Calibri" w:hAnsi="Times New Roman" w:cs="Times New Roman"/>
          <w:color w:val="000000" w:themeColor="text1"/>
          <w:sz w:val="24"/>
          <w:szCs w:val="24"/>
          <w:lang w:val="en-US"/>
        </w:rPr>
        <w:t>ers, and ultimately improve MV, without undertaking substantive/economically efficient</w:t>
      </w:r>
      <w:r w:rsidRPr="001B6443">
        <w:rPr>
          <w:rFonts w:ascii="Times New Roman" w:eastAsia="Calibri" w:hAnsi="Times New Roman" w:cs="Times New Roman"/>
          <w:color w:val="000000" w:themeColor="text1"/>
          <w:sz w:val="24"/>
          <w:szCs w:val="24"/>
          <w:lang w:val="en-US"/>
        </w:rPr>
        <w:t xml:space="preserve"> efforts </w:t>
      </w:r>
      <w:r w:rsidR="004A6503" w:rsidRPr="001B6443">
        <w:rPr>
          <w:rFonts w:ascii="Times New Roman" w:eastAsia="Calibri" w:hAnsi="Times New Roman" w:cs="Times New Roman"/>
          <w:color w:val="000000" w:themeColor="text1"/>
          <w:sz w:val="24"/>
          <w:szCs w:val="24"/>
          <w:lang w:val="en-US"/>
        </w:rPr>
        <w:t>to</w:t>
      </w:r>
      <w:r w:rsidRPr="001B6443">
        <w:rPr>
          <w:rFonts w:ascii="Times New Roman" w:eastAsia="Calibri" w:hAnsi="Times New Roman" w:cs="Times New Roman"/>
          <w:color w:val="000000" w:themeColor="text1"/>
          <w:sz w:val="24"/>
          <w:szCs w:val="24"/>
          <w:lang w:val="en-US"/>
        </w:rPr>
        <w:t xml:space="preserve"> improve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Value","type":"article-journal","volume":"31"},"uris":["http://www.mendeley.com/documents/?uuid=233c96ce-971f-33e7-ad90-be8611789ad9"]},{"id":"ITEM-2","itemData":{"DOI":"10.5465/AMR.2007.25275678","ISSN":"03637425","abstract":"We provide a multilevel theoretical model to understand why business organizations are increasingly engaging in corporate social responsibility (CSR) initiatives and thereby exhibiting the potential to exert positive social change. Our model integrates theories of organizational justice, corporate governance, and varieties of capitalism to argue that organizations are pressured to engage in CSR by many different actors, each driven by instrumental, relational, and moral motives. We conclude by high-lighting empirical questions for future research and discussing some managerial implications. Copyright of the Academy of Management, all rights reserved.","author":[{"dropping-particle":"V.","family":"Aguilera","given":"Ruth","non-dropping-particle":"","parse-names":false,"suffix":""},{"dropping-particle":"","family":"Rupp","given":"Deborah E.","non-dropping-particle":"","parse-names":false,"suffix":""},{"dropping-particle":"","family":"Williams","given":"Cynthia A.","non-dropping-particle":"","parse-names":false,"suffix":""},{"dropping-particle":"","family":"Ganapathi","given":"Jyoti","non-dropping-particle":"","parse-names":false,"suffix":""}],"container-title":"Academy of Management Review","id":"ITEM-2","issue":"3","issued":{"date-parts":[["2007"]]},"page":"836-863","publisher":"Academy of Management","title":"Putting the s back in corporate social responsibility: A multilevel theory of social change in organizations","type":"article-journal","volume":"32"},"uris":["http://www.mendeley.com/documents/?uuid=bd4938bb-d95d-3777-a7e2-2c78ff1aed9b"]}],"mendeley":{"formattedCitation":"(Aguilera et al. 2007; Haque and Ntim 2020)","manualFormatting":"(Aguilera et al., 2007)","plainTextFormattedCitation":"(Aguilera et al. 2007; Haque and Ntim 2020)","previouslyFormattedCitation":"(Aguilera et al. 2007;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(Aguilera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2007)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p>
    <w:p w14:paraId="72B0B43F"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7FFFD516" w14:textId="706E6EE3" w:rsidR="00BE0ACE" w:rsidRPr="001B6443" w:rsidRDefault="007D6CD4" w:rsidP="00BE0ACE">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lastRenderedPageBreak/>
        <w:t>Prior research argues that c</w:t>
      </w:r>
      <w:r w:rsidR="00BE0ACE" w:rsidRPr="001B6443">
        <w:rPr>
          <w:rFonts w:ascii="Times New Roman" w:eastAsia="Calibri" w:hAnsi="Times New Roman" w:cs="Times New Roman"/>
          <w:color w:val="000000" w:themeColor="text1"/>
          <w:sz w:val="24"/>
          <w:szCs w:val="24"/>
          <w:lang w:val="en-US"/>
        </w:rPr>
        <w:t>orporate environmental initiatives a</w:t>
      </w:r>
      <w:r w:rsidRPr="001B6443">
        <w:rPr>
          <w:rFonts w:ascii="Times New Roman" w:eastAsia="Calibri" w:hAnsi="Times New Roman" w:cs="Times New Roman"/>
          <w:color w:val="000000" w:themeColor="text1"/>
          <w:sz w:val="24"/>
          <w:szCs w:val="24"/>
          <w:lang w:val="en-US"/>
        </w:rPr>
        <w:t>re significantly influenced/</w:t>
      </w:r>
      <w:r w:rsidR="00BE0ACE" w:rsidRPr="001B6443">
        <w:rPr>
          <w:rFonts w:ascii="Times New Roman" w:eastAsia="Calibri" w:hAnsi="Times New Roman" w:cs="Times New Roman"/>
          <w:color w:val="000000" w:themeColor="text1"/>
          <w:sz w:val="24"/>
          <w:szCs w:val="24"/>
          <w:lang w:val="en-US"/>
        </w:rPr>
        <w:t xml:space="preserve">shaped by </w:t>
      </w:r>
      <w:r w:rsidR="00B156BF" w:rsidRPr="001B6443">
        <w:rPr>
          <w:rFonts w:ascii="Times New Roman" w:eastAsia="Calibri" w:hAnsi="Times New Roman" w:cs="Times New Roman"/>
          <w:color w:val="000000" w:themeColor="text1"/>
          <w:sz w:val="24"/>
          <w:szCs w:val="24"/>
          <w:lang w:val="en-US"/>
        </w:rPr>
        <w:t xml:space="preserve">huge </w:t>
      </w:r>
      <w:r w:rsidR="00BE0ACE" w:rsidRPr="001B6443">
        <w:rPr>
          <w:rFonts w:ascii="Times New Roman" w:eastAsia="Calibri" w:hAnsi="Times New Roman" w:cs="Times New Roman"/>
          <w:color w:val="000000" w:themeColor="text1"/>
          <w:sz w:val="24"/>
          <w:szCs w:val="24"/>
          <w:lang w:val="en-US"/>
        </w:rPr>
        <w:t xml:space="preserve">pressures and demands from stakeholders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{"citationItems":[{"id":"ITEM-1","itemData":{"DOI":"10.1002/smj.796","ISSN":"01432095","abstract":"The challenges associated with climate change will require governments, citizens, and firms to work collaboratively to reduce greenhouse gas emissions, a task that requires information on companies' carbon risks, opportunities, strategies, and emission levels. This paper explores the conditions under which firms participate in this endeavor. Building on theories of how social activists inspire changes in organizational norms, beliefs, and practices, we hypothesize that shareholder actions and regulatory threats are likely to prime firms to adopt practices consistent with the aims of a broader social movement. We find empirical evidence of direct and spillover effects. In the domain of private politics, shareholder resolutions filed against a firm and others in its industry increase a firm's propensity to engage in practices consistent with the aims of the related social movement. Similarly, in the realm of public politics, threats of state regulations targeted at a firm's industry as well as regulations targeted at other industries increase the likelihood that the firm will engage in such practices. These findings extend existing theory by showing that both activist groups and government actors can spur changes in organizational practices, and that challenges mounted against a single firm or a single industry can inspire both firm and field-level changes. Copyright © 2009 John Wiley &amp; Sons, Ltd.","author":[{"dropping-particle":"","family":"Reid","given":"Erin M.","non-dropping-particle":"","parse-names":false,"suffix":""},{"dropping-particle":"","family":"Toffel","given":"Michael W.","non-dropping-particle":"","parse-names":false,"suffix":""}],"container-title":"Strategic Management Journal","id":"ITEM-1","issue":"11","issued":{"date-parts":[["2009","11"]]},"page":"1157-1178","title":"Responding to public and private politics: Corporate disclosure of climate change strategies","type":"article-journal","volume":"30"},"uris":["http://www.mendeley.com/documents/?uuid=0c2b28c3-9782-3e29-b1b7-317d5af50c72"]},{"id":"ITEM-2","itemData":{"DOI":"10.1016/j.jenvman.2015.06.006","ISBN":"0301-4797","ISSN":"10958630","PMID":"26081308","abstract":"This study contributes to the EMS literature by providing a more detailed insight into the comprehensiveness of environmental management systems (EMSs) by focusing on the intensity of use of environmental management practices. In addition, the study examines the influence of institutional pressures (coercive, mimetic and normative) on the comprehensiveness of environmental management systems (EMSs), and the impact of EMS comprehensiveness on environmental performance. A mail survey questionnaire was used to collect data from a random sample of Australian senior managers across various industries. Both coercive and normative pressures were found to influence the comprehensiveness of EMSs. Specifically, the pressure exerted by the government, through the creation of appropriate regulatory pressures and public incentives, and by employees, customers, professional groups, the media, and community, influenced the comprehensiveness of the EMS. In addition, organisations with more comprehensive EMSs were found to experience higher levels of environmental performance. With more than 300,000 organisations worldwide adopting EMSs (ISO, 2013), the findings provide an important insight into the relevance of EMSs. In particular, it is suggested that organisations should endeavour to implement a more comprehensive EMS and be conscious of the role that coercive and normative pressures play in influencing the comprehensiveness of their EMSs.","author":[{"dropping-particle":"","family":"Phan","given":"Thanh Nguyet","non-dropping-particle":"","parse-names":false,"suffix":""},{"dropping-particle":"","family":"Baird","given":"Kevin","non-dropping-particle":"","parse-names":false,"suffix":""}],"container-title":"Journal of Environmental Management","id":"ITEM-2","issued":{"date-parts":[["2015"]]},"page":"45-56","title":"The comprehensiveness of environmental management systems: The influence of institutional pressures and the impact on environmental performance","type":"article-journal","volume":"160"},"uris":["http://www.mendeley.com/documents/?uuid=151a71bf-9e69-35d7-8a36-fdf009eb6029"]}],"mendeley":{"formattedCitation":"(Phan and Baird 2015; Reid and Toffel 2009)","manualFormatting":"(Phan and Baird, 2015; Reid and Toffel, 2009)","plainTextFormattedCitation":"(Phan and Baird 2015; Reid and Toffel 2009)","previouslyFormattedCitation":"(Phan and Baird 2015; Reid and Toffel 2009)"},"properties":{"noteIndex":0},"schema":"https://github.com/citation-style-language/schema/raw/master/csl-citation.json"}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(Phan and Baird, 2015; Reid and Toffel, 2009)</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This is especially pertinent for long-term and compl</w:t>
      </w:r>
      <w:r w:rsidR="00B156BF" w:rsidRPr="001B6443">
        <w:rPr>
          <w:rFonts w:ascii="Times New Roman" w:eastAsia="Calibri" w:hAnsi="Times New Roman" w:cs="Times New Roman"/>
          <w:color w:val="000000" w:themeColor="text1"/>
          <w:sz w:val="24"/>
          <w:szCs w:val="24"/>
          <w:lang w:val="en-US"/>
        </w:rPr>
        <w:t>icated</w:t>
      </w:r>
      <w:r w:rsidR="00BE0ACE" w:rsidRPr="001B6443">
        <w:rPr>
          <w:rFonts w:ascii="Times New Roman" w:eastAsia="Calibri" w:hAnsi="Times New Roman" w:cs="Times New Roman"/>
          <w:color w:val="000000" w:themeColor="text1"/>
          <w:sz w:val="24"/>
          <w:szCs w:val="24"/>
          <w:lang w:val="en-US"/>
        </w:rPr>
        <w:t xml:space="preserve"> issue</w:t>
      </w:r>
      <w:r w:rsidR="004D61D6" w:rsidRPr="001B6443">
        <w:rPr>
          <w:rFonts w:ascii="Times New Roman" w:eastAsia="Calibri" w:hAnsi="Times New Roman" w:cs="Times New Roman"/>
          <w:color w:val="000000" w:themeColor="text1"/>
          <w:sz w:val="24"/>
          <w:szCs w:val="24"/>
          <w:lang w:val="en-US"/>
        </w:rPr>
        <w:t>s</w:t>
      </w:r>
      <w:r w:rsidR="00BE0ACE" w:rsidRPr="001B6443">
        <w:rPr>
          <w:rFonts w:ascii="Times New Roman" w:eastAsia="Calibri" w:hAnsi="Times New Roman" w:cs="Times New Roman"/>
          <w:color w:val="000000" w:themeColor="text1"/>
          <w:sz w:val="24"/>
          <w:szCs w:val="24"/>
          <w:lang w:val="en-US"/>
        </w:rPr>
        <w:t xml:space="preserve"> of climate change, where businesses face conflicting critiques and competing demands from stakeholders and shareholders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Journal","id":"ITEM-1","issue":"5","issued":{"date-parts":[["2017","10","1"]]},"page":"1633-1661","publisher":"Academy of Management","title":"An inconvenient truth: How organizations translate climate change into business as usual","type":"article-journal","volume":"60"},"uris":["http://www.mendeley.com/documents/?uuid=1e826676-3243-3bf7-a34c-ff6e0e1b5659"]}],"mendeley":{"formattedCitation":"(Wright and Nyberg 2017)","manualFormatting":"(Wright and Nyberg, 2017)","plainTextFormattedCitation":"(Wright and Nyberg 2017)","previouslyFormattedCitation":"(Wright and Nyberg 2017)"},"properties":{"noteIndex":0},"schema":"https://github.com/citation-style-language/schema/raw/master/csl-citation.json"}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(Wright and Nyberg, 2017)</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xml:space="preserve">. However, firms cannot easily integrate costly climate change challenges within the goal of profit maximization and value creation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Journal","id":"ITEM-1","issue":"5","issued":{"date-parts":[["2017","10","1"]]},"page":"1633-1661","publisher":"Academy of Management","title":"An inconvenient truth: How organizations translate climate change into business as usual","type":"article-journal","volume":"60"},"uris":["http://www.mendeley.com/documents/?uuid=1e826676-3243-3bf7-a34c-ff6e0e1b5659"]}],"mendeley":{"formattedCitation":"(Wright and Nyberg 2017)","manualFormatting":"(Andreou and Kellard, 2021; Wright and Nyberg, 2017).","plainTextFormattedCitation":"(Wright and Nyberg 2017)","previouslyFormattedCitation":"(Wright and Nyberg 2017)"},"properties":{"noteIndex":0},"schema":"https://github.com/citation-style-language/schema/raw/master/csl-citation.json"}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fldChar w:fldCharType="begin" w:fldLock="1"/>
      </w:r>
      <w:r w:rsidR="00BE0ACE" w:rsidRPr="001B6443">
        <w:rPr>
          <w:rFonts w:ascii="Times New Roman" w:eastAsia="Calibri" w:hAnsi="Times New Roman" w:cs="Times New Roman"/>
          <w:noProof/>
          <w:color w:val="000000" w:themeColor="text1"/>
          <w:sz w:val="24"/>
          <w:szCs w:val="24"/>
          <w:lang w:val="en-US"/>
        </w:rPr>
        <w:instrText>ADDIN CSL_CITATION {"citationItems":[{"id":"ITEM-1","itemData":{"DOI":"10.1111/1467-8551.12356","ISSN":"14678551","abstract":"In the presence of environmental policy, how do regulated firms respond? The answer is crucial for the design and effectiveness of policy regimes intended to mitigate environmental damage. We investigate whether particular types of firms are more likely to be proactive; in other words, which firms tend to behave in a manner most consistent with the desired policy outcomes. Using data on per-firm ‘verified’ and ‘allocated’ emissions from the European Union's Emissions Trading System (EU ETS) from 2005 till 2016, and given that some firms exceed or undershoot the allocated allowances by a large margin, we posit that this and related measures are useful proxies for a firm's proactiveness in responding to environmental policy. We find that public firms are less likely than private firms to be proactive, whilst the same is found for firms in common rather than civil law countries and for state-owned firms. Strikingly, proactiveness is associated both with greater reductions in greenhouse gas emissions and poorer firm performance, suggesting there is an economic cost to good environmental behaviour. Whilst the EU ETS is reducing emissions, it is not yet adequately compensating proactive firms or penalizing those who pollute – better system design could aid this further.","author":[{"dropping-particle":"","family":"Andreou","given":"Panayiotis C.","non-dropping-particle":"","parse-names":false,"suffix":""},{"dropping-particle":"","family":"Kellard","given":"Neil M.","non-dropping-particle":"","parse-names":false,"suffix":""}],"container-title":"British Journal of Management","id":"ITEM-1","issue":"3","issued":{"date-parts":[["2021"]]},"page":"630-647","title":"Corporate Environmental Proactivity: Evidence from the European Union's Emissions Trading System","type":"article-journal","volume":"32"},"uris":["http://www.mendeley.com/documents/?uuid=7dfe55b5-098b-30c6-bc10-b3146b2ae362"]}],"mendeley":{"formattedCitation":"(Andreou and Kellard 2021)","manualFormatting":"(Andreou and Kellard, 2021; Wright and Nyberg, 2017)","plainTextFormattedCitation":"(Andreou and Kellard 2021)","previouslyFormattedCitation":"(Andreou and Kellard 2021)"},"properties":{"noteIndex":0},"schema":"https://github.com/citation-style-language/schema/raw/master/csl-citation.json"}</w:instrText>
      </w:r>
      <w:r w:rsidR="00BE0ACE" w:rsidRPr="001B6443">
        <w:rPr>
          <w:rFonts w:ascii="Times New Roman" w:eastAsia="Calibri" w:hAnsi="Times New Roman" w:cs="Times New Roman"/>
          <w:noProof/>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(Andreou and Kellard, 2021; Wright and Nyberg, 2017)</w:t>
      </w:r>
      <w:r w:rsidR="00BE0ACE" w:rsidRPr="001B6443">
        <w:rPr>
          <w:rFonts w:ascii="Times New Roman" w:eastAsia="Calibri" w:hAnsi="Times New Roman" w:cs="Times New Roman"/>
          <w:noProof/>
          <w:color w:val="000000" w:themeColor="text1"/>
          <w:sz w:val="24"/>
          <w:szCs w:val="24"/>
          <w:lang w:val="en-US"/>
        </w:rPr>
        <w:fldChar w:fldCharType="end"/>
      </w:r>
      <w:r w:rsidR="00BE0ACE" w:rsidRPr="001B6443">
        <w:rPr>
          <w:rFonts w:ascii="Times New Roman" w:eastAsia="Calibri" w:hAnsi="Times New Roman" w:cs="Times New Roman"/>
          <w:noProof/>
          <w:color w:val="000000" w:themeColor="text1"/>
          <w:sz w:val="24"/>
          <w:szCs w:val="24"/>
          <w:lang w:val="en-US"/>
        </w:rPr>
        <w:t>.</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xml:space="preserve"> Hence, when firms are </w:t>
      </w:r>
      <w:r w:rsidRPr="001B6443">
        <w:rPr>
          <w:rFonts w:ascii="Times New Roman" w:eastAsia="Calibri" w:hAnsi="Times New Roman" w:cs="Times New Roman"/>
          <w:color w:val="000000" w:themeColor="text1"/>
          <w:sz w:val="24"/>
          <w:szCs w:val="24"/>
          <w:lang w:val="en-US"/>
        </w:rPr>
        <w:t>forced</w:t>
      </w:r>
      <w:r w:rsidR="00BE0ACE" w:rsidRPr="001B6443">
        <w:rPr>
          <w:rFonts w:ascii="Times New Roman" w:eastAsia="Calibri" w:hAnsi="Times New Roman" w:cs="Times New Roman"/>
          <w:color w:val="000000" w:themeColor="text1"/>
          <w:sz w:val="24"/>
          <w:szCs w:val="24"/>
          <w:lang w:val="en-US"/>
        </w:rPr>
        <w:t xml:space="preserve"> to select between economic goals and environmental targets, they normally </w:t>
      </w:r>
      <w:proofErr w:type="spellStart"/>
      <w:r w:rsidR="00BE0ACE" w:rsidRPr="001B6443">
        <w:rPr>
          <w:rFonts w:ascii="Times New Roman" w:eastAsia="Calibri" w:hAnsi="Times New Roman" w:cs="Times New Roman"/>
          <w:color w:val="000000" w:themeColor="text1"/>
          <w:sz w:val="24"/>
          <w:szCs w:val="24"/>
          <w:lang w:val="en-US"/>
        </w:rPr>
        <w:t>favo</w:t>
      </w:r>
      <w:r w:rsidR="007F7F49" w:rsidRPr="001B6443">
        <w:rPr>
          <w:rFonts w:ascii="Times New Roman" w:eastAsia="Calibri" w:hAnsi="Times New Roman" w:cs="Times New Roman"/>
          <w:color w:val="000000" w:themeColor="text1"/>
          <w:sz w:val="24"/>
          <w:szCs w:val="24"/>
          <w:lang w:val="en-US"/>
        </w:rPr>
        <w:t>u</w:t>
      </w:r>
      <w:r w:rsidR="00BE0ACE" w:rsidRPr="001B6443">
        <w:rPr>
          <w:rFonts w:ascii="Times New Roman" w:eastAsia="Calibri" w:hAnsi="Times New Roman" w:cs="Times New Roman"/>
          <w:color w:val="000000" w:themeColor="text1"/>
          <w:sz w:val="24"/>
          <w:szCs w:val="24"/>
          <w:lang w:val="en-US"/>
        </w:rPr>
        <w:t>r</w:t>
      </w:r>
      <w:proofErr w:type="spellEnd"/>
      <w:r w:rsidR="00BE0ACE" w:rsidRPr="001B6443">
        <w:rPr>
          <w:rFonts w:ascii="Times New Roman" w:eastAsia="Calibri" w:hAnsi="Times New Roman" w:cs="Times New Roman"/>
          <w:color w:val="000000" w:themeColor="text1"/>
          <w:sz w:val="24"/>
          <w:szCs w:val="24"/>
          <w:lang w:val="en-US"/>
        </w:rPr>
        <w:t xml:space="preserve"> economic goals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{"citationItems":[{"id":"ITEM-1","itemData":{"DOI":"10.1177/1086026615575047","ISSN":"15527417","abstract":"Corporate sustainability is rife with tensions as firms seek to balance often divergent economic, social, and environmental goals. To assess how tensions have been addressed in past research and to identify promising areas for pushing the literature forward, we conduct a comprehensive review of research in corporate sustainability from the past 11 years. We note four general approaches to how tensions are examined: through a win-win, trade-off, integrative, or paradox lens. The win-win approach looks for opportunities to reconcile social and/or environmental goals with economic goals, thus bypassing tensions, whereas a trade-off approach views such goals as being in conflict and requires that a choice be made between them. We find that scholars have also used an integrative approach to bring balance to the three elements of sustainability. More recently, a paradox approach, which seeks to understand the nature of tensions along with how actors work through them, provides an opportunity to evaluate complex sustainability issues and generate creative approaches to them. We call on scholars to build on paradox research, which explicitly addresses tensions in sustainability, and to extend conceptual work through empirical studies.","author":[{"dropping-particle":"","family":"Byl","given":"Connie A.","non-dropping-particle":"Van der","parse-names":false,"suffix":""},{"dropping-particle":"","family":"Slawinski","given":"Natalie","non-dropping-particle":"","parse-names":false,"suffix":""}],"container-title":"Organization and Environment","id":"ITEM-1","issue":"1","issued":{"date-parts":[["2015","3","27"]]},"page":"54-79","publisher":"SAGE Publications Inc.","title":"Embracing Tensions in Corporate Sustainability: A Review of Research From Win-Wins and Trade-Offs to Paradoxes and Beyond","type":"article-journal","volume":"28"},"uris":["http://www.mendeley.com/documents/?uuid=65930c3d-a732-3609-a686-f548072e73e0"]}],"mendeley":{"formattedCitation":"(Van der Byl and Slawinski 2015)","manualFormatting":"(Van der Byl and Slawinski, 2015)","plainTextFormattedCitation":"(Van der Byl and Slawinski 2015)","previouslyFormattedCitation":"(Van der Byl and Slawinski 2015)"},"properties":{"noteIndex":0},"schema":"https://github.com/citation-style-language/schema/raw/master/csl-citation.json"}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(Van der Byl and Slawinski, 2015)</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This is consistent with the a</w:t>
      </w:r>
      <w:r w:rsidR="00CC1387" w:rsidRPr="001B6443">
        <w:rPr>
          <w:rFonts w:ascii="Times New Roman" w:eastAsia="Calibri" w:hAnsi="Times New Roman" w:cs="Times New Roman"/>
          <w:color w:val="000000" w:themeColor="text1"/>
          <w:sz w:val="24"/>
          <w:szCs w:val="24"/>
          <w:lang w:val="en-US"/>
        </w:rPr>
        <w:t>rgument that comp</w:t>
      </w:r>
      <w:r w:rsidR="00B156BF" w:rsidRPr="001B6443">
        <w:rPr>
          <w:rFonts w:ascii="Times New Roman" w:eastAsia="Calibri" w:hAnsi="Times New Roman" w:cs="Times New Roman"/>
          <w:color w:val="000000" w:themeColor="text1"/>
          <w:sz w:val="24"/>
          <w:szCs w:val="24"/>
          <w:lang w:val="en-US"/>
        </w:rPr>
        <w:t>rehensive</w:t>
      </w:r>
      <w:r w:rsidR="00CC1387" w:rsidRPr="001B6443">
        <w:rPr>
          <w:rFonts w:ascii="Times New Roman" w:eastAsia="Calibri" w:hAnsi="Times New Roman" w:cs="Times New Roman"/>
          <w:color w:val="000000" w:themeColor="text1"/>
          <w:sz w:val="24"/>
          <w:szCs w:val="24"/>
          <w:lang w:val="en-US"/>
        </w:rPr>
        <w:t xml:space="preserve"> PCCIs</w:t>
      </w:r>
      <w:r w:rsidR="00BE0ACE" w:rsidRPr="001B6443">
        <w:rPr>
          <w:rFonts w:ascii="Times New Roman" w:eastAsia="Calibri" w:hAnsi="Times New Roman" w:cs="Times New Roman"/>
          <w:color w:val="000000" w:themeColor="text1"/>
          <w:sz w:val="24"/>
          <w:szCs w:val="24"/>
          <w:lang w:val="en-US"/>
        </w:rPr>
        <w:t xml:space="preserve"> are generally aimed at achieving corporate economic</w:t>
      </w:r>
      <w:r w:rsidR="004D61D6" w:rsidRPr="001B6443">
        <w:rPr>
          <w:rFonts w:ascii="Times New Roman" w:eastAsia="Calibri" w:hAnsi="Times New Roman" w:cs="Times New Roman"/>
          <w:color w:val="000000" w:themeColor="text1"/>
          <w:sz w:val="24"/>
          <w:szCs w:val="24"/>
          <w:lang w:val="en-US"/>
        </w:rPr>
        <w:t>/financial</w:t>
      </w:r>
      <w:r w:rsidR="00BE0ACE" w:rsidRPr="001B6443">
        <w:rPr>
          <w:rFonts w:ascii="Times New Roman" w:eastAsia="Calibri" w:hAnsi="Times New Roman" w:cs="Times New Roman"/>
          <w:color w:val="000000" w:themeColor="text1"/>
          <w:sz w:val="24"/>
          <w:szCs w:val="24"/>
          <w:lang w:val="en-US"/>
        </w:rPr>
        <w:t xml:space="preserve"> goals of cost reduction, profit maximization, and market expansion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author":[{"dropping-particle":"","family":"Dauvergne","given":"Peter","non-dropping-particle":"","parse-names":false,"suffix":""},{"dropping-particle":"","family":"Lister","given":"Jane","non-dropping-particle":"","parse-names":false,"suffix":""}],"id":"ITEM-1","issued":{"date-parts":[["2013"]]},"number-of-pages":"208","publisher":"MIT Press","publisher-place":"Cambridge, MA","title":"Eco-Business: A Big-Brand Takeover of Sustainability","type":"book"},"uris":["http://www.mendeley.com/documents/?uuid=b2400436-b5d4-439b-be8e-96e236811269"]}],"mendeley":{"formattedCitation":"(Dauvergne and Lister 2013)","manualFormatting":"(Dauvergne and Lister, 2013)","plainTextFormattedCitation":"(Dauvergne and Lister 2013)","previouslyFormattedCitation":"(Dauvergne and Lister 2013)"},"properties":{"noteIndex":0},"schema":"https://github.com/citation-style-language/schema/raw/master/csl-citation.json"}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(Dauvergne and Lister, 2013)</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xml:space="preserve">. In other words, businesses </w:t>
      </w:r>
      <w:r w:rsidR="000B7639" w:rsidRPr="001B6443">
        <w:rPr>
          <w:rFonts w:ascii="Times New Roman" w:eastAsia="Calibri" w:hAnsi="Times New Roman" w:cs="Times New Roman"/>
          <w:color w:val="000000" w:themeColor="text1"/>
          <w:sz w:val="24"/>
          <w:szCs w:val="24"/>
          <w:lang w:val="en-US"/>
        </w:rPr>
        <w:t>may</w:t>
      </w:r>
      <w:r w:rsidR="007D0DBA" w:rsidRPr="001B6443">
        <w:rPr>
          <w:rFonts w:ascii="Times New Roman" w:eastAsia="Calibri" w:hAnsi="Times New Roman" w:cs="Times New Roman"/>
          <w:color w:val="000000" w:themeColor="text1"/>
          <w:sz w:val="24"/>
          <w:szCs w:val="24"/>
          <w:lang w:val="en-US"/>
        </w:rPr>
        <w:t xml:space="preserve"> </w:t>
      </w:r>
      <w:r w:rsidR="00BE0ACE" w:rsidRPr="001B6443">
        <w:rPr>
          <w:rFonts w:ascii="Times New Roman" w:eastAsia="Calibri" w:hAnsi="Times New Roman" w:cs="Times New Roman"/>
          <w:color w:val="000000" w:themeColor="text1"/>
          <w:sz w:val="24"/>
          <w:szCs w:val="24"/>
          <w:lang w:val="en-US"/>
        </w:rPr>
        <w:t>invest in environmental ac</w:t>
      </w:r>
      <w:r w:rsidR="007D0DBA" w:rsidRPr="001B6443">
        <w:rPr>
          <w:rFonts w:ascii="Times New Roman" w:eastAsia="Calibri" w:hAnsi="Times New Roman" w:cs="Times New Roman"/>
          <w:color w:val="000000" w:themeColor="text1"/>
          <w:sz w:val="24"/>
          <w:szCs w:val="24"/>
          <w:lang w:val="en-US"/>
        </w:rPr>
        <w:t xml:space="preserve">tivities and green projects not only </w:t>
      </w:r>
      <w:r w:rsidR="00BE0ACE" w:rsidRPr="001B6443">
        <w:rPr>
          <w:rFonts w:ascii="Times New Roman" w:eastAsia="Calibri" w:hAnsi="Times New Roman" w:cs="Times New Roman"/>
          <w:color w:val="000000" w:themeColor="text1"/>
          <w:sz w:val="24"/>
          <w:szCs w:val="24"/>
          <w:lang w:val="en-US"/>
        </w:rPr>
        <w:t>to ameliorate environmental problems</w:t>
      </w:r>
      <w:r w:rsidR="003717B0" w:rsidRPr="001B6443">
        <w:rPr>
          <w:rFonts w:ascii="Times New Roman" w:eastAsia="Calibri" w:hAnsi="Times New Roman" w:cs="Times New Roman"/>
          <w:color w:val="000000" w:themeColor="text1"/>
          <w:sz w:val="24"/>
          <w:szCs w:val="24"/>
          <w:lang w:val="en-US"/>
        </w:rPr>
        <w:t>,</w:t>
      </w:r>
      <w:r w:rsidR="007D0DBA" w:rsidRPr="001B6443">
        <w:rPr>
          <w:rFonts w:ascii="Times New Roman" w:eastAsia="Calibri" w:hAnsi="Times New Roman" w:cs="Times New Roman"/>
          <w:color w:val="000000" w:themeColor="text1"/>
          <w:sz w:val="24"/>
          <w:szCs w:val="24"/>
          <w:lang w:val="en-US"/>
        </w:rPr>
        <w:t xml:space="preserve"> </w:t>
      </w:r>
      <w:r w:rsidR="00845AF4" w:rsidRPr="001B6443">
        <w:rPr>
          <w:rFonts w:ascii="Times New Roman" w:eastAsia="Calibri" w:hAnsi="Times New Roman" w:cs="Times New Roman"/>
          <w:color w:val="000000" w:themeColor="text1"/>
          <w:sz w:val="24"/>
          <w:szCs w:val="24"/>
          <w:lang w:val="en-US"/>
        </w:rPr>
        <w:t xml:space="preserve">but also </w:t>
      </w:r>
      <w:r w:rsidR="00BE0ACE" w:rsidRPr="001B6443">
        <w:rPr>
          <w:rFonts w:ascii="Times New Roman" w:eastAsia="Calibri" w:hAnsi="Times New Roman" w:cs="Times New Roman"/>
          <w:color w:val="000000" w:themeColor="text1"/>
          <w:sz w:val="24"/>
          <w:szCs w:val="24"/>
          <w:lang w:val="en-US"/>
        </w:rPr>
        <w:t xml:space="preserve">to improve corporate economic sustainability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{"citationItems":[{"id":"ITEM-1","itemData":{"DOI":"10.1177/0170840603024001341","ISSN":"01708406","abstract":"This paper explores the contradictions inherent in one of the more popular buzzwords of today: sustainable development. I argue that, despite claims of a paradigm shift, the sustainable development paradigm is based on an economic, not ecological, rationality. Discourses of sustainable development embody a view of nature specified by modern economic thought. One consequence of this discourse involves the transformation of 'nature' into 'environment', a transformation that has important implications for notions of how development should proceed. The 'rational' management of resources is integral to the Western economy and its imposition on developing countries is problematic. I discuss the implications of this 'regime of truth' for the Third World with particular reference to biotechnology, biodiversity and intellectual property rights. I argue that these aspects of sustainable development threaten to colonize spaces and sites in the Third World, spaces that now need to be made 'efficient' because of the capitalization of nature.","author":[{"dropping-particle":"","family":"Banerjee","given":"Subhabrata Bobby","non-dropping-particle":"","parse-names":false,"suffix":""}],"container-title":"Organization Studies","id":"ITEM-1","issue":"1","issued":{"date-parts":[["2003","1"]]},"page":"143-180","title":"Who sustains whose development? Sustainable development and the reinvention of nature","type":"article-journal","volume":"24"},"uris":["http://www.mendeley.com/documents/?uuid=48af5ad1-7b96-3546-8882-06d57d01a1a7"]},{"id":"ITEM-2","itemData":{"DOI":"10.1111/1467-8551.12395","ISSN":"14678551","abstract":"We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Value","type":"article-journal","volume":"31"},"uris":["http://www.mendeley.com/documents/?uuid=233c96ce-971f-33e7-ad90-be8611789ad9"]}],"mendeley":{"formattedCitation":"(Banerjee 2003; Haque and Ntim 2020)","manualFormatting":"(Banerjee, 2003)","plainTextFormattedCitation":"(Banerjee 2003; Haque and Ntim 2020)","previouslyFormattedCitation":"(Banerjee 2003; Haque and Ntim 2020)"},"properties":{"noteIndex":0},"schema":"https://github.com/citation-style-language/schema/raw/master/csl-citation.json"}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(Banerjee, 2003)</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 Thus, firms have strong incentives in translating climate-related grand challenges away from practices that may constrain their profit generating abilities, while emphasizing more immediate responses that can be align</w:t>
      </w:r>
      <w:r w:rsidR="006D4714" w:rsidRPr="001B6443">
        <w:rPr>
          <w:rFonts w:ascii="Times New Roman" w:eastAsia="Calibri" w:hAnsi="Times New Roman" w:cs="Times New Roman"/>
          <w:color w:val="000000" w:themeColor="text1"/>
          <w:sz w:val="24"/>
          <w:szCs w:val="24"/>
          <w:lang w:val="en-US"/>
        </w:rPr>
        <w:t xml:space="preserve">ed with profit maximization and </w:t>
      </w:r>
      <w:r w:rsidR="00BE0ACE" w:rsidRPr="001B6443">
        <w:rPr>
          <w:rFonts w:ascii="Times New Roman" w:eastAsia="Calibri" w:hAnsi="Times New Roman" w:cs="Times New Roman"/>
          <w:color w:val="000000" w:themeColor="text1"/>
          <w:sz w:val="24"/>
          <w:szCs w:val="24"/>
          <w:lang w:val="en-US"/>
        </w:rPr>
        <w:t xml:space="preserve">value creation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{"citationItems":[{"id":"ITEM-1","itemData":{"DOI":"10.5465/amj.2015.0718","ISSN":"00014273","abstract":"Climate change represents the grandest of challenges facing humanity. In the space of two centuries of industrial development, human civilization has changed the chemistry of the atmosphere and oceans, with devastating consequences. Business organizations are central to this challenge, in that they support the production of escalating greenhouse gas emissions but also offer innovative ways to decarbonize our economies. In this paper, we examine how businesses respond to climate change. Based on five in-depth case studies of major Australian corporations over a 10-year period (2005-2015), we identify three key stages in the corporate translation of climate change: framing, localizing, and normalizing. We develop a grounded model that explains how the revolutionary import of grand challenges is converted into the mundane and comfortable concerns of \"business as usual.\" We find that critique is the major driver of this process by continuously revealing the tensions between the demands of the grand challenge and business imperatives. Our paper contributes to the literature on business and the natural environment by identifying how and why corporate environmental initiatives deteriorate over time. More specifically, we highlight the policy limitations of a reliance on business and market responses to the climate crisis.","author":[{"dropping-particle":"","family":"Wright","given":"Christopher","non-dropping-particle":"","parse-names":false,"suffix":""},{"dropping-particle":"","family":"Nyberg","given":"Daniel","non-dropping-particle":"","parse-names":false,"suffix":""}],"container-title":"Academy of Management Journal","id":"ITEM-1","issue":"5","issued":{"date-parts":[["2017","10","1"]]},"page":"1633-1661","publisher":"Academy of Management","title":"An inconvenient truth: How organizations translate climate change into business as usual","type":"article-journal","volume":"60"},"uris":["http://www.mendeley.com/documents/?uuid=1e826676-3243-3bf7-a34c-ff6e0e1b5659"]}],"mendeley":{"formattedCitation":"(Wright and Nyberg 2017)","manualFormatting":"(Wright and Nyberg, 2017)","plainTextFormattedCitation":"(Wright and Nyberg 2017)","previouslyFormattedCitation":"(Wright and Nyberg 2017)"},"properties":{"noteIndex":0},"schema":"https://github.com/citation-style-language/schema/raw/master/csl-citation.json"}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(Wright and Nyberg, 2017)</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w:t>
      </w:r>
      <w:r w:rsidR="000E7A3E" w:rsidRPr="001B6443">
        <w:rPr>
          <w:rFonts w:ascii="Times New Roman" w:eastAsia="Calibri" w:hAnsi="Times New Roman" w:cs="Times New Roman"/>
          <w:color w:val="000000" w:themeColor="text1"/>
          <w:sz w:val="24"/>
          <w:szCs w:val="24"/>
          <w:lang w:val="en-US"/>
        </w:rPr>
        <w:t xml:space="preserve"> </w:t>
      </w:r>
      <w:r w:rsidR="00A07960" w:rsidRPr="001B6443">
        <w:rPr>
          <w:rFonts w:ascii="Times New Roman" w:eastAsia="Calibri" w:hAnsi="Times New Roman" w:cs="Times New Roman"/>
          <w:color w:val="000000" w:themeColor="text1"/>
          <w:sz w:val="24"/>
          <w:szCs w:val="24"/>
          <w:lang w:val="en-US"/>
        </w:rPr>
        <w:t>However</w:t>
      </w:r>
      <w:r w:rsidR="000E7A3E" w:rsidRPr="001B6443">
        <w:rPr>
          <w:rFonts w:ascii="Times New Roman" w:eastAsia="Calibri" w:hAnsi="Times New Roman" w:cs="Times New Roman"/>
          <w:color w:val="000000" w:themeColor="text1"/>
          <w:sz w:val="24"/>
          <w:szCs w:val="24"/>
          <w:lang w:val="en-US"/>
        </w:rPr>
        <w:t xml:space="preserve">, </w:t>
      </w:r>
      <w:r w:rsidR="00E26B78" w:rsidRPr="001B6443">
        <w:rPr>
          <w:rFonts w:ascii="Times New Roman" w:eastAsia="Calibri" w:hAnsi="Times New Roman" w:cs="Times New Roman"/>
          <w:color w:val="000000" w:themeColor="text1"/>
          <w:sz w:val="24"/>
          <w:szCs w:val="24"/>
          <w:lang w:val="en-US"/>
        </w:rPr>
        <w:t>the adoption of process-based environmental management initiatives/practices is considered by stakeholders as a pure marketing</w:t>
      </w:r>
      <w:r w:rsidR="009044B6" w:rsidRPr="001B6443">
        <w:rPr>
          <w:rFonts w:ascii="Times New Roman" w:eastAsia="Calibri" w:hAnsi="Times New Roman" w:cs="Times New Roman"/>
          <w:color w:val="000000" w:themeColor="text1"/>
          <w:sz w:val="24"/>
          <w:szCs w:val="24"/>
          <w:lang w:val="en-US"/>
        </w:rPr>
        <w:t>/greenwashing</w:t>
      </w:r>
      <w:r w:rsidR="00E26B78" w:rsidRPr="001B6443">
        <w:rPr>
          <w:rFonts w:ascii="Times New Roman" w:eastAsia="Calibri" w:hAnsi="Times New Roman" w:cs="Times New Roman"/>
          <w:color w:val="000000" w:themeColor="text1"/>
          <w:sz w:val="24"/>
          <w:szCs w:val="24"/>
          <w:lang w:val="en-US"/>
        </w:rPr>
        <w:t xml:space="preserve"> tool used for impressions management purposes </w:t>
      </w:r>
      <w:r w:rsidR="00E26B78" w:rsidRPr="001B6443">
        <w:rPr>
          <w:rFonts w:ascii="Times New Roman" w:eastAsia="Calibri" w:hAnsi="Times New Roman" w:cs="Times New Roman"/>
          <w:color w:val="000000" w:themeColor="text1"/>
          <w:sz w:val="24"/>
          <w:szCs w:val="24"/>
          <w:lang w:val="en-US"/>
        </w:rPr>
        <w:fldChar w:fldCharType="begin" w:fldLock="1"/>
      </w:r>
      <w:r w:rsidR="00E26B78" w:rsidRPr="001B6443">
        <w:rPr>
          <w:rFonts w:ascii="Times New Roman" w:eastAsia="Calibri" w:hAnsi="Times New Roman" w:cs="Times New Roman"/>
          <w:color w:val="000000" w:themeColor="text1"/>
          <w:sz w:val="24"/>
          <w:szCs w:val="24"/>
          <w:lang w:val="en-US"/>
        </w:rPr>
        <w:instrText>ADDIN CSL_CITATION {"citationItems":[{"id":"ITEM-1","itemData":{"DOI":"10.1002/smj.714","ISSN":"10970266","abstract":"This study explores the relationship between corporate social performance (CSP) and corporate financial performance (CFP) within the context of a specific component of CSP: corporate charitable giving. A model of the determinants of the extent of corporate charitable giving is estimated and used as the basis of a classification that groups firms according to the difference between their actual and their predicted intensity of gift giving. The financial performance attributes of the classification are explored. We found that firms with both unusually high and low CSP have higher financial performance than other firms, with unusually poor social performers doing best in the short run and unusually good social performers doing best over longer time horizons. Copyright © 2008 John Wiley &amp; Sons, Ltd.","author":[{"dropping-particle":"","family":"Brammer","given":"Stephen","non-dropping-particle":"","parse-names":false,"suffix":""},{"dropping-particle":"","family":"Millington","given":"Andrew","non-dropping-particle":"","parse-names":false,"suffix":""}],"container-title":"Strategic Management Journal","id":"ITEM-1","issue":"12","issued":{"date-parts":[["2008"]]},"page":"1325-1343","publisher":"John Wiley and Sons Ltd","title":"Does it pay to be different? An analysis of the relationship between corporate social and financial performance","type":"article-journal","volume":"29"},"uris":["http://www.mendeley.com/documents/?uuid=7b39af7a-1f73-395f-9e81-565cca55dc91"]}],"mendeley":{"formattedCitation":"(Brammer and Millington 2008)","manualFormatting":"(Brammer and Millington, 2008)","plainTextFormattedCitation":"(Brammer and Millington 2008)","previouslyFormattedCitation":"(Brammer and Millington 2008)"},"properties":{"noteIndex":0},"schema":"https://github.com/citation-style-language/schema/raw/master/csl-citation.json"}</w:instrText>
      </w:r>
      <w:r w:rsidR="00E26B78" w:rsidRPr="001B6443">
        <w:rPr>
          <w:rFonts w:ascii="Times New Roman" w:eastAsia="Calibri" w:hAnsi="Times New Roman" w:cs="Times New Roman"/>
          <w:color w:val="000000" w:themeColor="text1"/>
          <w:sz w:val="24"/>
          <w:szCs w:val="24"/>
          <w:lang w:val="en-US"/>
        </w:rPr>
        <w:fldChar w:fldCharType="separate"/>
      </w:r>
      <w:r w:rsidR="00E26B78" w:rsidRPr="001B6443">
        <w:rPr>
          <w:rFonts w:ascii="Times New Roman" w:eastAsia="Calibri" w:hAnsi="Times New Roman" w:cs="Times New Roman"/>
          <w:noProof/>
          <w:color w:val="000000" w:themeColor="text1"/>
          <w:sz w:val="24"/>
          <w:szCs w:val="24"/>
          <w:lang w:val="en-US"/>
        </w:rPr>
        <w:t>(Brammer and Millington, 2008)</w:t>
      </w:r>
      <w:r w:rsidR="00E26B78" w:rsidRPr="001B6443">
        <w:rPr>
          <w:rFonts w:ascii="Times New Roman" w:eastAsia="Calibri" w:hAnsi="Times New Roman" w:cs="Times New Roman"/>
          <w:color w:val="000000" w:themeColor="text1"/>
          <w:sz w:val="24"/>
          <w:szCs w:val="24"/>
          <w:lang w:val="en-US"/>
        </w:rPr>
        <w:fldChar w:fldCharType="end"/>
      </w:r>
      <w:r w:rsidR="00E26B78" w:rsidRPr="001B6443">
        <w:rPr>
          <w:rFonts w:ascii="Times New Roman" w:eastAsia="Calibri" w:hAnsi="Times New Roman" w:cs="Times New Roman"/>
          <w:color w:val="000000" w:themeColor="text1"/>
          <w:sz w:val="24"/>
          <w:szCs w:val="24"/>
          <w:lang w:val="en-US"/>
        </w:rPr>
        <w:t xml:space="preserve">. </w:t>
      </w:r>
      <w:r w:rsidR="00245AA1" w:rsidRPr="001B6443">
        <w:rPr>
          <w:rFonts w:ascii="Times New Roman" w:eastAsia="Calibri" w:hAnsi="Times New Roman" w:cs="Times New Roman"/>
          <w:color w:val="000000" w:themeColor="text1"/>
          <w:sz w:val="24"/>
          <w:szCs w:val="24"/>
          <w:lang w:val="en-US"/>
        </w:rPr>
        <w:t>Thus</w:t>
      </w:r>
      <w:r w:rsidR="00E26B78" w:rsidRPr="001B6443">
        <w:rPr>
          <w:rFonts w:ascii="Times New Roman" w:eastAsia="Calibri" w:hAnsi="Times New Roman" w:cs="Times New Roman"/>
          <w:color w:val="000000" w:themeColor="text1"/>
          <w:sz w:val="24"/>
          <w:szCs w:val="24"/>
          <w:lang w:val="en-US"/>
        </w:rPr>
        <w:t xml:space="preserve">, </w:t>
      </w:r>
      <w:r w:rsidR="000E7A3E" w:rsidRPr="001B6443">
        <w:rPr>
          <w:rFonts w:ascii="Times New Roman" w:eastAsia="Calibri" w:hAnsi="Times New Roman" w:cs="Times New Roman"/>
          <w:color w:val="000000" w:themeColor="text1"/>
          <w:sz w:val="24"/>
          <w:szCs w:val="24"/>
          <w:lang w:val="en-US"/>
        </w:rPr>
        <w:t xml:space="preserve">capital markets react more positively to </w:t>
      </w:r>
      <w:r w:rsidR="006D4714" w:rsidRPr="001B6443">
        <w:rPr>
          <w:rFonts w:ascii="Times New Roman" w:eastAsia="Calibri" w:hAnsi="Times New Roman" w:cs="Times New Roman"/>
          <w:color w:val="000000" w:themeColor="text1"/>
          <w:sz w:val="24"/>
          <w:szCs w:val="24"/>
          <w:lang w:val="en-US"/>
        </w:rPr>
        <w:t>improved</w:t>
      </w:r>
      <w:r w:rsidR="000E7A3E" w:rsidRPr="001B6443">
        <w:rPr>
          <w:rFonts w:ascii="Times New Roman" w:eastAsia="Calibri" w:hAnsi="Times New Roman" w:cs="Times New Roman"/>
          <w:color w:val="000000" w:themeColor="text1"/>
          <w:sz w:val="24"/>
          <w:szCs w:val="24"/>
          <w:lang w:val="en-US"/>
        </w:rPr>
        <w:t xml:space="preserve"> </w:t>
      </w:r>
      <w:r w:rsidR="00A23ED1" w:rsidRPr="001B6443">
        <w:rPr>
          <w:rFonts w:ascii="Times New Roman" w:eastAsia="Calibri" w:hAnsi="Times New Roman" w:cs="Times New Roman"/>
          <w:color w:val="000000" w:themeColor="text1"/>
          <w:sz w:val="24"/>
          <w:szCs w:val="24"/>
          <w:lang w:val="en-US"/>
        </w:rPr>
        <w:t xml:space="preserve">outcome-based </w:t>
      </w:r>
      <w:r w:rsidR="000E7A3E" w:rsidRPr="001B6443">
        <w:rPr>
          <w:rFonts w:ascii="Times New Roman" w:eastAsia="Calibri" w:hAnsi="Times New Roman" w:cs="Times New Roman"/>
          <w:color w:val="000000" w:themeColor="text1"/>
          <w:sz w:val="24"/>
          <w:szCs w:val="24"/>
          <w:lang w:val="en-US"/>
        </w:rPr>
        <w:t xml:space="preserve">CCPE rather than to PCCIs </w:t>
      </w:r>
      <w:r w:rsidR="000E7A3E" w:rsidRPr="001B6443">
        <w:rPr>
          <w:rFonts w:ascii="Times New Roman" w:eastAsia="Calibri" w:hAnsi="Times New Roman" w:cs="Times New Roman"/>
          <w:color w:val="000000" w:themeColor="text1"/>
          <w:sz w:val="24"/>
          <w:szCs w:val="24"/>
          <w:lang w:val="en-US"/>
        </w:rPr>
        <w:fldChar w:fldCharType="begin" w:fldLock="1"/>
      </w:r>
      <w:r w:rsidR="000E7A3E"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performance","type":"article-journal","volume":"50"},"uris":["http://www.mendeley.com/documents/?uuid=79af7aa9-e472-392a-9475-56fa419ffe4f"]}],"mendeley":{"formattedCitation":"(Busch and Hoffmann 2011)","manualFormatting":"(Busch and Hoffmann, 2011)","plainTextFormattedCitation":"(Busch and Hoffmann 2011)","previouslyFormattedCitation":"(Busch and Hoffmann 2011)"},"properties":{"noteIndex":0},"schema":"https://github.com/citation-style-language/schema/raw/master/csl-citation.json"}</w:instrText>
      </w:r>
      <w:r w:rsidR="000E7A3E" w:rsidRPr="001B6443">
        <w:rPr>
          <w:rFonts w:ascii="Times New Roman" w:eastAsia="Calibri" w:hAnsi="Times New Roman" w:cs="Times New Roman"/>
          <w:color w:val="000000" w:themeColor="text1"/>
          <w:sz w:val="24"/>
          <w:szCs w:val="24"/>
          <w:lang w:val="en-US"/>
        </w:rPr>
        <w:fldChar w:fldCharType="separate"/>
      </w:r>
      <w:r w:rsidR="000E7A3E" w:rsidRPr="001B6443">
        <w:rPr>
          <w:rFonts w:ascii="Times New Roman" w:eastAsia="Calibri" w:hAnsi="Times New Roman" w:cs="Times New Roman"/>
          <w:noProof/>
          <w:color w:val="000000" w:themeColor="text1"/>
          <w:sz w:val="24"/>
          <w:szCs w:val="24"/>
          <w:lang w:val="en-US"/>
        </w:rPr>
        <w:t>(Busch and Hoffmann, 2011)</w:t>
      </w:r>
      <w:r w:rsidR="000E7A3E" w:rsidRPr="001B6443">
        <w:rPr>
          <w:rFonts w:ascii="Times New Roman" w:eastAsia="Calibri" w:hAnsi="Times New Roman" w:cs="Times New Roman"/>
          <w:color w:val="000000" w:themeColor="text1"/>
          <w:sz w:val="24"/>
          <w:szCs w:val="24"/>
          <w:lang w:val="en-US"/>
        </w:rPr>
        <w:fldChar w:fldCharType="end"/>
      </w:r>
      <w:r w:rsidR="00EC1C4C" w:rsidRPr="001B6443">
        <w:rPr>
          <w:rFonts w:ascii="Times New Roman" w:eastAsia="Calibri" w:hAnsi="Times New Roman" w:cs="Times New Roman"/>
          <w:color w:val="000000" w:themeColor="text1"/>
          <w:sz w:val="24"/>
          <w:szCs w:val="24"/>
          <w:lang w:val="en-US"/>
        </w:rPr>
        <w:t xml:space="preserve">. Yet, although complex </w:t>
      </w:r>
      <w:r w:rsidR="00E26B78" w:rsidRPr="001B6443">
        <w:rPr>
          <w:rFonts w:ascii="Times New Roman" w:eastAsia="Calibri" w:hAnsi="Times New Roman" w:cs="Times New Roman"/>
          <w:color w:val="000000" w:themeColor="text1"/>
          <w:sz w:val="24"/>
          <w:szCs w:val="24"/>
          <w:lang w:val="en-US"/>
        </w:rPr>
        <w:t xml:space="preserve">PCCIs </w:t>
      </w:r>
      <w:r w:rsidR="00100C13" w:rsidRPr="001B6443">
        <w:rPr>
          <w:rFonts w:ascii="Times New Roman" w:eastAsia="Calibri" w:hAnsi="Times New Roman" w:cs="Times New Roman"/>
          <w:color w:val="000000" w:themeColor="text1"/>
          <w:sz w:val="24"/>
          <w:szCs w:val="24"/>
          <w:lang w:val="en-US"/>
        </w:rPr>
        <w:t>may not be</w:t>
      </w:r>
      <w:r w:rsidR="00EC1C4C" w:rsidRPr="001B6443">
        <w:rPr>
          <w:rFonts w:ascii="Times New Roman" w:eastAsia="Calibri" w:hAnsi="Times New Roman" w:cs="Times New Roman"/>
          <w:color w:val="000000" w:themeColor="text1"/>
          <w:sz w:val="24"/>
          <w:szCs w:val="24"/>
          <w:lang w:val="en-US"/>
        </w:rPr>
        <w:t xml:space="preserve"> fully recognized by capital markets, especially in their early stages</w:t>
      </w:r>
      <w:r w:rsidR="00100C13" w:rsidRPr="001B6443">
        <w:rPr>
          <w:rFonts w:ascii="Times New Roman" w:eastAsia="Calibri" w:hAnsi="Times New Roman" w:cs="Times New Roman"/>
          <w:color w:val="000000" w:themeColor="text1"/>
          <w:sz w:val="24"/>
          <w:szCs w:val="24"/>
          <w:lang w:val="en-US"/>
        </w:rPr>
        <w:t xml:space="preserve"> </w:t>
      </w:r>
      <w:r w:rsidR="00100C13"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00100C13" w:rsidRPr="001B6443">
        <w:rPr>
          <w:rFonts w:ascii="Times New Roman" w:eastAsia="Calibri" w:hAnsi="Times New Roman" w:cs="Times New Roman"/>
          <w:color w:val="000000" w:themeColor="text1"/>
          <w:sz w:val="24"/>
          <w:szCs w:val="24"/>
          <w:lang w:val="en-US"/>
        </w:rPr>
        <w:fldChar w:fldCharType="separate"/>
      </w:r>
      <w:r w:rsidR="00100C13" w:rsidRPr="001B6443">
        <w:rPr>
          <w:rFonts w:ascii="Times New Roman" w:eastAsia="Calibri" w:hAnsi="Times New Roman" w:cs="Times New Roman"/>
          <w:noProof/>
          <w:color w:val="000000" w:themeColor="text1"/>
          <w:sz w:val="24"/>
          <w:szCs w:val="24"/>
          <w:lang w:val="en-US"/>
        </w:rPr>
        <w:t>(Haque and Ntim</w:t>
      </w:r>
      <w:r w:rsidR="009044B6" w:rsidRPr="001B6443">
        <w:rPr>
          <w:rFonts w:ascii="Times New Roman" w:eastAsia="Calibri" w:hAnsi="Times New Roman" w:cs="Times New Roman"/>
          <w:noProof/>
          <w:color w:val="000000" w:themeColor="text1"/>
          <w:sz w:val="24"/>
          <w:szCs w:val="24"/>
          <w:lang w:val="en-US"/>
        </w:rPr>
        <w:t>,</w:t>
      </w:r>
      <w:r w:rsidR="00100C13" w:rsidRPr="001B6443">
        <w:rPr>
          <w:rFonts w:ascii="Times New Roman" w:eastAsia="Calibri" w:hAnsi="Times New Roman" w:cs="Times New Roman"/>
          <w:noProof/>
          <w:color w:val="000000" w:themeColor="text1"/>
          <w:sz w:val="24"/>
          <w:szCs w:val="24"/>
          <w:lang w:val="en-US"/>
        </w:rPr>
        <w:t xml:space="preserve"> 2020)</w:t>
      </w:r>
      <w:r w:rsidR="00100C13" w:rsidRPr="001B6443">
        <w:rPr>
          <w:rFonts w:ascii="Times New Roman" w:eastAsia="Calibri" w:hAnsi="Times New Roman" w:cs="Times New Roman"/>
          <w:color w:val="000000" w:themeColor="text1"/>
          <w:sz w:val="24"/>
          <w:szCs w:val="24"/>
          <w:lang w:val="en-US"/>
        </w:rPr>
        <w:fldChar w:fldCharType="end"/>
      </w:r>
      <w:r w:rsidR="00EC1C4C" w:rsidRPr="001B6443">
        <w:rPr>
          <w:rFonts w:ascii="Times New Roman" w:eastAsia="Calibri" w:hAnsi="Times New Roman" w:cs="Times New Roman"/>
          <w:color w:val="000000" w:themeColor="text1"/>
          <w:sz w:val="24"/>
          <w:szCs w:val="24"/>
          <w:lang w:val="en-US"/>
        </w:rPr>
        <w:t>, the</w:t>
      </w:r>
      <w:r w:rsidR="00FD4A0A" w:rsidRPr="001B6443">
        <w:rPr>
          <w:rFonts w:ascii="Times New Roman" w:eastAsia="Calibri" w:hAnsi="Times New Roman" w:cs="Times New Roman"/>
          <w:color w:val="000000" w:themeColor="text1"/>
          <w:sz w:val="24"/>
          <w:szCs w:val="24"/>
          <w:lang w:val="en-US"/>
        </w:rPr>
        <w:t>y</w:t>
      </w:r>
      <w:r w:rsidR="00EC1C4C" w:rsidRPr="001B6443">
        <w:rPr>
          <w:rFonts w:ascii="Times New Roman" w:eastAsia="Calibri" w:hAnsi="Times New Roman" w:cs="Times New Roman"/>
          <w:color w:val="000000" w:themeColor="text1"/>
          <w:sz w:val="24"/>
          <w:szCs w:val="24"/>
          <w:lang w:val="en-US"/>
        </w:rPr>
        <w:t xml:space="preserve"> </w:t>
      </w:r>
      <w:r w:rsidR="00100C13" w:rsidRPr="001B6443">
        <w:rPr>
          <w:rFonts w:ascii="Times New Roman" w:eastAsia="Calibri" w:hAnsi="Times New Roman" w:cs="Times New Roman"/>
          <w:color w:val="000000" w:themeColor="text1"/>
          <w:sz w:val="24"/>
          <w:szCs w:val="24"/>
          <w:lang w:val="en-US"/>
        </w:rPr>
        <w:t xml:space="preserve">might </w:t>
      </w:r>
      <w:r w:rsidR="00E26B78" w:rsidRPr="001B6443">
        <w:rPr>
          <w:rFonts w:ascii="Times New Roman" w:eastAsia="Calibri" w:hAnsi="Times New Roman" w:cs="Times New Roman"/>
          <w:color w:val="000000" w:themeColor="text1"/>
          <w:sz w:val="24"/>
          <w:szCs w:val="24"/>
          <w:lang w:val="en-US"/>
        </w:rPr>
        <w:t>reflect a firm’s substantive intentions</w:t>
      </w:r>
      <w:r w:rsidR="006D4714" w:rsidRPr="001B6443">
        <w:rPr>
          <w:rFonts w:ascii="Times New Roman" w:eastAsia="Calibri" w:hAnsi="Times New Roman" w:cs="Times New Roman"/>
          <w:color w:val="000000" w:themeColor="text1"/>
          <w:sz w:val="24"/>
          <w:szCs w:val="24"/>
          <w:lang w:val="en-US"/>
        </w:rPr>
        <w:t>/incentives</w:t>
      </w:r>
      <w:r w:rsidR="00E26B78" w:rsidRPr="001B6443">
        <w:rPr>
          <w:rFonts w:ascii="Times New Roman" w:eastAsia="Calibri" w:hAnsi="Times New Roman" w:cs="Times New Roman"/>
          <w:color w:val="000000" w:themeColor="text1"/>
          <w:sz w:val="24"/>
          <w:szCs w:val="24"/>
          <w:lang w:val="en-US"/>
        </w:rPr>
        <w:t xml:space="preserve"> to assess, manage, and reduce emissions </w:t>
      </w:r>
      <w:r w:rsidR="00E26B78"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{"citationItems":[{"id":"ITEM-1","itemData":{"DOI":"10.1007/s10551-017-3731-z","ISSN":"15730697","abstract":"Addressing climate change is among the most challenging ethical issues facing contemporary business and society. Unsustainable business activities are causing significant distributional and procedural injustices in areas such as public health and vulnerability to extreme weather events, primarily because of a distinction between primary emitters and those already experiencing the impacts of climate change. Business, as a significant contributor to climate change and beneficiary of externalizing environmental costs, has an obligation to address its environmental impacts. In this paper, we explore the role of firms’ climate change targets in shaping their emissions trends in the context of a large multi-country sample of companies. We contrast two intentions for setting emissions reductions targets: symbolic attempts to manage external stakeholder perceptions via “greenwashing” and substantive commitments to reducing environmental impacts. We argue that the attributes of firms’ climate change targets (their extent, form, and time horizon) are diagnostic of firms’ underlying intentions. Consistent with our hypotheses, while we find no overall effect of setting climate change targets on emissions, we show that targets characterized by a commitment to more ambitious emissions reductions, a longer target time frame, and absolute reductions in emissions are associated with significant reductions in firms’ emissions. Our evidence suggests the need for vigilance among policy-makers and environmental campaigners regarding the underlying intentions that accompany environmental management practices and shows that these can to some extent be diagnosed analytically.","author":[{"dropping-particle":"","family":"Dahlmann","given":"Frederik","non-dropping-particle":"","parse-names":false,"suffix":""},{"dropping-particle":"","family":"Branicki","given":"Layla","non-dropping-particle":"","parse-names":false,"suffix":""},{"dropping-particle":"","family":"Brammer","given":"Stephen","non-dropping-particle":"","parse-names":false,"suffix":""}],"container-title":"Journal of Business Ethics","id":"ITEM-1","issue":"1","issued":{"date-parts":[["2019"]]},"page":"1-24","title":"Managing Carbon Aspirations: The Influence of Corporate Climate Change Targets on Environmental Performance","type":"article-journal","volume":"158"},"uris":["http://www.mendeley.com/documents/?uuid=d14f08f9-7c46-3057-a0c5-d9fc18b62316"]}],"mendeley":{"formattedCitation":"(Dahlmann et al. 2019)","manualFormatting":"(Dahlmann et al., 2019)","plainTextFormattedCitation":"(Dahlmann et al. 2019)","previouslyFormattedCitation":"(Dahlmann et al. 2019)"},"properties":{"noteIndex":0},"schema":"https://github.com/citation-style-language/schema/raw/master/csl-citation.json"}</w:instrText>
      </w:r>
      <w:r w:rsidR="00E26B78" w:rsidRPr="001B6443">
        <w:rPr>
          <w:rFonts w:ascii="Times New Roman" w:eastAsia="Calibri" w:hAnsi="Times New Roman" w:cs="Times New Roman"/>
          <w:color w:val="000000" w:themeColor="text1"/>
          <w:sz w:val="24"/>
          <w:szCs w:val="24"/>
          <w:lang w:val="en-US"/>
        </w:rPr>
        <w:fldChar w:fldCharType="separate"/>
      </w:r>
      <w:r w:rsidR="00E26B78" w:rsidRPr="001B6443">
        <w:rPr>
          <w:rFonts w:ascii="Times New Roman" w:eastAsia="Calibri" w:hAnsi="Times New Roman" w:cs="Times New Roman"/>
          <w:noProof/>
          <w:color w:val="000000" w:themeColor="text1"/>
          <w:sz w:val="24"/>
          <w:szCs w:val="24"/>
          <w:lang w:val="en-US"/>
        </w:rPr>
        <w:t xml:space="preserve">(Dahlmann </w:t>
      </w:r>
      <w:r w:rsidR="00E26B78" w:rsidRPr="001B6443">
        <w:rPr>
          <w:rFonts w:ascii="Times New Roman" w:eastAsia="Calibri" w:hAnsi="Times New Roman" w:cs="Times New Roman"/>
          <w:i/>
          <w:iCs/>
          <w:noProof/>
          <w:color w:val="000000" w:themeColor="text1"/>
          <w:sz w:val="24"/>
          <w:szCs w:val="24"/>
          <w:lang w:val="en-US"/>
        </w:rPr>
        <w:t>et al.</w:t>
      </w:r>
      <w:r w:rsidR="009044B6" w:rsidRPr="001B6443">
        <w:rPr>
          <w:rFonts w:ascii="Times New Roman" w:eastAsia="Calibri" w:hAnsi="Times New Roman" w:cs="Times New Roman"/>
          <w:noProof/>
          <w:color w:val="000000" w:themeColor="text1"/>
          <w:sz w:val="24"/>
          <w:szCs w:val="24"/>
          <w:lang w:val="en-US"/>
        </w:rPr>
        <w:t>,</w:t>
      </w:r>
      <w:r w:rsidR="00E26B78" w:rsidRPr="001B6443">
        <w:rPr>
          <w:rFonts w:ascii="Times New Roman" w:eastAsia="Calibri" w:hAnsi="Times New Roman" w:cs="Times New Roman"/>
          <w:noProof/>
          <w:color w:val="000000" w:themeColor="text1"/>
          <w:sz w:val="24"/>
          <w:szCs w:val="24"/>
          <w:lang w:val="en-US"/>
        </w:rPr>
        <w:t xml:space="preserve"> 2019)</w:t>
      </w:r>
      <w:r w:rsidR="00E26B78" w:rsidRPr="001B6443">
        <w:rPr>
          <w:rFonts w:ascii="Times New Roman" w:eastAsia="Calibri" w:hAnsi="Times New Roman" w:cs="Times New Roman"/>
          <w:color w:val="000000" w:themeColor="text1"/>
          <w:sz w:val="24"/>
          <w:szCs w:val="24"/>
          <w:lang w:val="en-US"/>
        </w:rPr>
        <w:fldChar w:fldCharType="end"/>
      </w:r>
      <w:r w:rsidR="00E26B78" w:rsidRPr="001B6443">
        <w:rPr>
          <w:rFonts w:ascii="Times New Roman" w:eastAsia="Calibri" w:hAnsi="Times New Roman" w:cs="Times New Roman"/>
          <w:color w:val="000000" w:themeColor="text1"/>
          <w:sz w:val="24"/>
          <w:szCs w:val="24"/>
          <w:lang w:val="en-US"/>
        </w:rPr>
        <w:t xml:space="preserve">.  </w:t>
      </w:r>
    </w:p>
    <w:p w14:paraId="149EA51B" w14:textId="77777777" w:rsidR="00BE0ACE" w:rsidRPr="001B6443" w:rsidRDefault="00BE0ACE" w:rsidP="00EC5A9C">
      <w:pPr>
        <w:spacing w:after="0" w:line="480" w:lineRule="auto"/>
        <w:jc w:val="both"/>
        <w:rPr>
          <w:rFonts w:ascii="Times New Roman" w:eastAsia="Calibri" w:hAnsi="Times New Roman" w:cs="Times New Roman"/>
          <w:color w:val="000000" w:themeColor="text1"/>
          <w:sz w:val="24"/>
          <w:szCs w:val="24"/>
          <w:lang w:val="en-US"/>
        </w:rPr>
      </w:pPr>
    </w:p>
    <w:p w14:paraId="2530B6E1" w14:textId="6FB323E3"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Prior empirical studies examining the effects of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on MV are limited and have provided mixed results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Society","id":"ITEM-2","issue":"2","issued":{"date-parts":[["2011","6"]]},"page":"233-265","title":"How hot is your bottom line? linking carbon and financial performance","type":"article-journal","volume":"50"},"uris":["http://www.mendeley.com/documents/?uuid=79af7aa9-e472-392a-9475-56fa419ffe4f"]},{"id":"ITEM-3","itemData":{"DOI":"10.2308/accr-50629","ISSN":"00014826","abstract":"Using hand-collected carbon emissions data for 2006 to 2008 that were voluntarily disclosed to the Carbon Disclosure Project by S&amp;P 500 firms, we examine the effects on firm value of carbon emissions and of the act of voluntarily disclosing carbon emissions. Correcting for self-selection bias from managers' decisions to disclose carbon emissions, we find that, on average, for every additional thousand metric tons of carbon emissions, firm value decreases by $212,000, where the median emissions for the disclosing firms in our sample are 1.07 million metric tons. We also examine the firm-value effects of managers' decisions to disclose carbon emissions. We find that the median value of firms that disclose their carbon emissions is about $2.3 billion higher than that of comparable non-disclosing firms. Our results indicate that the markets penalize all firms for their carbon emissions, but a further penalty is imposed on firms that do not disclose emissions information. The results are consistent with the argument that capital markets impound both carbon emissions and the act of voluntary disclosure of this information in firm valuations.","author":[{"dropping-particle":"","family":"Matsumura","given":"Ella Mae","non-dropping-particle":"","parse-names":false,"suffix":""},{"dropping-particle":"","family":"Prakash","given":"Rachna","non-dropping-particle":"","parse-names":false,"suffix":""},{"dropping-particle":"","family":"Vera-Muñoz","given":"Sandra C.","non-dropping-particle":"","parse-names":false,"suffix":""}],"container-title":"Accounting Review","id":"ITEM-3","issue":"2","issued":{"date-parts":[["2014"]]},"page":"695-724","publisher":"American Accounting Association","title":"Firm-value effects of carbon emissions and carbon disclosures","type":"article-journal","volume":"89"},"uris":["http://www.mendeley.com/documents/?uuid=b98e977d-10d0-361c-9629-b9032492b740"]},{"id":"ITEM-4","itemData":{"DOI":"10.1016/j.irfa.2021.101734","ISSN":"10575219","abstract":"This study examines how carbon performance affects carbon disclosure and how carbon disclosure affects financial performance. With a sample of global firms, the study analyses how relationships between carbon disclosure, carbon performance and financial performance vary in institutional contexts. Our results show that carbon disclosure positively affects carbon performance, consistent with the signalling theory. We find that carbon disclosure negatively (positively) affects financial performance in the short-term (long-term). Our findings have significant implications for investors as some firms use carbon disclosure as part of impression management. Our results help regulators to monitor carbon disclosure and assist investors with investment decisions.","author":[{"dropping-particle":"","family":"Siddique","given":"Md Abubakar","non-dropping-particle":"","parse-names":false,"suffix":""},{"dropping-particle":"","family":"Akhtaruzzaman","given":"Md","non-dropping-particle":"","parse-names":false,"suffix":""},{"dropping-particle":"","family":"Rashid","given":"Afzalur","non-dropping-particle":"","parse-names":false,"suffix":""},{"dropping-particle":"","family":"Hammami","given":"Helmi","non-dropping-particle":"","parse-names":false,"suffix":""}],"container-title":"International Review of Financial Analysis","id":"ITEM-4","issued":{"date-parts":[["2021","5","1"]]},"page":"101734","title":"Carbon disclosure, carbon performance and financial performance: International evidence","type":"article-journal","volume":"75"},"uris":["http://www.mendeley.com/documents/?uuid=64f9399d-c6b4-3292-b0a2-ef5024edf393"]},{"id":"ITEM-5","itemData":{"DOI":"10.1177/1086026615620238","ISSN":"15527417","abstract":"While corporate sustainability has been defined as an approach that creates long-term value with minimum environmental damage, there is still little understanding of the time horizon over which improved environmental performance leads to improved financial performance. We investigate the relationship between environmental and financial performance under increasing likelihood of environmental regulation. We leverage longitudinal data for 1,095 U.S. corporations from 2004 to 2008, a period of increasing activity for climate change legislation, in order to estimate the effect of greenhouse gas emissions on short- and long-term measures of financial performance. We find that during this period, improving corporate environmental performance causes a decline in an indicator of short-term financial performance, return on assets. Nonetheless, investors see the potential long-term value of improved environmental performance, manifested by an increase in Tobin’s q. These results suggest that limited uptake of proactive strategies may in part be attributable to short-term financial performance targets that guide managerial decision making.","author":[{"dropping-particle":"","family":"Delmas","given":"Magali A.","non-dropping-particle":"","parse-names":false,"suffix":""},{"dropping-particle":"","family":"Nairn-Birch","given":"Nicholas","non-dropping-particle":"","parse-names":false,"suffix":""},{"dropping-particle":"","family":"Lim","given":"Jinghui","non-dropping-particle":"","parse-names":false,"suffix":""}],"container-title":"Organization and Environment","id":"ITEM-5","issue":"4","issued":{"date-parts":[["2015","12","1"]]},"page":"374-393","publisher":"SAGE Publications Inc.","title":"Dynamics of Environmental and Financial Performance: The Case of Greenhouse Gas Emissions","type":"article-journal","volume":"28"},"uris":["http://www.mendeley.com/documents/?uuid=005cbd83-ec8a-3707-9bcd-fbdd131d3fe6"]},{"id":"ITEM-6","itemData":{"DOI":"10.1016/j.ecolecon.2014.11.010","ISSN":"09218009","abstract":"We examine the roles of the outcome and process dimensions of environmental performance in determining financial performance as measured by Tobin's q. Outcomes refer to the impacts of the firm on the natural environment, while processes are the firm's actions to reduce these outcomes. We focus on a specific outcome - carbon emissions - and suggest that it affects Tobin's q non-linearly. We find that firms achieve the highest financial performance when their carbon performance is neither low nor high, but intermediate. We also find that environmental processes moderate this relationship as they reinforce firms' financial performance through improved stakeholder management. This mixed picture suggests that firms do not generally internalize the costs of poor carbon performance, but those that stand out in both environmental outcomes and processes achieve net financial benefits. These findings are based on a sample of carbon-intensive firms that disclosed their greenhouse gas (GHG) emissions through the Carbon Disclosure Project from 2007 through 2013.","author":[{"dropping-particle":"","family":"Misani","given":"Nicola","non-dropping-particle":"","parse-names":false,"suffix":""},{"dropping-particle":"","family":"Pogutz","given":"Stefano","non-dropping-particle":"","parse-names":false,"suffix":""}],"container-title":"Ecological Economics","id":"ITEM-6","issued":{"date-parts":[["2015","1","1"]]},"page":"150-160","publisher":"Elsevier B.V.","title":"Unraveling the effects of environmental outcomes and processes on financial performance: A non-linear approach","type":"article-journal","volume":"109"},"uris":["http://www.mendeley.com/documents/?uuid=fb303574-3301-32ba-8de5-de03dd4e60ed"]}],"mendeley":{"formattedCitation":"(Busch and Hoffmann 2011; Delmas et al. 2015; Haque and Ntim 2020; Matsumura et al. 2014; Misani and Pogutz 2015; Siddique et al. 2021)","manualFormatting":"(e.g., Busch and Hoffmann, 2011; Lewandowski, 2017; Matsumura et al., 2014; Siddique et al., 2021)","plainTextFormattedCitation":"(Busch and Hoffmann 2011; Delmas et al. 2015; Haque and Ntim 2020; Matsumura et al. 2014; Misani and Pogutz 2015; Siddique et al. 2021)","previouslyFormattedCitation":"(Busch and Hoffmann 2011; Delmas et al. 2015; Haque and Ntim 2020; Matsumura et al. 2014; Misani and Pogutz 2015; Siddique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(e.g., Busch and Hoffmann, 2011; </w:t>
      </w:r>
      <w:r w:rsidRPr="001B6443">
        <w:rPr>
          <w:rFonts w:ascii="Times New Roman" w:eastAsia="Calibri" w:hAnsi="Times New Roman" w:cs="Times New Roman"/>
          <w:noProof/>
          <w:color w:val="000000" w:themeColor="text1"/>
          <w:sz w:val="24"/>
          <w:szCs w:val="24"/>
          <w:lang w:val="en-US"/>
        </w:rPr>
        <w:fldChar w:fldCharType="begin" w:fldLock="1"/>
      </w:r>
      <w:r w:rsidRPr="001B6443">
        <w:rPr>
          <w:rFonts w:ascii="Times New Roman" w:eastAsia="Calibri" w:hAnsi="Times New Roman" w:cs="Times New Roman"/>
          <w:noProof/>
          <w:color w:val="000000" w:themeColor="text1"/>
          <w:sz w:val="24"/>
          <w:szCs w:val="24"/>
          <w:lang w:val="en-US"/>
        </w:rPr>
        <w:instrText>ADDIN CSL_CITATION {"citationItems":[{"id":"ITEM-1","itemData":{"DOI":"10.1002/bse.1978","ISSN":"10990836","abstract":"This article uses econometric techniques to examine the effect of corporate carbon performance on corporate financial performance. I extend the existing literature in this research field by differentiating between two measurement perspectives: carbon performance expressed as annually reported carbon dioxide (CO2) emission equivalents and improvements in carbon performance over time. Thereby, the article re-addresses the research question ‘when and how does it pay to be green?’ in the context of carbon emissions and climate change mitigation. Using a nonlinear modeling technique, the findings indicate that it pays to be green for companies with superior carbon performance but not for companies with inferior carbon performance. The results also show that carbon emission mitigation is linearly and significantly positive related to return on sales (ROS) but negatively related to Tobin's q. These contradictory findings help us to understand why – in spite of growing regulatory pressure – companies have been slow to respond with effective action to tackle climate change beyond marginal efficiency improvements that correspond to ‘low-hanging fruits’. The empirical analysis is based on an unbalanced sample of 7625 firm-year observations covering carbon emission data (Scope 1 and Scope 2) for 1640 international firms from 2003 to 2015. Copyright © 2017 John Wiley &amp; Sons, Ltd and ERP Environment.","author":[{"dropping-particle":"","family":"Lewandowski","given":"Stefan","non-dropping-particle":"","parse-names":false,"suffix":""}],"container-title":"Business Strategy and the Environment","id":"ITEM-1","issue":"8","issued":{"date-parts":[["2017","12","1"]]},"page":"1196-1211","publisher":"John Wiley and Sons Ltd","title":"Corporate Carbon and Financial Performance: The Role of Emission Reductions","type":"article-journal","volume":"26"},"uris":["http://www.mendeley.com/documents/?uuid=69caa9e0-137a-37f2-a326-473dfeafb3e7"]}],"mendeley":{"formattedCitation":"(Lewandowski 2017)","manualFormatting":"Lewandowski, 2017","plainTextFormattedCitation":"(Lewandowski 2017)","previouslyFormattedCitation":"(Lewandowski 2017)"},"properties":{"noteIndex":0},"schema":"https://github.com/citation-style-language/schema/raw/master/csl-citation.json"}</w:instrText>
      </w:r>
      <w:r w:rsidRPr="001B6443">
        <w:rPr>
          <w:rFonts w:ascii="Times New Roman" w:eastAsia="Calibri" w:hAnsi="Times New Roman" w:cs="Times New Roman"/>
          <w:noProof/>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Lewandowski, 2017</w:t>
      </w:r>
      <w:r w:rsidRPr="001B6443">
        <w:rPr>
          <w:rFonts w:ascii="Times New Roman" w:eastAsia="Calibri" w:hAnsi="Times New Roman" w:cs="Times New Roman"/>
          <w:noProof/>
          <w:color w:val="000000" w:themeColor="text1"/>
          <w:sz w:val="24"/>
          <w:szCs w:val="24"/>
          <w:lang w:val="en-US"/>
        </w:rPr>
        <w:fldChar w:fldCharType="end"/>
      </w:r>
      <w:r w:rsidRPr="001B6443">
        <w:rPr>
          <w:rFonts w:ascii="Times New Roman" w:eastAsia="Calibri" w:hAnsi="Times New Roman" w:cs="Times New Roman"/>
          <w:noProof/>
          <w:color w:val="000000" w:themeColor="text1"/>
          <w:sz w:val="24"/>
          <w:szCs w:val="24"/>
          <w:lang w:val="en-US"/>
        </w:rPr>
        <w:t>; Matsumura</w:t>
      </w:r>
      <w:r w:rsidR="0015151E" w:rsidRPr="001B6443">
        <w:rPr>
          <w:rFonts w:ascii="Times New Roman" w:eastAsia="Calibri" w:hAnsi="Times New Roman" w:cs="Times New Roman"/>
          <w:noProof/>
          <w:color w:val="000000" w:themeColor="text1"/>
          <w:sz w:val="24"/>
          <w:szCs w:val="24"/>
          <w:lang w:val="en-US"/>
        </w:rPr>
        <w:t xml:space="preserve"> </w:t>
      </w:r>
      <w:r w:rsidR="0015151E" w:rsidRPr="001B6443">
        <w:rPr>
          <w:rFonts w:ascii="Times New Roman" w:eastAsia="Calibri" w:hAnsi="Times New Roman" w:cs="Times New Roman"/>
          <w:i/>
          <w:iCs/>
          <w:noProof/>
          <w:color w:val="000000" w:themeColor="text1"/>
          <w:sz w:val="24"/>
          <w:szCs w:val="24"/>
          <w:lang w:val="en-US"/>
        </w:rPr>
        <w:t>et al.</w:t>
      </w:r>
      <w:r w:rsidR="0015151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w:t>
      </w:r>
      <w:r w:rsidRPr="001B6443">
        <w:rPr>
          <w:rFonts w:ascii="Times New Roman" w:eastAsia="Calibri" w:hAnsi="Times New Roman" w:cs="Times New Roman"/>
          <w:noProof/>
          <w:color w:val="000000" w:themeColor="text1"/>
          <w:sz w:val="24"/>
          <w:szCs w:val="24"/>
          <w:lang w:val="en-US"/>
        </w:rPr>
        <w:lastRenderedPageBreak/>
        <w:t xml:space="preserve">2014; Siddique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For example,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{"citationItems":[{"id":"ITEM-1","itemData":{"DOI":"10.1080/09638180.2014.927782","ISSN":"14684497","abstract":"Abstract: This study examines the valuation relevance of greenhouse gas emissions under the European Union Carbon Emissions Trading Scheme. We posit that carbon emissions affect firm valuation only to the extent that a firm's emissions exceed its carbon allowances under a cap-and-trade system and the extent of its inability to pass on carbon-related compliance costs to consumers and end-users. We measure a firm's ability to pass on the future costs by its market power and its carbon performance relative to its industry peers. The results show that firms' carbon allowances are not associated with firm valuation but the allocation shortfalls are negatively associated. We also find that the negative association between firm values and carbon emission shortfalls is mitigated for firms with better carbon performance relative to their industry peers and for firms in less competitive industry sectors. These findings, which suggest that the valuation impact of carbon emissions is unlikely to be homogenous across firms or industrial sectors, have important implications for future research design and for the disclosure and recognition of a firm's greenhouse gas liabilities.","author":[{"dropping-particle":"","family":"Clarkson","given":"Peter M.","non-dropping-particle":"","parse-names":false,"suffix":""},{"dropping-particle":"","family":"Li","given":"Yue","non-dropping-particle":"","parse-names":false,"suffix":""},{"dropping-particle":"","family":"Pinnuck","given":"Matthew","non-dropping-particle":"","parse-names":false,"suffix":""},{"dropping-particle":"","family":"Richardson","given":"Gordon D.","non-dropping-particle":"","parse-names":false,"suffix":""}],"container-title":"European Accounting Review","id":"ITEM-1","issue":"3","issued":{"date-parts":[["2015","7","3"]]},"page":"551-580","publisher":"Routledge","title":"The Valuation Relevance of Greenhouse Gas Emissions under the European Union Carbon Emissions Trading Scheme","type":"article-journal","volume":"24"},"uris":["http://www.mendeley.com/documents/?uuid=006fc3d1-c13f-353d-875c-26b0a40ab7af"]}],"mendeley":{"formattedCitation":"(Clarkson et al. 2015)","manualFormatting":"Clarkson et al. (2015)","plainTextFormattedCitation":"(Clarkson et al. 2015)","previouslyFormattedCitation":"(Clarkson et al. 2015)"},"properties":{"noteIndex":0},"schema":"https://github.com/citation-style-language/schema/raw/master/csl-citation.json"}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Clarkson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(2015)</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and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{"citationItems":[{"id":"ITEM-1","itemData":{"DOI":"10.1002/bse.2683","ISSN":"10990836","abstract":"Companies are responding to the effects of climate change by reducing CO2 emissions as a way of managing stakeholder interests and complying with legal and regulatory requirements. In Europe, the emissions trading system is consolidated as a limiting market and control scheme to support business climate change management through a collaborative relationship between government and industry. This work focuses on the economic accounting field, analysing carbon management accounting and its impact on financial performance in scenarios attached to that trading system. The methodological approach used is quantitative, empirically testing the hypotheses through a multiple regression analysis with a sample of 350 European companies. The results attest to the importance of carbon management accounting (CMA) control and its effects on financial performance. Compared with European emission trading, the results failed to display significant differences in the relationship studied between those that make up this type of market and those that do not.","author":[{"dropping-particle":"","family":"Tuesta","given":"Naranjo Yenny","non-dropping-particle":"","parse-names":false,"suffix":""},{"dropping-particle":"","family":"Soler","given":"Crespo Cristina","non-dropping-particle":"","parse-names":false,"suffix":""},{"dropping-particle":"","family":"Feliu","given":"Ripoll Vicente","non-dropping-particle":"","parse-names":false,"suffix":""}],"container-title":"Business Strategy and the Environment","id":"ITEM-1","issue":"2","issued":{"date-parts":[["2021","2","1"]]},"page":"1270-1282","publisher":"John Wiley and Sons Ltd","title":"Carbon management accounting and financial performance: Evidence from the European Union emission trading system","type":"article-journal","volume":"30"},"uris":["http://www.mendeley.com/documents/?uuid=d4b12cf1-99a1-339b-bc48-702498a48222"]}],"mendeley":{"formattedCitation":"(Tuesta et al. 2021)","manualFormatting":"Tuesta et al. (2021)","plainTextFormattedCitation":"(Tuesta et al. 2021)","previouslyFormattedCitation":"(Tuesta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Tuesta</w:t>
      </w:r>
      <w:r w:rsidR="006B5B2B" w:rsidRPr="001B6443">
        <w:rPr>
          <w:rFonts w:ascii="Times New Roman" w:eastAsia="Calibri" w:hAnsi="Times New Roman" w:cs="Times New Roman"/>
          <w:noProof/>
          <w:color w:val="000000" w:themeColor="text1"/>
          <w:sz w:val="24"/>
          <w:szCs w:val="24"/>
          <w:lang w:val="en-US"/>
        </w:rPr>
        <w:t xml:space="preserve"> </w:t>
      </w:r>
      <w:r w:rsidR="006B5B2B" w:rsidRPr="001B6443">
        <w:rPr>
          <w:rFonts w:ascii="Times New Roman" w:eastAsia="Calibri" w:hAnsi="Times New Roman" w:cs="Times New Roman"/>
          <w:i/>
          <w:iCs/>
          <w:noProof/>
          <w:color w:val="000000" w:themeColor="text1"/>
          <w:sz w:val="24"/>
          <w:szCs w:val="24"/>
          <w:lang w:val="en-US"/>
        </w:rPr>
        <w:t>et al</w:t>
      </w:r>
      <w:r w:rsidR="006B5B2B"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i/>
          <w:noProof/>
          <w:color w:val="000000" w:themeColor="text1"/>
          <w:sz w:val="24"/>
          <w:szCs w:val="24"/>
          <w:lang w:val="en-US"/>
        </w:rPr>
        <w:t xml:space="preserve"> </w:t>
      </w:r>
      <w:r w:rsidRPr="001B6443">
        <w:rPr>
          <w:rFonts w:ascii="Times New Roman" w:eastAsia="Calibri" w:hAnsi="Times New Roman" w:cs="Times New Roman"/>
          <w:noProof/>
          <w:color w:val="000000" w:themeColor="text1"/>
          <w:sz w:val="24"/>
          <w:szCs w:val="24"/>
          <w:lang w:val="en-US"/>
        </w:rPr>
        <w:t>(2021)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find a negative association between GHG emissions and </w:t>
      </w:r>
      <w:r w:rsidR="003B7CA3" w:rsidRPr="001B6443">
        <w:rPr>
          <w:rFonts w:ascii="Times New Roman" w:eastAsia="Calibri" w:hAnsi="Times New Roman" w:cs="Times New Roman"/>
          <w:color w:val="000000" w:themeColor="text1"/>
          <w:sz w:val="24"/>
          <w:szCs w:val="24"/>
          <w:lang w:val="en-US"/>
        </w:rPr>
        <w:t>MV</w:t>
      </w:r>
      <w:r w:rsidRPr="001B6443">
        <w:rPr>
          <w:rFonts w:ascii="Times New Roman" w:eastAsia="Calibri" w:hAnsi="Times New Roman" w:cs="Times New Roman"/>
          <w:color w:val="000000" w:themeColor="text1"/>
          <w:sz w:val="24"/>
          <w:szCs w:val="24"/>
          <w:lang w:val="en-US"/>
        </w:rPr>
        <w:t xml:space="preserve"> and con</w:t>
      </w:r>
      <w:r w:rsidR="00884150" w:rsidRPr="001B6443">
        <w:rPr>
          <w:rFonts w:ascii="Times New Roman" w:eastAsia="Calibri" w:hAnsi="Times New Roman" w:cs="Times New Roman"/>
          <w:color w:val="000000" w:themeColor="text1"/>
          <w:sz w:val="24"/>
          <w:szCs w:val="24"/>
          <w:lang w:val="en-US"/>
        </w:rPr>
        <w:t xml:space="preserve">clude that firms with excessive </w:t>
      </w:r>
      <w:r w:rsidRPr="001B6443">
        <w:rPr>
          <w:rFonts w:ascii="Times New Roman" w:eastAsia="Calibri" w:hAnsi="Times New Roman" w:cs="Times New Roman"/>
          <w:color w:val="000000" w:themeColor="text1"/>
          <w:sz w:val="24"/>
          <w:szCs w:val="24"/>
          <w:lang w:val="en-US"/>
        </w:rPr>
        <w:t xml:space="preserve">emissions suffer more from negative market valuations. By contrast, </w:t>
      </w:r>
      <w:r w:rsidRPr="001B6443">
        <w:rPr>
          <w:rFonts w:ascii="Times New Roman" w:eastAsia="Calibri" w:hAnsi="Times New Roman" w:cs="Times New Roman"/>
          <w:noProof/>
          <w:color w:val="000000" w:themeColor="text1"/>
          <w:sz w:val="24"/>
          <w:szCs w:val="24"/>
          <w:lang w:val="en-US"/>
        </w:rPr>
        <w:t>Jacobs</w:t>
      </w:r>
      <w:r w:rsidR="006B5B2B" w:rsidRPr="001B6443">
        <w:rPr>
          <w:rFonts w:ascii="Times New Roman" w:eastAsia="Calibri" w:hAnsi="Times New Roman" w:cs="Times New Roman"/>
          <w:noProof/>
          <w:color w:val="000000" w:themeColor="text1"/>
          <w:sz w:val="24"/>
          <w:szCs w:val="24"/>
          <w:lang w:val="en-US"/>
        </w:rPr>
        <w:t xml:space="preserve"> </w:t>
      </w:r>
      <w:r w:rsidR="006B5B2B" w:rsidRPr="001B6443">
        <w:rPr>
          <w:rFonts w:ascii="Times New Roman" w:eastAsia="Calibri" w:hAnsi="Times New Roman" w:cs="Times New Roman"/>
          <w:i/>
          <w:iCs/>
          <w:noProof/>
          <w:color w:val="000000" w:themeColor="text1"/>
          <w:sz w:val="24"/>
          <w:szCs w:val="24"/>
          <w:lang w:val="en-US"/>
        </w:rPr>
        <w:t>et al</w:t>
      </w:r>
      <w:r w:rsidR="006B5B2B"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{"citationItems":[{"id":"ITEM-1","itemData":{"DOI":"10.1016/j.jom.2010.01.001","ISSN":"02726963","abstract":"This paper analyzes the shareholder value effects of environmental performance by measuring the stock market reaction associated with announcements of environmental performance. We examine the market reaction to two categories of environmental performance. The first category includes 417 announcements of Corporate Environmental Initiatives (CEIs) that provide information about self-reported corporate efforts to avoid, mitigate, or offset the environmental impacts of the firm's products, services, or processes. The second category includes 363 announcements of Environmental Awards and Certifications (EACs) that provide information about recognition granted by third-parties specifically for environmental performance. Although the market does not react significantly to the aggregated CEI and EAC announcements, we find statistically significant market reactions for certain CEI and EAC subcategories. Specifically, announcements of philanthropic gifts for environmental causes are associated with significant positive market reaction, voluntary emission reductions are associated with significant negative market reaction, and ISO 14001 certifications are associated with significant positive market reaction. The difference between the market reactions to the CEI and EAC categories is statistically insignificant. Overall, the market is selective in reacting to announcements of environmental performance with certain types of announcements even valued negatively. © 2009 Elsevier B.V. All rights reserved.","author":[{"dropping-particle":"","family":"Jacobs","given":"Brian W.","non-dropping-particle":"","parse-names":false,"suffix":""},{"dropping-particle":"","family":"Singhal","given":"Vinod R.","non-dropping-particle":"","parse-names":false,"suffix":""},{"dropping-particle":"","family":"Subramanian","given":"Ravi","non-dropping-particle":"","parse-names":false,"suffix":""}],"container-title":"Journal of Operations Management","id":"ITEM-1","issue":"5","issued":{"date-parts":[["2010","9"]]},"page":"430-441","title":"An empirical investigation of environmental performance and the market value of the firm","type":"article-journal","volume":"28"},"uris":["http://www.mendeley.com/documents/?uuid=b3c0b944-cfc8-3e1d-97ff-6868bf6a732f"]}],"mendeley":{"formattedCitation":"(Jacobs et al. 2010)","manualFormatting":" (2010)","plainTextFormattedCitation":"(Jacobs et al. 2010)","previouslyFormattedCitation":"(Jacobs et al. 2010)"},"properties":{"noteIndex":0},"schema":"https://github.com/citation-style-language/schema/raw/master/csl-citation.json"}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 (2010)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provide evidence that lower GHG emissions are significantly associated with lower MV, thus indicating that firms with higher emissions have greater MV. However, most of these studies have assessed outcome-based CCPE without ascertaining whether process-based environmental initiatives</w:t>
      </w:r>
      <w:r w:rsidR="006B5B2B"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such as PCCIs create shareholder value. The empirical findings by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Society","id":"ITEM-2","issue":"2","issued":{"date-parts":[["2011","6"]]},"page":"233-265","title":"How hot is your bottom line? linking carbon and financial performance","type":"article-journal","volume":"50"},"uris":["http://www.mendeley.com/documents/?uuid=79af7aa9-e472-392a-9475-56fa419ffe4f"]}],"mendeley":{"formattedCitation":"(Busch and Hoffmann 2011; Haque and Ntim 2020)","manualFormatting":"Busch and Hoffmann (2011) and Haque and Ntim (2020)","plainTextFormattedCitation":"(Busch and Hoffmann 2011; Haque and Ntim 2020)","previouslyFormattedCitation":"(Busch and Hoffmann 2011;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Busch and Hoffmann (2011) and Haque and Ntim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are apparent exceptions. In particular,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performance","type":"article-journal","volume":"50"},"uris":["http://www.mendeley.com/documents/?uuid=79af7aa9-e472-392a-9475-56fa419ffe4f"]}],"mendeley":{"formattedCitation":"(Busch and Hoffmann 2011)","manualFormatting":"Busch and Hoffmann (2011)","plainTextFormattedCitation":"(Busch and Hoffmann 2011)","previouslyFormattedCitation":"(Busch and Hoffmann 2011)"},"properties":{"noteIndex":0},"schema":"https://github.com/citation-style-language/schema/raw/master/csl-citation.json"}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Busch and Hoffmann (2011)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report that </w:t>
      </w:r>
      <w:r w:rsidR="00EE7B6A" w:rsidRPr="001B6443">
        <w:rPr>
          <w:rFonts w:ascii="Times New Roman" w:eastAsia="Calibri" w:hAnsi="Times New Roman" w:cs="Times New Roman"/>
          <w:color w:val="000000" w:themeColor="text1"/>
          <w:sz w:val="24"/>
          <w:szCs w:val="24"/>
          <w:lang w:val="en-US"/>
        </w:rPr>
        <w:t xml:space="preserve">process-based carbon management strategies </w:t>
      </w:r>
      <w:r w:rsidRPr="001B6443">
        <w:rPr>
          <w:rFonts w:ascii="Times New Roman" w:eastAsia="Calibri" w:hAnsi="Times New Roman" w:cs="Times New Roman"/>
          <w:color w:val="000000" w:themeColor="text1"/>
          <w:sz w:val="24"/>
          <w:szCs w:val="24"/>
          <w:lang w:val="en-US"/>
        </w:rPr>
        <w:t>are negatively associated with MV and argue that ma</w:t>
      </w:r>
      <w:r w:rsidR="00EE7B6A" w:rsidRPr="001B6443">
        <w:rPr>
          <w:rFonts w:ascii="Times New Roman" w:eastAsia="Calibri" w:hAnsi="Times New Roman" w:cs="Times New Roman"/>
          <w:color w:val="000000" w:themeColor="text1"/>
          <w:sz w:val="24"/>
          <w:szCs w:val="24"/>
          <w:lang w:val="en-US"/>
        </w:rPr>
        <w:t>rket participants consider such initiatives</w:t>
      </w:r>
      <w:r w:rsidRPr="001B6443">
        <w:rPr>
          <w:rFonts w:ascii="Times New Roman" w:eastAsia="Calibri" w:hAnsi="Times New Roman" w:cs="Times New Roman"/>
          <w:color w:val="000000" w:themeColor="text1"/>
          <w:sz w:val="24"/>
          <w:szCs w:val="24"/>
          <w:lang w:val="en-US"/>
        </w:rPr>
        <w:t xml:space="preserve"> less reliable than outcome-based CCPE with respect to estimating future </w:t>
      </w:r>
      <w:r w:rsidR="008E2ADA" w:rsidRPr="001B6443">
        <w:rPr>
          <w:rFonts w:ascii="Times New Roman" w:eastAsia="Calibri" w:hAnsi="Times New Roman" w:cs="Times New Roman"/>
          <w:color w:val="000000" w:themeColor="text1"/>
          <w:sz w:val="24"/>
          <w:szCs w:val="24"/>
          <w:lang w:val="en-US"/>
        </w:rPr>
        <w:t xml:space="preserve">MV. </w:t>
      </w:r>
      <w:r w:rsidRPr="001B6443">
        <w:rPr>
          <w:rFonts w:ascii="Times New Roman" w:eastAsia="Calibri" w:hAnsi="Times New Roman" w:cs="Times New Roman"/>
          <w:color w:val="000000" w:themeColor="text1"/>
          <w:sz w:val="24"/>
          <w:szCs w:val="24"/>
          <w:lang w:val="en-US"/>
        </w:rPr>
        <w:t xml:space="preserve">Further,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and Ntim (2020)</w:t>
      </w:r>
      <w:r w:rsidRPr="001B6443">
        <w:rPr>
          <w:rFonts w:ascii="Times New Roman" w:eastAsia="Calibri" w:hAnsi="Times New Roman" w:cs="Times New Roman"/>
          <w:color w:val="000000" w:themeColor="text1"/>
          <w:sz w:val="24"/>
          <w:szCs w:val="24"/>
          <w:lang w:val="en-US"/>
        </w:rPr>
        <w:fldChar w:fldCharType="end"/>
      </w:r>
      <w:r w:rsidR="0010270E" w:rsidRPr="001B6443">
        <w:rPr>
          <w:rFonts w:ascii="Times New Roman" w:eastAsia="Calibri" w:hAnsi="Times New Roman" w:cs="Times New Roman"/>
          <w:color w:val="000000" w:themeColor="text1"/>
          <w:sz w:val="24"/>
          <w:szCs w:val="24"/>
          <w:lang w:val="en-US"/>
        </w:rPr>
        <w:t xml:space="preserve"> conclude that </w:t>
      </w:r>
      <w:r w:rsidRPr="001B6443">
        <w:rPr>
          <w:rFonts w:ascii="Times New Roman" w:eastAsia="Calibri" w:hAnsi="Times New Roman" w:cs="Times New Roman"/>
          <w:color w:val="000000" w:themeColor="text1"/>
          <w:sz w:val="24"/>
          <w:szCs w:val="24"/>
          <w:lang w:val="en-US"/>
        </w:rPr>
        <w:t xml:space="preserve">firms pursue carbon mitigation initiatives </w:t>
      </w:r>
      <w:r w:rsidR="00B85CDF" w:rsidRPr="001B6443">
        <w:rPr>
          <w:rFonts w:ascii="Times New Roman" w:eastAsia="Calibri" w:hAnsi="Times New Roman" w:cs="Times New Roman"/>
          <w:color w:val="000000" w:themeColor="text1"/>
          <w:sz w:val="24"/>
          <w:szCs w:val="24"/>
          <w:lang w:val="en-US"/>
        </w:rPr>
        <w:t xml:space="preserve">in order </w:t>
      </w:r>
      <w:r w:rsidRPr="001B6443">
        <w:rPr>
          <w:rFonts w:ascii="Times New Roman" w:eastAsia="Calibri" w:hAnsi="Times New Roman" w:cs="Times New Roman"/>
          <w:color w:val="000000" w:themeColor="text1"/>
          <w:sz w:val="24"/>
          <w:szCs w:val="24"/>
          <w:lang w:val="en-US"/>
        </w:rPr>
        <w:t xml:space="preserve">to reduce legitimacy risks and improve MV, without making substantial improvements in outcome-based </w:t>
      </w:r>
      <w:r w:rsidR="008E2ADA" w:rsidRPr="001B6443">
        <w:rPr>
          <w:rFonts w:ascii="Times New Roman" w:eastAsia="Calibri" w:hAnsi="Times New Roman" w:cs="Times New Roman"/>
          <w:color w:val="000000" w:themeColor="text1"/>
          <w:sz w:val="24"/>
          <w:szCs w:val="24"/>
          <w:lang w:val="en-US"/>
        </w:rPr>
        <w:t>CCPE</w:t>
      </w:r>
      <w:r w:rsidRPr="001B6443">
        <w:rPr>
          <w:rFonts w:ascii="Times New Roman" w:eastAsia="Calibri" w:hAnsi="Times New Roman" w:cs="Times New Roman"/>
          <w:color w:val="000000" w:themeColor="text1"/>
          <w:sz w:val="24"/>
          <w:szCs w:val="24"/>
          <w:lang w:val="en-US"/>
        </w:rPr>
        <w:t xml:space="preserve">. </w:t>
      </w:r>
      <w:r w:rsidR="003E6C53" w:rsidRPr="001B6443">
        <w:rPr>
          <w:rFonts w:ascii="Times New Roman" w:eastAsia="Calibri" w:hAnsi="Times New Roman" w:cs="Times New Roman"/>
          <w:color w:val="000000" w:themeColor="text1"/>
          <w:sz w:val="24"/>
          <w:szCs w:val="24"/>
          <w:lang w:val="en-US"/>
        </w:rPr>
        <w:t>B</w:t>
      </w:r>
      <w:r w:rsidRPr="001B6443">
        <w:rPr>
          <w:rFonts w:ascii="Times New Roman" w:eastAsia="Calibri" w:hAnsi="Times New Roman" w:cs="Times New Roman"/>
          <w:color w:val="000000" w:themeColor="text1"/>
          <w:sz w:val="24"/>
          <w:szCs w:val="24"/>
          <w:lang w:val="en-US"/>
        </w:rPr>
        <w:t xml:space="preserve">ased on the </w:t>
      </w:r>
      <w:r w:rsidR="007C7A5B" w:rsidRPr="001B6443">
        <w:rPr>
          <w:rFonts w:ascii="Times New Roman" w:eastAsia="Calibri" w:hAnsi="Times New Roman" w:cs="Times New Roman"/>
          <w:color w:val="000000" w:themeColor="text1"/>
          <w:sz w:val="24"/>
          <w:szCs w:val="24"/>
          <w:lang w:val="en-US"/>
        </w:rPr>
        <w:t>RBV and symbolic legitimation</w:t>
      </w:r>
      <w:r w:rsidRPr="001B6443">
        <w:rPr>
          <w:rFonts w:ascii="Times New Roman" w:eastAsia="Calibri" w:hAnsi="Times New Roman" w:cs="Times New Roman"/>
          <w:color w:val="000000" w:themeColor="text1"/>
          <w:sz w:val="24"/>
          <w:szCs w:val="24"/>
          <w:lang w:val="en-US"/>
        </w:rPr>
        <w:t xml:space="preserve"> perspectives, as well as the discussion above, we </w:t>
      </w:r>
      <w:r w:rsidR="008E2ADA" w:rsidRPr="001B6443">
        <w:rPr>
          <w:rFonts w:ascii="Times New Roman" w:eastAsia="Calibri" w:hAnsi="Times New Roman" w:cs="Times New Roman"/>
          <w:color w:val="000000" w:themeColor="text1"/>
          <w:sz w:val="24"/>
          <w:szCs w:val="24"/>
          <w:lang w:val="en-US"/>
        </w:rPr>
        <w:t>develop</w:t>
      </w:r>
      <w:r w:rsidRPr="001B6443">
        <w:rPr>
          <w:rFonts w:ascii="Times New Roman" w:eastAsia="Calibri" w:hAnsi="Times New Roman" w:cs="Times New Roman"/>
          <w:color w:val="000000" w:themeColor="text1"/>
          <w:sz w:val="24"/>
          <w:szCs w:val="24"/>
          <w:lang w:val="en-US"/>
        </w:rPr>
        <w:t xml:space="preserve"> the fo</w:t>
      </w:r>
      <w:r w:rsidR="008E2ADA" w:rsidRPr="001B6443">
        <w:rPr>
          <w:rFonts w:ascii="Times New Roman" w:eastAsia="Calibri" w:hAnsi="Times New Roman" w:cs="Times New Roman"/>
          <w:color w:val="000000" w:themeColor="text1"/>
          <w:sz w:val="24"/>
          <w:szCs w:val="24"/>
          <w:lang w:val="en-US"/>
        </w:rPr>
        <w:t>llowing hypotheses</w:t>
      </w:r>
      <w:r w:rsidRPr="001B6443">
        <w:rPr>
          <w:rFonts w:ascii="Times New Roman" w:eastAsia="Calibri" w:hAnsi="Times New Roman" w:cs="Times New Roman"/>
          <w:color w:val="000000" w:themeColor="text1"/>
          <w:sz w:val="24"/>
          <w:szCs w:val="24"/>
          <w:lang w:val="en-US"/>
        </w:rPr>
        <w:t>:</w:t>
      </w:r>
    </w:p>
    <w:p w14:paraId="58E4A6CF" w14:textId="5A73928E" w:rsidR="00EC5A9C" w:rsidRPr="001B6443" w:rsidRDefault="00EC5A9C" w:rsidP="00EC5A9C">
      <w:pPr>
        <w:spacing w:line="480" w:lineRule="auto"/>
        <w:jc w:val="both"/>
        <w:rPr>
          <w:rFonts w:ascii="Times New Roman" w:eastAsia="Calibri" w:hAnsi="Times New Roman" w:cs="Times New Roman"/>
          <w:i/>
          <w:color w:val="000000" w:themeColor="text1"/>
          <w:sz w:val="24"/>
          <w:szCs w:val="24"/>
          <w:lang w:val="en-US"/>
        </w:rPr>
      </w:pPr>
      <w:bookmarkStart w:id="1" w:name="_Hlk89976962"/>
      <w:r w:rsidRPr="001B6443">
        <w:rPr>
          <w:rFonts w:ascii="Times New Roman" w:eastAsia="Calibri" w:hAnsi="Times New Roman" w:cs="Times New Roman"/>
          <w:b/>
          <w:i/>
          <w:color w:val="000000" w:themeColor="text1"/>
          <w:sz w:val="24"/>
          <w:szCs w:val="24"/>
          <w:lang w:val="en-US"/>
        </w:rPr>
        <w:t>H1a:</w:t>
      </w:r>
      <w:r w:rsidRPr="001B6443">
        <w:rPr>
          <w:rFonts w:ascii="Times New Roman" w:eastAsia="Calibri" w:hAnsi="Times New Roman" w:cs="Times New Roman"/>
          <w:i/>
          <w:color w:val="000000" w:themeColor="text1"/>
          <w:sz w:val="24"/>
          <w:szCs w:val="24"/>
          <w:lang w:val="en-US"/>
        </w:rPr>
        <w:t xml:space="preserve"> Firms with </w:t>
      </w:r>
      <w:r w:rsidR="009872C0" w:rsidRPr="001B6443">
        <w:rPr>
          <w:rFonts w:ascii="Times New Roman" w:eastAsia="Calibri" w:hAnsi="Times New Roman" w:cs="Times New Roman"/>
          <w:i/>
          <w:color w:val="000000" w:themeColor="text1"/>
          <w:sz w:val="24"/>
          <w:szCs w:val="24"/>
          <w:lang w:val="en-US"/>
        </w:rPr>
        <w:t>better</w:t>
      </w:r>
      <w:r w:rsidR="002E10BC" w:rsidRPr="001B6443">
        <w:rPr>
          <w:rFonts w:ascii="Times New Roman" w:eastAsia="Calibri" w:hAnsi="Times New Roman" w:cs="Times New Roman"/>
          <w:i/>
          <w:color w:val="000000" w:themeColor="text1"/>
          <w:sz w:val="24"/>
          <w:szCs w:val="24"/>
          <w:lang w:val="en-US"/>
        </w:rPr>
        <w:t xml:space="preserve"> CCPE (</w:t>
      </w:r>
      <w:r w:rsidR="009872C0" w:rsidRPr="001B6443">
        <w:rPr>
          <w:rFonts w:ascii="Times New Roman" w:eastAsia="Calibri" w:hAnsi="Times New Roman" w:cs="Times New Roman"/>
          <w:i/>
          <w:color w:val="000000" w:themeColor="text1"/>
          <w:sz w:val="24"/>
          <w:szCs w:val="24"/>
          <w:lang w:val="en-US"/>
        </w:rPr>
        <w:t>lower</w:t>
      </w:r>
      <w:r w:rsidR="00F741E4" w:rsidRPr="001B6443">
        <w:rPr>
          <w:rFonts w:ascii="Times New Roman" w:eastAsia="Calibri" w:hAnsi="Times New Roman" w:cs="Times New Roman"/>
          <w:i/>
          <w:color w:val="000000" w:themeColor="text1"/>
          <w:sz w:val="24"/>
          <w:szCs w:val="24"/>
          <w:lang w:val="en-US"/>
        </w:rPr>
        <w:t xml:space="preserve"> </w:t>
      </w:r>
      <w:r w:rsidR="002E10BC" w:rsidRPr="001B6443">
        <w:rPr>
          <w:rFonts w:ascii="Times New Roman" w:eastAsia="Calibri" w:hAnsi="Times New Roman" w:cs="Times New Roman"/>
          <w:i/>
          <w:color w:val="000000" w:themeColor="text1"/>
          <w:sz w:val="24"/>
          <w:szCs w:val="24"/>
          <w:lang w:val="en-US"/>
        </w:rPr>
        <w:t xml:space="preserve">GHG </w:t>
      </w:r>
      <w:r w:rsidR="00F741E4" w:rsidRPr="001B6443">
        <w:rPr>
          <w:rFonts w:ascii="Times New Roman" w:eastAsia="Calibri" w:hAnsi="Times New Roman" w:cs="Times New Roman"/>
          <w:i/>
          <w:color w:val="000000" w:themeColor="text1"/>
          <w:sz w:val="24"/>
          <w:szCs w:val="24"/>
          <w:lang w:val="en-US"/>
        </w:rPr>
        <w:t>emissions</w:t>
      </w:r>
      <w:r w:rsidR="002E10BC" w:rsidRPr="001B6443">
        <w:rPr>
          <w:rFonts w:ascii="Times New Roman" w:eastAsia="Calibri" w:hAnsi="Times New Roman" w:cs="Times New Roman"/>
          <w:i/>
          <w:color w:val="000000" w:themeColor="text1"/>
          <w:sz w:val="24"/>
          <w:szCs w:val="24"/>
          <w:lang w:val="en-US"/>
        </w:rPr>
        <w:t>)</w:t>
      </w:r>
      <w:r w:rsidRPr="001B6443">
        <w:rPr>
          <w:rFonts w:ascii="Times New Roman" w:eastAsia="Calibri" w:hAnsi="Times New Roman" w:cs="Times New Roman"/>
          <w:i/>
          <w:color w:val="000000" w:themeColor="text1"/>
          <w:sz w:val="24"/>
          <w:szCs w:val="24"/>
          <w:lang w:val="en-US"/>
        </w:rPr>
        <w:t xml:space="preserve"> are </w:t>
      </w:r>
      <w:r w:rsidR="008E2ADA" w:rsidRPr="001B6443">
        <w:rPr>
          <w:rFonts w:ascii="Times New Roman" w:eastAsia="Calibri" w:hAnsi="Times New Roman" w:cs="Times New Roman"/>
          <w:i/>
          <w:color w:val="000000" w:themeColor="text1"/>
          <w:sz w:val="24"/>
          <w:szCs w:val="24"/>
          <w:lang w:val="en-US"/>
        </w:rPr>
        <w:t xml:space="preserve">more </w:t>
      </w:r>
      <w:r w:rsidRPr="001B6443">
        <w:rPr>
          <w:rFonts w:ascii="Times New Roman" w:eastAsia="Calibri" w:hAnsi="Times New Roman" w:cs="Times New Roman"/>
          <w:i/>
          <w:color w:val="000000" w:themeColor="text1"/>
          <w:sz w:val="24"/>
          <w:szCs w:val="24"/>
          <w:lang w:val="en-US"/>
        </w:rPr>
        <w:t xml:space="preserve">likely to have </w:t>
      </w:r>
      <w:r w:rsidR="009872C0" w:rsidRPr="001B6443">
        <w:rPr>
          <w:rFonts w:ascii="Times New Roman" w:eastAsia="Calibri" w:hAnsi="Times New Roman" w:cs="Times New Roman"/>
          <w:i/>
          <w:color w:val="000000" w:themeColor="text1"/>
          <w:sz w:val="24"/>
          <w:szCs w:val="24"/>
          <w:lang w:val="en-US"/>
        </w:rPr>
        <w:t>higher</w:t>
      </w:r>
      <w:r w:rsidRPr="001B6443">
        <w:rPr>
          <w:rFonts w:ascii="Times New Roman" w:eastAsia="Calibri" w:hAnsi="Times New Roman" w:cs="Times New Roman"/>
          <w:i/>
          <w:color w:val="000000" w:themeColor="text1"/>
          <w:sz w:val="24"/>
          <w:szCs w:val="24"/>
          <w:lang w:val="en-US"/>
        </w:rPr>
        <w:t xml:space="preserve"> MV.</w:t>
      </w:r>
    </w:p>
    <w:p w14:paraId="56E04191" w14:textId="0E18FFF3" w:rsidR="00EC5A9C" w:rsidRPr="001B6443" w:rsidRDefault="00EC5A9C" w:rsidP="00EC5A9C">
      <w:pPr>
        <w:spacing w:line="480" w:lineRule="auto"/>
        <w:jc w:val="both"/>
        <w:rPr>
          <w:rFonts w:ascii="Times New Roman" w:eastAsia="Calibri" w:hAnsi="Times New Roman" w:cs="Times New Roman"/>
          <w:i/>
          <w:color w:val="000000" w:themeColor="text1"/>
          <w:sz w:val="24"/>
          <w:szCs w:val="24"/>
          <w:lang w:val="en-US"/>
        </w:rPr>
      </w:pPr>
      <w:r w:rsidRPr="001B6443">
        <w:rPr>
          <w:rFonts w:ascii="Times New Roman" w:eastAsia="Calibri" w:hAnsi="Times New Roman" w:cs="Times New Roman"/>
          <w:b/>
          <w:i/>
          <w:color w:val="000000" w:themeColor="text1"/>
          <w:sz w:val="24"/>
          <w:szCs w:val="24"/>
          <w:lang w:val="en-US"/>
        </w:rPr>
        <w:t>H1b:</w:t>
      </w:r>
      <w:r w:rsidRPr="001B6443">
        <w:rPr>
          <w:rFonts w:ascii="Times New Roman" w:eastAsia="Calibri" w:hAnsi="Times New Roman" w:cs="Times New Roman"/>
          <w:i/>
          <w:color w:val="000000" w:themeColor="text1"/>
          <w:sz w:val="24"/>
          <w:szCs w:val="24"/>
          <w:lang w:val="en-US"/>
        </w:rPr>
        <w:t xml:space="preserve"> Firms with </w:t>
      </w:r>
      <w:r w:rsidR="00526AD2" w:rsidRPr="001B6443">
        <w:rPr>
          <w:rFonts w:ascii="Times New Roman" w:eastAsia="Calibri" w:hAnsi="Times New Roman" w:cs="Times New Roman"/>
          <w:i/>
          <w:color w:val="000000" w:themeColor="text1"/>
          <w:sz w:val="24"/>
          <w:szCs w:val="24"/>
          <w:lang w:val="en-US"/>
        </w:rPr>
        <w:t>greater</w:t>
      </w:r>
      <w:r w:rsidRPr="001B6443">
        <w:rPr>
          <w:rFonts w:ascii="Times New Roman" w:eastAsia="Calibri" w:hAnsi="Times New Roman" w:cs="Times New Roman"/>
          <w:i/>
          <w:color w:val="000000" w:themeColor="text1"/>
          <w:sz w:val="24"/>
          <w:szCs w:val="24"/>
          <w:lang w:val="en-US"/>
        </w:rPr>
        <w:t xml:space="preserve"> </w:t>
      </w:r>
      <w:r w:rsidR="00987681" w:rsidRPr="001B6443">
        <w:rPr>
          <w:rFonts w:ascii="Times New Roman" w:eastAsia="Calibri" w:hAnsi="Times New Roman" w:cs="Times New Roman"/>
          <w:i/>
          <w:color w:val="000000" w:themeColor="text1"/>
          <w:sz w:val="24"/>
          <w:szCs w:val="24"/>
          <w:lang w:val="en-US"/>
        </w:rPr>
        <w:t xml:space="preserve">PCCIs </w:t>
      </w:r>
      <w:r w:rsidRPr="001B6443">
        <w:rPr>
          <w:rFonts w:ascii="Times New Roman" w:eastAsia="Calibri" w:hAnsi="Times New Roman" w:cs="Times New Roman"/>
          <w:i/>
          <w:color w:val="000000" w:themeColor="text1"/>
          <w:sz w:val="24"/>
          <w:szCs w:val="24"/>
          <w:lang w:val="en-US"/>
        </w:rPr>
        <w:t xml:space="preserve">are </w:t>
      </w:r>
      <w:r w:rsidR="008E2ADA" w:rsidRPr="001B6443">
        <w:rPr>
          <w:rFonts w:ascii="Times New Roman" w:eastAsia="Calibri" w:hAnsi="Times New Roman" w:cs="Times New Roman"/>
          <w:i/>
          <w:color w:val="000000" w:themeColor="text1"/>
          <w:sz w:val="24"/>
          <w:szCs w:val="24"/>
          <w:lang w:val="en-US"/>
        </w:rPr>
        <w:t xml:space="preserve">less </w:t>
      </w:r>
      <w:r w:rsidRPr="001B6443">
        <w:rPr>
          <w:rFonts w:ascii="Times New Roman" w:eastAsia="Calibri" w:hAnsi="Times New Roman" w:cs="Times New Roman"/>
          <w:i/>
          <w:color w:val="000000" w:themeColor="text1"/>
          <w:sz w:val="24"/>
          <w:szCs w:val="24"/>
          <w:lang w:val="en-US"/>
        </w:rPr>
        <w:t>likely to have higher MV.</w:t>
      </w:r>
    </w:p>
    <w:p w14:paraId="744046DE" w14:textId="77777777" w:rsidR="00EC5A9C" w:rsidRPr="001B6443" w:rsidRDefault="00EC5A9C" w:rsidP="00EC5A9C">
      <w:pPr>
        <w:spacing w:line="480" w:lineRule="auto"/>
        <w:jc w:val="both"/>
        <w:rPr>
          <w:rFonts w:ascii="Times New Roman" w:eastAsia="Calibri" w:hAnsi="Times New Roman" w:cs="Times New Roman"/>
          <w:i/>
          <w:color w:val="000000" w:themeColor="text1"/>
          <w:sz w:val="24"/>
          <w:szCs w:val="24"/>
          <w:lang w:val="en-US"/>
        </w:rPr>
      </w:pPr>
    </w:p>
    <w:bookmarkEnd w:id="1"/>
    <w:p w14:paraId="60EBA1C4" w14:textId="6C59CEEA"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 xml:space="preserve">Carbon performance, climate change initiatives, and market value: The moderating effect of board sustainability committee </w:t>
      </w:r>
    </w:p>
    <w:p w14:paraId="4AA9C46E" w14:textId="6DAA4A0B"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The existence of BSCOM is an important CG arrangement</w:t>
      </w:r>
      <w:r w:rsidR="00A4728C"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w:t>
      </w:r>
      <w:r w:rsidR="00A4728C" w:rsidRPr="001B6443">
        <w:rPr>
          <w:rFonts w:ascii="Times New Roman" w:eastAsia="Calibri" w:hAnsi="Times New Roman" w:cs="Times New Roman"/>
          <w:color w:val="000000" w:themeColor="text1"/>
          <w:sz w:val="24"/>
          <w:szCs w:val="24"/>
          <w:lang w:val="en-US"/>
        </w:rPr>
        <w:t xml:space="preserve">but </w:t>
      </w:r>
      <w:r w:rsidRPr="001B6443">
        <w:rPr>
          <w:rFonts w:ascii="Times New Roman" w:eastAsia="Calibri" w:hAnsi="Times New Roman" w:cs="Times New Roman"/>
          <w:color w:val="000000" w:themeColor="text1"/>
          <w:sz w:val="24"/>
          <w:szCs w:val="24"/>
          <w:lang w:val="en-US"/>
        </w:rPr>
        <w:t xml:space="preserve">has been </w:t>
      </w:r>
      <w:r w:rsidR="00A4728C" w:rsidRPr="001B6443">
        <w:rPr>
          <w:rFonts w:ascii="Times New Roman" w:eastAsia="Calibri" w:hAnsi="Times New Roman" w:cs="Times New Roman"/>
          <w:color w:val="000000" w:themeColor="text1"/>
          <w:sz w:val="24"/>
          <w:szCs w:val="24"/>
          <w:lang w:val="en-US"/>
        </w:rPr>
        <w:t xml:space="preserve">less </w:t>
      </w:r>
      <w:r w:rsidRPr="001B6443">
        <w:rPr>
          <w:rFonts w:ascii="Times New Roman" w:eastAsia="Calibri" w:hAnsi="Times New Roman" w:cs="Times New Roman"/>
          <w:color w:val="000000" w:themeColor="text1"/>
          <w:sz w:val="24"/>
          <w:szCs w:val="24"/>
          <w:lang w:val="en-US"/>
        </w:rPr>
        <w:t xml:space="preserve">explored in recent research, especially in relation to </w:t>
      </w:r>
      <w:r w:rsidR="00BE35F4" w:rsidRPr="001B6443">
        <w:rPr>
          <w:rFonts w:ascii="Times New Roman" w:eastAsia="Calibri" w:hAnsi="Times New Roman" w:cs="Times New Roman"/>
          <w:color w:val="000000" w:themeColor="text1"/>
          <w:sz w:val="24"/>
          <w:szCs w:val="24"/>
          <w:lang w:val="en-US"/>
        </w:rPr>
        <w:t>climate change</w:t>
      </w:r>
      <w:r w:rsidRPr="001B6443">
        <w:rPr>
          <w:rFonts w:ascii="Times New Roman" w:eastAsia="Calibri" w:hAnsi="Times New Roman" w:cs="Times New Roman"/>
          <w:color w:val="000000" w:themeColor="text1"/>
          <w:sz w:val="24"/>
          <w:szCs w:val="24"/>
          <w:lang w:val="en-US"/>
        </w:rPr>
        <w:t xml:space="preserve">. Corporate boards establish BSCOM to address stakeholder needs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Performance","type":"article-journal","volume":"154"},"uris":["http://www.mendeley.com/documents/?uuid=73547ce0-856e-39c4-9675-abc201661377"]},{"id":"ITEM-2","itemData":{"DOI":"10.1016/j.jclepro.2019.01.130","ISSN":"09596526","abstract":"Existing empirical and theoretical literature provides excellent insight into many aspects of CEO-related phenomena. However, so far, no study has explored the interrelation between corporate governance and CEO ability in influencing corporate social responsibility practices. From resource-based view perspectives, this research examines the complementarities/substitutions that may exist between social responsibility oriented corporate governance mechanisms and CEO ability in affecting corporate social responsibility performance among United States firms. This research documents that CEO ability is a unique resource that can help firms reduce agency problem associated with social and environmental performance. The analysis of data for the period of 2006–2015 reveals several fact-based findings. This research finds strong complementarities between CEO ability and internal social responsibility oriented governance mechanisms (i.e., board independence, the presence of a sustainability committee, and social performance-related incentives for managers) in enhancing socially responsible performance within a firm. Conventionally, it is considered that CEOs are less likely to engage in socially responsible activities, while findings of this paper shed light on the brighter side of CEO ability.","author":[{"dropping-particle":"","family":"García-Sánchez","given":"Isabel María","non-dropping-particle":"","parse-names":false,"suffix":""},{"dropping-particle":"","family":"Hussain","given":"Nazim","non-dropping-particle":"","parse-names":false,"suffix":""},{"dropping-particle":"","family":"Martínez-Ferrero","given":"Jennifer","non-dropping-particle":"","parse-names":false,"suffix":""}],"container-title":"Journal of Cleaner Production","id":"ITEM-2","issued":{"date-parts":[["2019","4","1"]]},"page":"1288-1300","publisher":"Elsevier Ltd","title":"An empirical analysis of the complementarities and substitutions between effects of ceo ability and corporate governance on socially responsible performance","type":"article-journal","volume":"215"},"uris":["http://www.mendeley.com/documents/?uuid=d0e92a82-df7f-3bee-98c8-a0f242bbaabd"]}],"mendeley":{"formattedCitation":"(Burke et al. 2019; García-Sánchez et al. 2019)","manualFormatting":"(Burke et al., 2019)","plainTextFormattedCitation":"(Burke et al. 2019; García-Sánchez et al. 2019)","previouslyFormattedCitation":"(Burke et al. 2019; García-Sánchez et al. 2019)"},"properties":{"noteIndex":0},"schema":"https://github.com/citation-style-language/schema/raw/master/csl-citation.json"}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(Burke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5F3E3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2019)</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promote sustainability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Performance","type":"article-journal","volume":"154"},"uris":["http://www.mendeley.com/documents/?uuid=73547ce0-856e-39c4-9675-abc201661377"]},{"id":"ITEM-2","itemData":{"DOI":"10.1016/j.jclepro.2019.01.130","ISSN":"09596526","abstract":"Existing empirical and theoretical literature provides excellent insight into many aspects of CEO-related phenomena. However, so far, no study has explored the interrelation between corporate governance and CEO ability in influencing corporate social responsibility practices. From resource-based view perspectives, this research examines the complementarities/substitutions that may exist between social responsibility oriented corporate governance mechanisms and CEO ability in affecting corporate social responsibility performance among United States firms. This research documents that CEO ability is a unique resource that can help firms reduce agency problem associated with social and environmental performance. The analysis of data for the period of 2006–2015 reveals several fact-based findings. This research finds strong complementarities between CEO ability and internal social responsibility oriented governance mechanisms (i.e., board independence, the presence of a sustainability committee, and social performance-related incentives for managers) in enhancing socially responsible performance within a firm. Conventionally, it is considered that CEOs are less likely to engage in socially responsible activities, while findings of this paper shed light on the brighter side of CEO ability.","author":[{"dropping-particle":"","family":"García-Sánchez","given":"Isabel María","non-dropping-particle":"","parse-names":false,"suffix":""},{"dropping-particle":"","family":"Hussain","given":"Nazim","non-dropping-particle":"","parse-names":false,"suffix":""},{"dropping-particle":"","family":"Martínez-Ferrero","given":"Jennifer","non-dropping-particle":"","parse-names":false,"suffix":""}],"container-title":"Journal of Cleaner Production","id":"ITEM-2","issued":{"date-parts":[["2019","4","1"]]},"page":"1288-1300","publisher":"Elsevier Ltd","title":"An empirical analysis of the complementarities and substitutions between effects of ceo ability and corporate governance on socially responsible performance","type":"article-journal","volume":"215"},"uris":["http://www.mendeley.com/documents/?uuid=d0e92a82-df7f-3bee-98c8-a0f242bbaabd"]}],"mendeley":{"formattedCitation":"(Burke et al. 2019; García-Sánchez et al. 2019)","manualFormatting":"(García-Sánchez et al., 2019)","plainTextFormattedCitation":"(Burke et al. 2019; García-Sánchez et al. 2019)","previouslyFormattedCitation":"(Burke et al. 2019; García-Sánchez et al. 2019)"},"properties":{"noteIndex":0},"schema":"https://github.com/citation-style-language/schema/raw/master/csl-citation.json"}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(García-Sánchez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5F3E3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2019)</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and enhance the efficacy of board monitoring (</w:t>
      </w:r>
      <w:r w:rsidRPr="001B6443">
        <w:rPr>
          <w:rFonts w:ascii="Times New Roman" w:eastAsia="Calibri" w:hAnsi="Times New Roman" w:cs="Times New Roman"/>
          <w:noProof/>
          <w:color w:val="000000" w:themeColor="text1"/>
          <w:sz w:val="24"/>
          <w:szCs w:val="24"/>
          <w:lang w:val="en-US"/>
        </w:rPr>
        <w:t>Dixon-Fowler</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{"citationItems":[{"id":"ITEM-1","itemData":{"DOI":"10.1007/s10551-015-2664-7","ISBN":"9781109761504","ISSN":"15730697","abstract":"This study explores the relationship between board environmental committees and corporate environmental performance (CEP). We propose that board environmental committees will be positively associated with CEP. Moreover, we argue that the composition of the committee (i.e., stakeholder representation) as well as the presence of a sustainability manager will influence this relationship. Our results find support for a positive association between board environmental committees and CEP. Further, the presence of a senior-level environmental manager positively moderates this relationship, but is not effective in isolation. Unexpectedly, no support was found for the influences of stakeholder representation.","author":[{"dropping-particle":"","family":"Dixon-Fowler","given":"Heather R.","non-dropping-particle":"","parse-names":false,"suffix":""},{"dropping-particle":"","family":"Ellstrand","given":"Alan E.","non-dropping-particle":"","parse-names":false,"suffix":""},{"dropping-particle":"","family":"Johnson","given":"Jonathan L.","non-dropping-particle":"","parse-names":false,"suffix":""}],"container-title":"Journal of Business Ethics","id":"ITEM-1","issue":"3","issued":{"date-parts":[["2017"]]},"page":"423-438","title":"The Role of Board Environmental Committees in Corporate Environmental Performance","type":"article-journal","volume":"140"},"uris":["http://www.mendeley.com/documents/?uuid=bda04092-fd52-330f-9775-ff44447d71cb"]}],"mendeley":{"formattedCitation":"(Dixon-Fowler et al. 2017)","manualFormatting":"2017)","plainTextFormattedCitation":"(Dixon-Fowler et al. 2017)","previouslyFormattedCitation":"(Dixon-Fowler et al. 2017)"},"properties":{"noteIndex":0},"schema":"https://github.com/citation-style-language/schema/raw/master/csl-citation.json"}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Such committees play a crucial role in implementing environmental initiatives and introducing best sustainability management </w:t>
      </w:r>
      <w:r w:rsidRPr="001B6443">
        <w:rPr>
          <w:rFonts w:ascii="Times New Roman" w:eastAsia="Calibri" w:hAnsi="Times New Roman" w:cs="Times New Roman"/>
          <w:color w:val="000000" w:themeColor="text1"/>
          <w:sz w:val="24"/>
          <w:szCs w:val="24"/>
          <w:lang w:val="en-US"/>
        </w:rPr>
        <w:lastRenderedPageBreak/>
        <w:t>practices that might promote stakeholder engagement, address environmental issues, and improve corporate outcomes</w:t>
      </w:r>
      <w:r w:rsidR="0016357D" w:rsidRPr="001B6443">
        <w:rPr>
          <w:rFonts w:ascii="Times New Roman" w:eastAsia="Calibri" w:hAnsi="Times New Roman" w:cs="Times New Roman"/>
          <w:color w:val="000000" w:themeColor="text1"/>
          <w:sz w:val="24"/>
          <w:szCs w:val="24"/>
          <w:lang w:val="en-US"/>
        </w:rPr>
        <w:t xml:space="preserve"> </w:t>
      </w:r>
      <w:r w:rsidR="0016357D"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{"citationItems":[{"id":"ITEM-1","itemData":{"DOI":"10.1111/acfi.12687","ISSN":"1467629X","abstract":"This study investigates whether corporate governance (CG) leads to improved corporate social responsibility (CSR) in relation to carbon performance. We draw on multiple theoretical lenses for CSR and use a sample of the top 350 listed UK companies. Our results show that overall CG quality has a discernible influence on carbon performance, based on outcome-based carbon emissions. Our empirical findings and inferences still hold with an action-based performance measure as well. In addition, we find that the relationship between CG and carbon performance is significantly moderated by carbon strategy and managerial awareness of carbon risk. Our evidence supports the claim that reforms of CG in the UK have promoted CSR behaviour in carbon performance, and this insight is not documented elsewhere.","author":[{"dropping-particle":"","family":"Luo","given":"Le","non-dropping-particle":"","parse-names":false,"suffix":""},{"dropping-particle":"","family":"Tang","given":"Qingliang","non-dropping-particle":"","parse-names":false,"suffix":""}],"container-title":"Accounting and Finance","id":"ITEM-1","issue":"2","issued":{"date-parts":[["2021"]]},"page":"2891-2934","title":"Corporate governance and carbon performance: role of carbon strategy and awareness of climate risk","type":"article-journal","volume":"61"},"uris":["http://www.mendeley.com/documents/?uuid=708325a8-e42a-31b9-8be6-a3126156dbea"]},{"id":"ITEM-2","itemData":{"DOI":"10.1007/s10551-013-1886-9","ISSN":"15730697","abstract":"Prior research suggests that voluntary environmental governance mechanisms operate to enhance a firm’s environmental legitimacy as opposed to being a driver of proactive environmental performance activities. To understand how these mechanisms contribute to the firm’s environmental legitimacy, we investigate whether environmental corporate governance characteristics are associated with voluntary environmental disclosure. We examine an increasingly important attribute of a firm’s disclosure setting, namely the disclosure of greenhouse gas (GHG) information. GHG information represents proprietary non-financial information about the firm’s exposure to environmental concerns and is related to the firm’s operations and future profitability. Thus, we expect governance participants would view such information as a potentially important strategic device for managing stakeholders’ demands for information concerning environmental risks. We find that the presence of an environmental committee and a Chief Sustainability Officer (CSO) is positively associated with the likelihood of GHG disclosure and that CSOs are associated with disclosure transparency. Further analysis reveals that the likelihood of disclosure is associated with committee size, number of committee meetings, expertise of committee members and CSO, and overlap between the environmental committee and audit committee. Only expertise of the environmental committee members and the CSO are associated with GHG disclosure transparency, while larger committees tend to be associated with lower transparency. Our results are particularly important to those with interests in evaluating the potential role that corporate governance mechanisms play in responding to stakeholder concerns about environmental risks. Directors and officers who are considering appointment to similar governance positions, may wish to consider what attributes would make such governance positions more influential.","author":[{"dropping-particle":"","family":"Peters","given":"Gary F.","non-dropping-particle":"","parse-names":false,"suffix":""},{"dropping-particle":"","family":"Romi","given":"Andrea M.","non-dropping-particle":"","parse-names":false,"suffix":""}],"container-title":"Journal of Business Ethics","id":"ITEM-2","issue":"4","issued":{"date-parts":[["2014","12","1"]]},"page":"637-666","publisher":"Kluwer Academic Publishers","title":"Does the Voluntary Adoption of Corporate Governance Mechanisms Improve Environmental Risk Disclosures? Evidence from Greenhouse Gas Emission Accounting","type":"article-journal","volume":"125"},"uris":["http://www.mendeley.com/documents/?uuid=a6a749d7-2614-3fb6-aa58-6f0aaa03def3"]}],"mendeley":{"formattedCitation":"(Luo and Tang 2021; Peters and Romi 2014)","manualFormatting":"(Luo and Tang, 2021; Peters and Romi, 2014)","plainTextFormattedCitation":"(Luo and Tang 2021; Peters and Romi 2014)","previouslyFormattedCitation":"(Luo and Tang 2021; Peters and Romi 2014)"},"properties":{"noteIndex":0},"schema":"https://github.com/citation-style-language/schema/raw/master/csl-citation.json"}</w:instrText>
      </w:r>
      <w:r w:rsidR="0016357D" w:rsidRPr="001B6443">
        <w:rPr>
          <w:rFonts w:ascii="Times New Roman" w:eastAsia="Calibri" w:hAnsi="Times New Roman" w:cs="Times New Roman"/>
          <w:color w:val="000000" w:themeColor="text1"/>
          <w:sz w:val="24"/>
          <w:szCs w:val="24"/>
          <w:lang w:val="en-US"/>
        </w:rPr>
        <w:fldChar w:fldCharType="separate"/>
      </w:r>
      <w:r w:rsidR="0016357D" w:rsidRPr="001B6443">
        <w:rPr>
          <w:rFonts w:ascii="Times New Roman" w:eastAsia="Calibri" w:hAnsi="Times New Roman" w:cs="Times New Roman"/>
          <w:noProof/>
          <w:color w:val="000000" w:themeColor="text1"/>
          <w:sz w:val="24"/>
          <w:szCs w:val="24"/>
          <w:lang w:val="en-US"/>
        </w:rPr>
        <w:t>(Luo and Tang, 2021; Peters and Romi, 2014)</w:t>
      </w:r>
      <w:r w:rsidR="0016357D" w:rsidRPr="001B6443">
        <w:rPr>
          <w:rFonts w:ascii="Times New Roman" w:eastAsia="Calibri" w:hAnsi="Times New Roman" w:cs="Times New Roman"/>
          <w:color w:val="000000" w:themeColor="text1"/>
          <w:sz w:val="24"/>
          <w:szCs w:val="24"/>
          <w:lang w:val="en-US"/>
        </w:rPr>
        <w:fldChar w:fldCharType="end"/>
      </w:r>
      <w:r w:rsidR="0016357D"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Prior literature suggests that the establishment of BSCOM improves CG practices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{"citationItems":[{"id":"ITEM-1","itemData":{"DOI":"10.1111/j.1467-8683.2004.00389.x","ISBN":"0964-8410","ISSN":"09648410","PMID":"14713825","abstract":"The establishment of board sub-committees has been strongly recommended as a suitable mechanism for improving corporate governance, by delegating specific tasks from the main board to a smaller group and harnessing the contribution of non-executive directors. In the UK, the Cadbury committee proposals focused on audit committees and the Greenbury study group advocated remuneration committees. Over the last decade, most large public companies have set up such committees, but their impact on governance standards has not been widely explored. This paper identifies significant differences in the orientation and operation of these committees. It also draws on interview data collected from participants in audit and remuneration committees to argue that these differences may lead to unacknowledged pressures on non-executive directors who form the membership of both committees. Given the current focus on the role of non-executive directors, the impact of such pressure is of particu-lar importance.","author":[{"dropping-particle":"","family":"Spira","given":"Laura F.","non-dropping-particle":"","parse-names":false,"suffix":""},{"dropping-particle":"","family":"Bender","given":"Ruth","non-dropping-particle":"","parse-names":false,"suffix":""}],"container-title":"Corporate Governance: An International Review","id":"ITEM-1","issue":"4","issued":{"date-parts":[["2004"]]},"page":"489-499","title":"Compare and contrast: Perspectives on board committees","type":"article-journal","volume":"12"},"uris":["http://www.mendeley.com/documents/?uuid=a3024f83-af19-3283-8b0f-052d48887f79"]},{"id":"ITEM-2","itemData":{"DOI":"10.1016/j.ijhm.2020.102753","ISSN":"02784319","abstract":"This study's objective is twofold: (1) to investigate whether board characteristics predict the existence of a sustainability committee, and (2) to examine whether the establishment of sustainability committees stimulates sustainability reporting, external assurance, and the adoption of the Global Reporting Initiative (GRI) framework in hospitality and tourism (H&amp;T) firms. For this purpose, the data was derived from the Thomson Reuters Eikon database for publicly traded H&amp;T firms from 2013 to 2018. The results indicate that while board size is a significant predictor of sustainability committee establishment, female and independent directors are not. Furthermore, the H&amp;T firms with a sustainability committee are more likely to issue a sustainability report, to get an independent assurance statement on sustainability reporting, and to follow GRI guidelines in configuring sustainability report content and structure. Overall, the results suggest important implications to help H&amp;T firms achieve sustainable goals and to design their boards accordingly.","author":[{"dropping-particle":"","family":"Kılıç","given":"Merve","non-dropping-particle":"","parse-names":false,"suffix":""},{"dropping-particle":"","family":"Uyar","given":"Ali","non-dropping-particle":"","parse-names":false,"suffix":""},{"dropping-particle":"","family":"Kuzey","given":"Cemil","non-dropping-particle":"","parse-names":false,"suffix":""},{"dropping-particle":"","family":"Karaman","given":"Abdullah S.","non-dropping-particle":"","parse-names":false,"suffix":""}],"container-title":"International Journal of Hospitality Management","id":"ITEM-2","issued":{"date-parts":[["2021","1","1"]]},"publisher":"Elsevier Ltd","title":"Drivers and consequences of sustainability committee existence? Evidence from the hospitality and tourism industry","type":"article-journal","volume":"92"},"uris":["http://www.mendeley.com/documents/?uuid=1b5e7bbd-1738-338f-b2cc-36c8635158d4"]}],"mendeley":{"formattedCitation":"(Kılıç et al. 2021; Spira and Bender 2004)","manualFormatting":"(Spira and Bender, 2004)","plainTextFormattedCitation":"(Kılıç et al. 2021; Spira and Bender 2004)","previouslyFormattedCitation":"(Kılıç et al. 2021; Spira and Bender 2004)"},"properties":{"noteIndex":0},"schema":"https://github.com/citation-style-language/schema/raw/master/csl-citation.json"}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(Spira and Bender, 2004)</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promotes sustainability strategies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strategy","type":"article-journal","volume":"29"},"uris":["http://www.mendeley.com/documents/?uuid=05434146-b776-3687-93bb-7d50ecedde5c"]}],"mendeley":{"formattedCitation":"(Orazalin 2020)","plainTextFormattedCitation":"(Orazalin 2020)","previouslyFormattedCitation":"(Orazalin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(Orazalin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enhances the effectiveness of carbon mitigation initiatives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{"citationItems":[{"id":"ITEM-1","itemData":{"DOI":"10.1111/j.1467-8683.2007.00623.x","ISBN":"09648410","ISSN":"14678683","PMID":"26771387","abstract":"Boards of large UK companies are devoting more time to the governance of corporate social responsibility (CSR). This is in line with the Combined Code on Corporate Governance's requirement that boards set standards and values for companies and ensure they meet their social obligations. But is board activity in this area as effective as it could be at achieving corporate compliance with CSR standards? This paper draws on the economic literature to offer an analysis of the primary causes of breaches of corporate responsibility standards. Based on a small survey of the board CSR activities of 20 of Britain's largest companies, it assesses whether boards are addressing these causes effectively. The tentative conclusion is that board activity might usefully be reoriented to do more to address the fundamental incentives problems that often cause corporate responsibility failures, namely market failure and misaligned performance management systems.","author":[{"dropping-particle":"","family":"Mackenzie","given":"Craig","non-dropping-particle":"","parse-names":false,"suffix":""}],"container-title":"Corporate Governance: An International Review","id":"ITEM-1","issue":"5","issued":{"date-parts":[["2007"]]},"page":"935-943","title":"Boards, incentives and corporate social responsibility: The case for a change of emphasis","type":"article-journal","volume":"15"},"uris":["http://www.mendeley.com/documents/?uuid=c6ceec45-0844-3ce0-9c2b-a9596e662c28"]},{"id":"ITEM-2","itemData":{"DOI":"10.1016/j.bar.2017.01.001","ISBN":"0198511973","ISSN":"10958347","abstract":"This study examines the effects of board characteristics and sustainable compensation policy on carbon reduction initiatives and greenhouse gas (GHG) emissions of a firm. We use firm fixed effect model to analyse data from 256 non-financial UK firms covering a period of 13 years (2002–2014). Our estimation results suggest that board independence and board gender diversity have positive associations with carbon reduction initiatives. In addition, environment-social-governance based compensation policy is found to be positively associated with carbon reduction initiatives. However, we do not find any relationship between corporate governance variables and GHG emissions of a firm. Overall, our evidence suggests that corporate boards and executive management tend to focus on a firm's process-oriented carbon performance, without improving actual carbon performance in the form of reduced GHG emissions. The findings have important implications for practitioners and policymakers with respect to the effectiveness of internal corporate governance mechanisms in addressing climate change risks, and possible linkage between corporate governance reform and carbon related policies.","author":[{"dropping-particle":"","family":"Haque","given":"Faizul","non-dropping-particle":"","parse-names":false,"suffix":""}],"container-title":"British Accounting Review","id":"ITEM-2","issue":"3","issued":{"date-parts":[["2017"]]},"page":"347-364","title":"The effects of board characteristics and sustainable compensation policy on carbon performance of UK firms","type":"article-journal","volume":"49"},"uris":["http://www.mendeley.com/documents/?uuid=746542a6-70c3-42dd-ac7d-e92ddd9b708b"]}],"mendeley":{"formattedCitation":"(Haque 2017; Mackenzie 2007)","manualFormatting":"(Haque, 2017; Mackenzie, 2007)","plainTextFormattedCitation":"(Haque 2017; Mackenzie 2007)","previouslyFormattedCitation":"(Haque 2017; Mackenzie 2007)"},"properties":{"noteIndex":0},"schema":"https://github.com/citation-style-language/schema/raw/master/csl-citation.json"}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2017; Mackenzie, 2007)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and increases corporate transparency </w:t>
      </w:r>
      <w:r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{"citationItems":[{"id":"ITEM-1","itemData":{"DOI":"10.1007/s10997-010-9160-3","ISBN":"0278-0380","ISSN":"13853457","PMID":"76286673","abstract":"We examine the relationship between corporate governance and the extent of corporate social responsibility (CSR) disclosures in the annual reports of Bangladeshi companies. A legitimacy theory framework is adopted to understand the extent to which corporate governance characteristics, such as managerial ownership, public ownership, foreign ownership, board independence, CEO duality and presence of audit committee influence organisational response to various stakeholder groups. Our results suggest that although CSR disclosures generally have a negative association with managerial ownership, such relationship becomes significant and positive for export-oriented industries. We also find public ownership, foreign ownership, board independence and presence of audit committee to have positive significant impacts on CSR disclosures. However, we fail to find any significant impact of CEO duality. Thus, our results suggest that pressures exerted by external stakeholder groups and corporate governance mechanisms involving independent outsiders may allay some concerns relating to family influence on CSR disclosure practices. Overall, our study implies that corporate governance attributes play a vital role in ensuring organisational legitimacy through CSR disclosures. The findings of our study should be of interest to regulators and policy makers in countries which share similar corporate ownership and regulatory structures.","author":[{"dropping-particle":"","family":"Michelon","given":"Giovanna","non-dropping-particle":"","parse-names":false,"suffix":""},{"dropping-particle":"","family":"Parbonetti","given":"Antonio","non-dropping-particle":"","parse-names":false,"suffix":""}],"container-title":"Journal of Management and Governance","id":"ITEM-1","issue":"3","issued":{"date-parts":[["2012"]]},"page":"477-509","title":"The effect of corporate governance on sustainability disclosure","type":"article-journal","volume":"16"},"uris":["http://www.mendeley.com/documents/?uuid=f8477a62-80e9-4089-8205-5738afc833f6"]}],"mendeley":{"formattedCitation":"(Michelon and Parbonetti 2012)","manualFormatting":"(Michelon and Parbonetti, 2012)","plainTextFormattedCitation":"(Michelon and Parbonetti 2012)","previouslyFormattedCitation":"(Michelon and Parbonetti 2012)"},"properties":{"noteIndex":0},"schema":"https://github.com/citation-style-language/schema/raw/master/csl-citation.json"}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(Michelon and Parbonetti</w:t>
      </w:r>
      <w:r w:rsidR="007F2D19"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2012)</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From a stakeholder perspectiv</w:t>
      </w:r>
      <w:r w:rsidR="00A51C64" w:rsidRPr="001B6443">
        <w:rPr>
          <w:rFonts w:ascii="Times New Roman" w:eastAsia="Calibri" w:hAnsi="Times New Roman" w:cs="Times New Roman"/>
          <w:color w:val="000000" w:themeColor="text1"/>
          <w:sz w:val="24"/>
          <w:szCs w:val="24"/>
          <w:lang w:val="en-US"/>
        </w:rPr>
        <w:t xml:space="preserve">e, BSCOM serves as an effective </w:t>
      </w:r>
      <w:r w:rsidRPr="001B6443">
        <w:rPr>
          <w:rFonts w:ascii="Times New Roman" w:eastAsia="Calibri" w:hAnsi="Times New Roman" w:cs="Times New Roman"/>
          <w:color w:val="000000" w:themeColor="text1"/>
          <w:sz w:val="24"/>
          <w:szCs w:val="24"/>
          <w:lang w:val="en-US"/>
        </w:rPr>
        <w:t xml:space="preserve">mechanism </w:t>
      </w:r>
      <w:r w:rsidR="00A51C64" w:rsidRPr="001B6443">
        <w:rPr>
          <w:rFonts w:ascii="Times New Roman" w:eastAsia="Calibri" w:hAnsi="Times New Roman" w:cs="Times New Roman"/>
          <w:color w:val="000000" w:themeColor="text1"/>
          <w:sz w:val="24"/>
          <w:szCs w:val="24"/>
          <w:lang w:val="en-US"/>
        </w:rPr>
        <w:t xml:space="preserve">and substantive management practice </w:t>
      </w:r>
      <w:r w:rsidRPr="001B6443">
        <w:rPr>
          <w:rFonts w:ascii="Times New Roman" w:eastAsia="Calibri" w:hAnsi="Times New Roman" w:cs="Times New Roman"/>
          <w:color w:val="000000" w:themeColor="text1"/>
          <w:sz w:val="24"/>
          <w:szCs w:val="24"/>
          <w:lang w:val="en-US"/>
        </w:rPr>
        <w:t xml:space="preserve">that may satisfy the interests of relevant stakeholders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{"citationItems":[{"id":"ITEM-1","itemData":{"DOI":"10.1016/j.ijhm.2020.102753","ISSN":"02784319","abstract":"This study's objective is twofold: (1) to investigate whether board characteristics predict the existence of a sustainability committee, and (2) to examine whether the establishment of sustainability committees stimulates sustainability reporting, external assurance, and the adoption of the Global Reporting Initiative (GRI) framework in hospitality and tourism (H&amp;T) firms. For this purpose, the data was derived from the Thomson Reuters Eikon database for publicly traded H&amp;T firms from 2013 to 2018. The results indicate that while board size is a significant predictor of sustainability committee establishment, female and independent directors are not. Furthermore, the H&amp;T firms with a sustainability committee are more likely to issue a sustainability report, to get an independent assurance statement on sustainability reporting, and to follow GRI guidelines in configuring sustainability report content and structure. Overall, the results suggest important implications to help H&amp;T firms achieve sustainable goals and to design their boards accordingly.","author":[{"dropping-particle":"","family":"Kılıç","given":"Merve","non-dropping-particle":"","parse-names":false,"suffix":""},{"dropping-particle":"","family":"Uyar","given":"Ali","non-dropping-particle":"","parse-names":false,"suffix":""},{"dropping-particle":"","family":"Kuzey","given":"Cemil","non-dropping-particle":"","parse-names":false,"suffix":""},{"dropping-particle":"","family":"Karaman","given":"Abdullah S.","non-dropping-particle":"","parse-names":false,"suffix":""}],"container-title":"International Journal of Hospitality Management","id":"ITEM-1","issued":{"date-parts":[["2021","1","1"]]},"publisher":"Elsevier Ltd","title":"Drivers and consequences of sustainability committee existence? Evidence from the hospitality and tourism industry","type":"article-journal","volume":"92"},"uris":["http://www.mendeley.com/documents/?uuid=1b5e7bbd-1738-338f-b2cc-36c8635158d4"]}],"mendeley":{"formattedCitation":"(Kılıç et al. 2021)","manualFormatting":"(Kılıç et al., 2021)","plainTextFormattedCitation":"(Kılıç et al. 2021)","previouslyFormattedCitation":"(Kılıç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(Kılıç </w:t>
      </w:r>
      <w:r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improve sustainability performance</w:t>
      </w:r>
      <w:r w:rsidR="0016357D" w:rsidRPr="001B6443">
        <w:rPr>
          <w:rFonts w:ascii="Times New Roman" w:eastAsia="Calibri" w:hAnsi="Times New Roman" w:cs="Times New Roman"/>
          <w:color w:val="000000" w:themeColor="text1"/>
          <w:sz w:val="24"/>
          <w:szCs w:val="24"/>
          <w:lang w:val="en-US"/>
        </w:rPr>
        <w:t xml:space="preserve"> </w:t>
      </w:r>
      <w:r w:rsidR="0016357D" w:rsidRPr="001B6443">
        <w:rPr>
          <w:rFonts w:ascii="Times New Roman" w:eastAsia="Calibri" w:hAnsi="Times New Roman" w:cs="Times New Roman"/>
          <w:color w:val="000000" w:themeColor="text1"/>
          <w:sz w:val="24"/>
          <w:szCs w:val="24"/>
          <w:lang w:val="en-US"/>
        </w:rPr>
        <w:fldChar w:fldCharType="begin" w:fldLock="1"/>
      </w:r>
      <w:r w:rsidR="005B017B" w:rsidRPr="001B6443">
        <w:rPr>
          <w:rFonts w:ascii="Times New Roman" w:eastAsia="Calibri" w:hAnsi="Times New Roman" w:cs="Times New Roman"/>
          <w:color w:val="000000" w:themeColor="text1"/>
          <w:sz w:val="24"/>
          <w:szCs w:val="24"/>
          <w:lang w:val="en-US"/>
        </w:rPr>
        <w:instrText>ADDIN CSL_CITATION {"citationItems":[{"id":"ITEM-1","itemData":{"DOI":"10.1007/s10551-017-3735-8","ISSN":"15730697","abstract":"Companies are expected to monitor sustainable behaviour to help improve performance, enhance reputation and increase chances of survival. This paper examines the relationship between sustainability committees and independent external assurance on the inclusion of sustainability-related targets in CEO compensation contracts. Using a sample of UK FTSE350 companies for 2011–2015 and controlling for governance and firm characteristics, we find both board-level sustainability committees and sustainability reporting assurance have a positive and significant association with the inclusion of sustainability terms in compensation contracts. However, there is no joint impact between the voluntary use of independent external assurance and the role of sustainability committees on CEO compensation contracts. Sustainability-related terms in compensation contracts are more likely to be included, and higher compensation is likely to be paid, when assurance is provided by a Big4 firm and when a company operates in a sustainability-sensitive industry. Our findings highlight the potential of assured sustainability reports in assessing CEO performance in sustainability-related tasks, especially when sustainability metrics are included in CEO compensation contracts. Overall, our results suggest companies that invest in voluntary assurance are more likely to monitor management’s behaviour and be concerned about the achievement of sustainability goals.","author":[{"dropping-particle":"","family":"Al-Shaer","given":"Habiba","non-dropping-particle":"","parse-names":false,"suffix":""},{"dropping-particle":"","family":"Zaman","given":"Mahbub","non-dropping-particle":"","parse-names":false,"suffix":""}],"container-title":"Journal of Business Ethics","id":"ITEM-1","issue":"1","issued":{"date-parts":[["2019"]]},"page":"233–252","title":"CEO Compensation and Sustainability Reporting Assurance: Evidence from the UK","type":"article-journal","volume":"158"},"uris":["http://www.mendeley.com/documents/?uuid=f301a336-79af-3671-be4b-6e413276497a"]}],"mendeley":{"formattedCitation":"(Al-Shaer and Zaman 2019)","manualFormatting":"(Al-Shaer and Zaman, 2019)","plainTextFormattedCitation":"(Al-Shaer and Zaman 2019)","previouslyFormattedCitation":"(Al-Shaer and Zaman 2019)"},"properties":{"noteIndex":0},"schema":"https://github.com/citation-style-language/schema/raw/master/csl-citation.json"}</w:instrText>
      </w:r>
      <w:r w:rsidR="0016357D" w:rsidRPr="001B6443">
        <w:rPr>
          <w:rFonts w:ascii="Times New Roman" w:eastAsia="Calibri" w:hAnsi="Times New Roman" w:cs="Times New Roman"/>
          <w:color w:val="000000" w:themeColor="text1"/>
          <w:sz w:val="24"/>
          <w:szCs w:val="24"/>
          <w:lang w:val="en-US"/>
        </w:rPr>
        <w:fldChar w:fldCharType="separate"/>
      </w:r>
      <w:r w:rsidR="0016357D" w:rsidRPr="001B6443">
        <w:rPr>
          <w:rFonts w:ascii="Times New Roman" w:eastAsia="Calibri" w:hAnsi="Times New Roman" w:cs="Times New Roman"/>
          <w:noProof/>
          <w:color w:val="000000" w:themeColor="text1"/>
          <w:sz w:val="24"/>
          <w:szCs w:val="24"/>
          <w:lang w:val="en-US"/>
        </w:rPr>
        <w:t>(Al-Shaer and Zaman, 2019)</w:t>
      </w:r>
      <w:r w:rsidR="0016357D" w:rsidRPr="001B6443">
        <w:rPr>
          <w:rFonts w:ascii="Times New Roman" w:eastAsia="Calibri" w:hAnsi="Times New Roman" w:cs="Times New Roman"/>
          <w:color w:val="000000" w:themeColor="text1"/>
          <w:sz w:val="24"/>
          <w:szCs w:val="24"/>
          <w:lang w:val="en-US"/>
        </w:rPr>
        <w:fldChar w:fldCharType="end"/>
      </w:r>
      <w:r w:rsidR="0016357D"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and achieve sufficient financial outcomes</w:t>
      </w:r>
      <w:r w:rsidR="004A6967" w:rsidRPr="001B6443">
        <w:rPr>
          <w:rFonts w:ascii="Times New Roman" w:eastAsia="Calibri" w:hAnsi="Times New Roman" w:cs="Times New Roman"/>
          <w:color w:val="000000" w:themeColor="text1"/>
          <w:sz w:val="24"/>
          <w:szCs w:val="24"/>
          <w:lang w:val="en-US"/>
        </w:rPr>
        <w:t xml:space="preserve"> </w:t>
      </w:r>
      <w:r w:rsidR="004A6967" w:rsidRPr="001B6443">
        <w:rPr>
          <w:rFonts w:ascii="Times New Roman" w:eastAsia="Calibri" w:hAnsi="Times New Roman" w:cs="Times New Roman"/>
          <w:color w:val="000000" w:themeColor="text1"/>
          <w:sz w:val="24"/>
          <w:szCs w:val="24"/>
          <w:lang w:val="en-US"/>
        </w:rPr>
        <w:fldChar w:fldCharType="begin" w:fldLock="1"/>
      </w:r>
      <w:r w:rsidR="004A6967"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Performance","type":"article-journal","volume":"154"},"uris":["http://www.mendeley.com/documents/?uuid=73547ce0-856e-39c4-9675-abc201661377"]}],"mendeley":{"formattedCitation":"(Burke et al. 2019)","plainTextFormattedCitation":"(Burke et al. 2019)","previouslyFormattedCitation":"(Burke et al. 2019)"},"properties":{"noteIndex":0},"schema":"https://github.com/citation-style-language/schema/raw/master/csl-citation.json"}</w:instrText>
      </w:r>
      <w:r w:rsidR="004A6967" w:rsidRPr="001B6443">
        <w:rPr>
          <w:rFonts w:ascii="Times New Roman" w:eastAsia="Calibri" w:hAnsi="Times New Roman" w:cs="Times New Roman"/>
          <w:color w:val="000000" w:themeColor="text1"/>
          <w:sz w:val="24"/>
          <w:szCs w:val="24"/>
          <w:lang w:val="en-US"/>
        </w:rPr>
        <w:fldChar w:fldCharType="separate"/>
      </w:r>
      <w:r w:rsidR="004A6967" w:rsidRPr="001B6443">
        <w:rPr>
          <w:rFonts w:ascii="Times New Roman" w:eastAsia="Calibri" w:hAnsi="Times New Roman" w:cs="Times New Roman"/>
          <w:noProof/>
          <w:color w:val="000000" w:themeColor="text1"/>
          <w:sz w:val="24"/>
          <w:szCs w:val="24"/>
          <w:lang w:val="en-US"/>
        </w:rPr>
        <w:t xml:space="preserve">(Burke </w:t>
      </w:r>
      <w:r w:rsidR="004A6967" w:rsidRPr="001B6443">
        <w:rPr>
          <w:rFonts w:ascii="Times New Roman" w:eastAsia="Calibri" w:hAnsi="Times New Roman" w:cs="Times New Roman"/>
          <w:i/>
          <w:noProof/>
          <w:color w:val="000000" w:themeColor="text1"/>
          <w:sz w:val="24"/>
          <w:szCs w:val="24"/>
          <w:lang w:val="en-US"/>
        </w:rPr>
        <w:t>et al.</w:t>
      </w:r>
      <w:r w:rsidR="004A6967" w:rsidRPr="001B6443">
        <w:rPr>
          <w:rFonts w:ascii="Times New Roman" w:eastAsia="Calibri" w:hAnsi="Times New Roman" w:cs="Times New Roman"/>
          <w:noProof/>
          <w:color w:val="000000" w:themeColor="text1"/>
          <w:sz w:val="24"/>
          <w:szCs w:val="24"/>
          <w:lang w:val="en-US"/>
        </w:rPr>
        <w:t xml:space="preserve"> 2019)</w:t>
      </w:r>
      <w:r w:rsidR="004A6967" w:rsidRPr="001B6443">
        <w:rPr>
          <w:rFonts w:ascii="Times New Roman" w:eastAsia="Calibri" w:hAnsi="Times New Roman" w:cs="Times New Roman"/>
          <w:color w:val="000000" w:themeColor="text1"/>
          <w:sz w:val="24"/>
          <w:szCs w:val="24"/>
          <w:lang w:val="en-US"/>
        </w:rPr>
        <w:fldChar w:fldCharType="end"/>
      </w:r>
      <w:r w:rsidR="004A6967"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Thus, in the eyes of stakeholders, BSCOM has become an effective lever for carbon mitigation management </w:t>
      </w:r>
      <w:r w:rsidRPr="001B6443">
        <w:rPr>
          <w:rFonts w:ascii="Times New Roman" w:hAnsi="Times New Roman" w:cs="Times New Roman"/>
          <w:color w:val="000000" w:themeColor="text1"/>
          <w:sz w:val="24"/>
          <w:szCs w:val="24"/>
          <w:lang w:val="en-US"/>
        </w:rPr>
        <w:t xml:space="preserve">to create shared values for both shareholders and stakeholders </w:t>
      </w:r>
      <w:r w:rsidRPr="001B6443">
        <w:rPr>
          <w:rFonts w:ascii="Times New Roman" w:hAnsi="Times New Roman" w:cs="Times New Roman"/>
          <w:color w:val="000000" w:themeColor="text1"/>
          <w:sz w:val="24"/>
          <w:szCs w:val="24"/>
        </w:rPr>
        <w:fldChar w:fldCharType="begin" w:fldLock="1"/>
      </w:r>
      <w:r w:rsidR="00100C13" w:rsidRPr="001B6443">
        <w:rPr>
          <w:rFonts w:ascii="Times New Roman"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Performance","type":"article-journal","volume":"154"},"uris":["http://www.mendeley.com/documents/?uuid=73547ce0-856e-39c4-9675-abc201661377"]}],"mendeley":{"formattedCitation":"(Burke et al. 2019)","manualFormatting":"(Burke et al., 2019)","plainTextFormattedCitation":"(Burke et al. 2019)","previouslyFormattedCitation":"(Burke et al. 2019)"},"properties":{"noteIndex":0},"schema":"https://github.com/citation-style-language/schema/raw/master/csl-citation.json"}</w:instrText>
      </w:r>
      <w:r w:rsidRPr="001B6443">
        <w:rPr>
          <w:rFonts w:ascii="Times New Roman" w:hAnsi="Times New Roman" w:cs="Times New Roman"/>
          <w:color w:val="000000" w:themeColor="text1"/>
          <w:sz w:val="24"/>
          <w:szCs w:val="24"/>
        </w:rPr>
        <w:fldChar w:fldCharType="separate"/>
      </w:r>
      <w:r w:rsidRPr="001B6443">
        <w:rPr>
          <w:rFonts w:ascii="Times New Roman" w:hAnsi="Times New Roman" w:cs="Times New Roman"/>
          <w:noProof/>
          <w:color w:val="000000" w:themeColor="text1"/>
          <w:sz w:val="24"/>
          <w:szCs w:val="24"/>
          <w:lang w:val="en-US"/>
        </w:rPr>
        <w:t xml:space="preserve">(Burke </w:t>
      </w:r>
      <w:r w:rsidRPr="001B6443">
        <w:rPr>
          <w:rFonts w:ascii="Times New Roman" w:hAnsi="Times New Roman" w:cs="Times New Roman"/>
          <w:i/>
          <w:iCs/>
          <w:noProof/>
          <w:color w:val="000000" w:themeColor="text1"/>
          <w:sz w:val="24"/>
          <w:szCs w:val="24"/>
          <w:lang w:val="en-US"/>
        </w:rPr>
        <w:t>et al.</w:t>
      </w:r>
      <w:r w:rsidR="00D9108F" w:rsidRPr="001B6443">
        <w:rPr>
          <w:rFonts w:ascii="Times New Roman" w:hAnsi="Times New Roman" w:cs="Times New Roman"/>
          <w:i/>
          <w:iCs/>
          <w:noProof/>
          <w:color w:val="000000" w:themeColor="text1"/>
          <w:sz w:val="24"/>
          <w:szCs w:val="24"/>
          <w:lang w:val="en-US"/>
        </w:rPr>
        <w:t>,</w:t>
      </w:r>
      <w:r w:rsidRPr="001B6443">
        <w:rPr>
          <w:rFonts w:ascii="Times New Roman" w:hAnsi="Times New Roman" w:cs="Times New Roman"/>
          <w:noProof/>
          <w:color w:val="000000" w:themeColor="text1"/>
          <w:sz w:val="24"/>
          <w:szCs w:val="24"/>
          <w:lang w:val="en-US"/>
        </w:rPr>
        <w:t xml:space="preserve"> 2019)</w:t>
      </w:r>
      <w:r w:rsidRPr="001B6443">
        <w:rPr>
          <w:rFonts w:ascii="Times New Roman" w:hAnsi="Times New Roman" w:cs="Times New Roman"/>
          <w:color w:val="000000" w:themeColor="text1"/>
          <w:sz w:val="24"/>
          <w:szCs w:val="24"/>
        </w:rPr>
        <w:fldChar w:fldCharType="end"/>
      </w:r>
      <w:r w:rsidRPr="001B6443">
        <w:rPr>
          <w:rFonts w:ascii="Times New Roman"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However, the </w:t>
      </w:r>
      <w:r w:rsidR="00BE6EB3" w:rsidRPr="001B6443">
        <w:rPr>
          <w:rFonts w:ascii="Times New Roman" w:eastAsia="Calibri" w:hAnsi="Times New Roman" w:cs="Times New Roman"/>
          <w:color w:val="000000" w:themeColor="text1"/>
          <w:sz w:val="24"/>
          <w:szCs w:val="24"/>
          <w:lang w:val="en-US"/>
        </w:rPr>
        <w:t>symbolic legitimation</w:t>
      </w:r>
      <w:r w:rsidRPr="001B6443">
        <w:rPr>
          <w:rFonts w:ascii="Times New Roman" w:eastAsia="Calibri" w:hAnsi="Times New Roman" w:cs="Times New Roman"/>
          <w:color w:val="000000" w:themeColor="text1"/>
          <w:sz w:val="24"/>
          <w:szCs w:val="24"/>
          <w:lang w:val="en-US"/>
        </w:rPr>
        <w:t xml:space="preserve"> </w:t>
      </w:r>
      <w:r w:rsidR="00BE6EB3" w:rsidRPr="001B6443">
        <w:rPr>
          <w:rFonts w:ascii="Times New Roman" w:eastAsia="Calibri" w:hAnsi="Times New Roman" w:cs="Times New Roman"/>
          <w:color w:val="000000" w:themeColor="text1"/>
          <w:sz w:val="24"/>
          <w:szCs w:val="24"/>
          <w:lang w:val="en-US"/>
        </w:rPr>
        <w:t>approach</w:t>
      </w:r>
      <w:r w:rsidRPr="001B6443">
        <w:rPr>
          <w:rFonts w:ascii="Times New Roman" w:eastAsia="Calibri" w:hAnsi="Times New Roman" w:cs="Times New Roman"/>
          <w:color w:val="000000" w:themeColor="text1"/>
          <w:sz w:val="24"/>
          <w:szCs w:val="24"/>
          <w:lang w:val="en-US"/>
        </w:rPr>
        <w:t xml:space="preserve"> argues that such committees serve as an impression management tool to protect legitimacy and enhance accountability toward stakeholder groups, and thus, do not necessarily mitigate sustainability-related risks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Ethics","id":"ITEM-1","issue":"1","issued":{"date-parts":[["2013"]]},"page":"107-129","title":"Is Environmental Governance Substantive or Symbolic? An Empirical Investigation","type":"article-journal","volume":"114"},"uris":["http://www.mendeley.com/documents/?uuid=bcfc4f76-3182-48c5-9d31-2e69b7ab531a"]},{"id":"ITEM-2","itemData":{"DOI":"10.1111/1467-8551.12395","ISSN":"14678551","abstract":"We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 Rodrigue et al. 2013)","manualFormatting":"(Burke et al., 2019; Rodrigue et al., 2013)","plainTextFormattedCitation":"(Haque and Ntim 2020; Rodrigue et al. 2013)","previouslyFormattedCitation":"(Haque and Ntim 2020; Rodrigue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fldChar w:fldCharType="begin" w:fldLock="1"/>
      </w:r>
      <w:r w:rsidR="00100C13" w:rsidRPr="001B6443">
        <w:rPr>
          <w:rFonts w:ascii="Times New Roman" w:eastAsia="Calibri" w:hAnsi="Times New Roman" w:cs="Times New Roman"/>
          <w:noProof/>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Performance","type":"article-journal","volume":"154"},"uris":["http://www.mendeley.com/documents/?uuid=73547ce0-856e-39c4-9675-abc201661377"]}],"mendeley":{"formattedCitation":"(Burke et al. 2019)","manualFormatting":"Burke et al., 2019","plainTextFormattedCitation":"(Burke et al. 2019)","previouslyFormattedCitation":"(Burke et al. 2019)"},"properties":{"noteIndex":0},"schema":"https://github.com/citation-style-language/schema/raw/master/csl-citation.json"}</w:instrText>
      </w:r>
      <w:r w:rsidRPr="001B6443">
        <w:rPr>
          <w:rFonts w:ascii="Times New Roman" w:eastAsia="Calibri" w:hAnsi="Times New Roman" w:cs="Times New Roman"/>
          <w:noProof/>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Burke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2019</w:t>
      </w:r>
      <w:r w:rsidRPr="001B6443">
        <w:rPr>
          <w:rFonts w:ascii="Times New Roman" w:eastAsia="Calibri" w:hAnsi="Times New Roman" w:cs="Times New Roman"/>
          <w:noProof/>
          <w:color w:val="000000" w:themeColor="text1"/>
          <w:sz w:val="24"/>
          <w:szCs w:val="24"/>
          <w:lang w:val="en-US"/>
        </w:rPr>
        <w:fldChar w:fldCharType="end"/>
      </w:r>
      <w:r w:rsidRPr="001B6443">
        <w:rPr>
          <w:rFonts w:ascii="Times New Roman" w:eastAsia="Calibri" w:hAnsi="Times New Roman" w:cs="Times New Roman"/>
          <w:noProof/>
          <w:color w:val="000000" w:themeColor="text1"/>
          <w:sz w:val="24"/>
          <w:szCs w:val="24"/>
          <w:lang w:val="en-US"/>
        </w:rPr>
        <w:t>; Rodrigue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FC43FF" w:rsidRPr="001B6443">
        <w:rPr>
          <w:rFonts w:ascii="Times New Roman" w:eastAsia="Calibri" w:hAnsi="Times New Roman" w:cs="Times New Roman"/>
          <w:color w:val="000000" w:themeColor="text1"/>
          <w:sz w:val="24"/>
          <w:szCs w:val="24"/>
          <w:lang w:val="en-US"/>
        </w:rPr>
        <w:t>In other words</w:t>
      </w:r>
      <w:r w:rsidRPr="001B6443">
        <w:rPr>
          <w:rFonts w:ascii="Times New Roman" w:eastAsia="Calibri" w:hAnsi="Times New Roman" w:cs="Times New Roman"/>
          <w:color w:val="000000" w:themeColor="text1"/>
          <w:sz w:val="24"/>
          <w:szCs w:val="24"/>
          <w:lang w:val="en-US"/>
        </w:rPr>
        <w:t xml:space="preserve">, firms may </w:t>
      </w:r>
      <w:r w:rsidR="00FC43FF" w:rsidRPr="001B6443">
        <w:rPr>
          <w:rFonts w:ascii="Times New Roman" w:eastAsia="Calibri" w:hAnsi="Times New Roman" w:cs="Times New Roman"/>
          <w:color w:val="000000" w:themeColor="text1"/>
          <w:sz w:val="24"/>
          <w:szCs w:val="24"/>
          <w:lang w:val="en-US"/>
        </w:rPr>
        <w:t>establish</w:t>
      </w:r>
      <w:r w:rsidRPr="001B6443">
        <w:rPr>
          <w:rFonts w:ascii="Times New Roman" w:eastAsia="Calibri" w:hAnsi="Times New Roman" w:cs="Times New Roman"/>
          <w:color w:val="000000" w:themeColor="text1"/>
          <w:sz w:val="24"/>
          <w:szCs w:val="24"/>
          <w:lang w:val="en-US"/>
        </w:rPr>
        <w:t xml:space="preserve"> BSCOM </w:t>
      </w:r>
      <w:r w:rsidR="00FC43FF" w:rsidRPr="001B6443">
        <w:rPr>
          <w:rFonts w:ascii="Times New Roman" w:eastAsia="Calibri" w:hAnsi="Times New Roman" w:cs="Times New Roman"/>
          <w:color w:val="000000" w:themeColor="text1"/>
          <w:sz w:val="24"/>
          <w:szCs w:val="24"/>
          <w:lang w:val="en-US"/>
        </w:rPr>
        <w:t xml:space="preserve">for achieving greenwashing purposes to create positive impressions among stakeholders </w:t>
      </w:r>
      <w:r w:rsidRPr="001B6443">
        <w:rPr>
          <w:rFonts w:ascii="Times New Roman" w:eastAsia="Calibri" w:hAnsi="Times New Roman" w:cs="Times New Roman"/>
          <w:color w:val="000000" w:themeColor="text1"/>
          <w:sz w:val="24"/>
          <w:szCs w:val="24"/>
          <w:lang w:val="en-US"/>
        </w:rPr>
        <w:t xml:space="preserve">and protect </w:t>
      </w:r>
      <w:r w:rsidR="00B62A3C" w:rsidRPr="001B6443">
        <w:rPr>
          <w:rFonts w:ascii="Times New Roman" w:eastAsia="Calibri" w:hAnsi="Times New Roman" w:cs="Times New Roman"/>
          <w:color w:val="000000" w:themeColor="text1"/>
          <w:sz w:val="24"/>
          <w:szCs w:val="24"/>
          <w:lang w:val="en-US"/>
        </w:rPr>
        <w:t xml:space="preserve">MV </w:t>
      </w:r>
      <w:r w:rsidRPr="001B6443">
        <w:rPr>
          <w:rFonts w:ascii="Times New Roman" w:eastAsia="Calibri" w:hAnsi="Times New Roman" w:cs="Times New Roman"/>
          <w:color w:val="000000" w:themeColor="text1"/>
          <w:sz w:val="24"/>
          <w:szCs w:val="24"/>
          <w:lang w:val="en-US"/>
        </w:rPr>
        <w:t xml:space="preserve">from sustainability risks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Performance","type":"article-journal","volume":"154"},"uris":["http://www.mendeley.com/documents/?uuid=73547ce0-856e-39c4-9675-abc201661377"]},{"id":"ITEM-2","itemData":{"DOI":"10.1002/smj.1952","ISBN":"1097-0266","ISSN":"01432095","PMID":"31767271","abstract":"Like governance structure and alliance scope, partner selection may serve to safeguard firms’ intellectual assets in R&amp;D alliances. We categorize potential alliance partners into friends, acquaintances, and strangers, depending on their previous alliance experience. Data on 1,159 R&amp;D alliances indicate that the more radical an alliance’s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alliances.","author":[{"dropping-particle":"","family":"Walls","given":"Judith L.","non-dropping-particle":"","parse-names":false,"suffix":""},{"dropping-particle":"","family":"Berrone","given":"Pascual","non-dropping-particle":"","parse-names":false,"suffix":""},{"dropping-particle":"","family":"Phan","given":"Phillip H.","non-dropping-particle":"","parse-names":false,"suffix":""}],"container-title":"Strategic Management Journal","id":"ITEM-2","issue":"8","issued":{"date-parts":[["2012"]]},"page":"885-913","title":"Corporate governance and environmental performance: Is there really a link?","type":"article-journal","volume":"33"},"uris":["http://www.mendeley.com/documents/?uuid=48f13855-f0f7-4cab-b5b5-37a88c5d07a2"]}],"mendeley":{"formattedCitation":"(Burke et al. 2019; Walls et al. 2012)","manualFormatting":"(Walls et al., 2012)","plainTextFormattedCitation":"(Burke et al. 2019; Walls et al. 2012)","previouslyFormattedCitation":"(Burke et al. 2019; Walls et al. 2012)"},"properties":{"noteIndex":0},"schema":"https://github.com/citation-style-language/schema/raw/master/csl-citation.json"}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(Walls</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2012)</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p>
    <w:p w14:paraId="6DE17CD6"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7E7F0584" w14:textId="4451D9EF"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Prior empirical studies have largely suggested that certain CG mechanisms may influence the link between environmental performance and financial outcomes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Review","id":"ITEM-2","issue":"1","issued":{"date-parts":[["2021","1","1"]]},"page":"100909","publisher":"Academic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 Haque and Ntim 2020)","manualFormatting":"(Choi and Luo, 2021)","plainTextFormattedCitation":"(Choi and Luo 2021; Haque and Ntim 2020)","previouslyFormattedCitation":"(Choi and Luo 2021;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(Choi and Luo,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without considering the moderating role of BSCOM. For example, using data of South African firms,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{"citationItems":[{"id":"ITEM-1","itemData":{"DOI":"10.1111/corg.12026","ISSN":"14678683","abstract":"Manuscript Type: Empirical Research Question/Issue: This paper investigates the relationship between corporate governance (CG) and corporate social responsibility (CSR) and, consequently, examines whether CG can positively moderate the association between corporate financial performance (CFP) and CSR. Research Findings/Insights: Using a sample of large listed corporations from 2002 to 2009, we find that, on average, better-governed corporations tend to pursue a more socially responsible agenda through increased CSR practices. We also find that a combination of CSR and CG practices has a stronger positive effect on CFP than CSR alone, implying that CG positively influences the CFP-CSR relationship. Our results are robust to controlling for different types of endogeneities, as well as alternative CFP, CG and CSR proxies. Theoretical/Academic Implications: The paper generally contributes to the literature on CG, CSR, and CFP. Specifically, we make two main new contributions to the extant literature by drawing on new insights from an overarching neo-institutional framework. First, we show why and how better-governed corporations are more likely to pursue a more socially responsible agenda. Second, we provide evidence on why and how CG might strengthen the link between CFP and CSR. Practitioner/Policy Implications: Our findings have important implications for corporate regulators and policy-makers. Since our evidence suggests that better-governed corporations are more likely to be more socially responsible with a consequential positive effect on CFP, it provides corporate regulators, managers and policy-makers with a new impetus to develop a more explicit agenda of jointly pursuing CG and CSR reforms, instead of merely considering CSR as a peripheral component of CG or as an independent corporate activity. © 2013 John Wiley &amp; Sons Ltd.","author":[{"dropping-particle":"","family":"Ntim","given":"Collins G.","non-dropping-particle":"","parse-names":false,"suffix":""},{"dropping-particle":"","family":"Soobaroyen","given":"Teerooven","non-dropping-particle":"","parse-names":false,"suffix":""}],"container-title":"Corporate Governance: An International Review","id":"ITEM-1","issue":"5","issued":{"date-parts":[["2013"]]},"page":"468-494","publisher":"Blackwell Publishing Ltd","title":"Corporate governance and performance in socially responsible corporations: New empirical insights from a neo-institutional framework","type":"article-journal","volume":"21"},"uris":["http://www.mendeley.com/documents/?uuid=5bc17cde-07f3-3288-9691-60d26456739d"]}],"mendeley":{"formattedCitation":"(Ntim and Soobaroyen 2013)","manualFormatting":"Ntim and Soobaroyen (2013)","plainTextFormattedCitation":"(Ntim and Soobaroyen 2013)","previouslyFormattedCitation":"(Ntim and Soobaroyen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Ntim and Soobaroyen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reveal that the interaction between CG and CSR is positively related to </w:t>
      </w:r>
      <w:r w:rsidR="00557BB6" w:rsidRPr="001B6443">
        <w:rPr>
          <w:rFonts w:ascii="Times New Roman" w:eastAsia="Calibri" w:hAnsi="Times New Roman" w:cs="Times New Roman"/>
          <w:color w:val="000000" w:themeColor="text1"/>
          <w:sz w:val="24"/>
          <w:szCs w:val="24"/>
          <w:lang w:val="en-US"/>
        </w:rPr>
        <w:t xml:space="preserve">MV </w:t>
      </w:r>
      <w:r w:rsidRPr="001B6443">
        <w:rPr>
          <w:rFonts w:ascii="Times New Roman" w:eastAsia="Calibri" w:hAnsi="Times New Roman" w:cs="Times New Roman"/>
          <w:color w:val="000000" w:themeColor="text1"/>
          <w:sz w:val="24"/>
          <w:szCs w:val="24"/>
          <w:lang w:val="en-US"/>
        </w:rPr>
        <w:t xml:space="preserve">and conclude that effective CG mechanisms reinforce the positive nexus between CSR and </w:t>
      </w:r>
      <w:r w:rsidR="00557BB6" w:rsidRPr="001B6443">
        <w:rPr>
          <w:rFonts w:ascii="Times New Roman" w:eastAsia="Calibri" w:hAnsi="Times New Roman" w:cs="Times New Roman"/>
          <w:color w:val="000000" w:themeColor="text1"/>
          <w:sz w:val="24"/>
          <w:szCs w:val="24"/>
          <w:lang w:val="en-US"/>
        </w:rPr>
        <w:t>MV</w:t>
      </w:r>
      <w:r w:rsidRPr="001B6443">
        <w:rPr>
          <w:rFonts w:ascii="Times New Roman" w:eastAsia="Calibri" w:hAnsi="Times New Roman" w:cs="Times New Roman"/>
          <w:color w:val="000000" w:themeColor="text1"/>
          <w:sz w:val="24"/>
          <w:szCs w:val="24"/>
          <w:lang w:val="en-US"/>
        </w:rPr>
        <w:t xml:space="preserve">. In the European context,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and Ntim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report that incentive-based governance mechanisms enhance carbon reduction initiatives, which in turn lead to higher MV. Further,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2021)","manualFormatting":"Choi and Luo (2021)","plainTextFormattedCitation":"(Choi and Luo 2021)","previouslyFormattedCitation":"(Choi and Luo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Choi and Luo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find that good CG mechanisms attenuate the negative impacts of carbon emissions on MV. </w:t>
      </w:r>
      <w:r w:rsidRPr="001B6443">
        <w:rPr>
          <w:rFonts w:ascii="Times New Roman" w:eastAsia="Calibri" w:hAnsi="Times New Roman" w:cs="Times New Roman"/>
          <w:color w:val="000000" w:themeColor="text1"/>
          <w:sz w:val="24"/>
          <w:szCs w:val="24"/>
          <w:lang w:val="en-US"/>
        </w:rPr>
        <w:lastRenderedPageBreak/>
        <w:t xml:space="preserve">Observably, these studies do not assess whether BSCOM can moderate the PCCIs/CCPE and MV relationships. </w:t>
      </w:r>
      <w:r w:rsidR="00D539CF" w:rsidRPr="001B6443">
        <w:rPr>
          <w:rFonts w:ascii="Times New Roman" w:eastAsia="Calibri" w:hAnsi="Times New Roman" w:cs="Times New Roman"/>
          <w:color w:val="000000" w:themeColor="text1"/>
          <w:sz w:val="24"/>
          <w:szCs w:val="24"/>
          <w:lang w:val="en-US"/>
        </w:rPr>
        <w:t xml:space="preserve">Given the importance of BSCOM </w:t>
      </w:r>
      <w:r w:rsidRPr="001B6443">
        <w:rPr>
          <w:rFonts w:ascii="Times New Roman" w:eastAsia="Calibri" w:hAnsi="Times New Roman" w:cs="Times New Roman"/>
          <w:color w:val="000000" w:themeColor="text1"/>
          <w:sz w:val="24"/>
          <w:szCs w:val="24"/>
          <w:lang w:val="en-US"/>
        </w:rPr>
        <w:t xml:space="preserve">in promoting environmental initiatives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{"citationItems":[{"id":"ITEM-1","itemData":{"DOI":"10.1002/smj.230","ISBN":"01432095 (ISSN)","ISSN":"01432095","PMID":"6580795","abstract":"Each year, hundreds of firms are prosecuted for violating environmental laws and hundreds of millions of dollars in penalties are assessed. At the same time, a much larger number of firms escape the various costs associated with litigation by adhering to the provisions of the same laws and regulations. It is not a priori apparent why this dichotomy exists. In this paper we draw on corporate governance and stakeholder theories to empirically investigate environmental lawsuits. Specifically, we compare the pre-lawsuit profile of 209 violators to a sample of matched controlfirms between 1994 and 1998. Wefind that the likelihood of becoming a lawsuit defendant increases with board size, with the fraction of directors in industrialfirms, and with the fraction of inside ownership, and decreases with the number of directorships held by outside directors. These findings are robust to alternative dependent variable specifications. Together, our results suggest that managers, researchers, and policy-makers need to direct their attention to the corporate board as the core decision-making unit forming corporate environmental policies. Copyright","author":[{"dropping-particle":"","family":"Kassinis","given":"George","non-dropping-particle":"","parse-names":false,"suffix":""},{"dropping-particle":"","family":"Vafeas","given":"Nikos","non-dropping-particle":"","parse-names":false,"suffix":""}],"container-title":"Strategic Management Journal","id":"ITEM-1","issue":"5","issued":{"date-parts":[["2002"]]},"page":"399-415","title":"Corporate boards and outside stakeholders as determinants of environmental litigation","type":"article-journal","volume":"23"},"uris":["http://www.mendeley.com/documents/?uuid=8ac01c48-cf53-31f9-8985-c92cff902587"]},{"id":"ITEM-2","itemData":{"DOI":"10.1007/s10551-014-2460-9","ISBN":"0167-4544","ISSN":"15730697","PMID":"32454757","abstract":"In this paper, we draw on insights from theories in the\\nmanagement and corporate governance literature to develop a\\ntheoretical model that makes explicit the links between a firm’s\\ncorporate social responsibility (CSR) related board attributes,\\nits board CSR strategy, and its environmental and social\\nperformance. We then test the model using structural equation\\nmodeling approach. We find that the greater the CSR orientation\\nof the board (as measured by the board’s independence, gender\\ndiversity, and financial expertise on audit committee), the more\\nproactive and comprehensive the firm’s CSR strategy, and the\\nhigher its environmental and social performance. Moreover, we\\nfind this link to be endogenous and self-reinforcing, with\\nsuperior CSR performers tending to further strengthen their\\nboard CSR orientation. This result while positive is also\\nsuggestive of the widening of the gap between the leads and\\nlaggards in CSR. Therefore, the question arises as to how\\n‘leaders’ are using their superior CSR competencies seen by many\\nscholars as a source of corporate (at times unfair) competitive\\nadvantage. Stakeholders of corporations therefore need to be\\ncognizant of this aspect of CSR when evaluating a firm’s CSR\\nactivities. Policy makers also need to be cognizant of these\\nconcerns when designing regulation in this field.","author":[{"dropping-particle":"","family":"Shaukat","given":"Amama","non-dropping-particle":"","parse-names":false,"suffix":""},{"dropping-particle":"","family":"Qiu","given":"Yan","non-dropping-particle":"","parse-names":false,"suffix":""},{"dropping-particle":"","family":"Trojanowski","given":"Grzegorz","non-dropping-particle":"","parse-names":false,"suffix":""}],"container-title":"Journal of Business Ethics","id":"ITEM-2","issue":"3","issued":{"date-parts":[["2016"]]},"page":"569-585","title":"Board Attributes, Corporate Social Responsibility Strategy, and Corporate Environmental and Social Performance","type":"article-journal","volume":"135"},"uris":["http://www.mendeley.com/documents/?uuid=7f06ba52-ad4f-45c9-b200-b95fa6b8e5ee"]}],"mendeley":{"formattedCitation":"(Kassinis and Vafeas 2002; Shaukat et al. 2016)","manualFormatting":"(Kassinis and Vafeas, 2002; Shaukat et al., 2016)","plainTextFormattedCitation":"(Kassinis and Vafeas 2002; Shaukat et al. 2016)","previouslyFormattedCitation":"(Kassinis and Vafeas 2002; Shaukat et al. 2016)"},"properties":{"noteIndex":0},"schema":"https://github.com/citation-style-language/schema/raw/master/csl-citation.json"}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(Kassinis and Vafeas, 2002; Shaukat</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2016)</w:t>
      </w:r>
      <w:r w:rsidRPr="001B6443">
        <w:rPr>
          <w:rFonts w:ascii="Times New Roman" w:eastAsia="Calibri" w:hAnsi="Times New Roman" w:cs="Times New Roman"/>
          <w:color w:val="000000" w:themeColor="text1"/>
          <w:sz w:val="24"/>
          <w:szCs w:val="24"/>
          <w:lang w:val="en-US"/>
        </w:rPr>
        <w:fldChar w:fldCharType="end"/>
      </w:r>
      <w:r w:rsidR="00D539CF"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and creating shareholder value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{"citationItems":[{"id":"ITEM-1","itemData":{"DOI":"10.1111/1467-8551.12237","ISSN":"14678551","abstract":"This empirical study examines the relationship between corporate governance and organizational performance (OP), measured using Tobin's Q (TQ) in the context of an emerging economy for which, as yet, only a handful of studies have been conducted. We employ a system generalized method of moments approach controlling for endogeneity and test it on a newly created dataset comprising 324 listed firms in Pakistan. We find that board size, number of board committees and ownership concentration are positively linked with high TQ ratio, whilst board independence and CEO duality display a negative relationship. In terms of moderating effects, we find that ownership concentration negatively moderates the relationship between board independence and OP, as well as that of CEO duality and OP. The relationship between the number of board committees and OP is positively moderated by ownership concentration. Our findings contribute towards a better articulation and application of a more concrete measure of OP − that of the TQ ratio − whilst, at the same time, testing the board composition–performance relationship in the context of an upcoming and increasingly important emerging market. Wider applicability of results and policy implications are discussed.","author":[{"dropping-particle":"","family":"Singh","given":"Satwinder","non-dropping-particle":"","parse-names":false,"suffix":""},{"dropping-particle":"","family":"Tabassum","given":"Naeem","non-dropping-particle":"","parse-names":false,"suffix":""},{"dropping-particle":"","family":"Darwish","given":"Tamer K.","non-dropping-particle":"","parse-names":false,"suffix":""},{"dropping-particle":"","family":"Batsakis","given":"Georgios","non-dropping-particle":"","parse-names":false,"suffix":""}],"container-title":"British Journal of Management","id":"ITEM-1","issue":"1","issued":{"date-parts":[["2018"]]},"page":"171-190","title":"Corporate Governance and Tobin's Q as a Measure of Organizational Performance","type":"article-journal","volume":"29"},"uris":["http://www.mendeley.com/documents/?uuid=72e9260e-8bf9-3b35-9e76-493d8c2fe2de"]}],"mendeley":{"formattedCitation":"(Singh et al. 2018)","manualFormatting":"(Singh et al., 2018)","plainTextFormattedCitation":"(Singh et al. 2018)","previouslyFormattedCitation":"(Singh et al. 2018)"},"properties":{"noteIndex":0},"schema":"https://github.com/citation-style-language/schema/raw/master/csl-citation.json"}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(Singh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2018)</w:t>
      </w:r>
      <w:r w:rsidRPr="001B6443">
        <w:rPr>
          <w:rFonts w:ascii="Times New Roman" w:eastAsia="Calibri" w:hAnsi="Times New Roman" w:cs="Times New Roman"/>
          <w:color w:val="000000" w:themeColor="text1"/>
          <w:sz w:val="24"/>
          <w:szCs w:val="24"/>
          <w:lang w:val="en-US"/>
        </w:rPr>
        <w:fldChar w:fldCharType="end"/>
      </w:r>
      <w:r w:rsidR="00DB0C42" w:rsidRPr="001B6443">
        <w:rPr>
          <w:rFonts w:ascii="Times New Roman" w:eastAsia="Calibri" w:hAnsi="Times New Roman" w:cs="Times New Roman"/>
          <w:color w:val="000000" w:themeColor="text1"/>
          <w:sz w:val="24"/>
          <w:szCs w:val="24"/>
          <w:lang w:val="en-US"/>
        </w:rPr>
        <w:t xml:space="preserve">, we expect </w:t>
      </w:r>
      <w:r w:rsidR="007F426C" w:rsidRPr="001B6443">
        <w:rPr>
          <w:rFonts w:ascii="Times New Roman" w:eastAsia="Calibri" w:hAnsi="Times New Roman" w:cs="Times New Roman"/>
          <w:color w:val="000000" w:themeColor="text1"/>
          <w:sz w:val="24"/>
          <w:szCs w:val="24"/>
          <w:lang w:val="en-US"/>
        </w:rPr>
        <w:t xml:space="preserve">that </w:t>
      </w:r>
      <w:r w:rsidR="00D402A7" w:rsidRPr="001B6443">
        <w:rPr>
          <w:rFonts w:ascii="Times New Roman" w:eastAsia="Calibri" w:hAnsi="Times New Roman" w:cs="Times New Roman"/>
          <w:color w:val="000000" w:themeColor="text1"/>
          <w:sz w:val="24"/>
          <w:szCs w:val="24"/>
          <w:lang w:val="en-US"/>
        </w:rPr>
        <w:t>BSCOM is likely to affect the CCPE–MV and the PCCIs–MV relationships</w:t>
      </w:r>
      <w:r w:rsidR="005D5F2F" w:rsidRPr="001B6443">
        <w:rPr>
          <w:rFonts w:ascii="Times New Roman" w:eastAsia="Calibri" w:hAnsi="Times New Roman" w:cs="Times New Roman"/>
          <w:color w:val="000000" w:themeColor="text1"/>
          <w:sz w:val="24"/>
          <w:szCs w:val="24"/>
          <w:lang w:val="en-US"/>
        </w:rPr>
        <w:t xml:space="preserve">. </w:t>
      </w:r>
      <w:r w:rsidR="00DB0C42" w:rsidRPr="001B6443">
        <w:rPr>
          <w:rFonts w:ascii="Times New Roman" w:eastAsia="Calibri" w:hAnsi="Times New Roman" w:cs="Times New Roman"/>
          <w:color w:val="000000" w:themeColor="text1"/>
          <w:sz w:val="24"/>
          <w:szCs w:val="24"/>
          <w:lang w:val="en-US"/>
        </w:rPr>
        <w:t>We thus</w:t>
      </w:r>
      <w:r w:rsidR="00557BB6" w:rsidRPr="001B6443">
        <w:rPr>
          <w:rFonts w:ascii="Times New Roman" w:eastAsia="Calibri" w:hAnsi="Times New Roman" w:cs="Times New Roman"/>
          <w:color w:val="000000" w:themeColor="text1"/>
          <w:sz w:val="24"/>
          <w:szCs w:val="24"/>
          <w:lang w:val="en-US"/>
        </w:rPr>
        <w:t xml:space="preserve"> propose the following hypotheses</w:t>
      </w:r>
      <w:r w:rsidRPr="001B6443">
        <w:rPr>
          <w:rFonts w:ascii="Times New Roman" w:eastAsia="Calibri" w:hAnsi="Times New Roman" w:cs="Times New Roman"/>
          <w:color w:val="000000" w:themeColor="text1"/>
          <w:sz w:val="24"/>
          <w:szCs w:val="24"/>
          <w:lang w:val="en-US"/>
        </w:rPr>
        <w:t>:</w:t>
      </w:r>
    </w:p>
    <w:p w14:paraId="6A0388D2" w14:textId="11667348" w:rsidR="00EC5A9C" w:rsidRPr="001B6443" w:rsidRDefault="006B3DCE" w:rsidP="00EC5A9C">
      <w:pPr>
        <w:spacing w:after="0" w:line="480" w:lineRule="auto"/>
        <w:jc w:val="both"/>
        <w:rPr>
          <w:rFonts w:ascii="Times New Roman" w:eastAsia="Calibri" w:hAnsi="Times New Roman" w:cs="Times New Roman"/>
          <w:i/>
          <w:color w:val="000000" w:themeColor="text1"/>
          <w:sz w:val="24"/>
          <w:szCs w:val="24"/>
          <w:lang w:val="en-US"/>
        </w:rPr>
      </w:pPr>
      <w:r w:rsidRPr="001B6443">
        <w:rPr>
          <w:rFonts w:ascii="Times New Roman" w:eastAsia="Calibri" w:hAnsi="Times New Roman" w:cs="Times New Roman"/>
          <w:b/>
          <w:i/>
          <w:color w:val="000000" w:themeColor="text1"/>
          <w:sz w:val="24"/>
          <w:szCs w:val="24"/>
          <w:lang w:val="en-US"/>
        </w:rPr>
        <w:t xml:space="preserve">H2a: </w:t>
      </w:r>
      <w:r w:rsidR="00EC5A9C" w:rsidRPr="001B6443">
        <w:rPr>
          <w:rFonts w:ascii="Times New Roman" w:eastAsia="Calibri" w:hAnsi="Times New Roman" w:cs="Times New Roman"/>
          <w:i/>
          <w:color w:val="000000" w:themeColor="text1"/>
          <w:sz w:val="24"/>
          <w:szCs w:val="24"/>
          <w:lang w:val="en-US"/>
        </w:rPr>
        <w:t>BSCOM moderates the relationship between CCPE and MV.</w:t>
      </w:r>
    </w:p>
    <w:p w14:paraId="24A4C179" w14:textId="11834DD1" w:rsidR="00EC5A9C" w:rsidRPr="001B6443" w:rsidRDefault="00EC5A9C" w:rsidP="00EC5A9C">
      <w:pPr>
        <w:spacing w:after="0" w:line="480" w:lineRule="auto"/>
        <w:jc w:val="both"/>
        <w:rPr>
          <w:rFonts w:ascii="Times New Roman" w:eastAsia="Calibri" w:hAnsi="Times New Roman" w:cs="Times New Roman"/>
          <w:i/>
          <w:color w:val="000000" w:themeColor="text1"/>
          <w:sz w:val="24"/>
          <w:szCs w:val="24"/>
          <w:lang w:val="en-US"/>
        </w:rPr>
      </w:pPr>
      <w:r w:rsidRPr="001B6443">
        <w:rPr>
          <w:rFonts w:ascii="Times New Roman" w:eastAsia="Calibri" w:hAnsi="Times New Roman" w:cs="Times New Roman"/>
          <w:b/>
          <w:i/>
          <w:color w:val="000000" w:themeColor="text1"/>
          <w:sz w:val="24"/>
          <w:szCs w:val="24"/>
          <w:lang w:val="en-US"/>
        </w:rPr>
        <w:t>H2b:</w:t>
      </w:r>
      <w:r w:rsidR="006B3DCE" w:rsidRPr="001B6443">
        <w:rPr>
          <w:rFonts w:ascii="Times New Roman" w:eastAsia="Calibri" w:hAnsi="Times New Roman" w:cs="Times New Roman"/>
          <w:i/>
          <w:color w:val="000000" w:themeColor="text1"/>
          <w:sz w:val="24"/>
          <w:szCs w:val="24"/>
          <w:lang w:val="en-US"/>
        </w:rPr>
        <w:t xml:space="preserve"> </w:t>
      </w:r>
      <w:r w:rsidRPr="001B6443">
        <w:rPr>
          <w:rFonts w:ascii="Times New Roman" w:eastAsia="Calibri" w:hAnsi="Times New Roman" w:cs="Times New Roman"/>
          <w:i/>
          <w:color w:val="000000" w:themeColor="text1"/>
          <w:sz w:val="24"/>
          <w:szCs w:val="24"/>
          <w:lang w:val="en-US"/>
        </w:rPr>
        <w:t>BSCOM moderates the relationship between PCCIs and MV.</w:t>
      </w:r>
    </w:p>
    <w:p w14:paraId="5F9F08FC" w14:textId="77777777" w:rsidR="00EC5A9C" w:rsidRPr="001B6443" w:rsidRDefault="00EC5A9C" w:rsidP="00EC5A9C">
      <w:pPr>
        <w:spacing w:after="0" w:line="480" w:lineRule="auto"/>
        <w:ind w:firstLine="709"/>
        <w:jc w:val="both"/>
        <w:rPr>
          <w:rFonts w:ascii="Times New Roman" w:eastAsia="Calibri" w:hAnsi="Times New Roman" w:cs="Times New Roman"/>
          <w:color w:val="000000" w:themeColor="text1"/>
          <w:sz w:val="24"/>
          <w:szCs w:val="24"/>
          <w:lang w:val="en-US"/>
        </w:rPr>
      </w:pPr>
    </w:p>
    <w:p w14:paraId="73289711"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 xml:space="preserve">Carbon performance and climate change initiatives </w:t>
      </w:r>
    </w:p>
    <w:p w14:paraId="77385A1D" w14:textId="6DC1BBB1" w:rsidR="00BE0ACE" w:rsidRPr="001B6443" w:rsidRDefault="00EC5A9C" w:rsidP="00BE0ACE">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According to the legitimacy view, firms may engage in environmental management initiatives in order to achieve specific objectives</w:t>
      </w:r>
      <w:r w:rsidR="007F2D19"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such as improving legitimacy, protecting reputation, gaining support from stakeholders, and facilitating access to critical resources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Legitimation","type":"article-journal","volume":"1"},"uris":["http://www.mendeley.com/documents/?uuid=a1aab867-9285-30e6-b578-fd33459eb118"]},{"id":"ITEM-2","itemData":{"DOI":"10.5465/amr.1995.9508080331","ISSN":"0363-7425","abstract":"This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manipulations.","author":[{"dropping-particle":"","family":"Suchman","given":"Mark C.","non-dropping-particle":"","parse-names":false,"suffix":""}],"container-title":"Academy of Management Review","id":"ITEM-2","issue":"3","issued":{"date-parts":[["1995","7"]]},"page":"571-610","publisher":"Academy of Management","title":"Managing Legitimacy: Strategic and Institutional Approaches","type":"article-journal","volume":"20"},"uris":["http://www.mendeley.com/documents/?uuid=25ac0a93-a4f3-3ed6-b29b-b56e1d429c2e"]}],"mendeley":{"formattedCitation":"(Ashforth and Gibbs 1990; Suchman 1995)","manualFormatting":"(Ashforth and Gibbs, 1990; Suchman, 1995)","plainTextFormattedCitation":"(Ashforth and Gibbs 1990; Suchman 1995)","previouslyFormattedCitation":"(Ashforth and Gibbs 1990; Suchman 1995)"},"properties":{"noteIndex":0},"schema":"https://github.com/citation-style-language/schema/raw/master/csl-citation.json"}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(Ashforth and Gibbs, 1990; Suchman, 1995)</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In this regard, firms may seek to gain legitimacy for their business operations by implementing symbolic </w:t>
      </w:r>
      <w:r w:rsidR="00EC5919" w:rsidRPr="001B6443">
        <w:rPr>
          <w:rFonts w:ascii="Times New Roman" w:eastAsia="Calibri" w:hAnsi="Times New Roman" w:cs="Times New Roman"/>
          <w:color w:val="000000" w:themeColor="text1"/>
          <w:sz w:val="24"/>
          <w:szCs w:val="24"/>
          <w:lang w:val="en-US"/>
        </w:rPr>
        <w:t>and/</w:t>
      </w:r>
      <w:r w:rsidR="00764112" w:rsidRPr="001B6443">
        <w:rPr>
          <w:rFonts w:ascii="Times New Roman" w:eastAsia="Calibri" w:hAnsi="Times New Roman" w:cs="Times New Roman"/>
          <w:color w:val="000000" w:themeColor="text1"/>
          <w:sz w:val="24"/>
          <w:szCs w:val="24"/>
          <w:lang w:val="en-US"/>
        </w:rPr>
        <w:t>or</w:t>
      </w:r>
      <w:r w:rsidRPr="001B6443">
        <w:rPr>
          <w:rFonts w:ascii="Times New Roman" w:eastAsia="Calibri" w:hAnsi="Times New Roman" w:cs="Times New Roman"/>
          <w:color w:val="000000" w:themeColor="text1"/>
          <w:sz w:val="24"/>
          <w:szCs w:val="24"/>
          <w:lang w:val="en-US"/>
        </w:rPr>
        <w:t xml:space="preserve"> substantive PCCIs. Symbolic PCCIs seek to demonstrate corporate commitment to carbon mitigation activities, but the design and implementation of such activities aim at gaining legitimacy and support from stakeholders rather than to make meaningful improvements in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CCPE</w:t>
      </w:r>
      <w:r w:rsidR="00764112" w:rsidRPr="001B6443">
        <w:rPr>
          <w:rFonts w:ascii="Times New Roman" w:eastAsia="Calibri" w:hAnsi="Times New Roman" w:cs="Times New Roman"/>
          <w:color w:val="000000" w:themeColor="text1"/>
          <w:sz w:val="24"/>
          <w:szCs w:val="24"/>
          <w:lang w:val="en-US"/>
        </w:rPr>
        <w:t xml:space="preserve"> </w:t>
      </w:r>
      <w:r w:rsidR="00764112"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{"citationItems":[{"id":"ITEM-1","itemData":{"DOI":"10.1002/bse.2837","ISSN":"0964-4733","author":[{"dropping-particle":"","family":"Crossley","given":"Richard M.","non-dropping-particle":"","parse-names":false,"suffix":""},{"dropping-particle":"","family":"Elmagrhi","given":"Mohamed H.","non-dropping-particle":"","parse-names":false,"suffix":""},{"dropping-particle":"","family":"Ntim","given":"Collins G.","non-dropping-particle":"","parse-names":false,"suffix":""}],"container-title":"Business Strategy and the Environment","id":"ITEM-1","issued":{"date-parts":[["2021"]]},"page":"1-23","title":"Sustainability and legitimacy theory: The case of sustainable social and environmental practices of small and medium‐sized enterprises","type":"article-journal"},"uris":["http://www.mendeley.com/documents/?uuid=e2888752-7a9f-4e73-8d17-10a49ac8fc3c"]}],"mendeley":{"formattedCitation":"(Crossley et al. 2021)","manualFormatting":"(Crossley et al., 2021)","plainTextFormattedCitation":"(Crossley et al. 2021)","previouslyFormattedCitation":"(Crossley et al. 2021)"},"properties":{"noteIndex":0},"schema":"https://github.com/citation-style-language/schema/raw/master/csl-citation.json"}</w:instrText>
      </w:r>
      <w:r w:rsidR="00764112" w:rsidRPr="001B6443">
        <w:rPr>
          <w:rFonts w:ascii="Times New Roman" w:eastAsia="Calibri" w:hAnsi="Times New Roman" w:cs="Times New Roman"/>
          <w:color w:val="000000" w:themeColor="text1"/>
          <w:sz w:val="24"/>
          <w:szCs w:val="24"/>
          <w:lang w:val="en-US"/>
        </w:rPr>
        <w:fldChar w:fldCharType="separate"/>
      </w:r>
      <w:r w:rsidR="00764112" w:rsidRPr="001B6443">
        <w:rPr>
          <w:rFonts w:ascii="Times New Roman" w:eastAsia="Calibri" w:hAnsi="Times New Roman" w:cs="Times New Roman"/>
          <w:noProof/>
          <w:color w:val="000000" w:themeColor="text1"/>
          <w:sz w:val="24"/>
          <w:szCs w:val="24"/>
          <w:lang w:val="en-US"/>
        </w:rPr>
        <w:t xml:space="preserve">(Crossley </w:t>
      </w:r>
      <w:r w:rsidR="00764112" w:rsidRPr="001B6443">
        <w:rPr>
          <w:rFonts w:ascii="Times New Roman" w:eastAsia="Calibri" w:hAnsi="Times New Roman" w:cs="Times New Roman"/>
          <w:i/>
          <w:noProof/>
          <w:color w:val="000000" w:themeColor="text1"/>
          <w:sz w:val="24"/>
          <w:szCs w:val="24"/>
          <w:lang w:val="en-US"/>
        </w:rPr>
        <w:t>et al.</w:t>
      </w:r>
      <w:r w:rsidR="005F3E3F" w:rsidRPr="001B6443">
        <w:rPr>
          <w:rFonts w:ascii="Times New Roman" w:eastAsia="Calibri" w:hAnsi="Times New Roman" w:cs="Times New Roman"/>
          <w:i/>
          <w:noProof/>
          <w:color w:val="000000" w:themeColor="text1"/>
          <w:sz w:val="24"/>
          <w:szCs w:val="24"/>
          <w:lang w:val="en-US"/>
        </w:rPr>
        <w:t>,</w:t>
      </w:r>
      <w:r w:rsidR="00764112" w:rsidRPr="001B6443">
        <w:rPr>
          <w:rFonts w:ascii="Times New Roman" w:eastAsia="Calibri" w:hAnsi="Times New Roman" w:cs="Times New Roman"/>
          <w:noProof/>
          <w:color w:val="000000" w:themeColor="text1"/>
          <w:sz w:val="24"/>
          <w:szCs w:val="24"/>
          <w:lang w:val="en-US"/>
        </w:rPr>
        <w:t xml:space="preserve"> 2021)</w:t>
      </w:r>
      <w:r w:rsidR="00764112"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In contra</w:t>
      </w:r>
      <w:r w:rsidR="00764112" w:rsidRPr="001B6443">
        <w:rPr>
          <w:rFonts w:ascii="Times New Roman" w:eastAsia="Calibri" w:hAnsi="Times New Roman" w:cs="Times New Roman"/>
          <w:color w:val="000000" w:themeColor="text1"/>
          <w:sz w:val="24"/>
          <w:szCs w:val="24"/>
          <w:lang w:val="en-US"/>
        </w:rPr>
        <w:t xml:space="preserve">st, substantive </w:t>
      </w:r>
      <w:r w:rsidRPr="001B6443">
        <w:rPr>
          <w:rFonts w:ascii="Times New Roman" w:eastAsia="Calibri" w:hAnsi="Times New Roman" w:cs="Times New Roman"/>
          <w:color w:val="000000" w:themeColor="text1"/>
          <w:sz w:val="24"/>
          <w:szCs w:val="24"/>
          <w:lang w:val="en-US"/>
        </w:rPr>
        <w:t>PCCIs seek to implement carb</w:t>
      </w:r>
      <w:r w:rsidR="00347116" w:rsidRPr="001B6443">
        <w:rPr>
          <w:rFonts w:ascii="Times New Roman" w:eastAsia="Calibri" w:hAnsi="Times New Roman" w:cs="Times New Roman"/>
          <w:color w:val="000000" w:themeColor="text1"/>
          <w:sz w:val="24"/>
          <w:szCs w:val="24"/>
          <w:lang w:val="en-US"/>
        </w:rPr>
        <w:t xml:space="preserve">on mitigation activities, which may </w:t>
      </w:r>
      <w:r w:rsidRPr="001B6443">
        <w:rPr>
          <w:rFonts w:ascii="Times New Roman" w:eastAsia="Calibri" w:hAnsi="Times New Roman" w:cs="Times New Roman"/>
          <w:color w:val="000000" w:themeColor="text1"/>
          <w:sz w:val="24"/>
          <w:szCs w:val="24"/>
          <w:lang w:val="en-US"/>
        </w:rPr>
        <w:t xml:space="preserve">result in fundamental changes of carbon management behavior and improvement of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CCPE</w:t>
      </w:r>
      <w:r w:rsidR="00EB010A" w:rsidRPr="001B6443">
        <w:rPr>
          <w:rFonts w:ascii="Times New Roman" w:eastAsia="Calibri" w:hAnsi="Times New Roman" w:cs="Times New Roman"/>
          <w:color w:val="000000" w:themeColor="text1"/>
          <w:sz w:val="24"/>
          <w:szCs w:val="24"/>
          <w:lang w:val="en-US"/>
        </w:rPr>
        <w:t xml:space="preserve">. </w:t>
      </w:r>
      <w:r w:rsidR="00051A27" w:rsidRPr="001B6443">
        <w:rPr>
          <w:rFonts w:ascii="Times New Roman" w:eastAsia="Calibri" w:hAnsi="Times New Roman" w:cs="Times New Roman"/>
          <w:color w:val="000000" w:themeColor="text1"/>
          <w:sz w:val="24"/>
          <w:szCs w:val="24"/>
          <w:lang w:val="en-US"/>
        </w:rPr>
        <w:t>In particular</w:t>
      </w:r>
      <w:r w:rsidR="00EB010A" w:rsidRPr="001B6443">
        <w:rPr>
          <w:rFonts w:ascii="Times New Roman" w:eastAsia="Calibri" w:hAnsi="Times New Roman" w:cs="Times New Roman"/>
          <w:color w:val="000000" w:themeColor="text1"/>
          <w:sz w:val="24"/>
          <w:szCs w:val="24"/>
          <w:lang w:val="en-US"/>
        </w:rPr>
        <w:t xml:space="preserve">, </w:t>
      </w:r>
      <w:r w:rsidR="00051A27" w:rsidRPr="001B6443">
        <w:rPr>
          <w:rFonts w:ascii="Times New Roman" w:eastAsia="Calibri" w:hAnsi="Times New Roman" w:cs="Times New Roman"/>
          <w:color w:val="000000" w:themeColor="text1"/>
          <w:sz w:val="24"/>
          <w:szCs w:val="24"/>
          <w:lang w:val="en-US"/>
        </w:rPr>
        <w:t xml:space="preserve">a firm’s </w:t>
      </w:r>
      <w:r w:rsidR="00EB010A" w:rsidRPr="001B6443">
        <w:rPr>
          <w:rFonts w:ascii="Times New Roman" w:eastAsia="Calibri" w:hAnsi="Times New Roman" w:cs="Times New Roman"/>
          <w:color w:val="000000" w:themeColor="text1"/>
          <w:sz w:val="24"/>
          <w:szCs w:val="24"/>
          <w:lang w:val="en-US"/>
        </w:rPr>
        <w:t xml:space="preserve">process-based environmental management </w:t>
      </w:r>
      <w:r w:rsidR="00051A27" w:rsidRPr="001B6443">
        <w:rPr>
          <w:rFonts w:ascii="Times New Roman" w:eastAsia="Calibri" w:hAnsi="Times New Roman" w:cs="Times New Roman"/>
          <w:color w:val="000000" w:themeColor="text1"/>
          <w:sz w:val="24"/>
          <w:szCs w:val="24"/>
          <w:lang w:val="en-US"/>
        </w:rPr>
        <w:t>initiatives/</w:t>
      </w:r>
      <w:r w:rsidR="00EB010A" w:rsidRPr="001B6443">
        <w:rPr>
          <w:rFonts w:ascii="Times New Roman" w:eastAsia="Calibri" w:hAnsi="Times New Roman" w:cs="Times New Roman"/>
          <w:color w:val="000000" w:themeColor="text1"/>
          <w:sz w:val="24"/>
          <w:szCs w:val="24"/>
          <w:lang w:val="en-US"/>
        </w:rPr>
        <w:t xml:space="preserve">practices and climate change targets can be substantive in nature and reflect </w:t>
      </w:r>
      <w:r w:rsidR="00051A27" w:rsidRPr="001B6443">
        <w:rPr>
          <w:rFonts w:ascii="Times New Roman" w:eastAsia="Calibri" w:hAnsi="Times New Roman" w:cs="Times New Roman"/>
          <w:color w:val="000000" w:themeColor="text1"/>
          <w:sz w:val="24"/>
          <w:szCs w:val="24"/>
          <w:lang w:val="en-US"/>
        </w:rPr>
        <w:t xml:space="preserve">its </w:t>
      </w:r>
      <w:r w:rsidR="00245AA1" w:rsidRPr="001B6443">
        <w:rPr>
          <w:rFonts w:ascii="Times New Roman" w:eastAsia="Calibri" w:hAnsi="Times New Roman" w:cs="Times New Roman"/>
          <w:color w:val="000000" w:themeColor="text1"/>
          <w:sz w:val="24"/>
          <w:szCs w:val="24"/>
          <w:lang w:val="en-US"/>
        </w:rPr>
        <w:t xml:space="preserve">real intentions/incentives to </w:t>
      </w:r>
      <w:r w:rsidR="00EB010A" w:rsidRPr="001B6443">
        <w:rPr>
          <w:rFonts w:ascii="Times New Roman" w:eastAsia="Calibri" w:hAnsi="Times New Roman" w:cs="Times New Roman"/>
          <w:color w:val="000000" w:themeColor="text1"/>
          <w:sz w:val="24"/>
          <w:szCs w:val="24"/>
          <w:lang w:val="en-US"/>
        </w:rPr>
        <w:t xml:space="preserve">reduce GHG emissions </w:t>
      </w:r>
      <w:r w:rsidR="00EB010A" w:rsidRPr="001B6443">
        <w:rPr>
          <w:rFonts w:ascii="Times New Roman" w:eastAsia="Calibri" w:hAnsi="Times New Roman" w:cs="Times New Roman"/>
          <w:color w:val="000000" w:themeColor="text1"/>
          <w:sz w:val="24"/>
          <w:szCs w:val="24"/>
          <w:lang w:val="en-US"/>
        </w:rPr>
        <w:fldChar w:fldCharType="begin" w:fldLock="1"/>
      </w:r>
      <w:r w:rsidR="00E26B78" w:rsidRPr="001B6443">
        <w:rPr>
          <w:rFonts w:ascii="Times New Roman" w:eastAsia="Calibri" w:hAnsi="Times New Roman" w:cs="Times New Roman"/>
          <w:color w:val="000000" w:themeColor="text1"/>
          <w:sz w:val="24"/>
          <w:szCs w:val="24"/>
          <w:lang w:val="en-US"/>
        </w:rPr>
        <w:instrText>ADDIN CSL_CITATION {"citationItems":[{"id":"ITEM-1","itemData":{"DOI":"10.1007/s10551-017-3731-z","ISSN":"15730697","abstract":"Addressing climate change is among the most challenging ethical issues facing contemporary business and society. Unsustainable business activities are causing significant distributional and procedural injustices in areas such as public health and vulnerability to extreme weather events, primarily because of a distinction between primary emitters and those already experiencing the impacts of climate change. Business, as a significant contributor to climate change and beneficiary of externalizing environmental costs, has an obligation to address its environmental impacts. In this paper, we explore the role of firms’ climate change targets in shaping their emissions trends in the context of a large multi-country sample of companies. We contrast two intentions for setting emissions reductions targets: symbolic attempts to manage external stakeholder perceptions via “greenwashing” and substantive commitments to reducing environmental impacts. We argue that the attributes of firms’ climate change targets (their extent, form, and time horizon) are diagnostic of firms’ underlying intentions. Consistent with our hypotheses, while we find no overall effect of setting climate change targets on emissions, we show that targets characterized by a commitment to more ambitious emissions reductions, a longer target time frame, and absolute reductions in emissions are associated with significant reductions in firms’ emissions. Our evidence suggests the need for vigilance among policy-makers and environmental campaigners regarding the underlying intentions that accompany environmental management practices and shows that these can to some extent be diagnosed analytically.","author":[{"dropping-particle":"","family":"Dahlmann","given":"Frederik","non-dropping-particle":"","parse-names":false,"suffix":""},{"dropping-particle":"","family":"Branicki","given":"Layla","non-dropping-particle":"","parse-names":false,"suffix":""},{"dropping-particle":"","family":"Brammer","given":"Stephen","non-dropping-particle":"","parse-names":false,"suffix":""}],"container-title":"Journal of Business Ethics","id":"ITEM-1","issue":"1","issued":{"date-parts":[["2019"]]},"page":"1-24","title":"Managing Carbon Aspirations: The Influence of Corporate Climate Change Targets on Environmental Performance","type":"article-journal","volume":"158"},"uris":["http://www.mendeley.com/documents/?uuid=d14f08f9-7c46-3057-a0c5-d9fc18b62316"]}],"mendeley":{"formattedCitation":"(Dahlmann et al. 2019)","plainTextFormattedCitation":"(Dahlmann et al. 2019)","previouslyFormattedCitation":"(Dahlmann et al. 2019)"},"properties":{"noteIndex":0},"schema":"https://github.com/citation-style-language/schema/raw/master/csl-citation.json"}</w:instrText>
      </w:r>
      <w:r w:rsidR="00EB010A" w:rsidRPr="001B6443">
        <w:rPr>
          <w:rFonts w:ascii="Times New Roman" w:eastAsia="Calibri" w:hAnsi="Times New Roman" w:cs="Times New Roman"/>
          <w:color w:val="000000" w:themeColor="text1"/>
          <w:sz w:val="24"/>
          <w:szCs w:val="24"/>
          <w:lang w:val="en-US"/>
        </w:rPr>
        <w:fldChar w:fldCharType="separate"/>
      </w:r>
      <w:r w:rsidR="00EB010A" w:rsidRPr="001B6443">
        <w:rPr>
          <w:rFonts w:ascii="Times New Roman" w:eastAsia="Calibri" w:hAnsi="Times New Roman" w:cs="Times New Roman"/>
          <w:noProof/>
          <w:color w:val="000000" w:themeColor="text1"/>
          <w:sz w:val="24"/>
          <w:szCs w:val="24"/>
          <w:lang w:val="en-US"/>
        </w:rPr>
        <w:t xml:space="preserve">(Dahlmann </w:t>
      </w:r>
      <w:r w:rsidR="00EB010A" w:rsidRPr="001B6443">
        <w:rPr>
          <w:rFonts w:ascii="Times New Roman" w:eastAsia="Calibri" w:hAnsi="Times New Roman" w:cs="Times New Roman"/>
          <w:i/>
          <w:noProof/>
          <w:color w:val="000000" w:themeColor="text1"/>
          <w:sz w:val="24"/>
          <w:szCs w:val="24"/>
          <w:lang w:val="en-US"/>
        </w:rPr>
        <w:t>et al.</w:t>
      </w:r>
      <w:r w:rsidR="00EB010A" w:rsidRPr="001B6443">
        <w:rPr>
          <w:rFonts w:ascii="Times New Roman" w:eastAsia="Calibri" w:hAnsi="Times New Roman" w:cs="Times New Roman"/>
          <w:noProof/>
          <w:color w:val="000000" w:themeColor="text1"/>
          <w:sz w:val="24"/>
          <w:szCs w:val="24"/>
          <w:lang w:val="en-US"/>
        </w:rPr>
        <w:t xml:space="preserve"> 2019)</w:t>
      </w:r>
      <w:r w:rsidR="00EB010A" w:rsidRPr="001B6443">
        <w:rPr>
          <w:rFonts w:ascii="Times New Roman" w:eastAsia="Calibri" w:hAnsi="Times New Roman" w:cs="Times New Roman"/>
          <w:color w:val="000000" w:themeColor="text1"/>
          <w:sz w:val="24"/>
          <w:szCs w:val="24"/>
          <w:lang w:val="en-US"/>
        </w:rPr>
        <w:fldChar w:fldCharType="end"/>
      </w:r>
      <w:r w:rsidR="00EB010A" w:rsidRPr="001B6443">
        <w:rPr>
          <w:rFonts w:ascii="Times New Roman" w:eastAsia="Calibri" w:hAnsi="Times New Roman" w:cs="Times New Roman"/>
          <w:color w:val="000000" w:themeColor="text1"/>
          <w:sz w:val="24"/>
          <w:szCs w:val="24"/>
          <w:lang w:val="en-US"/>
        </w:rPr>
        <w:t xml:space="preserve">. </w:t>
      </w:r>
      <w:r w:rsidR="00FD6E1B" w:rsidRPr="001B6443">
        <w:rPr>
          <w:rFonts w:ascii="Times New Roman" w:eastAsia="Calibri" w:hAnsi="Times New Roman" w:cs="Times New Roman"/>
          <w:color w:val="000000" w:themeColor="text1"/>
          <w:sz w:val="24"/>
          <w:szCs w:val="24"/>
          <w:lang w:val="en-US"/>
        </w:rPr>
        <w:t>H</w:t>
      </w:r>
      <w:r w:rsidRPr="001B6443">
        <w:rPr>
          <w:rFonts w:ascii="Times New Roman" w:eastAsia="Calibri" w:hAnsi="Times New Roman" w:cs="Times New Roman"/>
          <w:color w:val="000000" w:themeColor="text1"/>
          <w:sz w:val="24"/>
          <w:szCs w:val="24"/>
          <w:lang w:val="en-US"/>
        </w:rPr>
        <w:t>owever, long-term and com</w:t>
      </w:r>
      <w:r w:rsidR="00B156BF" w:rsidRPr="001B6443">
        <w:rPr>
          <w:rFonts w:ascii="Times New Roman" w:eastAsia="Calibri" w:hAnsi="Times New Roman" w:cs="Times New Roman"/>
          <w:color w:val="000000" w:themeColor="text1"/>
          <w:sz w:val="24"/>
          <w:szCs w:val="24"/>
          <w:lang w:val="en-US"/>
        </w:rPr>
        <w:t>prehensive</w:t>
      </w:r>
      <w:r w:rsidRPr="001B6443">
        <w:rPr>
          <w:rFonts w:ascii="Times New Roman" w:eastAsia="Calibri" w:hAnsi="Times New Roman" w:cs="Times New Roman"/>
          <w:color w:val="000000" w:themeColor="text1"/>
          <w:sz w:val="24"/>
          <w:szCs w:val="24"/>
          <w:lang w:val="en-US"/>
        </w:rPr>
        <w:t xml:space="preserve"> </w:t>
      </w:r>
      <w:r w:rsidR="00AD7BD9" w:rsidRPr="001B6443">
        <w:rPr>
          <w:rFonts w:ascii="Times New Roman" w:eastAsia="Calibri" w:hAnsi="Times New Roman" w:cs="Times New Roman"/>
          <w:color w:val="000000" w:themeColor="text1"/>
          <w:sz w:val="24"/>
          <w:szCs w:val="24"/>
          <w:lang w:val="en-US"/>
        </w:rPr>
        <w:t>PCCIs</w:t>
      </w:r>
      <w:r w:rsidRPr="001B6443">
        <w:rPr>
          <w:rFonts w:ascii="Times New Roman" w:eastAsia="Calibri" w:hAnsi="Times New Roman" w:cs="Times New Roman"/>
          <w:color w:val="000000" w:themeColor="text1"/>
          <w:sz w:val="24"/>
          <w:szCs w:val="24"/>
          <w:lang w:val="en-US"/>
        </w:rPr>
        <w:t xml:space="preserve"> (i.e., changes in production processes, the implementation of intricate projects, new technologies, and cross-functional employee training) are costly, time-consuming, and not easily observable by the market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{"citationItems":[{"id":"ITEM-1","itemData":{"DOI":"10.1007/s10551-015-2816-9","ISSN":"15730697","abstract":"Do firms gain environmental legitimacy when they conform to external expectations regarding the natural environment? Drawing on institutional logic and signaling theory, we investigate sources of heterogeneity in the impacts of environmental actions on environmental legitimacy. Longitudinal data (1997–2001) about 325 publicly traded U.S. firms in polluting industries support the notion that environmental actions help firms gain environmental legitimacy. However, some actions instead can harm this legitimacy if environmental performance deteriorates and the firm is subject to intense scrutiny from nongovernmental organizations. Thus, an important contribution of this research is to identify conditions under which greenwashing can backfire.","author":[{"dropping-particle":"","family":"Berrone","given":"Pascual","non-dropping-particle":"","parse-names":false,"suffix":""},{"dropping-particle":"","family":"Fosfuri","given":"Andrea","non-dropping-particle":"","parse-names":false,"suffix":""},{"dropping-particle":"","family":"Gelabert","given":"Liliana","non-dropping-particle":"","parse-names":false,"suffix":""}],"container-title":"Journal of Business Ethics","id":"ITEM-1","issue":"2","issued":{"date-parts":[["2017","8","1"]]},"page":"363-379","publisher":"Springer Netherlands","title":"Does Greenwashing Pay Off? Understanding the Relationship Between Environmental Actions and Environmental Legitimacy","type":"article-journal","volume":"144"},"uris":["http://www.mendeley.com/documents/?uuid=d1a1cc87-939a-35dd-85a3-c5456a403950"]}],"mendeley":{"formattedCitation":"(Berrone et al. 2017)","manualFormatting":"(Berrone et al., 2017)","plainTextFormattedCitation":"(Berrone et al. 2017)","previouslyFormattedCitation":"(Berrone et al. 2017)"},"properties":{"noteIndex":0},"schema":"https://github.com/citation-style-language/schema/raw/master/csl-citation.json"}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(Berrone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AD7BD9" w:rsidRPr="001B6443">
        <w:rPr>
          <w:rFonts w:ascii="Times New Roman" w:eastAsia="Calibri" w:hAnsi="Times New Roman" w:cs="Times New Roman"/>
          <w:color w:val="000000" w:themeColor="text1"/>
          <w:sz w:val="24"/>
          <w:szCs w:val="24"/>
          <w:lang w:val="en-US"/>
        </w:rPr>
        <w:t>As</w:t>
      </w:r>
      <w:r w:rsidRPr="001B6443">
        <w:rPr>
          <w:rFonts w:ascii="Times New Roman" w:eastAsia="Calibri" w:hAnsi="Times New Roman" w:cs="Times New Roman"/>
          <w:color w:val="000000" w:themeColor="text1"/>
          <w:sz w:val="24"/>
          <w:szCs w:val="24"/>
          <w:lang w:val="en-US"/>
        </w:rPr>
        <w:t xml:space="preserve"> climate change issues are perceived to be serious </w:t>
      </w:r>
      <w:r w:rsidR="00BE0ACE" w:rsidRPr="001B6443">
        <w:rPr>
          <w:rFonts w:ascii="Times New Roman" w:eastAsia="Calibri" w:hAnsi="Times New Roman" w:cs="Times New Roman"/>
          <w:color w:val="000000" w:themeColor="text1"/>
          <w:sz w:val="24"/>
          <w:szCs w:val="24"/>
          <w:lang w:val="en-US"/>
        </w:rPr>
        <w:t>threats to cor</w:t>
      </w:r>
      <w:r w:rsidR="00240557" w:rsidRPr="001B6443">
        <w:rPr>
          <w:rFonts w:ascii="Times New Roman" w:eastAsia="Calibri" w:hAnsi="Times New Roman" w:cs="Times New Roman"/>
          <w:color w:val="000000" w:themeColor="text1"/>
          <w:sz w:val="24"/>
          <w:szCs w:val="24"/>
          <w:lang w:val="en-US"/>
        </w:rPr>
        <w:t>porate reputation/legitimacy</w:t>
      </w:r>
      <w:r w:rsidR="00AD7BD9" w:rsidRPr="001B6443">
        <w:rPr>
          <w:rFonts w:ascii="Times New Roman" w:eastAsia="Calibri" w:hAnsi="Times New Roman" w:cs="Times New Roman"/>
          <w:color w:val="000000" w:themeColor="text1"/>
          <w:sz w:val="24"/>
          <w:szCs w:val="24"/>
          <w:lang w:val="en-US"/>
        </w:rPr>
        <w:t>,</w:t>
      </w:r>
      <w:r w:rsidR="00BE0ACE"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firms simply engage in symbolic</w:t>
      </w:r>
      <w:r w:rsidR="009F7848" w:rsidRPr="001B6443">
        <w:rPr>
          <w:rFonts w:ascii="Times New Roman" w:eastAsia="Calibri" w:hAnsi="Times New Roman" w:cs="Times New Roman"/>
          <w:color w:val="000000" w:themeColor="text1"/>
          <w:sz w:val="24"/>
          <w:szCs w:val="24"/>
          <w:lang w:val="en-US"/>
        </w:rPr>
        <w:t>/greenwashing</w:t>
      </w:r>
      <w:r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lastRenderedPageBreak/>
        <w:t xml:space="preserve">activities with the aim of enhancing legitimacy, without undertaking substantial commitments to improve </w:t>
      </w:r>
      <w:r w:rsidR="00A23ED1"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{"citationItems":[{"id":"ITEM-1","itemData":{"DOI":"https://doi.org/10.1002/bse.2700","ISSN":"10990836","abstract":"This study investigates the relationship between environmental management practices (EMPs) and financial performance (FP) and consequently ascertains whether environmental performance (EP) can mediate the EMPs–FP nexus. Distinctly using data envelopment analysis and generalised method of moments techniques to analyse a comprehensive dataset of Nikkei 225 listed firms from 2007 to 2018 (1920 firm-year observations), our findings first suggest that EMPs have a positive effect on FP. Second, the desired EP can be achieved through the adoption of comprehensive EMPs. Third, improved EP has a substantial impact on shaping the EMPs' effect on FP. These findings are consistent with the predictions of resource-based view and institutional theories. The results are robust to controlling for different types of alternative measures and endogeneities. The findings have important implications for academics, investors, managers, policymakers and regulators.","author":[{"dropping-particle":"","family":"Aslam","given":"Shoaib","non-dropping-particle":"","parse-names":false,"suffix":""},{"dropping-particle":"","family":"Elmagrhi","given":"Mohamed H.","non-dropping-particle":"","parse-names":false,"suffix":""},{"dropping-particle":"","family":"Rehman","given":"Ramiz Ur","non-dropping-particle":"","parse-names":false,"suffix":""},{"dropping-particle":"","family":"Ntim","given":"Collins G.","non-dropping-particle":"","parse-names":false,"suffix":""}],"container-title":"Business Strategy and the Environment","id":"ITEM-1","issue":"4","issued":{"date-parts":[["2021"]]},"page":"1655-1673","title":"Environmental management practices and financial performance using data envelopment analysis in Japan: The mediating role of environmental performance","type":"article-journal","volume":"30"},"uris":["http://www.mendeley.com/documents/?uuid=1ad70ec4-53a4-4df3-a301-01eed3b98b5f"]},{"id":"ITEM-2","itemData":{"DOI":"10.1111/1467-8551.12395","ISSN":"14678551","abstract":"We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Value","type":"article-journal","volume":"31"},"uris":["http://www.mendeley.com/documents/?uuid=233c96ce-971f-33e7-ad90-be8611789ad9"]}],"mendeley":{"formattedCitation":"(Aslam et al. 2021; Haque and Ntim 2020)","manualFormatting":"(Aslam et al., 2021; Shevchenko, 2021)","plainTextFormattedCitation":"(Aslam et al. 2021; Haque and Ntim 2020)","previouslyFormattedCitation":"(Aslam et al. 2021;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(Aslam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2021; Shevchenko,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00BE0ACE" w:rsidRPr="001B6443">
        <w:rPr>
          <w:rFonts w:ascii="Times New Roman" w:eastAsia="Calibri" w:hAnsi="Times New Roman" w:cs="Times New Roman"/>
          <w:color w:val="000000" w:themeColor="text1"/>
          <w:sz w:val="24"/>
          <w:szCs w:val="24"/>
          <w:lang w:val="en-US"/>
        </w:rPr>
        <w:t xml:space="preserve"> Accordingly, firms exposed to greater stakeholder pressures are more likely to engage symbolically rather than substantively in PCCIs with the aim of protecting corporate reputation and improving environmental legitimacy </w:t>
      </w:r>
      <w:r w:rsidR="00BE0ACE" w:rsidRPr="001B6443">
        <w:rPr>
          <w:rFonts w:ascii="Times New Roman" w:eastAsia="Calibri" w:hAnsi="Times New Roman" w:cs="Times New Roman"/>
          <w:color w:val="000000" w:themeColor="text1"/>
          <w:sz w:val="24"/>
          <w:szCs w:val="24"/>
          <w:lang w:val="en-US"/>
        </w:rPr>
        <w:fldChar w:fldCharType="begin" w:fldLock="1"/>
      </w:r>
      <w:r w:rsidR="00BE0ACE"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2020)","plainTextFormattedCitation":"(Haque and Ntim 2020)","previouslyFormattedCitation":"(Haque and Ntim 2020)"},"properties":{"noteIndex":0},"schema":"https://github.com/citation-style-language/schema/raw/master/csl-citation.json"}</w:instrText>
      </w:r>
      <w:r w:rsidR="00BE0ACE" w:rsidRPr="001B6443">
        <w:rPr>
          <w:rFonts w:ascii="Times New Roman" w:eastAsia="Calibri" w:hAnsi="Times New Roman" w:cs="Times New Roman"/>
          <w:color w:val="000000" w:themeColor="text1"/>
          <w:sz w:val="24"/>
          <w:szCs w:val="24"/>
          <w:lang w:val="en-US"/>
        </w:rPr>
        <w:fldChar w:fldCharType="separate"/>
      </w:r>
      <w:r w:rsidR="00BE0ACE" w:rsidRPr="001B6443">
        <w:rPr>
          <w:rFonts w:ascii="Times New Roman" w:eastAsia="Calibri" w:hAnsi="Times New Roman" w:cs="Times New Roman"/>
          <w:noProof/>
          <w:color w:val="000000" w:themeColor="text1"/>
          <w:sz w:val="24"/>
          <w:szCs w:val="24"/>
          <w:lang w:val="en-US"/>
        </w:rPr>
        <w:t>(Haque and Ntim 2020)</w:t>
      </w:r>
      <w:r w:rsidR="00BE0ACE" w:rsidRPr="001B6443">
        <w:rPr>
          <w:rFonts w:ascii="Times New Roman" w:eastAsia="Calibri" w:hAnsi="Times New Roman" w:cs="Times New Roman"/>
          <w:color w:val="000000" w:themeColor="text1"/>
          <w:sz w:val="24"/>
          <w:szCs w:val="24"/>
          <w:lang w:val="en-US"/>
        </w:rPr>
        <w:fldChar w:fldCharType="end"/>
      </w:r>
      <w:r w:rsidR="00BE0ACE" w:rsidRPr="001B6443">
        <w:rPr>
          <w:rFonts w:ascii="Times New Roman" w:eastAsia="Calibri" w:hAnsi="Times New Roman" w:cs="Times New Roman"/>
          <w:color w:val="000000" w:themeColor="text1"/>
          <w:sz w:val="24"/>
          <w:szCs w:val="24"/>
          <w:lang w:val="en-US"/>
        </w:rPr>
        <w:t>.</w:t>
      </w:r>
    </w:p>
    <w:p w14:paraId="47E5FCF3" w14:textId="77777777" w:rsidR="00CF598A" w:rsidRPr="001B6443" w:rsidRDefault="00CF598A" w:rsidP="00EC5A9C">
      <w:pPr>
        <w:spacing w:after="0" w:line="480" w:lineRule="auto"/>
        <w:jc w:val="both"/>
        <w:rPr>
          <w:rFonts w:ascii="Times New Roman" w:eastAsia="Calibri" w:hAnsi="Times New Roman" w:cs="Times New Roman"/>
          <w:color w:val="000000" w:themeColor="text1"/>
          <w:sz w:val="24"/>
          <w:szCs w:val="24"/>
          <w:lang w:val="en-US"/>
        </w:rPr>
      </w:pPr>
    </w:p>
    <w:p w14:paraId="5D25DE34" w14:textId="2F16140A"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Empirically,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{"citationItems":[{"id":"ITEM-1","itemData":{"DOI":"10.1177/0007650311398780","ISSN":"00076503","abstract":"This study adds two new perspectives to the long-running debate regarding the linkage between corporate social performance (CSP) and corporate financial performance (CFP): First, we add the aspect of issue materiality and suggest research to put more emphasis on the question of how individual CSP issues can be assumed to systematically influence the business environment from a theoretical point of view. Second, we highlight the measurement level of the underlying data screens as an important determinant of the actual effects of CSP on CFP. Focusing on climate change, we developed a set of questions that cover a firm's carbon emissions and carbon management strategies. These questions were included in a questionnaire sent out annually to the 2,500 largest companies by market cap within the Dow Jones Global Index by an independent Swiss-based asset management firm. Our results show that when using carbon emissions as an outcome-based measurement, corporate environmental performance pays off. Conversely, when using carbon management as a process-based measurement, we find a negative relationship between corporate environmental performance and CFP.© 2011 SAGE Publications.","author":[{"dropping-particle":"","family":"Busch","given":"Timo","non-dropping-particle":"","parse-names":false,"suffix":""},{"dropping-particle":"","family":"Hoffmann","given":"Volker H.","non-dropping-particle":"","parse-names":false,"suffix":""}],"container-title":"Business and Society","id":"ITEM-1","issue":"2","issued":{"date-parts":[["2011","6"]]},"page":"233-265","title":"How hot is your bottom line? linking carbon and financial performance","type":"article-journal","volume":"50"},"uris":["http://www.mendeley.com/documents/?uuid=79af7aa9-e472-392a-9475-56fa419ffe4f"]}],"mendeley":{"formattedCitation":"(Busch and Hoffmann 2011)","manualFormatting":"Busch and Hoffmann (2011)","plainTextFormattedCitation":"(Busch and Hoffmann 2011)","previouslyFormattedCitation":"(Busch and Hoffmann 2011)"},"properties":{"noteIndex":0},"schema":"https://github.com/citation-style-language/schema/raw/master/csl-citation.json"}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Busch and Hoffmann (2011)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report that </w:t>
      </w:r>
      <w:r w:rsidR="004E151E" w:rsidRPr="001B6443">
        <w:rPr>
          <w:rFonts w:ascii="Times New Roman" w:eastAsia="Calibri" w:hAnsi="Times New Roman" w:cs="Times New Roman"/>
          <w:color w:val="000000" w:themeColor="text1"/>
          <w:sz w:val="24"/>
          <w:szCs w:val="24"/>
          <w:lang w:val="en-US"/>
        </w:rPr>
        <w:t xml:space="preserve">process-based </w:t>
      </w:r>
      <w:r w:rsidRPr="001B6443">
        <w:rPr>
          <w:rFonts w:ascii="Times New Roman" w:eastAsia="Calibri" w:hAnsi="Times New Roman" w:cs="Times New Roman"/>
          <w:color w:val="000000" w:themeColor="text1"/>
          <w:sz w:val="24"/>
          <w:szCs w:val="24"/>
          <w:lang w:val="en-US"/>
        </w:rPr>
        <w:t xml:space="preserve">environmental management initiatives are unrelated to </w:t>
      </w:r>
      <w:r w:rsidR="004E151E" w:rsidRPr="001B6443">
        <w:rPr>
          <w:rFonts w:ascii="Times New Roman" w:eastAsia="Calibri" w:hAnsi="Times New Roman" w:cs="Times New Roman"/>
          <w:color w:val="000000" w:themeColor="text1"/>
          <w:sz w:val="24"/>
          <w:szCs w:val="24"/>
          <w:lang w:val="en-US"/>
        </w:rPr>
        <w:t xml:space="preserve">outcome-based </w:t>
      </w:r>
      <w:r w:rsidR="008C0FA4" w:rsidRPr="001B6443">
        <w:rPr>
          <w:rFonts w:ascii="Times New Roman" w:eastAsia="Calibri" w:hAnsi="Times New Roman" w:cs="Times New Roman"/>
          <w:color w:val="000000" w:themeColor="text1"/>
          <w:sz w:val="24"/>
          <w:szCs w:val="24"/>
          <w:lang w:val="en-US"/>
        </w:rPr>
        <w:t>CCPE</w:t>
      </w:r>
      <w:r w:rsidRPr="001B6443">
        <w:rPr>
          <w:rFonts w:ascii="Times New Roman" w:eastAsia="Calibri" w:hAnsi="Times New Roman" w:cs="Times New Roman"/>
          <w:color w:val="000000" w:themeColor="text1"/>
          <w:sz w:val="24"/>
          <w:szCs w:val="24"/>
          <w:lang w:val="en-US"/>
        </w:rPr>
        <w:t xml:space="preserve">. Similarly,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and Ntim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conclude that firms symbolically adopt climate change activities to enhance legitimacy without </w:t>
      </w:r>
      <w:r w:rsidR="00392E92" w:rsidRPr="001B6443">
        <w:rPr>
          <w:rFonts w:ascii="Times New Roman" w:eastAsia="Calibri" w:hAnsi="Times New Roman" w:cs="Times New Roman"/>
          <w:color w:val="000000" w:themeColor="text1"/>
          <w:sz w:val="24"/>
          <w:szCs w:val="24"/>
          <w:lang w:val="en-US"/>
        </w:rPr>
        <w:t xml:space="preserve">undertaking </w:t>
      </w:r>
      <w:r w:rsidRPr="001B6443">
        <w:rPr>
          <w:rFonts w:ascii="Times New Roman" w:eastAsia="Calibri" w:hAnsi="Times New Roman" w:cs="Times New Roman"/>
          <w:color w:val="000000" w:themeColor="text1"/>
          <w:sz w:val="24"/>
          <w:szCs w:val="24"/>
          <w:lang w:val="en-US"/>
        </w:rPr>
        <w:t>substantive</w:t>
      </w:r>
      <w:r w:rsidR="00392E92" w:rsidRPr="001B6443">
        <w:rPr>
          <w:rFonts w:ascii="Times New Roman" w:eastAsia="Calibri" w:hAnsi="Times New Roman" w:cs="Times New Roman"/>
          <w:color w:val="000000" w:themeColor="text1"/>
          <w:sz w:val="24"/>
          <w:szCs w:val="24"/>
          <w:lang w:val="en-US"/>
        </w:rPr>
        <w:t xml:space="preserve"> efforts</w:t>
      </w:r>
      <w:r w:rsidRPr="001B6443">
        <w:rPr>
          <w:rFonts w:ascii="Times New Roman" w:eastAsia="Calibri" w:hAnsi="Times New Roman" w:cs="Times New Roman"/>
          <w:color w:val="000000" w:themeColor="text1"/>
          <w:sz w:val="24"/>
          <w:szCs w:val="24"/>
          <w:lang w:val="en-US"/>
        </w:rPr>
        <w:t xml:space="preserve"> to improve </w:t>
      </w:r>
      <w:r w:rsidR="004E151E"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This is consistent with </w:t>
      </w:r>
      <w:r w:rsidR="00471CAE" w:rsidRPr="001B6443">
        <w:rPr>
          <w:rFonts w:ascii="Times New Roman" w:eastAsia="Calibri" w:hAnsi="Times New Roman" w:cs="Times New Roman"/>
          <w:color w:val="000000" w:themeColor="text1"/>
          <w:sz w:val="24"/>
          <w:szCs w:val="24"/>
          <w:lang w:val="en-US"/>
        </w:rPr>
        <w:t>greenwashing/</w:t>
      </w:r>
      <w:r w:rsidRPr="001B6443">
        <w:rPr>
          <w:rFonts w:ascii="Times New Roman" w:eastAsia="Calibri" w:hAnsi="Times New Roman" w:cs="Times New Roman"/>
          <w:color w:val="000000" w:themeColor="text1"/>
          <w:sz w:val="24"/>
          <w:szCs w:val="24"/>
          <w:lang w:val="en-US"/>
        </w:rPr>
        <w:t xml:space="preserve">impression management arguments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{"citationItems":[{"id":"ITEM-1","itemData":{"DOI":"10.1007/s10551-006-9021-9","ISSN":"01674544","abstract":"This paper examines stakeholder responses to impression management tactics used by firms that express environmental commitment. We inductively analyzed data from 98 open-ended questionnaires and identified two impression management tactics that led respondents to believe that a firm was credible in its commitment to the natural environment. Approximately, half of the respondents responded to illustrative impression management tactics that provide images of, and/or broad-brush comments about, the firm's commitment to the natural environment. The other half responded to demonstrative impression management tactics, which provide specific facts and details about the firm's operations. The research results provide important insights into the effects of organizational transparency. In this paper, we explore these findings and provide directions for future research. © Springer 2006.","author":[{"dropping-particle":"","family":"Bansal","given":"Pratima","non-dropping-particle":"","parse-names":false,"suffix":""},{"dropping-particle":"","family":"Kistruck","given":"Geoffrey","non-dropping-particle":"","parse-names":false,"suffix":""}],"container-title":"Journal of Business Ethics","id":"ITEM-1","issue":"2","issued":{"date-parts":[["2006","8"]]},"page":"165-180","title":"Seeing is (not) believing: Managing the impressions of the firm's commitment to the natural environment","type":"article-journal","volume":"67"},"uris":["http://www.mendeley.com/documents/?uuid=7f5fa8fe-cab2-340b-b492-ce097580be28"]},{"id":"ITEM-2","itemData":{"DOI":"10.2307/20159562","ISSN":"00014273","abstract":"Applying institutional theory, we argue that environmentally legitimate firms incur less unsystematic stock market risk than illegitimate firms. Firms earn environmental legitimacy when their performance with respect to the natural environment conforms to stakeholders' expectations. This relationship was supported with the analysis of media reports and stock prices of 100 firms over a five-year period. The analysis also showed that firms with low environmental legitimacy can attenuate this effect by expressing commitment to the natural environment.","author":[{"dropping-particle":"","family":"Bansal","given":"Pratima","non-dropping-particle":"","parse-names":false,"suffix":""},{"dropping-particle":"","family":"Clelland","given":"Iain","non-dropping-particle":"","parse-names":false,"suffix":""}],"container-title":"Academy of Management Journal","id":"ITEM-2","issue":"1","issued":{"date-parts":[["2004"]]},"page":"93-103","publisher":"Academy of Management","title":"Talking trash: Legitimacy, impression management, and unsystematic risk in the context of the natural environment","type":"article-journal","volume":"47"},"uris":["http://www.mendeley.com/documents/?uuid=bc56084c-8f5f-31de-9a8a-58c06fa3a7cb"]}],"mendeley":{"formattedCitation":"(Bansal and Clelland 2004; Bansal and Kistruck 2006)","manualFormatting":"(Bansal and Clelland, 2004; Bansal and Kistruck, 2006)","plainTextFormattedCitation":"(Bansal and Clelland 2004; Bansal and Kistruck 2006)","previouslyFormattedCitation":"(Bansal and Clelland 2004; Bansal and Kistruck 2006)"},"properties":{"noteIndex":0},"schema":"https://github.com/citation-style-language/schema/raw/master/csl-citation.json"}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(Bansal and Clelland, 2004; Bansal and Kistruck, 2006)</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that firms </w:t>
      </w:r>
      <w:r w:rsidR="00F936AB" w:rsidRPr="001B6443">
        <w:rPr>
          <w:rFonts w:ascii="Times New Roman" w:eastAsia="Calibri" w:hAnsi="Times New Roman" w:cs="Times New Roman"/>
          <w:color w:val="000000" w:themeColor="text1"/>
          <w:sz w:val="24"/>
          <w:szCs w:val="24"/>
          <w:lang w:val="en-US"/>
        </w:rPr>
        <w:t xml:space="preserve">exposed to greater pressures from stakeholders and the media are more likely to adopt symbolic environmental initiatives, such as PCCIs in order to </w:t>
      </w:r>
      <w:r w:rsidRPr="001B6443">
        <w:rPr>
          <w:rFonts w:ascii="Times New Roman" w:eastAsia="Calibri" w:hAnsi="Times New Roman" w:cs="Times New Roman"/>
          <w:color w:val="000000" w:themeColor="text1"/>
          <w:sz w:val="24"/>
          <w:szCs w:val="24"/>
          <w:lang w:val="en-US"/>
        </w:rPr>
        <w:t>protect their legitimacy and manage stakeholders’ impressions about en</w:t>
      </w:r>
      <w:r w:rsidR="00F936AB" w:rsidRPr="001B6443">
        <w:rPr>
          <w:rFonts w:ascii="Times New Roman" w:eastAsia="Calibri" w:hAnsi="Times New Roman" w:cs="Times New Roman"/>
          <w:color w:val="000000" w:themeColor="text1"/>
          <w:sz w:val="24"/>
          <w:szCs w:val="24"/>
          <w:lang w:val="en-US"/>
        </w:rPr>
        <w:t>vironmental risks</w:t>
      </w:r>
      <w:r w:rsidRPr="001B6443">
        <w:rPr>
          <w:rFonts w:ascii="Times New Roman" w:eastAsia="Calibri" w:hAnsi="Times New Roman" w:cs="Times New Roman"/>
          <w:color w:val="000000" w:themeColor="text1"/>
          <w:sz w:val="24"/>
          <w:szCs w:val="24"/>
          <w:lang w:val="en-US"/>
        </w:rPr>
        <w:t>. However, these symbolic efforts do not bring meaningful improvements to environmental</w:t>
      </w:r>
      <w:r w:rsidR="00662127" w:rsidRPr="001B6443">
        <w:rPr>
          <w:rFonts w:ascii="Times New Roman" w:eastAsia="Calibri" w:hAnsi="Times New Roman" w:cs="Times New Roman"/>
          <w:color w:val="000000" w:themeColor="text1"/>
          <w:sz w:val="24"/>
          <w:szCs w:val="24"/>
          <w:lang w:val="en-US"/>
        </w:rPr>
        <w:t>/carbon</w:t>
      </w:r>
      <w:r w:rsidRPr="001B6443">
        <w:rPr>
          <w:rFonts w:ascii="Times New Roman" w:eastAsia="Calibri" w:hAnsi="Times New Roman" w:cs="Times New Roman"/>
          <w:color w:val="000000" w:themeColor="text1"/>
          <w:sz w:val="24"/>
          <w:szCs w:val="24"/>
          <w:lang w:val="en-US"/>
        </w:rPr>
        <w:t xml:space="preserve"> performance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{"citationItems":[{"id":"ITEM-1","itemData":{"DOI":"https://doi.org/10.1002/bse.2700","ISSN":"10990836","abstract":"This study investigates the relationship between environmental management practices (EMPs) and financial performance (FP) and consequently ascertains whether environmental performance (EP) can mediate the EMPs–FP nexus. Distinctly using data envelopment analysis and generalised method of moments techniques to analyse a comprehensive dataset of Nikkei 225 listed firms from 2007 to 2018 (1920 firm-year observations), our findings first suggest that EMPs have a positive effect on FP. Second, the desired EP can be achieved through the adoption of comprehensive EMPs. Third, improved EP has a substantial impact on shaping the EMPs' effect on FP. These findings are consistent with the predictions of resource-based view and institutional theories. The results are robust to controlling for different types of alternative measures and endogeneities. The findings have important implications for academics, investors, managers, policymakers and regulators.","author":[{"dropping-particle":"","family":"Aslam","given":"Shoaib","non-dropping-particle":"","parse-names":false,"suffix":""},{"dropping-particle":"","family":"Elmagrhi","given":"Mohamed H.","non-dropping-particle":"","parse-names":false,"suffix":""},{"dropping-particle":"","family":"Rehman","given":"Ramiz Ur","non-dropping-particle":"","parse-names":false,"suffix":""},{"dropping-particle":"","family":"Ntim","given":"Collins G.","non-dropping-particle":"","parse-names":false,"suffix":""}],"container-title":"Business Strategy and the Environment","id":"ITEM-1","issue":"4","issued":{"date-parts":[["2021"]]},"page":"1655-1673","title":"Environmental management practices and financial performance using data envelopment analysis in Japan: The mediating role of environmental performance","type":"article-journal","volume":"30"},"uris":["http://www.mendeley.com/documents/?uuid=1ad70ec4-53a4-4df3-a301-01eed3b98b5f"]}],"mendeley":{"formattedCitation":"(Aslam et al. 2021)","manualFormatting":"(Aslam et al., 2021; Shevchenko, 2021)","plainTextFormattedCitation":"(Aslam et al. 2021)","previouslyFormattedCitation":"(Aslam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(Aslam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2021; Shevchenko, 2021)</w:t>
      </w:r>
      <w:r w:rsidRPr="001B6443">
        <w:rPr>
          <w:rFonts w:ascii="Times New Roman" w:eastAsia="Calibri" w:hAnsi="Times New Roman" w:cs="Times New Roman"/>
          <w:color w:val="000000" w:themeColor="text1"/>
          <w:sz w:val="24"/>
          <w:szCs w:val="24"/>
          <w:lang w:val="en-US"/>
        </w:rPr>
        <w:fldChar w:fldCharType="end"/>
      </w:r>
      <w:r w:rsidR="00392E92" w:rsidRPr="001B6443">
        <w:rPr>
          <w:rFonts w:ascii="Times New Roman" w:eastAsia="Calibri" w:hAnsi="Times New Roman" w:cs="Times New Roman"/>
          <w:color w:val="000000" w:themeColor="text1"/>
          <w:sz w:val="24"/>
          <w:szCs w:val="24"/>
          <w:lang w:val="en-US"/>
        </w:rPr>
        <w:t xml:space="preserve">. </w:t>
      </w:r>
      <w:r w:rsidR="00F936AB" w:rsidRPr="001B6443">
        <w:rPr>
          <w:rFonts w:ascii="Times New Roman" w:eastAsia="Calibri" w:hAnsi="Times New Roman" w:cs="Times New Roman"/>
          <w:color w:val="000000" w:themeColor="text1"/>
          <w:sz w:val="24"/>
          <w:szCs w:val="24"/>
          <w:lang w:val="en-US"/>
        </w:rPr>
        <w:t>Nevertheless</w:t>
      </w:r>
      <w:r w:rsidR="004318CA" w:rsidRPr="001B6443">
        <w:rPr>
          <w:rFonts w:ascii="Times New Roman" w:eastAsia="Calibri" w:hAnsi="Times New Roman" w:cs="Times New Roman"/>
          <w:color w:val="000000" w:themeColor="text1"/>
          <w:sz w:val="24"/>
          <w:szCs w:val="24"/>
          <w:lang w:val="en-US"/>
        </w:rPr>
        <w:t xml:space="preserve">, </w:t>
      </w:r>
      <w:r w:rsidR="00F936AB" w:rsidRPr="001B6443">
        <w:rPr>
          <w:rFonts w:ascii="Times New Roman" w:eastAsia="Calibri" w:hAnsi="Times New Roman" w:cs="Times New Roman"/>
          <w:color w:val="000000" w:themeColor="text1"/>
          <w:sz w:val="24"/>
          <w:szCs w:val="24"/>
          <w:lang w:val="en-US"/>
        </w:rPr>
        <w:t xml:space="preserve">given that firms seeking legitimacy </w:t>
      </w:r>
      <w:r w:rsidR="004318CA" w:rsidRPr="001B6443">
        <w:rPr>
          <w:rFonts w:ascii="Times New Roman" w:eastAsia="Calibri" w:hAnsi="Times New Roman" w:cs="Times New Roman"/>
          <w:color w:val="000000" w:themeColor="text1"/>
          <w:sz w:val="24"/>
          <w:szCs w:val="24"/>
          <w:lang w:val="en-US"/>
        </w:rPr>
        <w:t>may adopt</w:t>
      </w:r>
      <w:r w:rsidR="00F936AB" w:rsidRPr="001B6443">
        <w:rPr>
          <w:rFonts w:ascii="Times New Roman" w:eastAsia="Calibri" w:hAnsi="Times New Roman" w:cs="Times New Roman"/>
          <w:color w:val="000000" w:themeColor="text1"/>
          <w:sz w:val="24"/>
          <w:szCs w:val="24"/>
          <w:lang w:val="en-US"/>
        </w:rPr>
        <w:t xml:space="preserve"> symbolic and/or substantive legitimation strategies</w:t>
      </w:r>
      <w:r w:rsidR="004318CA" w:rsidRPr="001B6443">
        <w:rPr>
          <w:rFonts w:ascii="Times New Roman" w:eastAsia="Calibri" w:hAnsi="Times New Roman" w:cs="Times New Roman"/>
          <w:color w:val="000000" w:themeColor="text1"/>
          <w:sz w:val="24"/>
          <w:szCs w:val="24"/>
          <w:lang w:val="en-US"/>
        </w:rPr>
        <w:t>,</w:t>
      </w:r>
      <w:r w:rsidR="00F936AB" w:rsidRPr="001B6443">
        <w:rPr>
          <w:rFonts w:ascii="Times New Roman" w:eastAsia="Calibri" w:hAnsi="Times New Roman" w:cs="Times New Roman"/>
          <w:color w:val="000000" w:themeColor="text1"/>
          <w:sz w:val="24"/>
          <w:szCs w:val="24"/>
          <w:lang w:val="en-US"/>
        </w:rPr>
        <w:t xml:space="preserve"> w</w:t>
      </w:r>
      <w:r w:rsidR="004318CA" w:rsidRPr="001B6443">
        <w:rPr>
          <w:rFonts w:ascii="Times New Roman" w:eastAsia="Calibri" w:hAnsi="Times New Roman" w:cs="Times New Roman"/>
          <w:color w:val="000000" w:themeColor="text1"/>
          <w:sz w:val="24"/>
          <w:szCs w:val="24"/>
          <w:lang w:val="en-US"/>
        </w:rPr>
        <w:t xml:space="preserve">e </w:t>
      </w:r>
      <w:r w:rsidR="00D15AFF" w:rsidRPr="001B6443">
        <w:rPr>
          <w:rFonts w:ascii="Times New Roman" w:eastAsia="Calibri" w:hAnsi="Times New Roman" w:cs="Times New Roman"/>
          <w:color w:val="000000" w:themeColor="text1"/>
          <w:sz w:val="24"/>
          <w:szCs w:val="24"/>
          <w:lang w:val="en-US"/>
        </w:rPr>
        <w:t xml:space="preserve">propose </w:t>
      </w:r>
      <w:r w:rsidRPr="001B6443">
        <w:rPr>
          <w:rFonts w:ascii="Times New Roman" w:eastAsia="Calibri" w:hAnsi="Times New Roman" w:cs="Times New Roman"/>
          <w:color w:val="000000" w:themeColor="text1"/>
          <w:sz w:val="24"/>
          <w:szCs w:val="24"/>
          <w:lang w:val="en-US"/>
        </w:rPr>
        <w:t>the following</w:t>
      </w:r>
      <w:r w:rsidR="00DD6B6C" w:rsidRPr="001B6443">
        <w:rPr>
          <w:rFonts w:ascii="Times New Roman" w:eastAsia="Calibri" w:hAnsi="Times New Roman" w:cs="Times New Roman"/>
          <w:color w:val="000000" w:themeColor="text1"/>
          <w:sz w:val="24"/>
          <w:szCs w:val="24"/>
          <w:lang w:val="en-US"/>
        </w:rPr>
        <w:t xml:space="preserve"> </w:t>
      </w:r>
      <w:r w:rsidR="00927D3A" w:rsidRPr="001B6443">
        <w:rPr>
          <w:rFonts w:ascii="Times New Roman" w:eastAsia="Calibri" w:hAnsi="Times New Roman" w:cs="Times New Roman"/>
          <w:color w:val="000000" w:themeColor="text1"/>
          <w:sz w:val="24"/>
          <w:szCs w:val="24"/>
          <w:lang w:val="en-US"/>
        </w:rPr>
        <w:t xml:space="preserve">non-directional </w:t>
      </w:r>
      <w:r w:rsidR="00DD6B6C" w:rsidRPr="001B6443">
        <w:rPr>
          <w:rFonts w:ascii="Times New Roman" w:eastAsia="Calibri" w:hAnsi="Times New Roman" w:cs="Times New Roman"/>
          <w:color w:val="000000" w:themeColor="text1"/>
          <w:sz w:val="24"/>
          <w:szCs w:val="24"/>
          <w:lang w:val="en-US"/>
        </w:rPr>
        <w:t>hypothesi</w:t>
      </w:r>
      <w:r w:rsidR="00D15AFF" w:rsidRPr="001B6443">
        <w:rPr>
          <w:rFonts w:ascii="Times New Roman" w:eastAsia="Calibri" w:hAnsi="Times New Roman" w:cs="Times New Roman"/>
          <w:color w:val="000000" w:themeColor="text1"/>
          <w:sz w:val="24"/>
          <w:szCs w:val="24"/>
          <w:lang w:val="en-US"/>
        </w:rPr>
        <w:t>s</w:t>
      </w:r>
      <w:r w:rsidRPr="001B6443">
        <w:rPr>
          <w:rFonts w:ascii="Times New Roman" w:eastAsia="Calibri" w:hAnsi="Times New Roman" w:cs="Times New Roman"/>
          <w:color w:val="000000" w:themeColor="text1"/>
          <w:sz w:val="24"/>
          <w:szCs w:val="24"/>
          <w:lang w:val="en-US"/>
        </w:rPr>
        <w:t>:</w:t>
      </w:r>
    </w:p>
    <w:p w14:paraId="0904F37B" w14:textId="5CABC8A1" w:rsidR="00462271" w:rsidRPr="001B6443" w:rsidRDefault="00462271" w:rsidP="00462271">
      <w:pPr>
        <w:spacing w:after="0" w:line="480" w:lineRule="auto"/>
        <w:jc w:val="both"/>
        <w:rPr>
          <w:rFonts w:ascii="Times New Roman" w:eastAsia="Calibri" w:hAnsi="Times New Roman" w:cs="Times New Roman"/>
          <w:i/>
          <w:color w:val="000000" w:themeColor="text1"/>
          <w:sz w:val="24"/>
          <w:szCs w:val="24"/>
          <w:lang w:val="en-US"/>
        </w:rPr>
      </w:pPr>
      <w:r w:rsidRPr="001B6443">
        <w:rPr>
          <w:rFonts w:ascii="Times New Roman" w:eastAsia="Calibri" w:hAnsi="Times New Roman" w:cs="Times New Roman"/>
          <w:b/>
          <w:i/>
          <w:color w:val="000000" w:themeColor="text1"/>
          <w:sz w:val="24"/>
          <w:szCs w:val="24"/>
          <w:lang w:val="en-US"/>
        </w:rPr>
        <w:t>H3</w:t>
      </w:r>
      <w:r w:rsidRPr="001B6443">
        <w:rPr>
          <w:rFonts w:ascii="Times New Roman" w:eastAsia="Calibri" w:hAnsi="Times New Roman" w:cs="Times New Roman"/>
          <w:i/>
          <w:color w:val="000000" w:themeColor="text1"/>
          <w:sz w:val="24"/>
          <w:szCs w:val="24"/>
          <w:lang w:val="en-US"/>
        </w:rPr>
        <w:t xml:space="preserve">: </w:t>
      </w:r>
      <w:r w:rsidR="00927D3A" w:rsidRPr="001B6443">
        <w:rPr>
          <w:rFonts w:ascii="Times New Roman" w:eastAsia="Calibri" w:hAnsi="Times New Roman" w:cs="Times New Roman"/>
          <w:i/>
          <w:color w:val="000000" w:themeColor="text1"/>
          <w:sz w:val="24"/>
          <w:szCs w:val="24"/>
          <w:lang w:val="en-US"/>
        </w:rPr>
        <w:t xml:space="preserve">There is an association between PCCIs and </w:t>
      </w:r>
      <w:r w:rsidRPr="001B6443">
        <w:rPr>
          <w:rFonts w:ascii="Times New Roman" w:eastAsia="Calibri" w:hAnsi="Times New Roman" w:cs="Times New Roman"/>
          <w:i/>
          <w:color w:val="000000" w:themeColor="text1"/>
          <w:sz w:val="24"/>
          <w:szCs w:val="24"/>
          <w:lang w:val="en-US"/>
        </w:rPr>
        <w:t>CCPE.</w:t>
      </w:r>
    </w:p>
    <w:p w14:paraId="3B42DDE0" w14:textId="77777777" w:rsidR="00EC5A9C" w:rsidRPr="001B6443" w:rsidRDefault="00EC5A9C" w:rsidP="00EC5A9C">
      <w:pPr>
        <w:spacing w:after="0" w:line="480" w:lineRule="auto"/>
        <w:jc w:val="both"/>
        <w:rPr>
          <w:rFonts w:ascii="Times New Roman" w:eastAsia="Calibri" w:hAnsi="Times New Roman" w:cs="Times New Roman"/>
          <w:i/>
          <w:color w:val="000000" w:themeColor="text1"/>
          <w:sz w:val="24"/>
          <w:szCs w:val="24"/>
          <w:lang w:val="en-US"/>
        </w:rPr>
      </w:pPr>
    </w:p>
    <w:p w14:paraId="0F46A24F" w14:textId="4C63E350"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 xml:space="preserve">Carbon performance and climate change initiatives: </w:t>
      </w:r>
      <w:r w:rsidR="004B128C" w:rsidRPr="001B6443">
        <w:rPr>
          <w:rFonts w:ascii="Times New Roman" w:eastAsia="Times New Roman" w:hAnsi="Times New Roman" w:cs="Times New Roman"/>
          <w:i/>
          <w:iCs/>
          <w:color w:val="000000" w:themeColor="text1"/>
          <w:sz w:val="24"/>
          <w:szCs w:val="24"/>
          <w:lang w:val="en-US"/>
        </w:rPr>
        <w:t>T</w:t>
      </w:r>
      <w:r w:rsidRPr="001B6443">
        <w:rPr>
          <w:rFonts w:ascii="Times New Roman" w:eastAsia="Times New Roman" w:hAnsi="Times New Roman" w:cs="Times New Roman"/>
          <w:i/>
          <w:iCs/>
          <w:color w:val="000000" w:themeColor="text1"/>
          <w:sz w:val="24"/>
          <w:szCs w:val="24"/>
          <w:lang w:val="en-US"/>
        </w:rPr>
        <w:t xml:space="preserve">he moderating effect of board sustainability committee </w:t>
      </w:r>
    </w:p>
    <w:p w14:paraId="23CD7290" w14:textId="02B137EA"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The stakeholder view suggests that the presence of BSCOM indicates a firm’s commitment to environmental and sustainability related issues to build str</w:t>
      </w:r>
      <w:r w:rsidR="007B0F0A" w:rsidRPr="001B6443">
        <w:rPr>
          <w:rFonts w:ascii="Times New Roman" w:eastAsia="Calibri" w:hAnsi="Times New Roman" w:cs="Times New Roman"/>
          <w:color w:val="000000" w:themeColor="text1"/>
          <w:sz w:val="24"/>
          <w:szCs w:val="24"/>
          <w:lang w:val="en-US"/>
        </w:rPr>
        <w:t xml:space="preserve">onger stakeholder relationships </w:t>
      </w:r>
      <w:r w:rsidR="007B0F0A" w:rsidRPr="001B6443">
        <w:rPr>
          <w:rFonts w:ascii="Times New Roman" w:hAnsi="Times New Roman" w:cs="Times New Roman"/>
          <w:color w:val="000000" w:themeColor="text1"/>
          <w:sz w:val="24"/>
          <w:szCs w:val="24"/>
          <w:lang w:val="en-US"/>
        </w:rPr>
        <w:fldChar w:fldCharType="begin" w:fldLock="1"/>
      </w:r>
      <w:r w:rsidR="0016357D" w:rsidRPr="001B6443">
        <w:rPr>
          <w:rFonts w:ascii="Times New Roman" w:hAnsi="Times New Roman" w:cs="Times New Roman"/>
          <w:color w:val="000000" w:themeColor="text1"/>
          <w:sz w:val="24"/>
          <w:szCs w:val="24"/>
          <w:lang w:val="en-US"/>
        </w:rPr>
        <w:instrText>ADDIN CSL_CITATION {"citationItems":[{"id":"ITEM-1","itemData":{"DOI":"10.1002/bse.1767","ISBN":"1099-0836","ISSN":"10990836","abstract":"Increased business complexities coupled with enhanced global transformation have propelled corporations to behave as responsible citizens to drive the sustainability agenda. Many corporations incorporate their affirmative commitment to sustainable business practices into their corporate identities and give evidence for this in their sustainability reports. This paper examines the role of the board of directors in sustainability reporting quality (SRQ) in the Asia-Pacific region. Based on a cross-sectional study of 113 companies from 12 countries in the region, we find that the SRQ in the region leaves much room for improvement. However, we find that the institutionalization of the concept of corporate social responsibility (CSR) in an organization provides a sound foundation for enhancing SRQ. We find that the value of CSR anchored in the vision and/ or mission statement and strategic alliances fostered with non-governmental organizations are positively associated with SRQ. This study contributes to strengthening the understanding, promoting discussion on the state of sustainability reporting in the Asia-Pacific context and laying a solid foundation for more aggressive efforts to enhance SRQ. The study identifies the significant drivers currently associated with SRQ. The weak role of the board of directors in upholding the sustainable development agenda through the reporting process is highlighted.","author":[{"dropping-particle":"","family":"Amran","given":"Azlan","non-dropping-particle":"","parse-names":false,"suffix":""},{"dropping-particle":"","family":"Lee","given":"Shiau Ping","non-dropping-particle":"","parse-names":false,"suffix":""},{"dropping-particle":"","family":"Devi","given":"S. Susela","non-dropping-particle":"","parse-names":false,"suffix":""}],"container-title":"Business Strategy and the Environment","id":"ITEM-1","issue":"4","issued":{"date-parts":[["2014"]]},"page":"217-235","title":"The influence of governance structure and strategic corporate social responsibility toward sustainability reporting quality","type":"article-journal","volume":"23"},"uris":["http://www.mendeley.com/documents/?uuid=14e2a02f-f412-4324-a5dc-76effef328c1"]},{"id":"ITEM-2","itemData":{"DOI":"10.1007/s10551-017-3735-8","ISSN":"15730697","abstract":"Companies are expected to monitor sustainable behaviour to help improve performance, enhance reputation and increase chances of survival. This paper examines the relationship between sustainability committees and independent external assurance on the inclusion of sustainability-related targets in CEO compensation contracts. Using a sample of UK FTSE350 companies for 2011–2015 and controlling for governance and firm characteristics, we find both board-level sustainability committees and sustainability reporting assurance have a positive and significant association with the inclusion of sustainability terms in compensation contracts. However, there is no joint impact between the voluntary use of independent external assurance and the role of sustainability committees on CEO compensation contracts. Sustainability-related terms in compensation contracts are more likely to be included, and higher compensation is likely to be paid, when assurance is provided by a Big4 firm and when a company operates in a sustainability-sensitive industry. Our findings highlight the potential of assured sustainability reports in assessing CEO performance in sustainability-related tasks, especially when sustainability metrics are included in CEO compensation contracts. Overall, our results suggest companies that invest in voluntary assurance are more likely to monitor management’s behaviour and be concerned about the achievement of sustainability goals.","author":[{"dropping-particle":"","family":"Al-Shaer","given":"Habiba","non-dropping-particle":"","parse-names":false,"suffix":""},{"dropping-particle":"","family":"Zaman","given":"Mahbub","non-dropping-particle":"","parse-names":false,"suffix":""}],"container-title":"Journal of Business Ethics","id":"ITEM-2","issue":"1","issued":{"date-parts":[["2019"]]},"page":"233–252","title":"CEO Compensation and Sustainability Reporting Assurance: Evidence from the UK","type":"article-journal","volume":"158"},"uris":["http://www.mendeley.com/documents/?uuid=f301a336-79af-3671-be4b-6e413276497a"]}],"mendeley":{"formattedCitation":"(Al-Shaer and Zaman 2019; Amran et al. 2014)","manualFormatting":"(Al-Shaer and Zaman, 2019; Amran et al., 2014)","plainTextFormattedCitation":"(Al-Shaer and Zaman 2019; Amran et al. 2014)","previouslyFormattedCitation":"(Al-Shaer and Zaman 2019; Amran et al. 2014)"},"properties":{"noteIndex":0},"schema":"https://github.com/citation-style-language/schema/raw/master/csl-citation.json"}</w:instrText>
      </w:r>
      <w:r w:rsidR="007B0F0A" w:rsidRPr="001B6443">
        <w:rPr>
          <w:rFonts w:ascii="Times New Roman" w:hAnsi="Times New Roman" w:cs="Times New Roman"/>
          <w:color w:val="000000" w:themeColor="text1"/>
          <w:sz w:val="24"/>
          <w:szCs w:val="24"/>
          <w:lang w:val="en-US"/>
        </w:rPr>
        <w:fldChar w:fldCharType="separate"/>
      </w:r>
      <w:r w:rsidR="007B0F0A" w:rsidRPr="001B6443">
        <w:rPr>
          <w:rFonts w:ascii="Times New Roman" w:hAnsi="Times New Roman" w:cs="Times New Roman"/>
          <w:noProof/>
          <w:color w:val="000000" w:themeColor="text1"/>
          <w:sz w:val="24"/>
          <w:szCs w:val="24"/>
          <w:lang w:val="en-US"/>
        </w:rPr>
        <w:t>(Al-Shaer and Zaman</w:t>
      </w:r>
      <w:r w:rsidR="00572F1C" w:rsidRPr="001B6443">
        <w:rPr>
          <w:rFonts w:ascii="Times New Roman" w:hAnsi="Times New Roman" w:cs="Times New Roman"/>
          <w:noProof/>
          <w:color w:val="000000" w:themeColor="text1"/>
          <w:sz w:val="24"/>
          <w:szCs w:val="24"/>
          <w:lang w:val="en-US"/>
        </w:rPr>
        <w:t>,</w:t>
      </w:r>
      <w:r w:rsidR="007B0F0A" w:rsidRPr="001B6443">
        <w:rPr>
          <w:rFonts w:ascii="Times New Roman" w:hAnsi="Times New Roman" w:cs="Times New Roman"/>
          <w:noProof/>
          <w:color w:val="000000" w:themeColor="text1"/>
          <w:sz w:val="24"/>
          <w:szCs w:val="24"/>
          <w:lang w:val="en-US"/>
        </w:rPr>
        <w:t xml:space="preserve"> 2019; Amran</w:t>
      </w:r>
      <w:r w:rsidR="007B0F0A" w:rsidRPr="001B6443">
        <w:rPr>
          <w:rFonts w:ascii="Times New Roman" w:hAnsi="Times New Roman" w:cs="Times New Roman"/>
          <w:i/>
          <w:iCs/>
          <w:noProof/>
          <w:color w:val="000000" w:themeColor="text1"/>
          <w:sz w:val="24"/>
          <w:szCs w:val="24"/>
          <w:lang w:val="en-US"/>
        </w:rPr>
        <w:t xml:space="preserve"> et al</w:t>
      </w:r>
      <w:r w:rsidR="007B0F0A" w:rsidRPr="001B6443">
        <w:rPr>
          <w:rFonts w:ascii="Times New Roman" w:hAnsi="Times New Roman" w:cs="Times New Roman"/>
          <w:noProof/>
          <w:color w:val="000000" w:themeColor="text1"/>
          <w:sz w:val="24"/>
          <w:szCs w:val="24"/>
          <w:lang w:val="en-US"/>
        </w:rPr>
        <w:t>.</w:t>
      </w:r>
      <w:r w:rsidR="00572F1C" w:rsidRPr="001B6443">
        <w:rPr>
          <w:rFonts w:ascii="Times New Roman" w:hAnsi="Times New Roman" w:cs="Times New Roman"/>
          <w:noProof/>
          <w:color w:val="000000" w:themeColor="text1"/>
          <w:sz w:val="24"/>
          <w:szCs w:val="24"/>
          <w:lang w:val="en-US"/>
        </w:rPr>
        <w:t>,</w:t>
      </w:r>
      <w:r w:rsidR="007B0F0A" w:rsidRPr="001B6443">
        <w:rPr>
          <w:rFonts w:ascii="Times New Roman" w:hAnsi="Times New Roman" w:cs="Times New Roman"/>
          <w:noProof/>
          <w:color w:val="000000" w:themeColor="text1"/>
          <w:sz w:val="24"/>
          <w:szCs w:val="24"/>
          <w:lang w:val="en-US"/>
        </w:rPr>
        <w:t xml:space="preserve"> 2014)</w:t>
      </w:r>
      <w:r w:rsidR="007B0F0A" w:rsidRPr="001B6443">
        <w:rPr>
          <w:rFonts w:ascii="Times New Roman" w:hAnsi="Times New Roman" w:cs="Times New Roman"/>
          <w:color w:val="000000" w:themeColor="text1"/>
          <w:sz w:val="24"/>
          <w:szCs w:val="24"/>
          <w:lang w:val="en-US"/>
        </w:rPr>
        <w:fldChar w:fldCharType="end"/>
      </w:r>
      <w:r w:rsidR="007B0F0A" w:rsidRPr="001B6443">
        <w:rPr>
          <w:rFonts w:ascii="Times New Roman"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In particular, BSCOM plays a critical role in adopting effective sustainability strategies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strategy","type":"article-journal","volume":"29"},"uris":["http://www.mendeley.com/documents/?uuid=05434146-b776-3687-93bb-7d50ecedde5c"]}],"mendeley":{"formattedCitation":"(Orazalin 2020)","manualFormatting":"(Orazalin, 2020)","plainTextFormattedCitation":"(Orazalin 2020)","previouslyFormattedCitation":"(Orazalin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(Orazalin,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managing CSR risks and environmental issues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Performance","type":"article-journal","volume":"154"},"uris":["http://www.mendeley.com/documents/?uuid=73547ce0-856e-39c4-9675-abc201661377"]},{"id":"ITEM-2","itemData":{"DOI":"https://doi.org/10.1002/bse.2820","abstract":"Abstract The objective of this study is to examine the effects of board characteristics and country governance quality on both individual aspects and the overall level of environmental performance through the lens of agency, resource dependency, and institutional theories. The study is based on a sample of 3023 firm-year observations from European companies operating in 22 countries between 2009 and 2016. Data on the resources, emissions, and innovation dimensions of environmental performance and board governance data were collected from the Refinitiv database, whereas financial data were extracted from the Worldscope database. The study employs a multilevel modeling analysis and the generalized method of moments (GMM) estimation technique to analyze the data. The findings suggest that board gender diversity and the presence of a corporate social responsibility and sustainability committee have a positive impact on environmental performance. The results also show that country governance quality is positively related to environmental performance. The findings have important implications for practitioners, regulators, and policymakers with respect to the effectiveness of corporate governance mechanisms and country governance systems in determining corporate environmental practices.","author":[{"dropping-particle":"","family":"Orazalin","given":"Nurlan","non-dropping-particle":"","parse-names":false,"suffix":""},{"dropping-particle":"","family":"Mahmood","given":"Monowar","non-dropping-particle":"","parse-names":false,"suffix":""}],"container-title":"Business Strategy and the Environment","id":"ITEM-2","issue":"8","issued":{"date-parts":[["2021"]]},"page":"3569-3588","title":"Toward sustainable development: Board characteristics, country governance quality, and environmental performance","type":"article-journal","volume":"30"},"uris":["http://www.mendeley.com/documents/?uuid=8c24cf19-1cab-4341-b96c-def13c5d6628"]}],"mendeley":{"formattedCitation":"(Burke et al. 2019; Orazalin and Mahmood 2021)","manualFormatting":"(Burke et al., 2019)","plainTextFormattedCitation":"(Burke et al. 2019; Orazalin and Mahmood 2021)","previouslyFormattedCitation":"(Burke et al. 2019; Orazalin and Mahmood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(Burke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w:t>
      </w:r>
      <w:r w:rsidRPr="001B6443">
        <w:rPr>
          <w:rFonts w:ascii="Times New Roman" w:eastAsia="Calibri" w:hAnsi="Times New Roman" w:cs="Times New Roman"/>
          <w:noProof/>
          <w:color w:val="000000" w:themeColor="text1"/>
          <w:sz w:val="24"/>
          <w:szCs w:val="24"/>
          <w:lang w:val="en-US"/>
        </w:rPr>
        <w:lastRenderedPageBreak/>
        <w:t>2019)</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and improving the quality of sustainability information</w:t>
      </w:r>
      <w:r w:rsidR="00126FBA" w:rsidRPr="001B6443">
        <w:rPr>
          <w:rFonts w:ascii="Times New Roman" w:eastAsia="Calibri" w:hAnsi="Times New Roman" w:cs="Times New Roman"/>
          <w:color w:val="000000" w:themeColor="text1"/>
          <w:sz w:val="24"/>
          <w:szCs w:val="24"/>
          <w:lang w:val="en-US"/>
        </w:rPr>
        <w:t xml:space="preserve"> </w:t>
      </w:r>
      <w:r w:rsidR="00126FBA"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{"citationItems":[{"id":"ITEM-1","itemData":{"DOI":"10.1002/bse.2046","ISSN":"10990836","abstract":"Concerns about the credibility of sustainability reports can be mitigated through assurance. Although audit committee remit encompasses monitoring of sustainability issues, there are potential complementary and substitution issues between governance mechanisms. This paper explores the relationship between audit committees and sustainability reporting assurance using resource dependency theory. We find audit committee characteristics have an impact, additional to that of the board of directors and the existence of sustainability committees, on voluntary sustainability assurance. Our results also show that audit committee independence is associated with use of a Big Four audit firm for sustainability assurance. A negative association between sustainability committees and assurance, however, indicates assurance could be a burden for small firms. Overall, the findings suggest audit committees add credibility and help improve sustainability reporting through their independence, expertise and oversight.","author":[{"dropping-particle":"","family":"Al-Shaer","given":"Habiba","non-dropping-particle":"","parse-names":false,"suffix":""},{"dropping-particle":"","family":"Zaman","given":"Mahbub","non-dropping-particle":"","parse-names":false,"suffix":""}],"container-title":"Business Strategy and the Environment","id":"ITEM-1","issue":"7","issued":{"date-parts":[["2018"]]},"page":"973-986","title":"Credibility of sustainability reports: The contribution of audit committees","type":"article-journal","volume":"27"},"uris":["http://www.mendeley.com/documents/?uuid=78a5ec02-7b1e-3ba7-bb65-20888bd625b3"]},{"id":"ITEM-2","itemData":{"DOI":"10.1016/j.ijhm.2020.102753","ISSN":"02784319","abstract":"This study's objective is twofold: (1) to investigate whether board characteristics predict the existence of a sustainability committee, and (2) to examine whether the establishment of sustainability committees stimulates sustainability reporting, external assurance, and the adoption of the Global Reporting Initiative (GRI) framework in hospitality and tourism (H&amp;T) firms. For this purpose, the data was derived from the Thomson Reuters Eikon database for publicly traded H&amp;T firms from 2013 to 2018. The results indicate that while board size is a significant predictor of sustainability committee establishment, female and independent directors are not. Furthermore, the H&amp;T firms with a sustainability committee are more likely to issue a sustainability report, to get an independent assurance statement on sustainability reporting, and to follow GRI guidelines in configuring sustainability report content and structure. Overall, the results suggest important implications to help H&amp;T firms achieve sustainable goals and to design their boards accordingly.","author":[{"dropping-particle":"","family":"Kılıç","given":"Merve","non-dropping-particle":"","parse-names":false,"suffix":""},{"dropping-particle":"","family":"Uyar","given":"Ali","non-dropping-particle":"","parse-names":false,"suffix":""},{"dropping-particle":"","family":"Kuzey","given":"Cemil","non-dropping-particle":"","parse-names":false,"suffix":""},{"dropping-particle":"","family":"Karaman","given":"Abdullah S.","non-dropping-particle":"","parse-names":false,"suffix":""}],"container-title":"International Journal of Hospitality Management","id":"ITEM-2","issued":{"date-parts":[["2021","1","1"]]},"publisher":"Elsevier Ltd","title":"Drivers and consequences of sustainability committee existence? Evidence from the hospitality and tourism industry","type":"article-journal","volume":"92"},"uris":["http://www.mendeley.com/documents/?uuid=1b5e7bbd-1738-338f-b2cc-36c8635158d4"]}],"mendeley":{"formattedCitation":"(Al-Shaer and Zaman 2018; Kılıç et al. 2021)","manualFormatting":"(Al-Shaer and Zaman, 2018; Kılıç et al., 2021)","plainTextFormattedCitation":"(Al-Shaer and Zaman 2018; Kılıç et al. 2021)","previouslyFormattedCitation":"(Al-Shaer and Zaman 2018; Kılıç et al. 2021)"},"properties":{"noteIndex":0},"schema":"https://github.com/citation-style-language/schema/raw/master/csl-citation.json"}</w:instrText>
      </w:r>
      <w:r w:rsidR="00126FBA" w:rsidRPr="001B6443">
        <w:rPr>
          <w:rFonts w:ascii="Times New Roman" w:eastAsia="Calibri" w:hAnsi="Times New Roman" w:cs="Times New Roman"/>
          <w:color w:val="000000" w:themeColor="text1"/>
          <w:sz w:val="24"/>
          <w:szCs w:val="24"/>
          <w:lang w:val="en-US"/>
        </w:rPr>
        <w:fldChar w:fldCharType="separate"/>
      </w:r>
      <w:r w:rsidR="00126FBA" w:rsidRPr="001B6443">
        <w:rPr>
          <w:rFonts w:ascii="Times New Roman" w:eastAsia="Calibri" w:hAnsi="Times New Roman" w:cs="Times New Roman"/>
          <w:iCs/>
          <w:noProof/>
          <w:color w:val="000000" w:themeColor="text1"/>
          <w:sz w:val="24"/>
          <w:szCs w:val="24"/>
          <w:lang w:val="en-US"/>
        </w:rPr>
        <w:t>(Al-Shaer and Zaman</w:t>
      </w:r>
      <w:r w:rsidR="00572F1C" w:rsidRPr="001B6443">
        <w:rPr>
          <w:rFonts w:ascii="Times New Roman" w:eastAsia="Calibri" w:hAnsi="Times New Roman" w:cs="Times New Roman"/>
          <w:iCs/>
          <w:noProof/>
          <w:color w:val="000000" w:themeColor="text1"/>
          <w:sz w:val="24"/>
          <w:szCs w:val="24"/>
          <w:lang w:val="en-US"/>
        </w:rPr>
        <w:t>,</w:t>
      </w:r>
      <w:r w:rsidR="00126FBA" w:rsidRPr="001B6443">
        <w:rPr>
          <w:rFonts w:ascii="Times New Roman" w:eastAsia="Calibri" w:hAnsi="Times New Roman" w:cs="Times New Roman"/>
          <w:iCs/>
          <w:noProof/>
          <w:color w:val="000000" w:themeColor="text1"/>
          <w:sz w:val="24"/>
          <w:szCs w:val="24"/>
          <w:lang w:val="en-US"/>
        </w:rPr>
        <w:t xml:space="preserve"> 2018; Kılıç </w:t>
      </w:r>
      <w:r w:rsidR="00126FBA" w:rsidRPr="001B6443">
        <w:rPr>
          <w:rFonts w:ascii="Times New Roman" w:eastAsia="Calibri" w:hAnsi="Times New Roman" w:cs="Times New Roman"/>
          <w:i/>
          <w:iCs/>
          <w:noProof/>
          <w:color w:val="000000" w:themeColor="text1"/>
          <w:sz w:val="24"/>
          <w:szCs w:val="24"/>
          <w:lang w:val="en-US"/>
        </w:rPr>
        <w:t>et al.</w:t>
      </w:r>
      <w:r w:rsidR="00572F1C" w:rsidRPr="001B6443">
        <w:rPr>
          <w:rFonts w:ascii="Times New Roman" w:eastAsia="Calibri" w:hAnsi="Times New Roman" w:cs="Times New Roman"/>
          <w:iCs/>
          <w:noProof/>
          <w:color w:val="000000" w:themeColor="text1"/>
          <w:sz w:val="24"/>
          <w:szCs w:val="24"/>
          <w:lang w:val="en-US"/>
        </w:rPr>
        <w:t>,</w:t>
      </w:r>
      <w:r w:rsidR="00126FBA" w:rsidRPr="001B6443">
        <w:rPr>
          <w:rFonts w:ascii="Times New Roman" w:eastAsia="Calibri" w:hAnsi="Times New Roman" w:cs="Times New Roman"/>
          <w:noProof/>
          <w:color w:val="000000" w:themeColor="text1"/>
          <w:sz w:val="24"/>
          <w:szCs w:val="24"/>
          <w:lang w:val="en-US"/>
        </w:rPr>
        <w:t xml:space="preserve"> 2021)</w:t>
      </w:r>
      <w:r w:rsidR="00126FBA" w:rsidRPr="001B6443">
        <w:rPr>
          <w:rFonts w:ascii="Times New Roman" w:eastAsia="Calibri" w:hAnsi="Times New Roman" w:cs="Times New Roman"/>
          <w:color w:val="000000" w:themeColor="text1"/>
          <w:sz w:val="24"/>
          <w:szCs w:val="24"/>
          <w:lang w:val="en-US"/>
        </w:rPr>
        <w:fldChar w:fldCharType="end"/>
      </w:r>
      <w:r w:rsidR="00126FBA" w:rsidRPr="001B6443">
        <w:rPr>
          <w:rFonts w:ascii="Times New Roman" w:eastAsia="Calibri" w:hAnsi="Times New Roman" w:cs="Times New Roman"/>
          <w:color w:val="000000" w:themeColor="text1"/>
          <w:sz w:val="24"/>
          <w:szCs w:val="24"/>
          <w:lang w:val="en-US"/>
        </w:rPr>
        <w:t>.</w:t>
      </w:r>
      <w:r w:rsidR="00211215"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Such committees realize the importance of environmentally responsible activities and offer incentives to engage in carbon mitigation activities in response to stakeholder demands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strategy","type":"article-journal","volume":"29"},"uris":["http://www.mendeley.com/documents/?uuid=05434146-b776-3687-93bb-7d50ecedde5c"]},{"id":"ITEM-2","itemData":{"DOI":"10.1111/acfi.12687","ISSN":"1467629X","abstract":"This study investigates whether corporate governance (CG) leads to improved corporate social responsibility (CSR) in relation to carbon performance. We draw on multiple theoretical lenses for CSR and use a sample of the top 350 listed UK companies. Our results show that overall CG quality has a discernible influence on carbon performance, based on outcome-based carbon emissions. Our empirical findings and inferences still hold with an action-based performance measure as well. In addition, we find that the relationship between CG and carbon performance is significantly moderated by carbon strategy and managerial awareness of carbon risk. Our evidence supports the claim that reforms of CG in the UK have promoted CSR behaviour in carbon performance, and this insight is not documented elsewhere.","author":[{"dropping-particle":"","family":"Luo","given":"Le","non-dropping-particle":"","parse-names":false,"suffix":""},{"dropping-particle":"","family":"Tang","given":"Qingliang","non-dropping-particle":"","parse-names":false,"suffix":""}],"container-title":"Accounting and Finance","id":"ITEM-2","issue":"2","issued":{"date-parts":[["2021"]]},"page":"2891-2934","title":"Corporate governance and carbon performance: role of carbon strategy and awareness of climate risk","type":"article-journal","volume":"61"},"uris":["http://www.mendeley.com/documents/?uuid=708325a8-e42a-31b9-8be6-a3126156dbea"]}],"mendeley":{"formattedCitation":"(Luo and Tang 2021; Orazalin 2020)","manualFormatting":"(Luo and Tang, 2021)","plainTextFormattedCitation":"(Luo and Tang 2021; Orazalin 2020)","previouslyFormattedCitation":"(Luo and Tang 2021; 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(Luo and Tang,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Thus, from the stakeholder perspective, firms that have BSCOM are more likely to engage in PCCIs to address stakeholder needs and </w:t>
      </w:r>
      <w:r w:rsidR="00F32D2F" w:rsidRPr="001B6443">
        <w:rPr>
          <w:rFonts w:ascii="Times New Roman" w:eastAsia="Calibri" w:hAnsi="Times New Roman" w:cs="Times New Roman"/>
          <w:color w:val="000000" w:themeColor="text1"/>
          <w:sz w:val="24"/>
          <w:szCs w:val="24"/>
          <w:lang w:val="en-US"/>
        </w:rPr>
        <w:t>promote</w:t>
      </w:r>
      <w:r w:rsidRPr="001B6443">
        <w:rPr>
          <w:rFonts w:ascii="Times New Roman" w:eastAsia="Calibri" w:hAnsi="Times New Roman" w:cs="Times New Roman"/>
          <w:color w:val="000000" w:themeColor="text1"/>
          <w:sz w:val="24"/>
          <w:szCs w:val="24"/>
          <w:lang w:val="en-US"/>
        </w:rPr>
        <w:t xml:space="preserve"> susta</w:t>
      </w:r>
      <w:r w:rsidR="00F32D2F" w:rsidRPr="001B6443">
        <w:rPr>
          <w:rFonts w:ascii="Times New Roman" w:eastAsia="Calibri" w:hAnsi="Times New Roman" w:cs="Times New Roman"/>
          <w:color w:val="000000" w:themeColor="text1"/>
          <w:sz w:val="24"/>
          <w:szCs w:val="24"/>
          <w:lang w:val="en-US"/>
        </w:rPr>
        <w:t>inability</w:t>
      </w:r>
      <w:r w:rsidRPr="001B6443">
        <w:rPr>
          <w:rFonts w:ascii="Times New Roman" w:eastAsia="Calibri" w:hAnsi="Times New Roman" w:cs="Times New Roman"/>
          <w:color w:val="000000" w:themeColor="text1"/>
          <w:sz w:val="24"/>
          <w:szCs w:val="24"/>
          <w:lang w:val="en-US"/>
        </w:rPr>
        <w:t xml:space="preserve">. Empirically,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{"citationItems":[{"id":"ITEM-1","itemData":{"DOI":"10.1016/j.bar.2017.01.001","ISBN":"0198511973","ISSN":"10958347","abstract":"This study examines the effects of board characteristics and sustainable compensation policy on carbon reduction initiatives and greenhouse gas (GHG) emissions of a firm. We use firm fixed effect model to analyse data from 256 non-financial UK firms covering a period of 13 years (2002–2014). Our estimation results suggest that board independence and board gender diversity have positive associations with carbon reduction initiatives. In addition, environment-social-governance based compensation policy is found to be positively associated with carbon reduction initiatives. However, we do not find any relationship between corporate governance variables and GHG emissions of a firm. Overall, our evidence suggests that corporate boards and executive management tend to focus on a firm's process-oriented carbon performance, without improving actual carbon performance in the form of reduced GHG emissions. The findings have important implications for practitioners and policymakers with respect to the effectiveness of internal corporate governance mechanisms in addressing climate change risks, and possible linkage between corporate governance reform and carbon related policies.","author":[{"dropping-particle":"","family":"Haque","given":"Faizul","non-dropping-particle":"","parse-names":false,"suffix":""}],"container-title":"British Accounting Review","id":"ITEM-1","issue":"3","issued":{"date-parts":[["2017"]]},"page":"347-364","title":"The effects of board characteristics and sustainable compensation policy on carbon performance of UK firms","type":"article-journal","volume":"49"},"uris":["http://www.mendeley.com/documents/?uuid=746542a6-70c3-42dd-ac7d-e92ddd9b708b"]}],"mendeley":{"formattedCitation":"(Haque 2017)","manualFormatting":"Haque (2017)","plainTextFormattedCitation":"(Haque 2017)","previouslyFormattedCitation":"(Haque 2017)"},"properties":{"noteIndex":0},"schema":"https://github.com/citation-style-language/schema/raw/master/csl-citation.json"}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reports a positive relationship between BSCOM and carbon mitigation initiatives of UK companies. Similarly, </w:t>
      </w:r>
      <w:r w:rsidRPr="001B6443">
        <w:rPr>
          <w:rFonts w:ascii="Times New Roman" w:eastAsia="Calibri" w:hAnsi="Times New Roman" w:cs="Times New Roman"/>
          <w:noProof/>
          <w:color w:val="000000" w:themeColor="text1"/>
          <w:sz w:val="24"/>
          <w:szCs w:val="24"/>
          <w:lang w:val="en-US"/>
        </w:rPr>
        <w:t>Dixon-Fowler</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{"citationItems":[{"id":"ITEM-1","itemData":{"DOI":"10.1007/s10551-015-2664-7","ISBN":"9781109761504","ISSN":"15730697","abstract":"This study explores the relationship between board environmental committees and corporate environmental performance (CEP). We propose that board environmental committees will be positively associated with CEP. Moreover, we argue that the composition of the committee (i.e., stakeholder representation) as well as the presence of a sustainability manager will influence this relationship. Our results find support for a positive association between board environmental committees and CEP. Further, the presence of a senior-level environmental manager positively moderates this relationship, but is not effective in isolation. Unexpectedly, no support was found for the influences of stakeholder representation.","author":[{"dropping-particle":"","family":"Dixon-Fowler","given":"Heather R.","non-dropping-particle":"","parse-names":false,"suffix":""},{"dropping-particle":"","family":"Ellstrand","given":"Alan E.","non-dropping-particle":"","parse-names":false,"suffix":""},{"dropping-particle":"","family":"Johnson","given":"Jonathan L.","non-dropping-particle":"","parse-names":false,"suffix":""}],"container-title":"Journal of Business Ethics","id":"ITEM-1","issue":"3","issued":{"date-parts":[["2017"]]},"page":"423-438","title":"The Role of Board Environmental Committees in Corporate Environmental Performance","type":"article-journal","volume":"140"},"uris":["http://www.mendeley.com/documents/?uuid=bda04092-fd52-330f-9775-ff44447d71cb"]}],"mendeley":{"formattedCitation":"(Dixon-Fowler et al. 2017)","manualFormatting":"(2017)","plainTextFormattedCitation":"(Dixon-Fowler et al. 2017)","previouslyFormattedCitation":"(Dixon-Fowler et al. 2017)"},"properties":{"noteIndex":0},"schema":"https://github.com/citation-style-language/schema/raw/master/csl-citation.json"}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document that BSCOM has a positive impact on environmental performance by providing more effective monitoring function in the context of S&amp;P 500 companies. </w:t>
      </w:r>
    </w:p>
    <w:p w14:paraId="1BB0CB31"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686FD836" w14:textId="4BD6EB9B"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However, the </w:t>
      </w:r>
      <w:r w:rsidR="007C7A5B" w:rsidRPr="001B6443">
        <w:rPr>
          <w:rFonts w:ascii="Times New Roman" w:eastAsia="Calibri" w:hAnsi="Times New Roman" w:cs="Times New Roman"/>
          <w:color w:val="000000" w:themeColor="text1"/>
          <w:sz w:val="24"/>
          <w:szCs w:val="24"/>
          <w:lang w:val="en-US"/>
        </w:rPr>
        <w:t>symbolic legitimation</w:t>
      </w:r>
      <w:r w:rsidRPr="001B6443">
        <w:rPr>
          <w:rFonts w:ascii="Times New Roman" w:eastAsia="Calibri" w:hAnsi="Times New Roman" w:cs="Times New Roman"/>
          <w:color w:val="000000" w:themeColor="text1"/>
          <w:sz w:val="24"/>
          <w:szCs w:val="24"/>
          <w:lang w:val="en-US"/>
        </w:rPr>
        <w:t xml:space="preserve"> view argues that firms adopt governance mechanisms and engage in environmental initiatives under a symbolic approach to protect legitimacy and manage stakeholders’ concerns on environmental issues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Ethics","id":"ITEM-1","issue":"1","issued":{"date-parts":[["2013"]]},"page":"107-129","title":"Is Environmental Governance Substantive or Symbolic? An Empirical Investigation","type":"article-journal","volume":"114"},"uris":["http://www.mendeley.com/documents/?uuid=bcfc4f76-3182-48c5-9d31-2e69b7ab531a"]},{"id":"ITEM-2","itemData":{"DOI":"10.1111/1467-8551.12395","ISSN":"14678551","abstract":"We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 Rodrigue et al. 2013)","manualFormatting":"(Haque and Ntim, 2020; Rodrigue et al., 2013)","plainTextFormattedCitation":"(Haque and Ntim 2020; Rodrigue et al. 2013)","previouslyFormattedCitation":"(Haque and Ntim 2020; Rodrigue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and Ntim, 2020; Rodrigue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91095D" w:rsidRPr="001B6443">
        <w:rPr>
          <w:rFonts w:ascii="Times New Roman" w:eastAsia="Calibri" w:hAnsi="Times New Roman" w:cs="Times New Roman"/>
          <w:color w:val="000000" w:themeColor="text1"/>
          <w:sz w:val="24"/>
          <w:szCs w:val="24"/>
          <w:lang w:val="en-US"/>
        </w:rPr>
        <w:t xml:space="preserve">In this regard, BSCOM may serve as an impression management tool to manage stakeholders’ concerns on climate change, protect reputation, and enhance legitimacy </w:t>
      </w:r>
      <w:r w:rsidR="0091095D"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{"citationItems":[{"id":"ITEM-1","itemData":{"DOI":"10.1287/orsc.1.2.177","ISSN":"1047-7039","abstract":"Organizations require legitimacy to attract constituents' support. Legitimacy, however, is always problematic. Thus, organizations frequently pursue legitimacy through a variety of substantive and symbolic practices. But legitimacy is a social judgment that is ultimately accorded the organization by its constituents. Organizations that pursue this judgment run the risk of \"protesting too much\"—of being perceived as precisely the opposite; manipulative and illegitimate. Such organizations include: (1) the clumsy actor, perceived as unethical, heavy- handed, or insensitive, (2) the nervous actor, perceived as dogmatic, intolerant, or evasive, and (3) the overacting actor, perceived to overstate claims to legitimacy or overreact to faults. The analysis suggests that attempts to increase legitimacy may trigger a series of vicious circles which ultimately decrease legitimacy","author":[{"dropping-particle":"","family":"Ashforth","given":"Blake E.","non-dropping-particle":"","parse-names":false,"suffix":""},{"dropping-particle":"","family":"Gibbs","given":"Barrie W.","non-dropping-particle":"","parse-names":false,"suffix":""}],"container-title":"Organization Science","id":"ITEM-1","issue":"2","issued":{"date-parts":[["1990","5"]]},"page":"177-194","publisher":"Institute for Operations Research and the Management Sciences (INFORMS)","title":"The Double-Edge of Organizational Legitimation","type":"article-journal","volume":"1"},"uris":["http://www.mendeley.com/documents/?uuid=a1aab867-9285-30e6-b578-fd33459eb118"]}],"mendeley":{"formattedCitation":"(Ashforth and Gibbs 1990)","manualFormatting":"(Ashforth and Gibbs, 1990)","plainTextFormattedCitation":"(Ashforth and Gibbs 1990)","previouslyFormattedCitation":"(Ashforth and Gibbs 1990)"},"properties":{"noteIndex":0},"schema":"https://github.com/citation-style-language/schema/raw/master/csl-citation.json"}</w:instrText>
      </w:r>
      <w:r w:rsidR="0091095D" w:rsidRPr="001B6443">
        <w:rPr>
          <w:rFonts w:ascii="Times New Roman" w:eastAsia="Calibri" w:hAnsi="Times New Roman" w:cs="Times New Roman"/>
          <w:color w:val="000000" w:themeColor="text1"/>
          <w:sz w:val="24"/>
          <w:szCs w:val="24"/>
          <w:lang w:val="en-US"/>
        </w:rPr>
        <w:fldChar w:fldCharType="separate"/>
      </w:r>
      <w:r w:rsidR="0091095D" w:rsidRPr="001B6443">
        <w:rPr>
          <w:rFonts w:ascii="Times New Roman" w:eastAsia="Calibri" w:hAnsi="Times New Roman" w:cs="Times New Roman"/>
          <w:noProof/>
          <w:color w:val="000000" w:themeColor="text1"/>
          <w:sz w:val="24"/>
          <w:szCs w:val="24"/>
          <w:lang w:val="en-US"/>
        </w:rPr>
        <w:t>(Ashforth and Gibbs</w:t>
      </w:r>
      <w:r w:rsidR="00572F1C" w:rsidRPr="001B6443">
        <w:rPr>
          <w:rFonts w:ascii="Times New Roman" w:eastAsia="Calibri" w:hAnsi="Times New Roman" w:cs="Times New Roman"/>
          <w:noProof/>
          <w:color w:val="000000" w:themeColor="text1"/>
          <w:sz w:val="24"/>
          <w:szCs w:val="24"/>
          <w:lang w:val="en-US"/>
        </w:rPr>
        <w:t>,</w:t>
      </w:r>
      <w:r w:rsidR="0091095D" w:rsidRPr="001B6443">
        <w:rPr>
          <w:rFonts w:ascii="Times New Roman" w:eastAsia="Calibri" w:hAnsi="Times New Roman" w:cs="Times New Roman"/>
          <w:noProof/>
          <w:color w:val="000000" w:themeColor="text1"/>
          <w:sz w:val="24"/>
          <w:szCs w:val="24"/>
          <w:lang w:val="en-US"/>
        </w:rPr>
        <w:t xml:space="preserve"> 1990)</w:t>
      </w:r>
      <w:r w:rsidR="0091095D" w:rsidRPr="001B6443">
        <w:rPr>
          <w:rFonts w:ascii="Times New Roman" w:eastAsia="Calibri" w:hAnsi="Times New Roman" w:cs="Times New Roman"/>
          <w:color w:val="000000" w:themeColor="text1"/>
          <w:sz w:val="24"/>
          <w:szCs w:val="24"/>
          <w:lang w:val="en-US"/>
        </w:rPr>
        <w:fldChar w:fldCharType="end"/>
      </w:r>
      <w:r w:rsidR="0091095D"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For example,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{"citationItems":[{"id":"ITEM-1","itemData":{"DOI":"10.1002/smj.1952","ISBN":"1097-0266","ISSN":"01432095","PMID":"31767271","abstract":"Like governance structure and alliance scope, partner selection may serve to safeguard firms’ intellectual assets in R&amp;D alliances. We categorize potential alliance partners into friends, acquaintances, and strangers, depending on their previous alliance experience. Data on 1,159 R&amp;D alliances indicate that the more radical an alliance’s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alliances.","author":[{"dropping-particle":"","family":"Walls","given":"Judith L.","non-dropping-particle":"","parse-names":false,"suffix":""},{"dropping-particle":"","family":"Berrone","given":"Pascual","non-dropping-particle":"","parse-names":false,"suffix":""},{"dropping-particle":"","family":"Phan","given":"Phillip H.","non-dropping-particle":"","parse-names":false,"suffix":""}],"container-title":"Strategic Management Journal","id":"ITEM-1","issue":"8","issued":{"date-parts":[["2012"]]},"page":"885-913","title":"Corporate governance and environmental performance: Is there really a link?","type":"article-journal","volume":"33"},"uris":["http://www.mendeley.com/documents/?uuid=48f13855-f0f7-4cab-b5b5-37a88c5d07a2"]}],"mendeley":{"formattedCitation":"(Walls et al. 2012)","manualFormatting":"Walls et al. (2012)","plainTextFormattedCitation":"(Walls et al. 2012)","previouslyFormattedCitation":"(Walls et al. 2012)"},"properties":{"noteIndex":0},"schema":"https://github.com/citation-style-language/schema/raw/master/csl-citation.json"}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Walls</w:t>
      </w:r>
      <w:r w:rsidR="00D3019E" w:rsidRPr="001B6443">
        <w:rPr>
          <w:rFonts w:ascii="Times New Roman" w:eastAsia="Calibri" w:hAnsi="Times New Roman" w:cs="Times New Roman"/>
          <w:noProof/>
          <w:color w:val="000000" w:themeColor="text1"/>
          <w:sz w:val="24"/>
          <w:szCs w:val="24"/>
          <w:lang w:val="en-US"/>
        </w:rPr>
        <w:t xml:space="preserve"> </w:t>
      </w:r>
      <w:r w:rsidR="00D3019E" w:rsidRPr="001B6443">
        <w:rPr>
          <w:rFonts w:ascii="Times New Roman" w:eastAsia="Calibri" w:hAnsi="Times New Roman" w:cs="Times New Roman"/>
          <w:i/>
          <w:iCs/>
          <w:noProof/>
          <w:color w:val="000000" w:themeColor="text1"/>
          <w:sz w:val="24"/>
          <w:szCs w:val="24"/>
          <w:lang w:val="en-US"/>
        </w:rPr>
        <w:t>et al</w:t>
      </w:r>
      <w:r w:rsidR="00D3019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(2012)</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report that BSCOM is positively related to environmental concerns and conclude that firms facing greater environmental risks use BSCOM as a risk management tool.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Ethics","id":"ITEM-1","issue":"1","issued":{"date-parts":[["2013"]]},"page":"107-129","title":"Is Environmental Governance Substantive or Symbolic? An Empirical Investigation","type":"article-journal","volume":"114"},"uris":["http://www.mendeley.com/documents/?uuid=11168b68-825c-4070-a02d-65763cc23af2"]}],"mendeley":{"formattedCitation":"(Rodrigue et al. 2013)","manualFormatting":"Rodrigue et al. (2013)","plainTextFormattedCitation":"(Rodrigue et al. 2013)","previouslyFormattedCitation":"(Rodrigue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Rodrigue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(2013)</w:t>
      </w:r>
      <w:r w:rsidRPr="001B6443">
        <w:rPr>
          <w:rFonts w:ascii="Times New Roman" w:eastAsia="Calibri" w:hAnsi="Times New Roman" w:cs="Times New Roman"/>
          <w:color w:val="000000" w:themeColor="text1"/>
          <w:sz w:val="24"/>
          <w:szCs w:val="24"/>
          <w:lang w:val="en-US"/>
        </w:rPr>
        <w:fldChar w:fldCharType="end"/>
      </w:r>
      <w:r w:rsidR="00027FD8" w:rsidRPr="001B6443">
        <w:rPr>
          <w:rFonts w:ascii="Times New Roman" w:eastAsia="Calibri" w:hAnsi="Times New Roman" w:cs="Times New Roman"/>
          <w:color w:val="000000" w:themeColor="text1"/>
          <w:sz w:val="24"/>
          <w:szCs w:val="24"/>
          <w:lang w:val="en-US"/>
        </w:rPr>
        <w:t xml:space="preserve"> provide evidence that BSCOM is </w:t>
      </w:r>
      <w:r w:rsidRPr="001B6443">
        <w:rPr>
          <w:rFonts w:ascii="Times New Roman" w:eastAsia="Calibri" w:hAnsi="Times New Roman" w:cs="Times New Roman"/>
          <w:color w:val="000000" w:themeColor="text1"/>
          <w:sz w:val="24"/>
          <w:szCs w:val="24"/>
          <w:lang w:val="en-US"/>
        </w:rPr>
        <w:t xml:space="preserve">established symbolically to manage shareholder perceptions, and therefore, their role in improving environmental performance is limited. In a similar vein,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Performance","type":"article-journal","volume":"154"},"uris":["http://www.mendeley.com/documents/?uuid=73547ce0-856e-39c4-9675-abc201661377"]}],"mendeley":{"formattedCitation":"(Burke et al. 2019)","manualFormatting":"Burke et al. (2019)","plainTextFormattedCitation":"(Burke et al. 2019)","previouslyFormattedCitation":"(Burke et al. 2019)"},"properties":{"noteIndex":0},"schema":"https://github.com/citation-style-language/schema/raw/master/csl-citation.json"}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Burke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(2019)</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argue that BSCOM is a symbolic mechanism to enhance accountability toward stakeholder groups and does not mitigate sustainability-related risks, thus supporting the notion that such committees are mainly established to protect </w:t>
      </w:r>
      <w:r w:rsidR="000E7A3E" w:rsidRPr="001B6443">
        <w:rPr>
          <w:rFonts w:ascii="Times New Roman" w:eastAsia="Calibri" w:hAnsi="Times New Roman" w:cs="Times New Roman"/>
          <w:color w:val="000000" w:themeColor="text1"/>
          <w:sz w:val="24"/>
          <w:szCs w:val="24"/>
          <w:lang w:val="en-US"/>
        </w:rPr>
        <w:t xml:space="preserve">MV </w:t>
      </w:r>
      <w:r w:rsidRPr="001B6443">
        <w:rPr>
          <w:rFonts w:ascii="Times New Roman" w:eastAsia="Calibri" w:hAnsi="Times New Roman" w:cs="Times New Roman"/>
          <w:color w:val="000000" w:themeColor="text1"/>
          <w:sz w:val="24"/>
          <w:szCs w:val="24"/>
          <w:lang w:val="en-US"/>
        </w:rPr>
        <w:t xml:space="preserve">from sustainability risks. </w:t>
      </w:r>
    </w:p>
    <w:p w14:paraId="25C67F6A"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4B12B948" w14:textId="1A9A0411"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Together, it is argued that even though sustainability committees are a critical determinant of environmental initiatives/strategies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strategy","type":"article-journal","volume":"29"},"uris":["http://www.mendeley.com/documents/?uuid=05434146-b776-3687-93bb-7d50ecedde5c"]},{"id":"ITEM-2","itemData":{"DOI":"10.1111/j.1467-8683.2007.00623.x","ISBN":"09648410","ISSN":"14678683","PMID":"26771387","abstract":"Boards of large UK companies are devoting more time to the governance of corporate social responsibility (CSR). This is in line with the Combined Code on Corporate Governance's requirement that boards set standards and values for companies and ensure they meet their social obligations. But is board activity in this area as effective as it could be at achieving corporate compliance with CSR standards? This paper draws on the economic literature to offer an analysis of the primary causes of breaches of corporate responsibility standards. Based on a small survey of the board CSR activities of 20 of Britain's largest companies, it assesses whether boards are addressing these causes effectively. The tentative conclusion is that board activity might usefully be reoriented to do more to address the fundamental incentives problems that often cause corporate responsibility failures, namely market failure and misaligned performance management systems.","author":[{"dropping-particle":"","family":"Mackenzie","given":"Craig","non-dropping-particle":"","parse-names":false,"suffix":""}],"container-title":"Corporate Governance: An International Review","id":"ITEM-2","issue":"5","issued":{"date-parts":[["2007"]]},"page":"935-943","title":"Boards, incentives and corporate social responsibility: The case for a change of emphasis","type":"article-journal","volume":"15"},"uris":["http://www.mendeley.com/documents/?uuid=c6ceec45-0844-3ce0-9c2b-a9596e662c28"]}],"mendeley":{"formattedCitation":"(Mackenzie 2007; Orazalin 2020)","manualFormatting":"(Mackenzie, 2007; Orazalin, 2020)","plainTextFormattedCitation":"(Mackenzie 2007; Orazalin 2020)","previouslyFormattedCitation":"(Mackenzie 2007; 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(Mackenzie, 2007; Orazalin,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the design of those </w:t>
      </w:r>
      <w:r w:rsidRPr="001B6443">
        <w:rPr>
          <w:rFonts w:ascii="Times New Roman" w:eastAsia="Calibri" w:hAnsi="Times New Roman" w:cs="Times New Roman"/>
          <w:color w:val="000000" w:themeColor="text1"/>
          <w:sz w:val="24"/>
          <w:szCs w:val="24"/>
          <w:lang w:val="en-US"/>
        </w:rPr>
        <w:lastRenderedPageBreak/>
        <w:t xml:space="preserve">committees and their impacts on climate change-related activities are mainly driven by economic motives of managers and shareholders </w:t>
      </w:r>
      <w:r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Ethics","id":"ITEM-2","issue":"1","issued":{"date-parts":[["2013"]]},"page":"107-129","title":"Is Environmental Governance Substantive or Symbolic? An Empirical Investigation","type":"article-journal","volume":"114"},"uris":["http://www.mendeley.com/documents/?uuid=bcfc4f76-3182-48c5-9d31-2e69b7ab531a"]}],"mendeley":{"formattedCitation":"(Burke et al. 2019; Rodrigue et al. 2013)","manualFormatting":"(Burke et al., 2019; Rodrigue et al., 2013)","plainTextFormattedCitation":"(Burke et al. 2019; Rodrigue et al. 2013)","previouslyFormattedCitation":"(Burke et al. 2019; Rodrigue et al. 2013)"},"properties":{"noteIndex":0},"schema":"https://github.com/citation-style-language/schema/raw/master/csl-citation.json"}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(Burke</w:t>
      </w:r>
      <w:r w:rsidR="00D9108F" w:rsidRPr="001B6443">
        <w:rPr>
          <w:rFonts w:ascii="Times New Roman" w:eastAsia="Calibri" w:hAnsi="Times New Roman" w:cs="Times New Roman"/>
          <w:noProof/>
          <w:color w:val="000000" w:themeColor="text1"/>
          <w:sz w:val="24"/>
          <w:szCs w:val="24"/>
          <w:lang w:val="en-US"/>
        </w:rPr>
        <w:t xml:space="preserve"> </w:t>
      </w:r>
      <w:r w:rsidR="00D9108F" w:rsidRPr="001B6443">
        <w:rPr>
          <w:rFonts w:ascii="Times New Roman" w:eastAsia="Calibri" w:hAnsi="Times New Roman" w:cs="Times New Roman"/>
          <w:i/>
          <w:iCs/>
          <w:noProof/>
          <w:color w:val="000000" w:themeColor="text1"/>
          <w:sz w:val="24"/>
          <w:szCs w:val="24"/>
          <w:lang w:val="en-US"/>
        </w:rPr>
        <w:t>et al</w:t>
      </w:r>
      <w:r w:rsidR="00D9108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2019; Rodrigue</w:t>
      </w:r>
      <w:r w:rsidR="00D9108F" w:rsidRPr="001B6443">
        <w:rPr>
          <w:rFonts w:ascii="Times New Roman" w:eastAsia="Calibri" w:hAnsi="Times New Roman" w:cs="Times New Roman"/>
          <w:noProof/>
          <w:color w:val="000000" w:themeColor="text1"/>
          <w:sz w:val="24"/>
          <w:szCs w:val="24"/>
          <w:lang w:val="en-US"/>
        </w:rPr>
        <w:t xml:space="preserve"> </w:t>
      </w:r>
      <w:r w:rsidR="00B51FFE" w:rsidRPr="001B6443">
        <w:rPr>
          <w:rFonts w:ascii="Times New Roman" w:eastAsia="Calibri" w:hAnsi="Times New Roman" w:cs="Times New Roman"/>
          <w:i/>
          <w:iCs/>
          <w:noProof/>
          <w:color w:val="000000" w:themeColor="text1"/>
          <w:sz w:val="24"/>
          <w:szCs w:val="24"/>
          <w:lang w:val="en-US"/>
        </w:rPr>
        <w:t>et al</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2013)</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6D5124" w:rsidRPr="001B6443">
        <w:rPr>
          <w:rFonts w:ascii="Times New Roman" w:eastAsia="Calibri" w:hAnsi="Times New Roman" w:cs="Times New Roman"/>
          <w:color w:val="000000" w:themeColor="text1"/>
          <w:sz w:val="24"/>
          <w:szCs w:val="24"/>
          <w:lang w:val="en-US"/>
        </w:rPr>
        <w:t xml:space="preserve">Thus, </w:t>
      </w:r>
      <w:r w:rsidR="00027FD8" w:rsidRPr="001B6443">
        <w:rPr>
          <w:rFonts w:ascii="Times New Roman" w:eastAsia="Calibri" w:hAnsi="Times New Roman" w:cs="Times New Roman"/>
          <w:color w:val="000000" w:themeColor="text1"/>
          <w:sz w:val="24"/>
          <w:szCs w:val="24"/>
          <w:lang w:val="en-US"/>
        </w:rPr>
        <w:t xml:space="preserve">based on the above discussion, which </w:t>
      </w:r>
      <w:r w:rsidR="00EE4FEB" w:rsidRPr="001B6443">
        <w:rPr>
          <w:rFonts w:ascii="Times New Roman" w:eastAsia="Calibri" w:hAnsi="Times New Roman" w:cs="Times New Roman"/>
          <w:color w:val="000000" w:themeColor="text1"/>
          <w:sz w:val="24"/>
          <w:szCs w:val="24"/>
          <w:lang w:val="en-US"/>
        </w:rPr>
        <w:t>emphasizes</w:t>
      </w:r>
      <w:r w:rsidR="00027FD8" w:rsidRPr="001B6443">
        <w:rPr>
          <w:rFonts w:ascii="Times New Roman" w:eastAsia="Calibri" w:hAnsi="Times New Roman" w:cs="Times New Roman"/>
          <w:color w:val="000000" w:themeColor="text1"/>
          <w:sz w:val="24"/>
          <w:szCs w:val="24"/>
          <w:lang w:val="en-US"/>
        </w:rPr>
        <w:t xml:space="preserve"> the importance of BSCOM in </w:t>
      </w:r>
      <w:r w:rsidR="00E20716" w:rsidRPr="001B6443">
        <w:rPr>
          <w:rFonts w:ascii="Times New Roman" w:eastAsia="Calibri" w:hAnsi="Times New Roman" w:cs="Times New Roman"/>
          <w:color w:val="000000" w:themeColor="text1"/>
          <w:sz w:val="24"/>
          <w:szCs w:val="24"/>
          <w:lang w:val="en-US"/>
        </w:rPr>
        <w:t xml:space="preserve">promoting sustainability practices, </w:t>
      </w:r>
      <w:r w:rsidR="00EE4FEB" w:rsidRPr="001B6443">
        <w:rPr>
          <w:rFonts w:ascii="Times New Roman" w:eastAsia="Calibri" w:hAnsi="Times New Roman" w:cs="Times New Roman"/>
          <w:color w:val="000000" w:themeColor="text1"/>
          <w:sz w:val="24"/>
          <w:szCs w:val="24"/>
          <w:lang w:val="en-US"/>
        </w:rPr>
        <w:t>addressing climate change issues</w:t>
      </w:r>
      <w:r w:rsidR="003E404B" w:rsidRPr="001B6443">
        <w:rPr>
          <w:rFonts w:ascii="Times New Roman" w:eastAsia="Calibri" w:hAnsi="Times New Roman" w:cs="Times New Roman"/>
          <w:color w:val="000000" w:themeColor="text1"/>
          <w:sz w:val="24"/>
          <w:szCs w:val="24"/>
          <w:lang w:val="en-US"/>
        </w:rPr>
        <w:t xml:space="preserve">, protecting legitimacy, </w:t>
      </w:r>
      <w:r w:rsidR="00E20716" w:rsidRPr="001B6443">
        <w:rPr>
          <w:rFonts w:ascii="Times New Roman" w:eastAsia="Calibri" w:hAnsi="Times New Roman" w:cs="Times New Roman"/>
          <w:color w:val="000000" w:themeColor="text1"/>
          <w:sz w:val="24"/>
          <w:szCs w:val="24"/>
          <w:lang w:val="en-US"/>
        </w:rPr>
        <w:t xml:space="preserve">and </w:t>
      </w:r>
      <w:r w:rsidR="003E404B" w:rsidRPr="001B6443">
        <w:rPr>
          <w:rFonts w:ascii="Times New Roman" w:eastAsia="Calibri" w:hAnsi="Times New Roman" w:cs="Times New Roman"/>
          <w:color w:val="000000" w:themeColor="text1"/>
          <w:sz w:val="24"/>
          <w:szCs w:val="24"/>
          <w:lang w:val="en-US"/>
        </w:rPr>
        <w:t>managing stakeholder impressions,</w:t>
      </w:r>
      <w:r w:rsidR="00E20716" w:rsidRPr="001B6443">
        <w:rPr>
          <w:rFonts w:ascii="Times New Roman" w:eastAsia="Calibri" w:hAnsi="Times New Roman" w:cs="Times New Roman"/>
          <w:color w:val="000000" w:themeColor="text1"/>
          <w:sz w:val="24"/>
          <w:szCs w:val="24"/>
          <w:lang w:val="en-US"/>
        </w:rPr>
        <w:t xml:space="preserve"> </w:t>
      </w:r>
      <w:r w:rsidR="00027FD8" w:rsidRPr="001B6443">
        <w:rPr>
          <w:rFonts w:ascii="Times New Roman" w:eastAsia="Calibri" w:hAnsi="Times New Roman" w:cs="Times New Roman"/>
          <w:color w:val="000000" w:themeColor="text1"/>
          <w:sz w:val="24"/>
          <w:szCs w:val="24"/>
          <w:lang w:val="en-US"/>
        </w:rPr>
        <w:t xml:space="preserve">we expect </w:t>
      </w:r>
      <w:r w:rsidR="003E404B" w:rsidRPr="001B6443">
        <w:rPr>
          <w:rFonts w:ascii="Times New Roman" w:eastAsia="Calibri" w:hAnsi="Times New Roman" w:cs="Times New Roman"/>
          <w:color w:val="000000" w:themeColor="text1"/>
          <w:sz w:val="24"/>
          <w:szCs w:val="24"/>
          <w:lang w:val="en-US"/>
        </w:rPr>
        <w:t xml:space="preserve">that the presence of BSCOM is likely to </w:t>
      </w:r>
      <w:r w:rsidR="00EE4FEB" w:rsidRPr="001B6443">
        <w:rPr>
          <w:rFonts w:ascii="Times New Roman" w:eastAsia="Calibri" w:hAnsi="Times New Roman" w:cs="Times New Roman"/>
          <w:color w:val="000000" w:themeColor="text1"/>
          <w:sz w:val="24"/>
          <w:szCs w:val="24"/>
          <w:lang w:val="en-US"/>
        </w:rPr>
        <w:t>influence</w:t>
      </w:r>
      <w:r w:rsidR="003E404B" w:rsidRPr="001B6443">
        <w:rPr>
          <w:rFonts w:ascii="Times New Roman" w:eastAsia="Calibri" w:hAnsi="Times New Roman" w:cs="Times New Roman"/>
          <w:color w:val="000000" w:themeColor="text1"/>
          <w:sz w:val="24"/>
          <w:szCs w:val="24"/>
          <w:lang w:val="en-US"/>
        </w:rPr>
        <w:t xml:space="preserve"> the impact </w:t>
      </w:r>
      <w:r w:rsidR="00027FD8" w:rsidRPr="001B6443">
        <w:rPr>
          <w:rFonts w:ascii="Times New Roman" w:eastAsia="Calibri" w:hAnsi="Times New Roman" w:cs="Times New Roman"/>
          <w:color w:val="000000" w:themeColor="text1"/>
          <w:sz w:val="24"/>
          <w:szCs w:val="24"/>
          <w:lang w:val="en-US"/>
        </w:rPr>
        <w:t xml:space="preserve">of PCCIs on </w:t>
      </w:r>
      <w:r w:rsidR="003E404B"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color w:val="000000" w:themeColor="text1"/>
          <w:sz w:val="24"/>
          <w:szCs w:val="24"/>
          <w:lang w:val="en-US"/>
        </w:rPr>
        <w:t xml:space="preserve">Accordingly, </w:t>
      </w:r>
      <w:r w:rsidR="00381AF6" w:rsidRPr="001B6443">
        <w:rPr>
          <w:rFonts w:ascii="Times New Roman" w:eastAsia="Calibri" w:hAnsi="Times New Roman" w:cs="Times New Roman"/>
          <w:color w:val="000000" w:themeColor="text1"/>
          <w:sz w:val="24"/>
          <w:szCs w:val="24"/>
          <w:lang w:val="en-US"/>
        </w:rPr>
        <w:t xml:space="preserve">we construct </w:t>
      </w:r>
      <w:r w:rsidRPr="001B6443">
        <w:rPr>
          <w:rFonts w:ascii="Times New Roman" w:eastAsia="Calibri" w:hAnsi="Times New Roman" w:cs="Times New Roman"/>
          <w:color w:val="000000" w:themeColor="text1"/>
          <w:sz w:val="24"/>
          <w:szCs w:val="24"/>
          <w:lang w:val="en-US"/>
        </w:rPr>
        <w:t>the fol</w:t>
      </w:r>
      <w:r w:rsidR="00381AF6" w:rsidRPr="001B6443">
        <w:rPr>
          <w:rFonts w:ascii="Times New Roman" w:eastAsia="Calibri" w:hAnsi="Times New Roman" w:cs="Times New Roman"/>
          <w:color w:val="000000" w:themeColor="text1"/>
          <w:sz w:val="24"/>
          <w:szCs w:val="24"/>
          <w:lang w:val="en-US"/>
        </w:rPr>
        <w:t>lowing hypothesis</w:t>
      </w:r>
      <w:r w:rsidRPr="001B6443">
        <w:rPr>
          <w:rFonts w:ascii="Times New Roman" w:eastAsia="Calibri" w:hAnsi="Times New Roman" w:cs="Times New Roman"/>
          <w:color w:val="000000" w:themeColor="text1"/>
          <w:sz w:val="24"/>
          <w:szCs w:val="24"/>
          <w:lang w:val="en-US"/>
        </w:rPr>
        <w:t xml:space="preserve">:  </w:t>
      </w:r>
    </w:p>
    <w:p w14:paraId="285AECB4" w14:textId="2D5B841A" w:rsidR="00EC5A9C" w:rsidRPr="001B6443" w:rsidRDefault="00EC5A9C" w:rsidP="00EC5A9C">
      <w:pPr>
        <w:spacing w:line="480" w:lineRule="auto"/>
        <w:jc w:val="both"/>
        <w:rPr>
          <w:rFonts w:ascii="Times New Roman" w:eastAsia="Calibri" w:hAnsi="Times New Roman" w:cs="Times New Roman"/>
          <w:i/>
          <w:color w:val="000000" w:themeColor="text1"/>
          <w:sz w:val="24"/>
          <w:szCs w:val="24"/>
          <w:lang w:val="en-US"/>
        </w:rPr>
      </w:pPr>
      <w:r w:rsidRPr="001B6443">
        <w:rPr>
          <w:rFonts w:ascii="Times New Roman" w:eastAsia="Calibri" w:hAnsi="Times New Roman" w:cs="Times New Roman"/>
          <w:b/>
          <w:i/>
          <w:color w:val="000000" w:themeColor="text1"/>
          <w:sz w:val="24"/>
          <w:szCs w:val="24"/>
          <w:lang w:val="en-US"/>
        </w:rPr>
        <w:t>H4</w:t>
      </w:r>
      <w:r w:rsidR="006B3DCE" w:rsidRPr="001B6443">
        <w:rPr>
          <w:rFonts w:ascii="Times New Roman" w:eastAsia="Calibri" w:hAnsi="Times New Roman" w:cs="Times New Roman"/>
          <w:i/>
          <w:color w:val="000000" w:themeColor="text1"/>
          <w:sz w:val="24"/>
          <w:szCs w:val="24"/>
          <w:lang w:val="en-US"/>
        </w:rPr>
        <w:t xml:space="preserve">: </w:t>
      </w:r>
      <w:r w:rsidRPr="001B6443">
        <w:rPr>
          <w:rFonts w:ascii="Times New Roman" w:eastAsia="Calibri" w:hAnsi="Times New Roman" w:cs="Times New Roman"/>
          <w:i/>
          <w:color w:val="000000" w:themeColor="text1"/>
          <w:sz w:val="24"/>
          <w:szCs w:val="24"/>
          <w:lang w:val="en-US"/>
        </w:rPr>
        <w:t xml:space="preserve">BSCOM moderates the relationship between </w:t>
      </w:r>
      <w:r w:rsidR="002E38F7" w:rsidRPr="001B6443">
        <w:rPr>
          <w:rFonts w:ascii="Times New Roman" w:eastAsia="Calibri" w:hAnsi="Times New Roman" w:cs="Times New Roman"/>
          <w:i/>
          <w:color w:val="000000" w:themeColor="text1"/>
          <w:sz w:val="24"/>
          <w:szCs w:val="24"/>
          <w:lang w:val="en-US"/>
        </w:rPr>
        <w:t>PCCIs and CCPE</w:t>
      </w:r>
      <w:r w:rsidRPr="001B6443">
        <w:rPr>
          <w:rFonts w:ascii="Times New Roman" w:eastAsia="Calibri" w:hAnsi="Times New Roman" w:cs="Times New Roman"/>
          <w:i/>
          <w:color w:val="000000" w:themeColor="text1"/>
          <w:sz w:val="24"/>
          <w:szCs w:val="24"/>
          <w:lang w:val="en-US"/>
        </w:rPr>
        <w:t xml:space="preserve">. </w:t>
      </w:r>
    </w:p>
    <w:p w14:paraId="43377E4C" w14:textId="38E7849A"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ab/>
      </w:r>
      <w:r w:rsidRPr="001B6443">
        <w:rPr>
          <w:rFonts w:ascii="Times New Roman" w:eastAsia="Calibri" w:hAnsi="Times New Roman" w:cs="Times New Roman"/>
          <w:color w:val="000000" w:themeColor="text1"/>
          <w:sz w:val="24"/>
          <w:szCs w:val="24"/>
          <w:lang w:val="en-US"/>
        </w:rPr>
        <w:tab/>
      </w:r>
      <w:r w:rsidRPr="001B6443">
        <w:rPr>
          <w:rFonts w:ascii="Times New Roman" w:eastAsia="Calibri" w:hAnsi="Times New Roman" w:cs="Times New Roman"/>
          <w:color w:val="000000" w:themeColor="text1"/>
          <w:sz w:val="24"/>
          <w:szCs w:val="24"/>
          <w:lang w:val="en-US"/>
        </w:rPr>
        <w:tab/>
      </w:r>
      <w:r w:rsidRPr="001B6443">
        <w:rPr>
          <w:rFonts w:ascii="Times New Roman" w:eastAsia="Calibri" w:hAnsi="Times New Roman" w:cs="Times New Roman"/>
          <w:color w:val="000000" w:themeColor="text1"/>
          <w:sz w:val="24"/>
          <w:szCs w:val="24"/>
          <w:lang w:val="en-US"/>
        </w:rPr>
        <w:tab/>
      </w:r>
    </w:p>
    <w:p w14:paraId="42F4F955" w14:textId="5251852C"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Figure 1 presents the conceptual framework, outlining the predicted relationships am</w:t>
      </w:r>
      <w:r w:rsidR="00FE1D7D" w:rsidRPr="001B6443">
        <w:rPr>
          <w:rFonts w:ascii="Times New Roman" w:eastAsia="Calibri" w:hAnsi="Times New Roman" w:cs="Times New Roman"/>
          <w:color w:val="000000" w:themeColor="text1"/>
          <w:sz w:val="24"/>
          <w:szCs w:val="24"/>
          <w:lang w:val="en-US"/>
        </w:rPr>
        <w:t>ong CCPE, PCCIs, MV, and BSCOM. I</w:t>
      </w:r>
      <w:r w:rsidRPr="001B6443">
        <w:rPr>
          <w:rFonts w:ascii="Times New Roman" w:eastAsia="Calibri" w:hAnsi="Times New Roman" w:cs="Times New Roman"/>
          <w:color w:val="000000" w:themeColor="text1"/>
          <w:sz w:val="24"/>
          <w:szCs w:val="24"/>
          <w:lang w:val="en-US"/>
        </w:rPr>
        <w:t xml:space="preserve">t shows the direct effects of CCPE and PCCIs on MV, the direct effect of </w:t>
      </w:r>
      <w:r w:rsidR="004839E0" w:rsidRPr="001B6443">
        <w:rPr>
          <w:rFonts w:ascii="Times New Roman" w:eastAsia="Calibri" w:hAnsi="Times New Roman" w:cs="Times New Roman"/>
          <w:color w:val="000000" w:themeColor="text1"/>
          <w:sz w:val="24"/>
          <w:szCs w:val="24"/>
          <w:lang w:val="en-US"/>
        </w:rPr>
        <w:t>PCCIs on CCPE</w:t>
      </w:r>
      <w:r w:rsidRPr="001B6443">
        <w:rPr>
          <w:rFonts w:ascii="Times New Roman" w:eastAsia="Calibri" w:hAnsi="Times New Roman" w:cs="Times New Roman"/>
          <w:color w:val="000000" w:themeColor="text1"/>
          <w:sz w:val="24"/>
          <w:szCs w:val="24"/>
          <w:lang w:val="en-US"/>
        </w:rPr>
        <w:t>, and the moderating effects of BSCOM on these relationships.</w:t>
      </w:r>
    </w:p>
    <w:p w14:paraId="4B0E15E8" w14:textId="77777777" w:rsidR="00EC5A9C" w:rsidRPr="001B6443" w:rsidRDefault="00EC5A9C" w:rsidP="00EC5A9C">
      <w:pPr>
        <w:spacing w:after="0" w:line="480" w:lineRule="auto"/>
        <w:jc w:val="both"/>
        <w:rPr>
          <w:rFonts w:ascii="Times New Roman" w:eastAsia="Calibri" w:hAnsi="Times New Roman" w:cs="Times New Roman"/>
          <w:i/>
          <w:color w:val="000000" w:themeColor="text1"/>
          <w:sz w:val="24"/>
          <w:szCs w:val="24"/>
          <w:lang w:val="en-US"/>
        </w:rPr>
      </w:pPr>
    </w:p>
    <w:p w14:paraId="766B51ED" w14:textId="77777777" w:rsidR="006E528D" w:rsidRPr="001B6443" w:rsidRDefault="006E528D" w:rsidP="00EC5A9C">
      <w:pPr>
        <w:spacing w:after="0" w:line="480" w:lineRule="auto"/>
        <w:jc w:val="both"/>
        <w:rPr>
          <w:rFonts w:ascii="Times New Roman" w:eastAsia="Calibri" w:hAnsi="Times New Roman" w:cs="Times New Roman"/>
          <w:i/>
          <w:color w:val="000000" w:themeColor="text1"/>
          <w:sz w:val="24"/>
          <w:szCs w:val="24"/>
          <w:lang w:val="en-US"/>
        </w:rPr>
      </w:pPr>
    </w:p>
    <w:p w14:paraId="0E32D97A" w14:textId="77777777" w:rsidR="00EC5A9C" w:rsidRPr="001B6443" w:rsidRDefault="00EC5A9C" w:rsidP="00EC5A9C">
      <w:pPr>
        <w:numPr>
          <w:ilvl w:val="0"/>
          <w:numId w:val="5"/>
        </w:numPr>
        <w:spacing w:after="0" w:line="480" w:lineRule="auto"/>
        <w:ind w:left="567" w:hanging="567"/>
        <w:outlineLvl w:val="0"/>
        <w:rPr>
          <w:rFonts w:ascii="Times New Roman" w:eastAsia="Times New Roman" w:hAnsi="Times New Roman" w:cs="Times New Roman"/>
          <w:b/>
          <w:bCs/>
          <w:color w:val="000000" w:themeColor="text1"/>
          <w:kern w:val="36"/>
          <w:sz w:val="24"/>
          <w:szCs w:val="24"/>
          <w:lang w:eastAsia="ru-RU"/>
        </w:rPr>
      </w:pPr>
      <w:r w:rsidRPr="001B6443">
        <w:rPr>
          <w:rFonts w:ascii="Times New Roman" w:eastAsia="Times New Roman" w:hAnsi="Times New Roman" w:cs="Times New Roman"/>
          <w:b/>
          <w:bCs/>
          <w:color w:val="000000" w:themeColor="text1"/>
          <w:kern w:val="36"/>
          <w:sz w:val="24"/>
          <w:szCs w:val="24"/>
          <w:lang w:eastAsia="ru-RU"/>
        </w:rPr>
        <w:t>Methodology</w:t>
      </w:r>
    </w:p>
    <w:p w14:paraId="4FCDD1D8"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Sample and data</w:t>
      </w:r>
    </w:p>
    <w:p w14:paraId="25F831F9" w14:textId="6A138328"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We focus on all companies in the world with the required data available from 2002 to 2019. Our initial sample consisted of all non-financial firms from 45 countries based on the availability of carbon data in the ASSET4 ESG</w:t>
      </w:r>
      <w:r w:rsidR="008D245C" w:rsidRPr="001B6443">
        <w:rPr>
          <w:rFonts w:ascii="Times New Roman" w:eastAsia="Calibri" w:hAnsi="Times New Roman" w:cs="Times New Roman"/>
          <w:color w:val="000000" w:themeColor="text1"/>
          <w:sz w:val="24"/>
          <w:szCs w:val="24"/>
          <w:lang w:val="en-US"/>
        </w:rPr>
        <w:t xml:space="preserve"> database</w:t>
      </w:r>
      <w:r w:rsidRPr="001B6443">
        <w:rPr>
          <w:rFonts w:ascii="Times New Roman" w:eastAsia="Calibri" w:hAnsi="Times New Roman" w:cs="Times New Roman"/>
          <w:color w:val="000000" w:themeColor="text1"/>
          <w:sz w:val="24"/>
          <w:szCs w:val="24"/>
          <w:lang w:val="en-US"/>
        </w:rPr>
        <w:t xml:space="preserve">. We excluded financial </w:t>
      </w:r>
      <w:r w:rsidR="00F11247" w:rsidRPr="001B6443">
        <w:rPr>
          <w:rFonts w:ascii="Times New Roman" w:eastAsia="Calibri" w:hAnsi="Times New Roman" w:cs="Times New Roman"/>
          <w:color w:val="000000" w:themeColor="text1"/>
          <w:sz w:val="24"/>
          <w:szCs w:val="24"/>
          <w:lang w:val="en-US"/>
        </w:rPr>
        <w:t>institutions</w:t>
      </w:r>
      <w:r w:rsidRPr="001B6443">
        <w:rPr>
          <w:rFonts w:ascii="Times New Roman" w:eastAsia="Calibri" w:hAnsi="Times New Roman" w:cs="Times New Roman"/>
          <w:color w:val="000000" w:themeColor="text1"/>
          <w:sz w:val="24"/>
          <w:szCs w:val="24"/>
          <w:lang w:val="en-US"/>
        </w:rPr>
        <w:t xml:space="preserve"> due to their specific accounting implications, different governance systems and regulatory environments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{"citationItems":[{"id":"ITEM-1","itemData":{"DOI":"10.1111/acfi.12687","ISSN":"1467629X","abstract":"This study investigates whether corporate governance (CG) leads to improved corporate social responsibility (CSR) in relation to carbon performance. We draw on multiple theoretical lenses for CSR and use a sample of the top 350 listed UK companies. Our results show that overall CG quality has a discernible influence on carbon performance, based on outcome-based carbon emissions. Our empirical findings and inferences still hold with an action-based performance measure as well. In addition, we find that the relationship between CG and carbon performance is significantly moderated by carbon strategy and managerial awareness of carbon risk. Our evidence supports the claim that reforms of CG in the UK have promoted CSR behaviour in carbon performance, and this insight is not documented elsewhere.","author":[{"dropping-particle":"","family":"Luo","given":"Le","non-dropping-particle":"","parse-names":false,"suffix":""},{"dropping-particle":"","family":"Tang","given":"Qingliang","non-dropping-particle":"","parse-names":false,"suffix":""}],"container-title":"Accounting and Finance","id":"ITEM-1","issue":"2","issued":{"date-parts":[["2021"]]},"page":"2891-2934","title":"Corporate governance and carbon performance: role of carbon strategy and awareness of climate risk","type":"article-journal","volume":"61"},"uris":["http://www.mendeley.com/documents/?uuid=708325a8-e42a-31b9-8be6-a3126156dbea"]},{"id":"ITEM-2","itemData":{"DOI":"10.1002/bse.2354","ISSN":"10990836","abstract":"©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Environment","id":"ITEM-2","issue":"1","issued":{"date-parts":[["2020"]]},"page":"140-153","title":"Do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strategy","type":"article-journal","volume":"29"},"uris":["http://www.mendeley.com/documents/?uuid=05434146-b776-3687-93bb-7d50ecedde5c"]}],"mendeley":{"formattedCitation":"(Luo and Tang 2021; Orazalin 2020)","manualFormatting":"(Luo and Tang, 2021; Orazalin, 2020)","plainTextFormattedCitation":"(Luo and Tang 2021; Orazalin 2020)","previouslyFormattedCitation":"(Luo and Tang 2021; 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(Luo and Tang, 2021; Orazalin,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We then filtered the remaining firms, retaining those with the required data for at least five consecutive years.</w:t>
      </w:r>
      <w:r w:rsidRPr="001B6443">
        <w:rPr>
          <w:color w:val="000000" w:themeColor="text1"/>
          <w:vertAlign w:val="superscript"/>
        </w:rPr>
        <w:footnoteReference w:id="2"/>
      </w:r>
      <w:r w:rsidRPr="001B6443">
        <w:rPr>
          <w:rFonts w:ascii="Times New Roman" w:eastAsia="Calibri" w:hAnsi="Times New Roman" w:cs="Times New Roman"/>
          <w:color w:val="000000" w:themeColor="text1"/>
          <w:sz w:val="24"/>
          <w:szCs w:val="24"/>
          <w:lang w:val="en-US"/>
        </w:rPr>
        <w:t xml:space="preserve"> Table 1 outlines the sample selection process yielding 8,408 firm-ye</w:t>
      </w:r>
      <w:r w:rsidR="00D0537E" w:rsidRPr="001B6443">
        <w:rPr>
          <w:rFonts w:ascii="Times New Roman" w:eastAsia="Calibri" w:hAnsi="Times New Roman" w:cs="Times New Roman"/>
          <w:color w:val="000000" w:themeColor="text1"/>
          <w:sz w:val="24"/>
          <w:szCs w:val="24"/>
          <w:lang w:val="en-US"/>
        </w:rPr>
        <w:t xml:space="preserve">ar observations from 592 </w:t>
      </w:r>
      <w:r w:rsidRPr="001B6443">
        <w:rPr>
          <w:rFonts w:ascii="Times New Roman" w:eastAsia="Calibri" w:hAnsi="Times New Roman" w:cs="Times New Roman"/>
          <w:color w:val="000000" w:themeColor="text1"/>
          <w:sz w:val="24"/>
          <w:szCs w:val="24"/>
          <w:lang w:val="en-US"/>
        </w:rPr>
        <w:t xml:space="preserve">firms, representing 10 sectors and operating in 35 countries. Data on PCCIs, </w:t>
      </w:r>
      <w:r w:rsidRPr="001B6443">
        <w:rPr>
          <w:rFonts w:ascii="Times New Roman" w:eastAsia="Calibri" w:hAnsi="Times New Roman" w:cs="Times New Roman"/>
          <w:color w:val="000000" w:themeColor="text1"/>
          <w:sz w:val="24"/>
          <w:szCs w:val="24"/>
          <w:lang w:val="en-US"/>
        </w:rPr>
        <w:lastRenderedPageBreak/>
        <w:t xml:space="preserve">carbon emissions, and internal CG mechanisms were obtained from the Refinitiv’s ASSET4 ESG database, which provides comprehensive, objective, and systematic information on environmental, social, and governance performance indicators of publicly listed companies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strategy","type":"article-journal","volume":"29"},"uris":["http://www.mendeley.com/documents/?uuid=05434146-b776-3687-93bb-7d50ecedde5c"]},{"id":"ITEM-2","itemData":{"DOI":"10.1016/j.bar.2017.01.001","ISBN":"0198511973","ISSN":"10958347","abstract":"This study examines the effects of board characteristics and sustainable compensation policy on carbon reduction initiatives and greenhouse gas (GHG) emissions of a firm. We use firm fixed effect model to analyse data from 256 non-financial UK firms covering a period of 13 years (2002–2014). Our estimation results suggest that board independence and board gender diversity have positive associations with carbon reduction initiatives. In addition, environment-social-governance based compensation policy is found to be positively associated with carbon reduction initiatives. However, we do not find any relationship between corporate governance variables and GHG emissions of a firm. Overall, our evidence suggests that corporate boards and executive management tend to focus on a firm's process-oriented carbon performance, without improving actual carbon performance in the form of reduced GHG emissions. The findings have important implications for practitioners and policymakers with respect to the effectiveness of internal corporate governance mechanisms in addressing climate change risks, and possible linkage between corporate governance reform and carbon related policies.","author":[{"dropping-particle":"","family":"Haque","given":"Faizul","non-dropping-particle":"","parse-names":false,"suffix":""}],"container-title":"British Accounting Review","id":"ITEM-2","issue":"3","issued":{"date-parts":[["2017"]]},"page":"347-364","title":"The effects of board characteristics and sustainable compensation policy on carbon performance of UK firms","type":"article-journal","volume":"49"},"uris":["http://www.mendeley.com/documents/?uuid=746542a6-70c3-42dd-ac7d-e92ddd9b708b"]}],"mendeley":{"formattedCitation":"(Haque 2017; Orazalin 2020)","manualFormatting":"(Haque, 2017; Orazalin, 2020)","plainTextFormattedCitation":"(Haque 2017; Orazalin 2020)","previouslyFormattedCitation":"(Haque 2017; 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2017; Orazalin,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The financial data were obtained from the </w:t>
      </w:r>
      <w:proofErr w:type="spellStart"/>
      <w:r w:rsidRPr="001B6443">
        <w:rPr>
          <w:rFonts w:ascii="Times New Roman" w:eastAsia="Calibri" w:hAnsi="Times New Roman" w:cs="Times New Roman"/>
          <w:color w:val="000000" w:themeColor="text1"/>
          <w:sz w:val="24"/>
          <w:szCs w:val="24"/>
          <w:lang w:val="en-US"/>
        </w:rPr>
        <w:t>Worldscope</w:t>
      </w:r>
      <w:proofErr w:type="spellEnd"/>
      <w:r w:rsidRPr="001B6443">
        <w:rPr>
          <w:rFonts w:ascii="Times New Roman" w:eastAsia="Calibri" w:hAnsi="Times New Roman" w:cs="Times New Roman"/>
          <w:color w:val="000000" w:themeColor="text1"/>
          <w:sz w:val="24"/>
          <w:szCs w:val="24"/>
          <w:lang w:val="en-US"/>
        </w:rPr>
        <w:t xml:space="preserve"> database. Further, to account for country specific effects, data on</w:t>
      </w:r>
      <w:r w:rsidR="00410C30" w:rsidRPr="001B6443">
        <w:rPr>
          <w:rFonts w:ascii="Times New Roman" w:eastAsia="Calibri" w:hAnsi="Times New Roman" w:cs="Times New Roman"/>
          <w:color w:val="000000" w:themeColor="text1"/>
          <w:sz w:val="24"/>
          <w:szCs w:val="24"/>
          <w:lang w:val="en-US"/>
        </w:rPr>
        <w:t xml:space="preserve"> country governance indicators </w:t>
      </w:r>
      <w:r w:rsidRPr="001B6443">
        <w:rPr>
          <w:rFonts w:ascii="Times New Roman" w:eastAsia="Calibri" w:hAnsi="Times New Roman" w:cs="Times New Roman"/>
          <w:color w:val="000000" w:themeColor="text1"/>
          <w:sz w:val="24"/>
          <w:szCs w:val="24"/>
          <w:lang w:val="en-US"/>
        </w:rPr>
        <w:t xml:space="preserve">were collected from the Worldwide Governance Indicators developed by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{"citationItems":[{"id":"ITEM-1","itemData":{"DOI":"10.1017/S1876404511200046","ISBN":"1876-4045","ISSN":"18764053","PMID":"16107814","abstract":"Th is paper summarizes the methodology of the Worldwide Governance Indicators (WGI) project, and related analytical issues. Th e WGI has covered over two hun- dred countries and territories, measuring six dimensions of governance starting in 1996: Voice and Accountability, Political Stability and Absence of Violence/Ter- rorism, Government Eff ectiveness, Regulatory Quality, Rule of Law, and Control of Corruption. Th e aggregate indicators are based on several hundred individual underlying variables, taken from a wide variety of existing data sources. Th e data refl ect the views on governance of survey respondents and public, private, and NGO sector experts worldwide. We also explicitly report margins of error accom- panying each country estimate. Th ese refl ect the inherent diffi culties in measuring governance using any kind of data. We fi nd that even after taking margins of error into account, the WGI permit meaningful cross-country and over-time compari- sons. Th e aggregate indicators, together with the disaggregated underlying source data, are available at &lt;www.govindicators.org&gt;.","author":[{"dropping-particle":"","family":"Kaufmann","given":"Daniel","non-dropping-particle":"","parse-names":false,"suffix":""},{"dropping-particle":"","family":"Kraay","given":"Aart","non-dropping-particle":"","parse-names":false,"suffix":""},{"dropping-particle":"","family":"Mastruzzi","given":"Massimo","non-dropping-particle":"","parse-names":false,"suffix":""}],"container-title":"Hague Journal on the Rule of Law","id":"ITEM-1","issue":"2","issued":{"date-parts":[["2011"]]},"page":"220-246","title":"The worldwide governance indicators: Methodology and analytical issues","type":"article-journal","volume":"3"},"uris":["http://www.mendeley.com/documents/?uuid=cd372a70-3644-4643-bff1-85de6736511c"]}],"mendeley":{"formattedCitation":"(Kaufmann et al. 2011)","manualFormatting":"Kaufmann et al. (2011)","plainTextFormattedCitation":"(Kaufmann et al. 2011)","previouslyFormattedCitation":"(Kaufmann et al. 2011)"},"properties":{"noteIndex":0},"schema":"https://github.com/citation-style-language/schema/raw/master/csl-citation.json"}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Kaufmann</w:t>
      </w:r>
      <w:r w:rsidR="00B51FFE" w:rsidRPr="001B6443">
        <w:rPr>
          <w:rFonts w:ascii="Times New Roman" w:eastAsia="Calibri" w:hAnsi="Times New Roman" w:cs="Times New Roman"/>
          <w:noProof/>
          <w:color w:val="000000" w:themeColor="text1"/>
          <w:sz w:val="24"/>
          <w:szCs w:val="24"/>
          <w:lang w:val="en-US"/>
        </w:rPr>
        <w:t xml:space="preserve"> </w:t>
      </w:r>
      <w:r w:rsidR="00B51FFE" w:rsidRPr="001B6443">
        <w:rPr>
          <w:rFonts w:ascii="Times New Roman" w:eastAsia="Calibri" w:hAnsi="Times New Roman" w:cs="Times New Roman"/>
          <w:i/>
          <w:iCs/>
          <w:noProof/>
          <w:color w:val="000000" w:themeColor="text1"/>
          <w:sz w:val="24"/>
          <w:szCs w:val="24"/>
          <w:lang w:val="en-US"/>
        </w:rPr>
        <w:t>et al</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w:t>
      </w:r>
      <w:r w:rsidR="00E13DEB"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2011)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and other country level variables, including GDP growth and inflation rates, were gathered from the World Bank database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{"citationItems":[{"id":"ITEM-1","itemData":{"ISBN":"0821308637","URL":"https://data.worldbank.org/","abstract":"World Bank Open Data: free and open access to data about development in countries around the globe.","accessed":{"date-parts":[["2020","2","18"]]},"author":[{"dropping-particle":"","family":"World Bank","given":"","non-dropping-particle":"","parse-names":false,"suffix":""}],"container-title":"World Bank Open Data","id":"ITEM-1","issued":{"date-parts":[["2020"]]},"title":"The World Bank Open Data","type":"webpage"},"uris":["http://www.mendeley.com/documents/?uuid=16294ec1-eabf-366f-b698-c9926233696b"]}],"mendeley":{"formattedCitation":"(World Bank 2020)","manualFormatting":"(World Bank, 2020)","plainTextFormattedCitation":"(World Bank 2020)","previouslyFormattedCitation":"(World Bank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(World Bank, 2020)</w:t>
      </w:r>
      <w:r w:rsidRPr="001B6443">
        <w:rPr>
          <w:rFonts w:ascii="Times New Roman" w:eastAsia="Calibri" w:hAnsi="Times New Roman" w:cs="Times New Roman"/>
          <w:color w:val="000000" w:themeColor="text1"/>
          <w:sz w:val="24"/>
          <w:szCs w:val="24"/>
          <w:lang w:val="en-US"/>
        </w:rPr>
        <w:fldChar w:fldCharType="end"/>
      </w:r>
      <w:r w:rsidR="00D6685A"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Table 2 presents the sample distributions and </w:t>
      </w:r>
      <w:r w:rsidR="006F3494" w:rsidRPr="001B6443">
        <w:rPr>
          <w:rFonts w:ascii="Times New Roman" w:eastAsia="Calibri" w:hAnsi="Times New Roman" w:cs="Times New Roman"/>
          <w:color w:val="000000" w:themeColor="text1"/>
          <w:sz w:val="24"/>
          <w:szCs w:val="24"/>
          <w:lang w:val="en-US"/>
        </w:rPr>
        <w:t xml:space="preserve">similar to most cross-country studies of this nature, it </w:t>
      </w:r>
      <w:r w:rsidRPr="001B6443">
        <w:rPr>
          <w:rFonts w:ascii="Times New Roman" w:eastAsia="Calibri" w:hAnsi="Times New Roman" w:cs="Times New Roman"/>
          <w:color w:val="000000" w:themeColor="text1"/>
          <w:sz w:val="24"/>
          <w:szCs w:val="24"/>
          <w:lang w:val="en-US"/>
        </w:rPr>
        <w:t xml:space="preserve">shows that </w:t>
      </w:r>
      <w:r w:rsidRPr="001B6443">
        <w:rPr>
          <w:rFonts w:ascii="Times New Roman" w:eastAsia="Calibri" w:hAnsi="Times New Roman" w:cs="Times New Roman"/>
          <w:color w:val="000000" w:themeColor="text1"/>
          <w:sz w:val="24"/>
          <w:lang w:val="en-US"/>
        </w:rPr>
        <w:t>Japan, with 1,760 observations (20.93%), is the most represented country, followed by the U</w:t>
      </w:r>
      <w:r w:rsidR="00E25DC6" w:rsidRPr="001B6443">
        <w:rPr>
          <w:rFonts w:ascii="Times New Roman" w:eastAsia="Calibri" w:hAnsi="Times New Roman" w:cs="Times New Roman"/>
          <w:color w:val="000000" w:themeColor="text1"/>
          <w:sz w:val="24"/>
          <w:lang w:val="en-US"/>
        </w:rPr>
        <w:t>S</w:t>
      </w:r>
      <w:r w:rsidRPr="001B6443">
        <w:rPr>
          <w:rFonts w:ascii="Times New Roman" w:eastAsia="Calibri" w:hAnsi="Times New Roman" w:cs="Times New Roman"/>
          <w:color w:val="000000" w:themeColor="text1"/>
          <w:sz w:val="24"/>
          <w:lang w:val="en-US"/>
        </w:rPr>
        <w:t xml:space="preserve"> with 1,613 observations (19.18%) and the U</w:t>
      </w:r>
      <w:r w:rsidR="00E25DC6" w:rsidRPr="001B6443">
        <w:rPr>
          <w:rFonts w:ascii="Times New Roman" w:eastAsia="Calibri" w:hAnsi="Times New Roman" w:cs="Times New Roman"/>
          <w:color w:val="000000" w:themeColor="text1"/>
          <w:sz w:val="24"/>
          <w:lang w:val="en-US"/>
        </w:rPr>
        <w:t>K</w:t>
      </w:r>
      <w:r w:rsidRPr="001B6443">
        <w:rPr>
          <w:rFonts w:ascii="Times New Roman" w:eastAsia="Calibri" w:hAnsi="Times New Roman" w:cs="Times New Roman"/>
          <w:color w:val="000000" w:themeColor="text1"/>
          <w:sz w:val="24"/>
          <w:lang w:val="en-US"/>
        </w:rPr>
        <w:t xml:space="preserve"> with 1,105 observations (13.14%). </w:t>
      </w:r>
      <w:r w:rsidRPr="001B6443">
        <w:rPr>
          <w:rFonts w:ascii="Times New Roman" w:eastAsia="Calibri" w:hAnsi="Times New Roman" w:cs="Times New Roman"/>
          <w:color w:val="000000" w:themeColor="text1"/>
          <w:sz w:val="24"/>
          <w:szCs w:val="24"/>
          <w:lang w:val="en-US"/>
        </w:rPr>
        <w:t>Further, the sample shows that the industrials, materials, and consumer discretionary sectors have the most observations, accounting for 1,745 (20.75%), 1,564 (18.60%), and 944 (11.23%) of the sample, respectively.</w:t>
      </w:r>
      <w:r w:rsidRPr="001B6443">
        <w:rPr>
          <w:color w:val="000000" w:themeColor="text1"/>
          <w:vertAlign w:val="superscript"/>
        </w:rPr>
        <w:footnoteReference w:id="3"/>
      </w:r>
    </w:p>
    <w:p w14:paraId="3DA1E384"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06A2126D"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Models and variables</w:t>
      </w:r>
    </w:p>
    <w:p w14:paraId="12A9A06A" w14:textId="3D41B2F6"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In order to assess the direct effects of CCPE and PCCIs on MV and the moderating effect of BSCOM on the CCPE–MV and the PCCIs–MV relationships, we employ the following m</w:t>
      </w:r>
      <w:r w:rsidR="00E71C73" w:rsidRPr="001B6443">
        <w:rPr>
          <w:rFonts w:ascii="Times New Roman" w:eastAsia="Calibri" w:hAnsi="Times New Roman" w:cs="Times New Roman"/>
          <w:color w:val="000000" w:themeColor="text1"/>
          <w:sz w:val="24"/>
          <w:szCs w:val="24"/>
          <w:lang w:val="en-US"/>
        </w:rPr>
        <w:t>odel</w:t>
      </w:r>
      <w:r w:rsidRPr="001B6443">
        <w:rPr>
          <w:rFonts w:ascii="Times New Roman" w:eastAsia="Calibri" w:hAnsi="Times New Roman" w:cs="Times New Roman"/>
          <w:color w:val="000000" w:themeColor="text1"/>
          <w:sz w:val="24"/>
          <w:szCs w:val="24"/>
          <w:lang w:val="en-US"/>
        </w:rPr>
        <w:t>:</w:t>
      </w:r>
    </w:p>
    <w:p w14:paraId="107BBA8F" w14:textId="041959AB" w:rsidR="00EC5A9C" w:rsidRPr="001B6443" w:rsidRDefault="00EC5A9C" w:rsidP="00EC5A9C">
      <w:pPr>
        <w:spacing w:after="0" w:line="480" w:lineRule="auto"/>
        <w:jc w:val="center"/>
        <w:rPr>
          <w:rFonts w:ascii="Times New Roman" w:eastAsia="Calibri" w:hAnsi="Times New Roman" w:cs="Times New Roman"/>
          <w:i/>
          <w:color w:val="000000" w:themeColor="text1"/>
          <w:szCs w:val="19"/>
          <w:vertAlign w:val="subscript"/>
          <w:lang w:val="en-US"/>
        </w:rPr>
      </w:pPr>
      <w:r w:rsidRPr="001B6443">
        <w:rPr>
          <w:rFonts w:ascii="Times New Roman" w:eastAsia="Calibri" w:hAnsi="Times New Roman" w:cs="Times New Roman"/>
          <w:color w:val="000000" w:themeColor="text1"/>
          <w:szCs w:val="19"/>
          <w:lang w:val="en-US"/>
        </w:rPr>
        <w:t>MV</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color w:val="000000" w:themeColor="text1"/>
          <w:szCs w:val="19"/>
          <w:lang w:val="en-US"/>
        </w:rPr>
        <w:t>=α</w:t>
      </w:r>
      <w:r w:rsidRPr="001B6443">
        <w:rPr>
          <w:rFonts w:ascii="Times New Roman" w:eastAsia="Calibri" w:hAnsi="Times New Roman" w:cs="Times New Roman"/>
          <w:color w:val="000000" w:themeColor="text1"/>
          <w:szCs w:val="19"/>
          <w:vertAlign w:val="subscript"/>
          <w:lang w:val="en-US"/>
        </w:rPr>
        <w:t>0</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w:t>
      </w:r>
      <w:r w:rsidRPr="001B6443">
        <w:rPr>
          <w:rFonts w:ascii="Times New Roman" w:eastAsia="Calibri" w:hAnsi="Times New Roman" w:cs="Times New Roman"/>
          <w:color w:val="000000" w:themeColor="text1"/>
          <w:szCs w:val="19"/>
          <w:lang w:val="en-US"/>
        </w:rPr>
        <w:t>*CCP</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2</w:t>
      </w:r>
      <w:r w:rsidRPr="001B6443">
        <w:rPr>
          <w:rFonts w:ascii="Times New Roman" w:eastAsia="Calibri" w:hAnsi="Times New Roman" w:cs="Times New Roman"/>
          <w:color w:val="000000" w:themeColor="text1"/>
          <w:szCs w:val="19"/>
          <w:lang w:val="en-US"/>
        </w:rPr>
        <w:t>*BSCOM</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3</w:t>
      </w:r>
      <w:r w:rsidRPr="001B6443">
        <w:rPr>
          <w:rFonts w:ascii="Times New Roman" w:eastAsia="Calibri" w:hAnsi="Times New Roman" w:cs="Times New Roman"/>
          <w:color w:val="000000" w:themeColor="text1"/>
          <w:szCs w:val="19"/>
          <w:lang w:val="en-US"/>
        </w:rPr>
        <w:t>*(CCP*BSCOM</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4</w:t>
      </w:r>
      <w:r w:rsidRPr="001B6443">
        <w:rPr>
          <w:rFonts w:ascii="Times New Roman" w:eastAsia="Calibri" w:hAnsi="Times New Roman" w:cs="Times New Roman"/>
          <w:color w:val="000000" w:themeColor="text1"/>
          <w:szCs w:val="19"/>
          <w:lang w:val="en-US"/>
        </w:rPr>
        <w:t>*BSIZE</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5</w:t>
      </w:r>
      <w:r w:rsidRPr="001B6443">
        <w:rPr>
          <w:rFonts w:ascii="Times New Roman" w:eastAsia="Calibri" w:hAnsi="Times New Roman" w:cs="Times New Roman"/>
          <w:color w:val="000000" w:themeColor="text1"/>
          <w:szCs w:val="19"/>
          <w:lang w:val="en-US"/>
        </w:rPr>
        <w:t>*INDIR</w:t>
      </w:r>
      <w:r w:rsidRPr="001B6443">
        <w:rPr>
          <w:rFonts w:ascii="Times New Roman" w:eastAsia="Calibri" w:hAnsi="Times New Roman" w:cs="Times New Roman"/>
          <w:i/>
          <w:color w:val="000000" w:themeColor="text1"/>
          <w:sz w:val="24"/>
          <w:szCs w:val="24"/>
          <w:vertAlign w:val="subscript"/>
          <w:lang w:val="en-US"/>
        </w:rPr>
        <w:t>it</w:t>
      </w:r>
      <w:r w:rsidRPr="001B6443">
        <w:rPr>
          <w:rFonts w:ascii="Times New Roman" w:eastAsia="Calibri" w:hAnsi="Times New Roman" w:cs="Times New Roman"/>
          <w:i/>
          <w:color w:val="000000" w:themeColor="text1"/>
          <w:szCs w:val="19"/>
          <w:vertAlign w:val="subscript"/>
          <w:lang w:val="en-US"/>
        </w:rPr>
        <w:t xml:space="preserve"> </w:t>
      </w:r>
    </w:p>
    <w:p w14:paraId="75B0AE54" w14:textId="77777777" w:rsidR="00EC5A9C" w:rsidRPr="001B6443" w:rsidRDefault="00EC5A9C" w:rsidP="00EC5A9C">
      <w:pPr>
        <w:spacing w:after="0" w:line="480" w:lineRule="auto"/>
        <w:ind w:firstLine="2694"/>
        <w:rPr>
          <w:rFonts w:ascii="Times New Roman" w:eastAsia="Calibri" w:hAnsi="Times New Roman" w:cs="Times New Roman"/>
          <w:i/>
          <w:color w:val="000000" w:themeColor="text1"/>
          <w:szCs w:val="19"/>
          <w:vertAlign w:val="subscript"/>
          <w:lang w:val="en-US"/>
        </w:rPr>
      </w:pP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6</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BGEN</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7</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SIZE</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8</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PROF</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9</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DEBT</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i/>
          <w:color w:val="000000" w:themeColor="text1"/>
          <w:szCs w:val="19"/>
          <w:vertAlign w:val="subscript"/>
          <w:lang w:val="en-US"/>
        </w:rPr>
        <w:t xml:space="preserve"> </w:t>
      </w:r>
    </w:p>
    <w:p w14:paraId="161CB711" w14:textId="77777777" w:rsidR="00EC5A9C" w:rsidRPr="001B6443" w:rsidRDefault="00EC5A9C" w:rsidP="00EC5A9C">
      <w:pPr>
        <w:spacing w:after="0" w:line="480" w:lineRule="auto"/>
        <w:ind w:firstLine="2694"/>
        <w:rPr>
          <w:rFonts w:ascii="Times New Roman" w:eastAsia="Calibri" w:hAnsi="Times New Roman" w:cs="Times New Roman"/>
          <w:i/>
          <w:color w:val="000000" w:themeColor="text1"/>
          <w:szCs w:val="19"/>
          <w:vertAlign w:val="subscript"/>
          <w:lang w:val="en-US"/>
        </w:rPr>
      </w:pP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10</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CASH</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11</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CAPIN</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12</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WGI</w:t>
      </w:r>
      <w:r w:rsidRPr="001B6443">
        <w:rPr>
          <w:rFonts w:ascii="Times New Roman" w:eastAsia="Calibri" w:hAnsi="Times New Roman" w:cs="Times New Roman"/>
          <w:i/>
          <w:color w:val="000000" w:themeColor="text1"/>
          <w:szCs w:val="19"/>
          <w:vertAlign w:val="subscript"/>
          <w:lang w:val="en-US"/>
        </w:rPr>
        <w:t>kt</w:t>
      </w:r>
      <w:proofErr w:type="spellEnd"/>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13</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GDP</w:t>
      </w:r>
      <w:r w:rsidRPr="001B6443">
        <w:rPr>
          <w:rFonts w:ascii="Times New Roman" w:eastAsia="Calibri" w:hAnsi="Times New Roman" w:cs="Times New Roman"/>
          <w:i/>
          <w:color w:val="000000" w:themeColor="text1"/>
          <w:szCs w:val="19"/>
          <w:vertAlign w:val="subscript"/>
          <w:lang w:val="en-US"/>
        </w:rPr>
        <w:t>kt</w:t>
      </w:r>
      <w:proofErr w:type="spellEnd"/>
    </w:p>
    <w:p w14:paraId="66A7C60A" w14:textId="77777777" w:rsidR="00EC5A9C" w:rsidRPr="001B6443" w:rsidRDefault="00EC5A9C" w:rsidP="00EC5A9C">
      <w:pPr>
        <w:spacing w:after="0" w:line="480" w:lineRule="auto"/>
        <w:ind w:firstLine="2694"/>
        <w:rPr>
          <w:rFonts w:ascii="Times New Roman" w:eastAsia="Calibri" w:hAnsi="Times New Roman" w:cs="Times New Roman"/>
          <w:i/>
          <w:color w:val="000000" w:themeColor="text1"/>
          <w:szCs w:val="19"/>
          <w:vertAlign w:val="subscript"/>
          <w:lang w:val="en-US"/>
        </w:rPr>
      </w:pP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β</w:t>
      </w:r>
      <w:r w:rsidRPr="001B6443">
        <w:rPr>
          <w:rFonts w:ascii="Times New Roman" w:eastAsia="Calibri" w:hAnsi="Times New Roman" w:cs="Times New Roman"/>
          <w:color w:val="000000" w:themeColor="text1"/>
          <w:szCs w:val="19"/>
          <w:vertAlign w:val="subscript"/>
          <w:lang w:val="en-US"/>
        </w:rPr>
        <w:t>14</w:t>
      </w:r>
      <w:r w:rsidRPr="001B6443">
        <w:rPr>
          <w:rFonts w:ascii="Times New Roman" w:eastAsia="Calibri" w:hAnsi="Times New Roman" w:cs="Times New Roman"/>
          <w:color w:val="000000" w:themeColor="text1"/>
          <w:szCs w:val="19"/>
          <w:lang w:val="en-US"/>
        </w:rPr>
        <w:t>*</w:t>
      </w:r>
      <w:proofErr w:type="spellStart"/>
      <w:r w:rsidRPr="001B6443">
        <w:rPr>
          <w:rFonts w:ascii="Times New Roman" w:eastAsia="Calibri" w:hAnsi="Times New Roman" w:cs="Times New Roman"/>
          <w:color w:val="000000" w:themeColor="text1"/>
          <w:szCs w:val="19"/>
          <w:lang w:val="en-US"/>
        </w:rPr>
        <w:t>INF</w:t>
      </w:r>
      <w:r w:rsidRPr="001B6443">
        <w:rPr>
          <w:rFonts w:ascii="Times New Roman" w:eastAsia="Calibri" w:hAnsi="Times New Roman" w:cs="Times New Roman"/>
          <w:i/>
          <w:color w:val="000000" w:themeColor="text1"/>
          <w:szCs w:val="19"/>
          <w:vertAlign w:val="subscript"/>
          <w:lang w:val="en-US"/>
        </w:rPr>
        <w:t>kt</w:t>
      </w:r>
      <w:r w:rsidRPr="001B6443">
        <w:rPr>
          <w:rFonts w:ascii="Times New Roman" w:eastAsia="Calibri" w:hAnsi="Times New Roman" w:cs="Times New Roman"/>
          <w:color w:val="000000" w:themeColor="text1"/>
          <w:szCs w:val="19"/>
          <w:lang w:val="en-US"/>
        </w:rPr>
        <w:t>+</w:t>
      </w:r>
      <w:r w:rsidRPr="001B6443">
        <w:rPr>
          <w:rFonts w:ascii="Times New Roman" w:eastAsia="Calibri" w:hAnsi="Times New Roman" w:cs="Times New Roman"/>
          <w:i/>
          <w:color w:val="000000" w:themeColor="text1"/>
          <w:szCs w:val="19"/>
          <w:lang w:val="en-US"/>
        </w:rPr>
        <w:t>ε</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i/>
          <w:color w:val="000000" w:themeColor="text1"/>
          <w:szCs w:val="19"/>
          <w:vertAlign w:val="subscript"/>
          <w:lang w:val="en-US"/>
        </w:rPr>
        <w:t xml:space="preserve"> </w:t>
      </w:r>
    </w:p>
    <w:p w14:paraId="4D6556AF" w14:textId="77777777" w:rsidR="00EC5A9C" w:rsidRPr="001B6443" w:rsidRDefault="00EC5A9C" w:rsidP="00EC5A9C">
      <w:pPr>
        <w:spacing w:after="0" w:line="480" w:lineRule="auto"/>
        <w:jc w:val="right"/>
        <w:rPr>
          <w:rFonts w:ascii="Times New Roman" w:eastAsia="Calibri" w:hAnsi="Times New Roman" w:cs="Times New Roman"/>
          <w:color w:val="000000" w:themeColor="text1"/>
          <w:sz w:val="24"/>
          <w:szCs w:val="24"/>
          <w:vertAlign w:val="subscript"/>
          <w:lang w:val="en-US"/>
        </w:rPr>
      </w:pPr>
      <w:r w:rsidRPr="001B6443">
        <w:rPr>
          <w:rFonts w:ascii="Times New Roman" w:eastAsia="Calibri" w:hAnsi="Times New Roman" w:cs="Times New Roman"/>
          <w:color w:val="000000" w:themeColor="text1"/>
          <w:sz w:val="24"/>
          <w:szCs w:val="24"/>
          <w:vertAlign w:val="subscript"/>
          <w:lang w:val="en-US"/>
        </w:rPr>
        <w:t>(1)</w:t>
      </w:r>
    </w:p>
    <w:p w14:paraId="43BB4460" w14:textId="091436C4"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lastRenderedPageBreak/>
        <w:t xml:space="preserve">where, </w:t>
      </w:r>
      <w:proofErr w:type="spellStart"/>
      <w:r w:rsidRPr="001B6443">
        <w:rPr>
          <w:rFonts w:ascii="Times New Roman" w:eastAsia="Calibri" w:hAnsi="Times New Roman" w:cs="Times New Roman"/>
          <w:color w:val="000000" w:themeColor="text1"/>
          <w:sz w:val="24"/>
          <w:szCs w:val="24"/>
          <w:lang w:val="en-US"/>
        </w:rPr>
        <w:t>CCP</w:t>
      </w:r>
      <w:r w:rsidRPr="001B6443">
        <w:rPr>
          <w:rFonts w:ascii="Times New Roman" w:eastAsia="Calibri" w:hAnsi="Times New Roman" w:cs="Times New Roman"/>
          <w:i/>
          <w:color w:val="000000" w:themeColor="text1"/>
          <w:sz w:val="24"/>
          <w:szCs w:val="24"/>
          <w:vertAlign w:val="subscript"/>
          <w:lang w:val="en-US"/>
        </w:rPr>
        <w:t>it</w:t>
      </w:r>
      <w:proofErr w:type="spellEnd"/>
      <w:r w:rsidRPr="001B6443">
        <w:rPr>
          <w:rFonts w:ascii="Times New Roman" w:eastAsia="Calibri" w:hAnsi="Times New Roman" w:cs="Times New Roman"/>
          <w:i/>
          <w:color w:val="000000" w:themeColor="text1"/>
          <w:sz w:val="24"/>
          <w:szCs w:val="24"/>
          <w:vertAlign w:val="subscript"/>
          <w:lang w:val="en-US"/>
        </w:rPr>
        <w:t xml:space="preserve"> </w:t>
      </w:r>
      <w:r w:rsidRPr="001B6443">
        <w:rPr>
          <w:rFonts w:ascii="Times New Roman" w:eastAsia="Calibri" w:hAnsi="Times New Roman" w:cs="Times New Roman"/>
          <w:color w:val="000000" w:themeColor="text1"/>
          <w:sz w:val="24"/>
          <w:szCs w:val="24"/>
          <w:lang w:val="en-US"/>
        </w:rPr>
        <w:t xml:space="preserve">is either PCCIs or CCPE of firm </w:t>
      </w:r>
      <w:r w:rsidRPr="001B6443">
        <w:rPr>
          <w:rFonts w:ascii="Times New Roman" w:eastAsia="Calibri" w:hAnsi="Times New Roman" w:cs="Times New Roman"/>
          <w:i/>
          <w:color w:val="000000" w:themeColor="text1"/>
          <w:sz w:val="24"/>
          <w:szCs w:val="24"/>
          <w:lang w:val="en-US"/>
        </w:rPr>
        <w:t xml:space="preserve">i </w:t>
      </w:r>
      <w:r w:rsidRPr="001B6443">
        <w:rPr>
          <w:rFonts w:ascii="Times New Roman" w:eastAsia="Calibri" w:hAnsi="Times New Roman" w:cs="Times New Roman"/>
          <w:color w:val="000000" w:themeColor="text1"/>
          <w:sz w:val="24"/>
          <w:szCs w:val="24"/>
          <w:lang w:val="en-US"/>
        </w:rPr>
        <w:t xml:space="preserve">at time </w:t>
      </w:r>
      <w:r w:rsidRPr="001B6443">
        <w:rPr>
          <w:rFonts w:ascii="Times New Roman" w:eastAsia="Calibri" w:hAnsi="Times New Roman" w:cs="Times New Roman"/>
          <w:i/>
          <w:color w:val="000000" w:themeColor="text1"/>
          <w:sz w:val="24"/>
          <w:szCs w:val="24"/>
          <w:lang w:val="en-US"/>
        </w:rPr>
        <w:t xml:space="preserve">t; </w:t>
      </w:r>
      <w:r w:rsidRPr="001B6443">
        <w:rPr>
          <w:rFonts w:ascii="Times New Roman" w:eastAsia="Calibri" w:hAnsi="Times New Roman" w:cs="Times New Roman"/>
          <w:color w:val="000000" w:themeColor="text1"/>
          <w:sz w:val="24"/>
          <w:szCs w:val="24"/>
          <w:lang w:val="en-US"/>
        </w:rPr>
        <w:t xml:space="preserve">CCP*BSCOM is the interaction term between CCP and BSCOM. All </w:t>
      </w:r>
      <w:r w:rsidR="00373D15" w:rsidRPr="001B6443">
        <w:rPr>
          <w:rFonts w:ascii="Times New Roman" w:eastAsia="Calibri" w:hAnsi="Times New Roman" w:cs="Times New Roman"/>
          <w:color w:val="000000" w:themeColor="text1"/>
          <w:sz w:val="24"/>
          <w:szCs w:val="24"/>
          <w:lang w:val="en-US"/>
        </w:rPr>
        <w:t>other variables are defined/</w:t>
      </w:r>
      <w:r w:rsidRPr="001B6443">
        <w:rPr>
          <w:rFonts w:ascii="Times New Roman" w:eastAsia="Calibri" w:hAnsi="Times New Roman" w:cs="Times New Roman"/>
          <w:color w:val="000000" w:themeColor="text1"/>
          <w:sz w:val="24"/>
          <w:szCs w:val="24"/>
          <w:lang w:val="en-US"/>
        </w:rPr>
        <w:t>measured in Table 3.</w:t>
      </w:r>
    </w:p>
    <w:p w14:paraId="023AF7B0" w14:textId="00CFABDD" w:rsidR="00EC5A9C" w:rsidRPr="001B6443" w:rsidRDefault="0035346E"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Further, </w:t>
      </w:r>
      <w:r w:rsidR="0023463E" w:rsidRPr="001B6443">
        <w:rPr>
          <w:rFonts w:ascii="Times New Roman" w:eastAsia="Calibri" w:hAnsi="Times New Roman" w:cs="Times New Roman"/>
          <w:color w:val="000000" w:themeColor="text1"/>
          <w:sz w:val="24"/>
          <w:szCs w:val="24"/>
          <w:lang w:val="en-US"/>
        </w:rPr>
        <w:t>we employ the following model</w:t>
      </w:r>
      <w:r w:rsidRPr="001B6443">
        <w:rPr>
          <w:rStyle w:val="FootnoteReference"/>
          <w:rFonts w:ascii="Times New Roman" w:eastAsia="Calibri" w:hAnsi="Times New Roman" w:cs="Times New Roman"/>
          <w:color w:val="000000" w:themeColor="text1"/>
          <w:sz w:val="24"/>
          <w:szCs w:val="24"/>
          <w:lang w:val="en-US"/>
        </w:rPr>
        <w:footnoteReference w:id="4"/>
      </w:r>
      <w:r w:rsidR="0023463E" w:rsidRPr="001B6443">
        <w:rPr>
          <w:rFonts w:ascii="Times New Roman" w:eastAsia="Calibri" w:hAnsi="Times New Roman" w:cs="Times New Roman"/>
          <w:color w:val="000000" w:themeColor="text1"/>
          <w:sz w:val="24"/>
          <w:szCs w:val="24"/>
          <w:lang w:val="en-US"/>
        </w:rPr>
        <w:t xml:space="preserve"> to estimate the direct effect of PCCIs on CCPE and the moderating effect of BSCOM on the PCCIs—CCPE link</w:t>
      </w:r>
      <w:r w:rsidR="00EC5A9C" w:rsidRPr="001B6443">
        <w:rPr>
          <w:rFonts w:ascii="Times New Roman" w:eastAsia="Calibri" w:hAnsi="Times New Roman" w:cs="Times New Roman"/>
          <w:color w:val="000000" w:themeColor="text1"/>
          <w:sz w:val="24"/>
          <w:szCs w:val="24"/>
          <w:lang w:val="en-US"/>
        </w:rPr>
        <w:t>:</w:t>
      </w:r>
    </w:p>
    <w:p w14:paraId="4E6FFF23" w14:textId="5A36C7AF" w:rsidR="00D35B02" w:rsidRPr="001B6443" w:rsidRDefault="007B41F9" w:rsidP="00D35B02">
      <w:pPr>
        <w:spacing w:after="0" w:line="480" w:lineRule="auto"/>
        <w:jc w:val="center"/>
        <w:rPr>
          <w:rFonts w:ascii="Times New Roman" w:eastAsia="Calibri" w:hAnsi="Times New Roman" w:cs="Times New Roman"/>
          <w:color w:val="000000" w:themeColor="text1"/>
          <w:lang w:val="en-US"/>
        </w:rPr>
      </w:pPr>
      <w:r w:rsidRPr="001B6443">
        <w:rPr>
          <w:rFonts w:ascii="Times New Roman" w:eastAsia="Calibri" w:hAnsi="Times New Roman" w:cs="Times New Roman"/>
          <w:color w:val="000000" w:themeColor="text1"/>
          <w:lang w:val="en-US"/>
        </w:rPr>
        <w:t>CCPE</w:t>
      </w:r>
      <w:r w:rsidR="00EC5A9C" w:rsidRPr="001B6443">
        <w:rPr>
          <w:rFonts w:ascii="Times New Roman" w:eastAsia="Calibri" w:hAnsi="Times New Roman" w:cs="Times New Roman"/>
          <w:i/>
          <w:color w:val="000000" w:themeColor="text1"/>
          <w:vertAlign w:val="subscript"/>
          <w:lang w:val="en-US"/>
        </w:rPr>
        <w:t>it</w:t>
      </w:r>
      <w:r w:rsidR="00EC5A9C" w:rsidRPr="001B6443">
        <w:rPr>
          <w:rFonts w:ascii="Times New Roman" w:eastAsia="Calibri" w:hAnsi="Times New Roman" w:cs="Times New Roman"/>
          <w:color w:val="000000" w:themeColor="text1"/>
          <w:lang w:val="en-US"/>
        </w:rPr>
        <w:t>=α</w:t>
      </w:r>
      <w:r w:rsidR="00EC5A9C" w:rsidRPr="001B6443">
        <w:rPr>
          <w:rFonts w:ascii="Times New Roman" w:eastAsia="Calibri" w:hAnsi="Times New Roman" w:cs="Times New Roman"/>
          <w:color w:val="000000" w:themeColor="text1"/>
          <w:vertAlign w:val="subscript"/>
          <w:lang w:val="en-US"/>
        </w:rPr>
        <w:t>0</w:t>
      </w:r>
      <w:r w:rsidR="00EC5A9C" w:rsidRPr="001B6443">
        <w:rPr>
          <w:rFonts w:ascii="Times New Roman" w:eastAsia="Calibri" w:hAnsi="Times New Roman" w:cs="Times New Roman"/>
          <w:color w:val="000000" w:themeColor="text1"/>
          <w:lang w:val="en-US"/>
        </w:rPr>
        <w:t>+</w:t>
      </w:r>
      <w:r w:rsidR="00EC5A9C" w:rsidRPr="001B6443">
        <w:rPr>
          <w:rFonts w:ascii="Times New Roman" w:eastAsia="Calibri" w:hAnsi="Times New Roman" w:cs="Times New Roman"/>
          <w:i/>
          <w:color w:val="000000" w:themeColor="text1"/>
          <w:lang w:val="en-US"/>
        </w:rPr>
        <w:t>β</w:t>
      </w:r>
      <w:r w:rsidR="00EC5A9C" w:rsidRPr="001B6443">
        <w:rPr>
          <w:rFonts w:ascii="Times New Roman" w:eastAsia="Calibri" w:hAnsi="Times New Roman" w:cs="Times New Roman"/>
          <w:color w:val="000000" w:themeColor="text1"/>
          <w:vertAlign w:val="subscript"/>
          <w:lang w:val="en-US"/>
        </w:rPr>
        <w:t>1</w:t>
      </w:r>
      <w:r w:rsidR="00EC5A9C"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color w:val="000000" w:themeColor="text1"/>
          <w:lang w:val="en-US"/>
        </w:rPr>
        <w:t>PCCIs</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00EC5A9C" w:rsidRPr="001B6443">
        <w:rPr>
          <w:rFonts w:ascii="Times New Roman" w:eastAsia="Calibri" w:hAnsi="Times New Roman" w:cs="Times New Roman"/>
          <w:color w:val="000000" w:themeColor="text1"/>
          <w:lang w:val="en-US"/>
        </w:rPr>
        <w:t>+</w:t>
      </w:r>
      <w:r w:rsidR="00EC5A9C" w:rsidRPr="001B6443">
        <w:rPr>
          <w:rFonts w:ascii="Times New Roman" w:eastAsia="Calibri" w:hAnsi="Times New Roman" w:cs="Times New Roman"/>
          <w:i/>
          <w:color w:val="000000" w:themeColor="text1"/>
          <w:lang w:val="en-US"/>
        </w:rPr>
        <w:t>β</w:t>
      </w:r>
      <w:r w:rsidR="00EC5A9C" w:rsidRPr="001B6443">
        <w:rPr>
          <w:rFonts w:ascii="Times New Roman" w:eastAsia="Calibri" w:hAnsi="Times New Roman" w:cs="Times New Roman"/>
          <w:color w:val="000000" w:themeColor="text1"/>
          <w:vertAlign w:val="subscript"/>
          <w:lang w:val="en-US"/>
        </w:rPr>
        <w:t>2</w:t>
      </w:r>
      <w:r w:rsidR="00EC5A9C" w:rsidRPr="001B6443">
        <w:rPr>
          <w:rFonts w:ascii="Times New Roman" w:eastAsia="Calibri" w:hAnsi="Times New Roman" w:cs="Times New Roman"/>
          <w:color w:val="000000" w:themeColor="text1"/>
          <w:lang w:val="en-US"/>
        </w:rPr>
        <w:t>*BSCOM</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00EC5A9C" w:rsidRPr="001B6443">
        <w:rPr>
          <w:rFonts w:ascii="Times New Roman" w:eastAsia="Calibri" w:hAnsi="Times New Roman" w:cs="Times New Roman"/>
          <w:color w:val="000000" w:themeColor="text1"/>
          <w:lang w:val="en-US"/>
        </w:rPr>
        <w:t>+</w:t>
      </w:r>
      <w:r w:rsidR="00EC5A9C" w:rsidRPr="001B6443">
        <w:rPr>
          <w:rFonts w:ascii="Times New Roman" w:eastAsia="Calibri" w:hAnsi="Times New Roman" w:cs="Times New Roman"/>
          <w:i/>
          <w:color w:val="000000" w:themeColor="text1"/>
          <w:lang w:val="en-US"/>
        </w:rPr>
        <w:t>β</w:t>
      </w:r>
      <w:r w:rsidR="00EC5A9C" w:rsidRPr="001B6443">
        <w:rPr>
          <w:rFonts w:ascii="Times New Roman" w:eastAsia="Calibri" w:hAnsi="Times New Roman" w:cs="Times New Roman"/>
          <w:color w:val="000000" w:themeColor="text1"/>
          <w:vertAlign w:val="subscript"/>
          <w:lang w:val="en-US"/>
        </w:rPr>
        <w:t>3</w:t>
      </w:r>
      <w:r w:rsidRPr="001B6443">
        <w:rPr>
          <w:rFonts w:ascii="Times New Roman" w:eastAsia="Calibri" w:hAnsi="Times New Roman" w:cs="Times New Roman"/>
          <w:color w:val="000000" w:themeColor="text1"/>
          <w:lang w:val="en-US"/>
        </w:rPr>
        <w:t>*(PCCIs</w:t>
      </w:r>
      <w:r w:rsidR="00EC5A9C" w:rsidRPr="001B6443">
        <w:rPr>
          <w:rFonts w:ascii="Times New Roman" w:eastAsia="Calibri" w:hAnsi="Times New Roman" w:cs="Times New Roman"/>
          <w:color w:val="000000" w:themeColor="text1"/>
          <w:lang w:val="en-US"/>
        </w:rPr>
        <w:t>*BSCOM</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00EC5A9C" w:rsidRPr="001B6443">
        <w:rPr>
          <w:rFonts w:ascii="Times New Roman" w:eastAsia="Calibri" w:hAnsi="Times New Roman" w:cs="Times New Roman"/>
          <w:color w:val="000000" w:themeColor="text1"/>
          <w:lang w:val="en-US"/>
        </w:rPr>
        <w:t>)</w:t>
      </w:r>
    </w:p>
    <w:p w14:paraId="25579531" w14:textId="4DA2F41C" w:rsidR="00D35B02" w:rsidRPr="001B6443" w:rsidRDefault="00EC5A9C" w:rsidP="00D35B02">
      <w:pPr>
        <w:spacing w:after="0" w:line="480" w:lineRule="auto"/>
        <w:ind w:firstLine="1701"/>
        <w:rPr>
          <w:rFonts w:ascii="Times New Roman" w:hAnsi="Times New Roman" w:cs="Times New Roman"/>
          <w:color w:val="000000" w:themeColor="text1"/>
          <w:vertAlign w:val="subscript"/>
          <w:lang w:val="en-US"/>
        </w:rPr>
      </w:pP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4</w:t>
      </w:r>
      <w:r w:rsidRPr="001B6443">
        <w:rPr>
          <w:rFonts w:ascii="Times New Roman" w:eastAsia="Calibri" w:hAnsi="Times New Roman" w:cs="Times New Roman"/>
          <w:color w:val="000000" w:themeColor="text1"/>
          <w:lang w:val="en-US"/>
        </w:rPr>
        <w:t>*BSIZE</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5</w:t>
      </w:r>
      <w:r w:rsidRPr="001B6443">
        <w:rPr>
          <w:rFonts w:ascii="Times New Roman" w:eastAsia="Calibri" w:hAnsi="Times New Roman" w:cs="Times New Roman"/>
          <w:color w:val="000000" w:themeColor="text1"/>
          <w:lang w:val="en-US"/>
        </w:rPr>
        <w:t>*INDIR</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6</w:t>
      </w:r>
      <w:r w:rsidRPr="001B6443">
        <w:rPr>
          <w:rFonts w:ascii="Times New Roman" w:eastAsia="Calibri" w:hAnsi="Times New Roman" w:cs="Times New Roman"/>
          <w:color w:val="000000" w:themeColor="text1"/>
          <w:lang w:val="en-US"/>
        </w:rPr>
        <w:t>*BGEN</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7</w:t>
      </w:r>
      <w:r w:rsidRPr="001B6443">
        <w:rPr>
          <w:rFonts w:ascii="Times New Roman" w:eastAsia="Calibri" w:hAnsi="Times New Roman" w:cs="Times New Roman"/>
          <w:color w:val="000000" w:themeColor="text1"/>
          <w:lang w:val="en-US"/>
        </w:rPr>
        <w:t>*SIZE</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p>
    <w:p w14:paraId="50D6BCD2" w14:textId="576035D5" w:rsidR="00D35B02" w:rsidRPr="001B6443" w:rsidRDefault="00EC5A9C" w:rsidP="00D35B02">
      <w:pPr>
        <w:spacing w:after="0" w:line="480" w:lineRule="auto"/>
        <w:ind w:firstLine="1701"/>
        <w:rPr>
          <w:rFonts w:ascii="Times New Roman" w:hAnsi="Times New Roman" w:cs="Times New Roman"/>
          <w:color w:val="000000" w:themeColor="text1"/>
          <w:vertAlign w:val="subscript"/>
          <w:lang w:val="en-US"/>
        </w:rPr>
      </w:pP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8</w:t>
      </w:r>
      <w:r w:rsidRPr="001B6443">
        <w:rPr>
          <w:rFonts w:ascii="Times New Roman" w:eastAsia="Calibri" w:hAnsi="Times New Roman" w:cs="Times New Roman"/>
          <w:color w:val="000000" w:themeColor="text1"/>
          <w:lang w:val="en-US"/>
        </w:rPr>
        <w:t>*PROF</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9</w:t>
      </w:r>
      <w:r w:rsidRPr="001B6443">
        <w:rPr>
          <w:rFonts w:ascii="Times New Roman" w:eastAsia="Calibri" w:hAnsi="Times New Roman" w:cs="Times New Roman"/>
          <w:color w:val="000000" w:themeColor="text1"/>
          <w:lang w:val="en-US"/>
        </w:rPr>
        <w:t>*DEBT</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10</w:t>
      </w:r>
      <w:r w:rsidRPr="001B6443">
        <w:rPr>
          <w:rFonts w:ascii="Times New Roman" w:eastAsia="Calibri" w:hAnsi="Times New Roman" w:cs="Times New Roman"/>
          <w:color w:val="000000" w:themeColor="text1"/>
          <w:lang w:val="en-US"/>
        </w:rPr>
        <w:t>*CASH</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11</w:t>
      </w:r>
      <w:r w:rsidRPr="001B6443">
        <w:rPr>
          <w:rFonts w:ascii="Times New Roman" w:eastAsia="Calibri" w:hAnsi="Times New Roman" w:cs="Times New Roman"/>
          <w:color w:val="000000" w:themeColor="text1"/>
          <w:lang w:val="en-US"/>
        </w:rPr>
        <w:t>*CAPIN</w:t>
      </w:r>
      <w:r w:rsidR="00D35B02" w:rsidRPr="001B6443">
        <w:rPr>
          <w:rFonts w:ascii="Times New Roman" w:eastAsia="Calibri" w:hAnsi="Times New Roman" w:cs="Times New Roman"/>
          <w:i/>
          <w:color w:val="000000" w:themeColor="text1"/>
          <w:vertAlign w:val="subscript"/>
          <w:lang w:val="en-US"/>
        </w:rPr>
        <w:t>i</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p>
    <w:p w14:paraId="2F8D2AB7" w14:textId="42D1881B" w:rsidR="00EC5A9C" w:rsidRPr="001B6443" w:rsidRDefault="00EC5A9C" w:rsidP="00D35B02">
      <w:pPr>
        <w:spacing w:after="0" w:line="480" w:lineRule="auto"/>
        <w:ind w:firstLine="1701"/>
        <w:rPr>
          <w:rFonts w:ascii="Times New Roman" w:hAnsi="Times New Roman" w:cs="Times New Roman"/>
          <w:color w:val="000000" w:themeColor="text1"/>
          <w:vertAlign w:val="subscript"/>
          <w:lang w:val="en-US"/>
        </w:rPr>
      </w:pP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12</w:t>
      </w:r>
      <w:r w:rsidRPr="001B6443">
        <w:rPr>
          <w:rFonts w:ascii="Times New Roman" w:eastAsia="Calibri" w:hAnsi="Times New Roman" w:cs="Times New Roman"/>
          <w:color w:val="000000" w:themeColor="text1"/>
          <w:lang w:val="en-US"/>
        </w:rPr>
        <w:t>*WGI</w:t>
      </w:r>
      <w:r w:rsidR="00D35B02" w:rsidRPr="001B6443">
        <w:rPr>
          <w:rFonts w:ascii="Times New Roman" w:eastAsia="Calibri" w:hAnsi="Times New Roman" w:cs="Times New Roman"/>
          <w:i/>
          <w:color w:val="000000" w:themeColor="text1"/>
          <w:vertAlign w:val="subscript"/>
          <w:lang w:val="en-US"/>
        </w:rPr>
        <w:t>k</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13</w:t>
      </w:r>
      <w:r w:rsidRPr="001B6443">
        <w:rPr>
          <w:rFonts w:ascii="Times New Roman" w:eastAsia="Calibri" w:hAnsi="Times New Roman" w:cs="Times New Roman"/>
          <w:color w:val="000000" w:themeColor="text1"/>
          <w:lang w:val="en-US"/>
        </w:rPr>
        <w:t>*GDP</w:t>
      </w:r>
      <w:r w:rsidR="00D35B02" w:rsidRPr="001B6443">
        <w:rPr>
          <w:rFonts w:ascii="Times New Roman" w:eastAsia="Calibri" w:hAnsi="Times New Roman" w:cs="Times New Roman"/>
          <w:i/>
          <w:color w:val="000000" w:themeColor="text1"/>
          <w:vertAlign w:val="subscript"/>
          <w:lang w:val="en-US"/>
        </w:rPr>
        <w:t>k</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β</w:t>
      </w:r>
      <w:r w:rsidRPr="001B6443">
        <w:rPr>
          <w:rFonts w:ascii="Times New Roman" w:eastAsia="Calibri" w:hAnsi="Times New Roman" w:cs="Times New Roman"/>
          <w:color w:val="000000" w:themeColor="text1"/>
          <w:vertAlign w:val="subscript"/>
          <w:lang w:val="en-US"/>
        </w:rPr>
        <w:t>14</w:t>
      </w:r>
      <w:r w:rsidRPr="001B6443">
        <w:rPr>
          <w:rFonts w:ascii="Times New Roman" w:eastAsia="Calibri" w:hAnsi="Times New Roman" w:cs="Times New Roman"/>
          <w:color w:val="000000" w:themeColor="text1"/>
          <w:lang w:val="en-US"/>
        </w:rPr>
        <w:t>*INF</w:t>
      </w:r>
      <w:r w:rsidR="00D35B02" w:rsidRPr="001B6443">
        <w:rPr>
          <w:rFonts w:ascii="Times New Roman" w:eastAsia="Calibri" w:hAnsi="Times New Roman" w:cs="Times New Roman"/>
          <w:i/>
          <w:color w:val="000000" w:themeColor="text1"/>
          <w:vertAlign w:val="subscript"/>
          <w:lang w:val="en-US"/>
        </w:rPr>
        <w:t>k</w:t>
      </w:r>
      <w:r w:rsidR="00D35B02" w:rsidRPr="001B6443">
        <w:rPr>
          <w:rFonts w:ascii="Times New Roman" w:hAnsi="Times New Roman" w:cs="Times New Roman"/>
          <w:color w:val="000000" w:themeColor="text1"/>
          <w:vertAlign w:val="subscript"/>
          <w:lang w:val="en-US"/>
        </w:rPr>
        <w:t>[</w:t>
      </w:r>
      <w:r w:rsidR="00D35B02" w:rsidRPr="001B6443">
        <w:rPr>
          <w:rFonts w:ascii="Times New Roman" w:hAnsi="Times New Roman" w:cs="Times New Roman"/>
          <w:i/>
          <w:color w:val="000000" w:themeColor="text1"/>
          <w:vertAlign w:val="subscript"/>
          <w:lang w:val="en-US"/>
        </w:rPr>
        <w:t>t;t-1;t-2</w:t>
      </w:r>
      <w:r w:rsidR="00D35B02" w:rsidRPr="001B6443">
        <w:rPr>
          <w:rFonts w:ascii="Times New Roman" w:hAnsi="Times New Roman" w:cs="Times New Roman"/>
          <w:color w:val="000000" w:themeColor="text1"/>
          <w:vertAlign w:val="subscript"/>
          <w:lang w:val="en-US"/>
        </w:rPr>
        <w:t>]</w:t>
      </w:r>
      <w:r w:rsidRPr="001B6443">
        <w:rPr>
          <w:rFonts w:ascii="Times New Roman" w:eastAsia="Calibri" w:hAnsi="Times New Roman" w:cs="Times New Roman"/>
          <w:color w:val="000000" w:themeColor="text1"/>
          <w:lang w:val="en-US"/>
        </w:rPr>
        <w:t>+</w:t>
      </w:r>
      <w:r w:rsidRPr="001B6443">
        <w:rPr>
          <w:rFonts w:ascii="Times New Roman" w:eastAsia="Calibri" w:hAnsi="Times New Roman" w:cs="Times New Roman"/>
          <w:i/>
          <w:color w:val="000000" w:themeColor="text1"/>
          <w:lang w:val="en-US"/>
        </w:rPr>
        <w:t>ε</w:t>
      </w:r>
      <w:r w:rsidRPr="001B6443">
        <w:rPr>
          <w:rFonts w:ascii="Times New Roman" w:eastAsia="Calibri" w:hAnsi="Times New Roman" w:cs="Times New Roman"/>
          <w:i/>
          <w:color w:val="000000" w:themeColor="text1"/>
          <w:vertAlign w:val="subscript"/>
          <w:lang w:val="en-US"/>
        </w:rPr>
        <w:t>i</w:t>
      </w:r>
      <w:r w:rsidR="0015176B" w:rsidRPr="001B6443">
        <w:rPr>
          <w:rFonts w:ascii="Times New Roman" w:hAnsi="Times New Roman" w:cs="Times New Roman"/>
          <w:color w:val="000000" w:themeColor="text1"/>
          <w:vertAlign w:val="subscript"/>
          <w:lang w:val="en-US"/>
        </w:rPr>
        <w:t>[</w:t>
      </w:r>
      <w:r w:rsidR="0015176B" w:rsidRPr="001B6443">
        <w:rPr>
          <w:rFonts w:ascii="Times New Roman" w:hAnsi="Times New Roman" w:cs="Times New Roman"/>
          <w:i/>
          <w:color w:val="000000" w:themeColor="text1"/>
          <w:vertAlign w:val="subscript"/>
          <w:lang w:val="en-US"/>
        </w:rPr>
        <w:t>t;t-1;t-2</w:t>
      </w:r>
      <w:r w:rsidR="0015176B" w:rsidRPr="001B6443">
        <w:rPr>
          <w:rFonts w:ascii="Times New Roman" w:hAnsi="Times New Roman" w:cs="Times New Roman"/>
          <w:color w:val="000000" w:themeColor="text1"/>
          <w:vertAlign w:val="subscript"/>
          <w:lang w:val="en-US"/>
        </w:rPr>
        <w:t>]</w:t>
      </w:r>
    </w:p>
    <w:p w14:paraId="55AC7D27" w14:textId="77777777" w:rsidR="00EC5A9C" w:rsidRPr="001B6443" w:rsidRDefault="00EC5A9C" w:rsidP="00EC5A9C">
      <w:pPr>
        <w:spacing w:after="0" w:line="480" w:lineRule="auto"/>
        <w:jc w:val="right"/>
        <w:rPr>
          <w:rFonts w:ascii="Times New Roman" w:eastAsia="Calibri" w:hAnsi="Times New Roman" w:cs="Times New Roman"/>
          <w:color w:val="000000" w:themeColor="text1"/>
          <w:sz w:val="24"/>
          <w:szCs w:val="24"/>
          <w:vertAlign w:val="subscript"/>
          <w:lang w:val="en-US"/>
        </w:rPr>
      </w:pPr>
      <w:r w:rsidRPr="001B6443">
        <w:rPr>
          <w:rFonts w:ascii="Times New Roman" w:eastAsia="Calibri" w:hAnsi="Times New Roman" w:cs="Times New Roman"/>
          <w:color w:val="000000" w:themeColor="text1"/>
          <w:sz w:val="24"/>
          <w:szCs w:val="24"/>
          <w:vertAlign w:val="subscript"/>
          <w:lang w:val="en-US"/>
        </w:rPr>
        <w:t xml:space="preserve"> (2)</w:t>
      </w:r>
    </w:p>
    <w:p w14:paraId="554A36BB" w14:textId="654A106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where, </w:t>
      </w:r>
      <w:r w:rsidR="007B41F9" w:rsidRPr="001B6443">
        <w:rPr>
          <w:rFonts w:ascii="Times New Roman" w:eastAsia="Calibri" w:hAnsi="Times New Roman" w:cs="Times New Roman"/>
          <w:color w:val="000000" w:themeColor="text1"/>
          <w:sz w:val="24"/>
          <w:szCs w:val="24"/>
          <w:lang w:val="en-US"/>
        </w:rPr>
        <w:t>PCCIs</w:t>
      </w:r>
      <w:r w:rsidRPr="001B6443">
        <w:rPr>
          <w:rFonts w:ascii="Times New Roman" w:eastAsia="Calibri" w:hAnsi="Times New Roman" w:cs="Times New Roman"/>
          <w:color w:val="000000" w:themeColor="text1"/>
          <w:sz w:val="24"/>
          <w:szCs w:val="24"/>
          <w:lang w:val="en-US"/>
        </w:rPr>
        <w:t>*BSCOM is t</w:t>
      </w:r>
      <w:r w:rsidR="007B41F9" w:rsidRPr="001B6443">
        <w:rPr>
          <w:rFonts w:ascii="Times New Roman" w:eastAsia="Calibri" w:hAnsi="Times New Roman" w:cs="Times New Roman"/>
          <w:color w:val="000000" w:themeColor="text1"/>
          <w:sz w:val="24"/>
          <w:szCs w:val="24"/>
          <w:lang w:val="en-US"/>
        </w:rPr>
        <w:t>he interaction term between PCCIs</w:t>
      </w:r>
      <w:r w:rsidRPr="001B6443">
        <w:rPr>
          <w:rFonts w:ascii="Times New Roman" w:eastAsia="Calibri" w:hAnsi="Times New Roman" w:cs="Times New Roman"/>
          <w:color w:val="000000" w:themeColor="text1"/>
          <w:sz w:val="24"/>
          <w:szCs w:val="24"/>
          <w:lang w:val="en-US"/>
        </w:rPr>
        <w:t xml:space="preserve"> and BSCOM. </w:t>
      </w:r>
    </w:p>
    <w:p w14:paraId="1B227D8D" w14:textId="11C1A39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As shown in Figure 1, our conceptual framework contains four main variables, including PCCIs, CCPE, BSCOM, and MV. First, following prior studies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Value","type":"article-journal","volume":"31"},"uris":["http://www.mendeley.com/documents/?uuid=233c96ce-971f-33e7-ad90-be8611789ad9"]},{"id":"ITEM-2","itemData":{"DOI":"10.1002/bse.711","ISSN":"09644733","abstract":"With climate change emerging as one of the most important issues affecting the business circle, companies have begun considering the carbon issue in their overall strategic positioning. However, few studies have examined the corporate carbon strategies in developing and advanced developing countries, where climate change regulation is extensive and market uncertainty is relatively high. In addition, there has been growing interest among researchers and practitioners concerning the relationship between the carbon strategy and firm performance. This paper presents a framework for identifying the corporate carbon strategy. The cluster analysis of 241 Korean companies indicates six types of corporate carbon strategy: 'wait-and-see observer', 'cautious reducer', 'product enhancer', 'all-round enhancer', 'emergent explorer' and 'all-round explorer'. This study empirically examines whether there are differences between these carbon strategy types in terms of the sector, firm size and firm performance. The results indicate a significant relationship between a firm's carbon strategy and its sector and size but a significant relationship between the carbon strategy and firm performance is not confirmed. © 2011 John Wiley &amp; Sons, Ltd and ERP Environment.","author":[{"dropping-particle":"","family":"Lee","given":"Su Yol","non-dropping-particle":"","parse-names":false,"suffix":""}],"container-title":"Business Strategy and the Environment","id":"ITEM-2","issue":"1","issued":{"date-parts":[["2012","1"]]},"page":"33-48","title":"Corporate carbon strategies in responding to climate change","type":"article-journal","volume":"21"},"uris":["http://www.mendeley.com/documents/?uuid=e9f9abe0-72d2-36ea-b75b-fd34f781b1a1"]},{"id":"ITEM-3","itemData":{"DOI":"10.1002/bse.1845","ISSN":"10990836","abstract":"As carbon regulation evolves and becomes specialized in addressing carbon reduction issues, stakeholders will demand that firms provide increased information regarding corporate climate change practices. This paper contributes to the international research that examines the relationship between environmental information disclosures and additional firm factors. To do so, we have conducted an empirical analysis of the relationship between the corporate climate change disclosure practices of firms listed in the Athens Stock Exchange and firm factors, such as size, profitability, leverage and activity sector. Our results indicate there is a significant positive relationship between size and increased corporate disclosures regarding climate change practices. However, no significant relationship is detected between profitability or leverage and corporate climate change disclosures. Copyright © 2014 John Wiley &amp; Sons, Ltd and ERP Environment.","author":[{"dropping-particle":"","family":"Eleftheriadis","given":"Iordanis M.","non-dropping-particle":"","parse-names":false,"suffix":""},{"dropping-particle":"","family":"Anagnostopoulou","given":"Evgenia G.","non-dropping-particle":"","parse-names":false,"suffix":""}],"container-title":"Business Strategy and the Environment","id":"ITEM-3","issue":"8","issued":{"date-parts":[["2015","12","1"]]},"page":"780-789","publisher":"John Wiley and Sons Ltd","title":"Relationship between Corporate Climate Change Disclosures and Firm Factors","type":"article-journal","volume":"24"},"uris":["http://www.mendeley.com/documents/?uuid=a3d1be4c-4b16-3045-842f-776f08498816"]},{"id":"ITEM-4","itemData":{"DOI":"10.1002/bse.1962","ISSN":"10990836","abstract":"In the light of the significant role of environmental accounting in sustainable development, this study examines whether climate change disclosure reflects a firm's environmental performance. The novelty of the study stands on the approaches adopted to describe environmental performance. The first approach concerns performance in terms of output, direct and indirect greenhouse gas emissions, while the second one is based on environmental intention of mitigating climate change, including climate change policy and emission reduction initiatives. The Climate Performance Leadership Index is employed as a measure for climate change disclosure level, incorporating initiatives contributing to climate change mitigation, adaptation and transparency. Ordered logit regression is the appropriate methodology for the data employed concerning firms listed on FTSE 350. According to our findings, environmental performance for both adopted approaches entails a positive effect on climate change disclosure, a result that is consistent with voluntary disclosure theory. It is inferred that firms cannot manipulate their information reflecting their actual environmental performance and adopting a forthright and factual attitude towards sustainable development. Finally, findings provide an insight into managers' strategic behavior towards climate change issues. Copyright © 2017 John Wiley &amp; Sons, Ltd and ERP Environment.","author":[{"dropping-particle":"","family":"Giannarakis","given":"Grigoris","non-dropping-particle":"","parse-names":false,"suffix":""},{"dropping-particle":"","family":"Zafeiriou","given":"Eleni","non-dropping-particle":"","parse-names":false,"suffix":""},{"dropping-particle":"","family":"Sariannidis","given":"Nikolaos","non-dropping-particle":"","parse-names":false,"suffix":""}],"container-title":"Business Strategy and the Environment","id":"ITEM-4","issue":"8","issued":{"date-parts":[["2017","12","1"]]},"page":"1078-1094","publisher":"John Wiley and Sons Ltd","title":"The Impact of Carbon Performance on Climate Change Disclosure","type":"article-journal","volume":"26"},"uris":["http://www.mendeley.com/documents/?uuid=fe9b1ee5-f8e7-3eb6-b11b-286afc71f7f1"]}],"mendeley":{"formattedCitation":"(Eleftheriadis and Anagnostopoulou 2015; Giannarakis et al. 2017; Haque and Ntim 2020; Lee 2012)","manualFormatting":"(e.g., Eleftheriadis and Anagnostopoulou, 2015; Giannarakis et al., 2017)","plainTextFormattedCitation":"(Eleftheriadis and Anagnostopoulou 2015; Giannarakis et al. 2017; Haque and Ntim 2020; Lee 2012)","previouslyFormattedCitation":"(Eleftheriadis and Anagnostopoulou 2015; Giannarakis et al. 2017; Haque and Ntim 2020; Lee 2012)"},"properties":{"noteIndex":0},"schema":"https://github.com/citation-style-language/schema/raw/master/csl-citation.json"}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(e.g., Eleftheriadis and Anagnostopoulou, 2015; Giannarakis</w:t>
      </w:r>
      <w:r w:rsidR="00B51FFE" w:rsidRPr="001B6443">
        <w:rPr>
          <w:rFonts w:ascii="Times New Roman" w:eastAsia="Calibri" w:hAnsi="Times New Roman" w:cs="Times New Roman"/>
          <w:noProof/>
          <w:color w:val="000000" w:themeColor="text1"/>
          <w:sz w:val="24"/>
          <w:szCs w:val="24"/>
          <w:lang w:val="en-US"/>
        </w:rPr>
        <w:t xml:space="preserve"> </w:t>
      </w:r>
      <w:r w:rsidR="00B51FFE" w:rsidRPr="001B6443">
        <w:rPr>
          <w:rFonts w:ascii="Times New Roman" w:eastAsia="Calibri" w:hAnsi="Times New Roman" w:cs="Times New Roman"/>
          <w:i/>
          <w:iCs/>
          <w:noProof/>
          <w:color w:val="000000" w:themeColor="text1"/>
          <w:sz w:val="24"/>
          <w:szCs w:val="24"/>
          <w:lang w:val="en-US"/>
        </w:rPr>
        <w:t>et al</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we develop the PCCIs index </w:t>
      </w:r>
      <w:r w:rsidR="00205382" w:rsidRPr="001B6443">
        <w:rPr>
          <w:rFonts w:ascii="Times New Roman" w:eastAsia="Calibri" w:hAnsi="Times New Roman" w:cs="Times New Roman"/>
          <w:color w:val="000000" w:themeColor="text1"/>
          <w:sz w:val="24"/>
          <w:szCs w:val="24"/>
          <w:lang w:val="en-US"/>
        </w:rPr>
        <w:t xml:space="preserve">to measure </w:t>
      </w:r>
      <w:r w:rsidRPr="001B6443">
        <w:rPr>
          <w:rFonts w:ascii="Times New Roman" w:eastAsia="Calibri" w:hAnsi="Times New Roman" w:cs="Times New Roman"/>
          <w:color w:val="000000" w:themeColor="text1"/>
          <w:sz w:val="24"/>
          <w:szCs w:val="24"/>
          <w:lang w:val="en-US"/>
        </w:rPr>
        <w:t>PCCIs. The index is constructed based on 40 firm-specific activities that measure PCCIs.</w:t>
      </w:r>
      <w:r w:rsidRPr="001B6443">
        <w:rPr>
          <w:rFonts w:ascii="Times New Roman" w:eastAsia="Calibri" w:hAnsi="Times New Roman" w:cs="Times New Roman"/>
          <w:color w:val="000000" w:themeColor="text1"/>
          <w:sz w:val="24"/>
          <w:szCs w:val="24"/>
          <w:vertAlign w:val="superscript"/>
          <w:lang w:val="en-US"/>
        </w:rPr>
        <w:footnoteReference w:id="5"/>
      </w:r>
      <w:r w:rsidRPr="001B6443">
        <w:rPr>
          <w:rFonts w:ascii="Times New Roman" w:eastAsia="Calibri" w:hAnsi="Times New Roman" w:cs="Times New Roman"/>
          <w:color w:val="000000" w:themeColor="text1"/>
          <w:sz w:val="24"/>
          <w:szCs w:val="24"/>
          <w:lang w:val="en-US"/>
        </w:rPr>
        <w:t xml:space="preserve"> The Appendix 1 (supporting information) presents all 40 PCCIs and their measurements. To assess the validity and reliability of the index, the Cronbach’s alpha of individual dimensions of the PCCIs is estimated.</w:t>
      </w:r>
      <w:r w:rsidR="008317F1" w:rsidRPr="001B6443">
        <w:rPr>
          <w:rStyle w:val="FootnoteReference"/>
          <w:rFonts w:ascii="Times New Roman" w:eastAsia="Calibri" w:hAnsi="Times New Roman" w:cs="Times New Roman"/>
          <w:color w:val="000000" w:themeColor="text1"/>
          <w:sz w:val="24"/>
          <w:szCs w:val="24"/>
          <w:lang w:val="en-US"/>
        </w:rPr>
        <w:footnoteReference w:id="6"/>
      </w:r>
      <w:r w:rsidRPr="001B6443">
        <w:rPr>
          <w:rFonts w:ascii="Times New Roman" w:eastAsia="Calibri" w:hAnsi="Times New Roman" w:cs="Times New Roman"/>
          <w:color w:val="000000" w:themeColor="text1"/>
          <w:sz w:val="24"/>
          <w:szCs w:val="24"/>
          <w:lang w:val="en-US"/>
        </w:rPr>
        <w:t xml:space="preserve"> The PCCIs index</w:t>
      </w:r>
      <w:r w:rsidR="00D52BEB" w:rsidRPr="001B6443">
        <w:rPr>
          <w:rFonts w:ascii="Times New Roman" w:eastAsia="Calibri" w:hAnsi="Times New Roman" w:cs="Times New Roman"/>
          <w:color w:val="000000" w:themeColor="text1"/>
          <w:sz w:val="24"/>
          <w:szCs w:val="24"/>
          <w:lang w:val="en-US"/>
        </w:rPr>
        <w:t xml:space="preserve">, </w:t>
      </w:r>
      <w:r w:rsidR="009B4CA2" w:rsidRPr="001B6443">
        <w:rPr>
          <w:rFonts w:ascii="Times New Roman" w:eastAsia="Calibri" w:hAnsi="Times New Roman" w:cs="Times New Roman"/>
          <w:color w:val="000000" w:themeColor="text1"/>
          <w:sz w:val="24"/>
          <w:szCs w:val="24"/>
          <w:lang w:val="en-US"/>
        </w:rPr>
        <w:t xml:space="preserve">which is a weighted average sector adjusted index, is </w:t>
      </w:r>
      <w:r w:rsidR="00D52BEB" w:rsidRPr="001B6443">
        <w:rPr>
          <w:rFonts w:ascii="Times New Roman" w:eastAsia="Calibri" w:hAnsi="Times New Roman" w:cs="Times New Roman"/>
          <w:color w:val="000000" w:themeColor="text1"/>
          <w:sz w:val="24"/>
          <w:szCs w:val="24"/>
          <w:lang w:val="en-US"/>
        </w:rPr>
        <w:t xml:space="preserve">then </w:t>
      </w:r>
      <w:r w:rsidR="009B4CA2" w:rsidRPr="001B6443">
        <w:rPr>
          <w:rFonts w:ascii="Times New Roman" w:eastAsia="Calibri" w:hAnsi="Times New Roman" w:cs="Times New Roman"/>
          <w:color w:val="000000" w:themeColor="text1"/>
          <w:sz w:val="24"/>
          <w:szCs w:val="24"/>
          <w:lang w:val="en-US"/>
        </w:rPr>
        <w:t>calculated based o</w:t>
      </w:r>
      <w:r w:rsidR="00D52BEB" w:rsidRPr="001B6443">
        <w:rPr>
          <w:rFonts w:ascii="Times New Roman" w:eastAsia="Calibri" w:hAnsi="Times New Roman" w:cs="Times New Roman"/>
          <w:color w:val="000000" w:themeColor="text1"/>
          <w:sz w:val="24"/>
          <w:szCs w:val="24"/>
          <w:lang w:val="en-US"/>
        </w:rPr>
        <w:t xml:space="preserve">n these 40 firm-specific </w:t>
      </w:r>
      <w:r w:rsidR="009B4CA2" w:rsidRPr="001B6443">
        <w:rPr>
          <w:rFonts w:ascii="Times New Roman" w:eastAsia="Calibri" w:hAnsi="Times New Roman" w:cs="Times New Roman"/>
          <w:color w:val="000000" w:themeColor="text1"/>
          <w:sz w:val="24"/>
          <w:szCs w:val="24"/>
          <w:lang w:val="en-US"/>
        </w:rPr>
        <w:t>PCCIs</w:t>
      </w:r>
      <w:r w:rsidRPr="001B6443">
        <w:rPr>
          <w:rFonts w:ascii="Times New Roman" w:eastAsia="Calibri" w:hAnsi="Times New Roman" w:cs="Times New Roman"/>
          <w:color w:val="000000" w:themeColor="text1"/>
          <w:sz w:val="24"/>
          <w:szCs w:val="24"/>
          <w:lang w:val="en-US"/>
        </w:rPr>
        <w:t>.</w:t>
      </w:r>
      <w:r w:rsidRPr="001B6443">
        <w:rPr>
          <w:rFonts w:ascii="Times New Roman" w:hAnsi="Times New Roman" w:cs="Times New Roman"/>
          <w:color w:val="000000" w:themeColor="text1"/>
          <w:sz w:val="24"/>
          <w:szCs w:val="24"/>
          <w:vertAlign w:val="superscript"/>
        </w:rPr>
        <w:footnoteReference w:id="7"/>
      </w:r>
      <w:r w:rsidRPr="001B6443">
        <w:rPr>
          <w:rFonts w:ascii="Times New Roman" w:eastAsia="Calibri" w:hAnsi="Times New Roman" w:cs="Times New Roman"/>
          <w:color w:val="000000" w:themeColor="text1"/>
          <w:sz w:val="24"/>
          <w:szCs w:val="24"/>
          <w:lang w:val="en-US"/>
        </w:rPr>
        <w:t xml:space="preserve"> Second, consistent with related studies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{"citationItems":[{"id":"ITEM-1","itemData":{"DOI":"10.1007/s11142-021-09611-x","ISSN":"15737136","abstract":"We examine the impact of a disclosure mandate for greenhouse gas emissions on firms’ subsequent emission levels and financial operating performance. For UK-incorporated listed firms a carbon disclosure mandate was adopted in 2013. Our difference-in-differences design shows that firms affected by the mandate reduced their emissions by about 8% relative to a control group of European firms. At the same time, our tests indicate that the treated firms experienced no significant changes in their gross margins. Taken together, our findings indicate that the reporting mandate had a real effect on the variable to be disclosed without adversely affecting the financial operating performance of the treated firms.","author":[{"dropping-particle":"","family":"Downar","given":"Benedikt","non-dropping-particle":"","parse-names":false,"suffix":""},{"dropping-particle":"","family":"Ernstberger","given":"Jürgen","non-dropping-particle":"","parse-names":false,"suffix":""},{"dropping-particle":"","family":"Reichelstein","given":"Stefan","non-dropping-particle":"","parse-names":false,"suffix":""},{"dropping-particle":"","family":"Schwenen","given":"Sebastian","non-dropping-particle":"","parse-names":false,"suffix":""},{"dropping-particle":"","family":"Zaklan","given":"Aleksandar","non-dropping-particle":"","parse-names":false,"suffix":""}],"container-title":"Review of Accounting Studies","id":"ITEM-1","issue":"3","issued":{"date-parts":[["2021"]]},"page":"1137–1175","title":"The impact of carbon disclosure mandates on emissions and financial operating performance","type":"article-journal","volume":"26"},"uris":["http://www.mendeley.com/documents/?uuid=7f61cb7f-db2e-3393-845e-9bef19d6ebfe"]}],"mendeley":{"formattedCitation":"(Downar et al. 2021)","manualFormatting":"(Downar et al., 2021","plainTextFormattedCitation":"(Downar et al. 2021)","previouslyFormattedCitation":"(Downar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(Downar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Value","type":"article-journal","volume":"31"},"uris":["http://www.mendeley.com/documents/?uuid=233c96ce-971f-33e7-ad90-be8611789ad9"]},{"id":"ITEM-2","itemData":{"DOI":"10.1002/bse.2351","ISSN":"10990836","abstract":"Overwhelming evidence from prior research suggests a positive association between corporate board characteristics and carbon performance; however, very little is known about the mechanisms linking the two variables. This study attempts to fill this gap by developing and empirically testing a conceptual model that highlights the role of carbon strategy in the relationship between board environmental orientation (BEO) and carbon performance. We argue that BEO can directly and indirectly influence carbon performance through carbon strategy. Using structural equation modelling to analyse data consisting of 2,301 U.S. firm-year observations over the 2005–2015 period, we find that the greater the BEO is, the better its carbon performance (i.e., lower greenhouse gas emissions). The results also provide evidence of the mediating effect of carbon strategy on the relationship between BEO and carbon performance. Splitting the sample into high and low carbon-intensive industries shows a partial mediation effect in high carbon-intensive industries and a full mediation effect in low carbon-intensive industries. The findings of the study and its implications for scholars, policymakers, managers, investors, and environmentalists are discussed.","author":[{"dropping-particle":"","family":"Moussa","given":"Tantawy","non-dropping-particle":"","parse-names":false,"suffix":""},{"dropping-particle":"","family":"Allam","given":"Amir","non-dropping-particle":"","parse-names":false,"suffix":""},{"dropping-particle":"","family":"Elbanna","given":"Said","non-dropping-particle":"","parse-names":false,"suffix":""},{"dropping-particle":"","family":"Bani-Mustafa","given":"Ahmed","non-dropping-particle":"","parse-names":false,"suffix":""}],"container-title":"Business Strategy and the Environment","id":"ITEM-2","issue":"1","issued":{"date-parts":[["2020","1","1"]]},"page":"72-86","publisher":"John Wiley and Sons Ltd","title":"Can board environmental orientation improve U.S. firms' carbon performance? The mediating role of carbon strategy","type":"article-journal","volume":"29"},"uris":["http://www.mendeley.com/documents/?uuid=77934d55-5478-3385-bd0a-2db743b1d567"]}],"mendeley":{"formattedCitation":"(Haque and Ntim 2020; Moussa et al. 2020)","manualFormatting":"Moussa et al., 2020)","plainTextFormattedCitation":"(Haque and Ntim 2020; Moussa et al. 2020)","previouslyFormattedCitation":"(Haque and Ntim 2020; Moussa et al.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Moussa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we measure CCPE as the natural logarithm of total GHG emissions</w:t>
      </w:r>
      <w:r w:rsidR="00C40B94"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including Scope 1 and Scope 2 </w:t>
      </w:r>
      <w:r w:rsidRPr="001B6443">
        <w:rPr>
          <w:rFonts w:ascii="Times New Roman" w:eastAsia="Calibri" w:hAnsi="Times New Roman" w:cs="Times New Roman"/>
          <w:color w:val="000000" w:themeColor="text1"/>
          <w:sz w:val="24"/>
          <w:szCs w:val="24"/>
          <w:lang w:val="en-US"/>
        </w:rPr>
        <w:lastRenderedPageBreak/>
        <w:t>emissions.</w:t>
      </w:r>
      <w:r w:rsidRPr="001B6443">
        <w:rPr>
          <w:rFonts w:ascii="Times New Roman" w:hAnsi="Times New Roman" w:cs="Times New Roman"/>
          <w:color w:val="000000" w:themeColor="text1"/>
          <w:sz w:val="24"/>
          <w:szCs w:val="24"/>
          <w:vertAlign w:val="superscript"/>
        </w:rPr>
        <w:footnoteReference w:id="8"/>
      </w:r>
      <w:r w:rsidRPr="001B6443">
        <w:rPr>
          <w:rFonts w:ascii="Times New Roman" w:eastAsia="Calibri" w:hAnsi="Times New Roman" w:cs="Times New Roman"/>
          <w:color w:val="000000" w:themeColor="text1"/>
          <w:sz w:val="24"/>
          <w:szCs w:val="24"/>
          <w:lang w:val="en-US"/>
        </w:rPr>
        <w:t xml:space="preserve"> Third, we measure BSCOM based on dat</w:t>
      </w:r>
      <w:r w:rsidR="0060128B" w:rsidRPr="001B6443">
        <w:rPr>
          <w:rFonts w:ascii="Times New Roman" w:eastAsia="Calibri" w:hAnsi="Times New Roman" w:cs="Times New Roman"/>
          <w:color w:val="000000" w:themeColor="text1"/>
          <w:sz w:val="24"/>
          <w:szCs w:val="24"/>
          <w:lang w:val="en-US"/>
        </w:rPr>
        <w:t>a obtained from the ASSET4 ESG</w:t>
      </w:r>
      <w:r w:rsidR="00896FAE" w:rsidRPr="001B6443">
        <w:rPr>
          <w:rFonts w:ascii="Times New Roman" w:eastAsia="Calibri" w:hAnsi="Times New Roman" w:cs="Times New Roman"/>
          <w:color w:val="000000" w:themeColor="text1"/>
          <w:sz w:val="24"/>
          <w:szCs w:val="24"/>
          <w:lang w:val="en-US"/>
        </w:rPr>
        <w:t>, consistent with</w:t>
      </w:r>
      <w:r w:rsidRPr="001B6443">
        <w:rPr>
          <w:rFonts w:ascii="Times New Roman" w:eastAsia="Calibri" w:hAnsi="Times New Roman" w:cs="Times New Roman"/>
          <w:color w:val="000000" w:themeColor="text1"/>
          <w:sz w:val="24"/>
          <w:szCs w:val="24"/>
          <w:lang w:val="en-US"/>
        </w:rPr>
        <w:t xml:space="preserve"> prior studies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strategy","type":"article-journal","volume":"29"},"uris":["http://www.mendeley.com/documents/?uuid=05434146-b776-3687-93bb-7d50ecedde5c"]},{"id":"ITEM-2","itemData":{"DOI":"10.1007/s10551-015-2664-7","ISBN":"9781109761504","ISSN":"15730697","abstract":"This study explores the relationship between board environmental committees and corporate environmental performance (CEP). We propose that board environmental committees will be positively associated with CEP. Moreover, we argue that the composition of the committee (i.e., stakeholder representation) as well as the presence of a sustainability manager will influence this relationship. Our results find support for a positive association between board environmental committees and CEP. Further, the presence of a senior-level environmental manager positively moderates this relationship, but is not effective in isolation. Unexpectedly, no support was found for the influences of stakeholder representation.","author":[{"dropping-particle":"","family":"Dixon-Fowler","given":"Heather R.","non-dropping-particle":"","parse-names":false,"suffix":""},{"dropping-particle":"","family":"Ellstrand","given":"Alan E.","non-dropping-particle":"","parse-names":false,"suffix":""},{"dropping-particle":"","family":"Johnson","given":"Jonathan L.","non-dropping-particle":"","parse-names":false,"suffix":""}],"container-title":"Journal of Business Ethics","id":"ITEM-2","issue":"3","issued":{"date-parts":[["2017"]]},"page":"423-438","title":"The Role of Board Environmental Committees in Corporate Environmental Performance","type":"article-journal","volume":"140"},"uris":["http://www.mendeley.com/documents/?uuid=bda04092-fd52-330f-9775-ff44447d71cb"]}],"mendeley":{"formattedCitation":"(Dixon-Fowler et al. 2017; Orazalin 2020)","manualFormatting":"(Dixon-Fowler, Ellstrand and Johnson, 2017; Orazalin, 2020)","plainTextFormattedCitation":"(Dixon-Fowler et al. 2017; Orazalin 2020)","previouslyFormattedCitation":"(Dixon-Fowler et al. 2017; Orazalin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(Dixon-Fowler, Ellstrand and Johnson, 2017; Orazalin, 2020)</w:t>
      </w:r>
      <w:r w:rsidRPr="001B6443">
        <w:rPr>
          <w:rFonts w:ascii="Times New Roman" w:eastAsia="Calibri" w:hAnsi="Times New Roman" w:cs="Times New Roman"/>
          <w:color w:val="000000" w:themeColor="text1"/>
          <w:sz w:val="24"/>
          <w:szCs w:val="24"/>
          <w:lang w:val="en-US"/>
        </w:rPr>
        <w:fldChar w:fldCharType="end"/>
      </w:r>
      <w:r w:rsidR="00896FAE" w:rsidRPr="001B6443">
        <w:rPr>
          <w:rFonts w:ascii="Times New Roman" w:eastAsia="Calibri" w:hAnsi="Times New Roman" w:cs="Times New Roman"/>
          <w:color w:val="000000" w:themeColor="text1"/>
          <w:sz w:val="24"/>
          <w:szCs w:val="24"/>
          <w:lang w:val="en-US"/>
        </w:rPr>
        <w:t xml:space="preserve">. Finally, following </w:t>
      </w:r>
      <w:r w:rsidR="000A344F" w:rsidRPr="001B6443">
        <w:rPr>
          <w:rFonts w:ascii="Times New Roman" w:eastAsia="Calibri" w:hAnsi="Times New Roman" w:cs="Times New Roman"/>
          <w:color w:val="000000" w:themeColor="text1"/>
          <w:sz w:val="24"/>
          <w:szCs w:val="24"/>
          <w:lang w:val="en-US"/>
        </w:rPr>
        <w:t>related</w:t>
      </w:r>
      <w:r w:rsidRPr="001B6443">
        <w:rPr>
          <w:rFonts w:ascii="Times New Roman" w:eastAsia="Calibri" w:hAnsi="Times New Roman" w:cs="Times New Roman"/>
          <w:color w:val="000000" w:themeColor="text1"/>
          <w:sz w:val="24"/>
          <w:szCs w:val="24"/>
          <w:lang w:val="en-US"/>
        </w:rPr>
        <w:t xml:space="preserve"> studies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{"citationItems":[{"id":"ITEM-1","itemData":{"DOI":"10.1111/1467-8551.12513","ISSN":"14678551","abstract":"This paper investigates the role of peer effects in the employee welfare policies of organizations. Using US panel data for a sample of 11,451 firm-year observations from 1996 to 2017, we find that firms’ employee welfare decisions are driven by their peers and show that peer firms play a significant role in defining corporate employee welfare policies. Our findings are robust to various sensitivity checks, including alternative definitions of employee welfare, alternative peer proxies and several identification strategies. Our additional analysis shows that herding behaviour is prevalent in followers, who mimic leaders’ behaviour, but we do not find any such relationship for industry leaders. Further, we show evidence suggesting that mimetic and normative isomorphic pressures are driving the peer effects. Finally, we examine the economic consequences of peer mimicking in employee welfare policies and show that it improves focal firms’ value and innovation. Our findings on firms’ peer effects and herding behaviour have policy implications.","author":[{"dropping-particle":"","family":"Rind","given":"Asad Ali","non-dropping-particle":"","parse-names":false,"suffix":""},{"dropping-particle":"","family":"Akbar","given":"Saeed","non-dropping-particle":"","parse-names":false,"suffix":""},{"dropping-particle":"","family":"Boubaker","given":"Sabri","non-dropping-particle":"","parse-names":false,"suffix":""},{"dropping-particle":"","family":"Lajili-Jarjir","given":"Souad","non-dropping-particle":"","parse-names":false,"suffix":""},{"dropping-particle":"","family":"Mollah","given":"Sabur","non-dropping-particle":"","parse-names":false,"suffix":""}],"container-title":"British Journal of Management","id":"ITEM-1","issued":{"date-parts":[["2021"]]},"page":"1-23","title":"The Role of Peer Effects in Corporate Employee Welfare Policies","type":"article-journal"},"uris":["http://www.mendeley.com/documents/?uuid=c09ca91a-662d-3fdc-951f-07cf77ea4d0b"]},{"id":"ITEM-2","itemData":{"DOI":"10.1111/1467-8551.12237","ISSN":"14678551","abstract":"This empirical study examines the relationship between corporate governance and organizational performance (OP), measured using Tobin's Q (TQ) in the context of an emerging economy for which, as yet, only a handful of studies have been conducted. We employ a system generalized method of moments approach controlling for endogeneity and test it on a newly created dataset comprising 324 listed firms in Pakistan. We find that board size, number of board committees and ownership concentration are positively linked with high TQ ratio, whilst board independence and CEO duality display a negative relationship. In terms of moderating effects, we find that ownership concentration negatively moderates the relationship between board independence and OP, as well as that of CEO duality and OP. The relationship between the number of board committees and OP is positively moderated by ownership concentration. Our findings contribute towards a better articulation and application of a more concrete measure of OP − that of the TQ ratio − whilst, at the same time, testing the board composition–performance relationship in the context of an upcoming and increasingly important emerging market. Wider applicability of results and policy implications are discussed.","author":[{"dropping-particle":"","family":"Singh","given":"Satwinder","non-dropping-particle":"","parse-names":false,"suffix":""},{"dropping-particle":"","family":"Tabassum","given":"Naeem","non-dropping-particle":"","parse-names":false,"suffix":""},{"dropping-particle":"","family":"Darwish","given":"Tamer K.","non-dropping-particle":"","parse-names":false,"suffix":""},{"dropping-particle":"","family":"Batsakis","given":"Georgios","non-dropping-particle":"","parse-names":false,"suffix":""}],"container-title":"British Journal of Management","id":"ITEM-2","issue":"1","issued":{"date-parts":[["2018"]]},"page":"171-190","title":"Corporate Governance and Tobin's Q as a Measure of Organizational Performance","type":"article-journal","volume":"29"},"uris":["http://www.mendeley.com/documents/?uuid=72e9260e-8bf9-3b35-9e76-493d8c2fe2de"]}],"mendeley":{"formattedCitation":"(Rind et al. 2021; Singh et al. 2018)","manualFormatting":"(Rind et al., 2021; Singh et al., 2018)","plainTextFormattedCitation":"(Rind et al. 2021; Singh et al. 2018)","previouslyFormattedCitation":"(Rind et al. 2021; Singh et al. 2018)"},"properties":{"noteIndex":0},"schema":"https://github.com/citation-style-language/schema/raw/master/csl-citation.json"}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(Rind </w:t>
      </w:r>
      <w:r w:rsidRPr="001B6443">
        <w:rPr>
          <w:rFonts w:ascii="Times New Roman" w:eastAsia="Calibri" w:hAnsi="Times New Roman" w:cs="Times New Roman"/>
          <w:i/>
          <w:noProof/>
          <w:color w:val="000000" w:themeColor="text1"/>
          <w:sz w:val="24"/>
          <w:szCs w:val="24"/>
          <w:lang w:val="en-US"/>
        </w:rPr>
        <w:t>et al.</w:t>
      </w:r>
      <w:r w:rsidR="00D03A8D" w:rsidRPr="001B6443">
        <w:rPr>
          <w:rFonts w:ascii="Times New Roman" w:eastAsia="Calibri" w:hAnsi="Times New Roman" w:cs="Times New Roman"/>
          <w:i/>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 Singh </w:t>
      </w:r>
      <w:r w:rsidRPr="001B6443">
        <w:rPr>
          <w:rFonts w:ascii="Times New Roman" w:eastAsia="Calibri" w:hAnsi="Times New Roman" w:cs="Times New Roman"/>
          <w:i/>
          <w:noProof/>
          <w:color w:val="000000" w:themeColor="text1"/>
          <w:sz w:val="24"/>
          <w:szCs w:val="24"/>
          <w:lang w:val="en-US"/>
        </w:rPr>
        <w:t>et al.</w:t>
      </w:r>
      <w:r w:rsidR="00D03A8D" w:rsidRPr="001B6443">
        <w:rPr>
          <w:rFonts w:ascii="Times New Roman" w:eastAsia="Calibri" w:hAnsi="Times New Roman" w:cs="Times New Roman"/>
          <w:i/>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2018)</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we me</w:t>
      </w:r>
      <w:r w:rsidR="000A344F" w:rsidRPr="001B6443">
        <w:rPr>
          <w:rFonts w:ascii="Times New Roman" w:eastAsia="Calibri" w:hAnsi="Times New Roman" w:cs="Times New Roman"/>
          <w:color w:val="000000" w:themeColor="text1"/>
          <w:sz w:val="24"/>
          <w:szCs w:val="24"/>
          <w:lang w:val="en-US"/>
        </w:rPr>
        <w:t xml:space="preserve">asure MV using Tobin’s Q, which depends on various measures associated with the adoption of clean/green technologies, stockholder pressures for PCCIs, emissions mitigation efforts, and R&amp;D costs </w:t>
      </w:r>
      <w:r w:rsidR="000A344F" w:rsidRPr="001B6443">
        <w:rPr>
          <w:rFonts w:ascii="Times New Roman" w:eastAsia="Calibri" w:hAnsi="Times New Roman" w:cs="Times New Roman"/>
          <w:color w:val="000000" w:themeColor="text1"/>
          <w:sz w:val="24"/>
          <w:szCs w:val="24"/>
          <w:lang w:val="en-US"/>
        </w:rPr>
        <w:fldChar w:fldCharType="begin" w:fldLock="1"/>
      </w:r>
      <w:r w:rsidR="00100C13" w:rsidRPr="001B6443">
        <w:rPr>
          <w:rFonts w:ascii="Times New Roman" w:eastAsia="Calibri" w:hAnsi="Times New Roman" w:cs="Times New Roman"/>
          <w:color w:val="000000" w:themeColor="text1"/>
          <w:sz w:val="24"/>
          <w:szCs w:val="24"/>
          <w:lang w:val="en-US"/>
        </w:rPr>
        <w:instrText>ADDIN CSL_CITATION {"citationItems":[{"id":"ITEM-1","itemData":{"DOI":"10.1016/J.ENECO.2022.106033","ISSN":"0140-9883","abstract":"We derive from a dynamic stochastic model a “Green Tobin's q” as a function of a firm's green efforts (technology and pressure), as well as traditional capital stocks and investments. The evidence focuses on the oil industry which is inextricably bound to the debate on climate change. Our regression results indicate a negative impact on Tobin's q from green technologies, and a positive impact on Tobin's q from green stockholder pressure. In addition to adding a theoretical model, we provide empirical evidence regarding pressing issues in the energy transition.","author":[{"dropping-particle":"","family":"Faria","given":"João Ricardo","non-dropping-particle":"","parse-names":false,"suffix":""},{"dropping-particle":"","family":"Tindall","given":"Greg","non-dropping-particle":"","parse-names":false,"suffix":""},{"dropping-particle":"","family":"Terjesen","given":"Siri","non-dropping-particle":"","parse-names":false,"suffix":""}],"container-title":"Energy Economics","id":"ITEM-1","issued":{"date-parts":[["2022","6","1"]]},"page":"106033","publisher":"North-Holland","title":"The Green Tobin's q: theory and evidence","type":"article-journal","volume":"110"},"uris":["http://www.mendeley.com/documents/?uuid=5ecc0e91-85bb-3dd6-a6d4-34c32b4e25f6"]}],"mendeley":{"formattedCitation":"(Faria et al. 2022)","plainTextFormattedCitation":"(Faria et al. 2022)","previouslyFormattedCitation":"(Faria et al. 2022)"},"properties":{"noteIndex":0},"schema":"https://github.com/citation-style-language/schema/raw/master/csl-citation.json"}</w:instrText>
      </w:r>
      <w:r w:rsidR="000A344F" w:rsidRPr="001B6443">
        <w:rPr>
          <w:rFonts w:ascii="Times New Roman" w:eastAsia="Calibri" w:hAnsi="Times New Roman" w:cs="Times New Roman"/>
          <w:color w:val="000000" w:themeColor="text1"/>
          <w:sz w:val="24"/>
          <w:szCs w:val="24"/>
          <w:lang w:val="en-US"/>
        </w:rPr>
        <w:fldChar w:fldCharType="separate"/>
      </w:r>
      <w:r w:rsidR="000A344F" w:rsidRPr="001B6443">
        <w:rPr>
          <w:rFonts w:ascii="Times New Roman" w:eastAsia="Calibri" w:hAnsi="Times New Roman" w:cs="Times New Roman"/>
          <w:noProof/>
          <w:color w:val="000000" w:themeColor="text1"/>
          <w:sz w:val="24"/>
          <w:szCs w:val="24"/>
          <w:lang w:val="en-US"/>
        </w:rPr>
        <w:t xml:space="preserve">(Faria </w:t>
      </w:r>
      <w:r w:rsidR="000A344F" w:rsidRPr="001B6443">
        <w:rPr>
          <w:rFonts w:ascii="Times New Roman" w:eastAsia="Calibri" w:hAnsi="Times New Roman" w:cs="Times New Roman"/>
          <w:i/>
          <w:noProof/>
          <w:color w:val="000000" w:themeColor="text1"/>
          <w:sz w:val="24"/>
          <w:szCs w:val="24"/>
          <w:lang w:val="en-US"/>
        </w:rPr>
        <w:t>et al.</w:t>
      </w:r>
      <w:r w:rsidR="000A344F" w:rsidRPr="001B6443">
        <w:rPr>
          <w:rFonts w:ascii="Times New Roman" w:eastAsia="Calibri" w:hAnsi="Times New Roman" w:cs="Times New Roman"/>
          <w:noProof/>
          <w:color w:val="000000" w:themeColor="text1"/>
          <w:sz w:val="24"/>
          <w:szCs w:val="24"/>
          <w:lang w:val="en-US"/>
        </w:rPr>
        <w:t xml:space="preserve"> 2022)</w:t>
      </w:r>
      <w:r w:rsidR="000A344F" w:rsidRPr="001B6443">
        <w:rPr>
          <w:rFonts w:ascii="Times New Roman" w:eastAsia="Calibri" w:hAnsi="Times New Roman" w:cs="Times New Roman"/>
          <w:color w:val="000000" w:themeColor="text1"/>
          <w:sz w:val="24"/>
          <w:szCs w:val="24"/>
          <w:lang w:val="en-US"/>
        </w:rPr>
        <w:fldChar w:fldCharType="end"/>
      </w:r>
      <w:r w:rsidR="000A344F" w:rsidRPr="001B6443">
        <w:rPr>
          <w:rFonts w:ascii="Times New Roman" w:eastAsia="Calibri" w:hAnsi="Times New Roman" w:cs="Times New Roman"/>
          <w:color w:val="000000" w:themeColor="text1"/>
          <w:sz w:val="24"/>
          <w:szCs w:val="24"/>
          <w:lang w:val="en-US"/>
        </w:rPr>
        <w:t xml:space="preserve"> and, hence better reflects environmental stakeholders’ perceptions about corporate sustainability </w:t>
      </w:r>
      <w:r w:rsidR="000A344F" w:rsidRPr="001B6443">
        <w:rPr>
          <w:rFonts w:ascii="Times New Roman" w:eastAsia="Calibri" w:hAnsi="Times New Roman" w:cs="Times New Roman"/>
          <w:color w:val="000000" w:themeColor="text1"/>
          <w:sz w:val="24"/>
          <w:szCs w:val="24"/>
          <w:lang w:val="en-US"/>
        </w:rPr>
        <w:fldChar w:fldCharType="begin" w:fldLock="1"/>
      </w:r>
      <w:r w:rsidR="000A344F" w:rsidRPr="001B6443">
        <w:rPr>
          <w:rFonts w:ascii="Times New Roman" w:eastAsia="Calibri" w:hAnsi="Times New Roman" w:cs="Times New Roman"/>
          <w:color w:val="000000" w:themeColor="text1"/>
          <w:sz w:val="24"/>
          <w:szCs w:val="24"/>
          <w:lang w:val="en-US"/>
        </w:rPr>
        <w:instrText>ADDIN CSL_CITATION {"citationItems":[{"id":"ITEM-1","itemData":{"DOI":"10.1016/j.irfa.2021.101734","ISSN":"10575219","abstract":"This study examines how carbon performance affects carbon disclosure and how carbon disclosure affects financial performance. With a sample of global firms, the study analyses how relationships between carbon disclosure, carbon performance and financial performance vary in institutional contexts. Our results show that carbon disclosure positively affects carbon performance, consistent with the signalling theory. We find that carbon disclosure negatively (positively) affects financial performance in the short-term (long-term). Our findings have significant implications for investors as some firms use carbon disclosure as part of impression management. Our results help regulators to monitor carbon disclosure and assist investors with investment decisions.","author":[{"dropping-particle":"","family":"Siddique","given":"Md Abubakar","non-dropping-particle":"","parse-names":false,"suffix":""},{"dropping-particle":"","family":"Akhtaruzzaman","given":"Md","non-dropping-particle":"","parse-names":false,"suffix":""},{"dropping-particle":"","family":"Rashid","given":"Afzalur","non-dropping-particle":"","parse-names":false,"suffix":""},{"dropping-particle":"","family":"Hammami","given":"Helmi","non-dropping-particle":"","parse-names":false,"suffix":""}],"container-title":"International Review of Financial Analysis","id":"ITEM-1","issued":{"date-parts":[["2021","5","1"]]},"page":"101734","title":"Carbon disclosure, carbon performance and financial performance: International evidence","type":"article-journal","volume":"75"},"uris":["http://www.mendeley.com/documents/?uuid=64f9399d-c6b4-3292-b0a2-ef5024edf393"]}],"mendeley":{"formattedCitation":"(Siddique et al. 2021)","manualFormatting":"(Siddique et al., 2021)","plainTextFormattedCitation":"(Siddique et al. 2021)","previouslyFormattedCitation":"(Siddique et al. 2021)"},"properties":{"noteIndex":0},"schema":"https://github.com/citation-style-language/schema/raw/master/csl-citation.json"}</w:instrText>
      </w:r>
      <w:r w:rsidR="000A344F" w:rsidRPr="001B6443">
        <w:rPr>
          <w:rFonts w:ascii="Times New Roman" w:eastAsia="Calibri" w:hAnsi="Times New Roman" w:cs="Times New Roman"/>
          <w:color w:val="000000" w:themeColor="text1"/>
          <w:sz w:val="24"/>
          <w:szCs w:val="24"/>
          <w:lang w:val="en-US"/>
        </w:rPr>
        <w:fldChar w:fldCharType="separate"/>
      </w:r>
      <w:r w:rsidR="000A344F" w:rsidRPr="001B6443">
        <w:rPr>
          <w:rFonts w:ascii="Times New Roman" w:eastAsia="Calibri" w:hAnsi="Times New Roman" w:cs="Times New Roman"/>
          <w:noProof/>
          <w:color w:val="000000" w:themeColor="text1"/>
          <w:sz w:val="24"/>
          <w:szCs w:val="24"/>
          <w:lang w:val="en-US"/>
        </w:rPr>
        <w:t xml:space="preserve">(Siddique </w:t>
      </w:r>
      <w:r w:rsidR="000A344F" w:rsidRPr="001B6443">
        <w:rPr>
          <w:rFonts w:ascii="Times New Roman" w:eastAsia="Calibri" w:hAnsi="Times New Roman" w:cs="Times New Roman"/>
          <w:i/>
          <w:noProof/>
          <w:color w:val="000000" w:themeColor="text1"/>
          <w:sz w:val="24"/>
          <w:szCs w:val="24"/>
          <w:lang w:val="en-US"/>
        </w:rPr>
        <w:t>et al.,</w:t>
      </w:r>
      <w:r w:rsidR="000A344F" w:rsidRPr="001B6443">
        <w:rPr>
          <w:rFonts w:ascii="Times New Roman" w:eastAsia="Calibri" w:hAnsi="Times New Roman" w:cs="Times New Roman"/>
          <w:noProof/>
          <w:color w:val="000000" w:themeColor="text1"/>
          <w:sz w:val="24"/>
          <w:szCs w:val="24"/>
          <w:lang w:val="en-US"/>
        </w:rPr>
        <w:t xml:space="preserve"> 2021)</w:t>
      </w:r>
      <w:r w:rsidR="000A344F"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00734364" w:rsidRPr="001B6443">
        <w:rPr>
          <w:rStyle w:val="FootnoteReference"/>
          <w:rFonts w:ascii="Times New Roman" w:eastAsia="Calibri" w:hAnsi="Times New Roman" w:cs="Times New Roman"/>
          <w:color w:val="000000" w:themeColor="text1"/>
          <w:sz w:val="24"/>
          <w:szCs w:val="24"/>
          <w:lang w:val="en-US"/>
        </w:rPr>
        <w:footnoteReference w:id="9"/>
      </w:r>
    </w:p>
    <w:p w14:paraId="153746FE" w14:textId="12022E4F" w:rsidR="0094285B" w:rsidRPr="001B6443" w:rsidRDefault="0094285B" w:rsidP="00EC5A9C">
      <w:pPr>
        <w:spacing w:after="0" w:line="480" w:lineRule="auto"/>
        <w:jc w:val="both"/>
        <w:rPr>
          <w:rFonts w:ascii="Times New Roman" w:eastAsia="Calibri" w:hAnsi="Times New Roman" w:cs="Times New Roman"/>
          <w:color w:val="000000" w:themeColor="text1"/>
          <w:sz w:val="24"/>
          <w:szCs w:val="24"/>
          <w:lang w:val="en-US"/>
        </w:rPr>
      </w:pPr>
    </w:p>
    <w:p w14:paraId="38696FDC" w14:textId="2CF56456"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We also use several control variables to account for the confounding effects of firm and country specific characterist</w:t>
      </w:r>
      <w:r w:rsidR="00F84AA8" w:rsidRPr="001B6443">
        <w:rPr>
          <w:rFonts w:ascii="Times New Roman" w:eastAsia="Calibri" w:hAnsi="Times New Roman" w:cs="Times New Roman"/>
          <w:color w:val="000000" w:themeColor="text1"/>
          <w:sz w:val="24"/>
          <w:szCs w:val="24"/>
          <w:lang w:val="en-US"/>
        </w:rPr>
        <w:t>ics that may affect MV and CCPE</w:t>
      </w:r>
      <w:r w:rsidRPr="001B6443">
        <w:rPr>
          <w:rFonts w:ascii="Times New Roman" w:eastAsia="Calibri" w:hAnsi="Times New Roman" w:cs="Times New Roman"/>
          <w:color w:val="000000" w:themeColor="text1"/>
          <w:sz w:val="24"/>
          <w:szCs w:val="24"/>
          <w:lang w:val="en-US"/>
        </w:rPr>
        <w:t xml:space="preserve">. Following prior studies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Value","type":"article-journal","volume":"31"},"uris":["http://www.mendeley.com/documents/?uuid=233c96ce-971f-33e7-ad90-be8611789ad9"]},{"id":"ITEM-2","itemData":{"DOI":"10.5465/AMJ.2009.36461950","ISBN":"00014273","ISSN":"00014273","PMID":"36461950","abstract":"Relying on institutional theory, agency rationale, and environmental management research, we hypothesize that, in polluting industries, good environmental performance increases CEO pay; that environmental governance mechanisms strengthen this linkage; that pollution prevention strategies affect executive compensation more than end-of-pipe pollution control; and that long-term pay increases pollution prevention success. Using longitudinal data on 469 U.S. firms, we found support for three hypotheses. Contrary to our expectations, firms with an explicit environmental pay policy and an environmental committee do not reward environmental strategies more than those without such structures, suggesting that these mechanisms play a merely symbolic role.","author":[{"dropping-particle":"","family":"Berrone","given":"Pascual","non-dropping-particle":"","parse-names":false,"suffix":""},{"dropping-particle":"","family":"Gomez-Mejia","given":"Luis R.","non-dropping-particle":"","parse-names":false,"suffix":""}],"container-title":"Academy of Management Journal","id":"ITEM-2","issue":"1","issued":{"date-parts":[["2009"]]},"page":"103-126","title":"Environmental performance and executive compensation: An integrated agency-institutional perspective","type":"article-journal","volume":"52"},"uris":["http://www.mendeley.com/documents/?uuid=09e90e30-48af-3454-9713-af450eb249a9"]}],"mendeley":{"formattedCitation":"(Berrone and Gomez-Mejia 2009; Haque and Ntim 2020)","manualFormatting":"(e.g., Berrone and Gomez-Mejia, 2009; Bui et al., 2020)","plainTextFormattedCitation":"(Berrone and Gomez-Mejia 2009; Haque and Ntim 2020)","previouslyFormattedCitation":"(Berrone and Gomez-Mejia 2009; Haque and Ntim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(e.g., Berrone and Gomez-Mejia, 2009; Bui</w:t>
      </w:r>
      <w:r w:rsidR="00B51FFE" w:rsidRPr="001B6443">
        <w:rPr>
          <w:rFonts w:ascii="Times New Roman" w:eastAsia="Calibri" w:hAnsi="Times New Roman" w:cs="Times New Roman"/>
          <w:noProof/>
          <w:color w:val="000000" w:themeColor="text1"/>
          <w:sz w:val="24"/>
          <w:szCs w:val="24"/>
          <w:lang w:val="en-US"/>
        </w:rPr>
        <w:t xml:space="preserve"> </w:t>
      </w:r>
      <w:r w:rsidR="00B51FFE" w:rsidRPr="001B6443">
        <w:rPr>
          <w:rFonts w:ascii="Times New Roman" w:eastAsia="Calibri" w:hAnsi="Times New Roman" w:cs="Times New Roman"/>
          <w:i/>
          <w:iCs/>
          <w:noProof/>
          <w:color w:val="000000" w:themeColor="text1"/>
          <w:sz w:val="24"/>
          <w:szCs w:val="24"/>
          <w:lang w:val="en-US"/>
        </w:rPr>
        <w:t>et al</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2020)</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we include several CG characteristics</w:t>
      </w:r>
      <w:r w:rsidR="00512442"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such as board size, board independence, and board gender diversity. Further, consistent with prior studies </w:t>
      </w:r>
      <w:r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{"citationItems":[{"id":"ITEM-1","itemData":{"DOI":"10.1002/bse.2354","ISSN":"10990836","abstract":"© 2019 John Wiley &amp; Sons, Ltd and ERP Environment The purpose of this study is to investigate the impact of board sustainability committees on environmental and social performance and to examine the mediating effect of corporate social responsibility (CSR) strategy on the relationship between the presence of board sustainability committees and corporate sustainability performance. Using data of U.K. listed firms for the period of 2009–2016, the study employs panel regression analysis and bootstrapping techniques to test study hypotheses. The results suggest that the presence of a sustainability committee improves the effectiveness of CSR strategies. The results also indicate that firms with effective CSR strategies exhibit better environmental and social performance. Further, the empirical results show that the effectiveness of CSR strategy explains the positive relationship between board sustainability committees and corporate environmental and social performance, thus supporting the theoretical framework of the study. The findings of the study shed new light on this research direction and could be of interest to board members, managers, practitioners, investors, policy makers, and regulators that plan to promote sustainability practices and strategies needed for sustainable development.","author":[{"dropping-particle":"","family":"Orazalin","given":"Nurlan","non-dropping-particle":"","parse-names":false,"suffix":""}],"container-title":"Business Strategy and the Environment","id":"ITEM-1","issue":"1","issued":{"date-parts":[["2020"]]},"page":"140-153","title":"Do board sustainability committees contribute to corporate environmental and social performance? The mediating role of corporate social responsibility strategy","type":"article-journal","volume":"29"},"uris":["http://www.mendeley.com/documents/?uuid=05434146-b776-3687-93bb-7d50ecedde5c"]},{"id":"ITEM-2","itemData":{"DOI":"10.1016/j.irfa.2021.101734","ISSN":"10575219","abstract":"This study examines how carbon performance affects carbon disclosure and how carbon disclosure affects financial performance. With a sample of global firms, the study analyses how relationships between carbon disclosure, carbon performance and financial performance vary in institutional contexts. Our results show that carbon disclosure positively affects carbon performance, consistent with the signalling theory. We find that carbon disclosure negatively (positively) affects financial performance in the short-term (long-term). Our findings have significant implications for investors as some firms use carbon disclosure as part of impression management. Our results help regulators to monitor carbon disclosure and assist investors with investment decisions.","author":[{"dropping-particle":"","family":"Siddique","given":"Md Abubakar","non-dropping-particle":"","parse-names":false,"suffix":""},{"dropping-particle":"","family":"Akhtaruzzaman","given":"Md","non-dropping-particle":"","parse-names":false,"suffix":""},{"dropping-particle":"","family":"Rashid","given":"Afzalur","non-dropping-particle":"","parse-names":false,"suffix":""},{"dropping-particle":"","family":"Hammami","given":"Helmi","non-dropping-particle":"","parse-names":false,"suffix":""}],"container-title":"International Review of Financial Analysis","id":"ITEM-2","issued":{"date-parts":[["2021","5","1"]]},"page":"101734","title":"Carbon disclosure, carbon performance and financial performance: International evidence","type":"article-journal","volume":"75"},"uris":["http://www.mendeley.com/documents/?uuid=64f9399d-c6b4-3292-b0a2-ef5024edf393"]}],"mendeley":{"formattedCitation":"(Orazalin 2020; Siddique et al. 2021)","manualFormatting":"(Haque, 2017; Siddique et al., 2021)","plainTextFormattedCitation":"(Orazalin 2020; Siddique et al. 2021)","previouslyFormattedCitation":"(Orazalin 2020; Siddique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(Haque, 2017; Siddique </w:t>
      </w:r>
      <w:r w:rsidRPr="001B6443">
        <w:rPr>
          <w:rFonts w:ascii="Times New Roman" w:eastAsia="Calibri" w:hAnsi="Times New Roman" w:cs="Times New Roman"/>
          <w:i/>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we control several firm characteristics</w:t>
      </w:r>
      <w:r w:rsidR="00512442"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including firm size, profitability, leverage, slack, and capital intensity. </w:t>
      </w:r>
      <w:r w:rsidR="00F812F2" w:rsidRPr="001B6443">
        <w:rPr>
          <w:rFonts w:ascii="Times New Roman" w:eastAsia="Calibri" w:hAnsi="Times New Roman" w:cs="Times New Roman"/>
          <w:color w:val="000000" w:themeColor="text1"/>
          <w:sz w:val="24"/>
          <w:szCs w:val="24"/>
          <w:lang w:val="en-US"/>
        </w:rPr>
        <w:t xml:space="preserve">Finally, we use </w:t>
      </w:r>
      <w:r w:rsidR="0094285B" w:rsidRPr="001B6443">
        <w:rPr>
          <w:rFonts w:ascii="Times New Roman" w:eastAsia="Calibri" w:hAnsi="Times New Roman" w:cs="Times New Roman"/>
          <w:color w:val="000000" w:themeColor="text1"/>
          <w:sz w:val="24"/>
          <w:szCs w:val="24"/>
          <w:lang w:val="en-US"/>
        </w:rPr>
        <w:t xml:space="preserve">country governance indicators </w:t>
      </w:r>
      <w:r w:rsidRPr="001B6443">
        <w:rPr>
          <w:rFonts w:ascii="Times New Roman" w:eastAsia="Calibri" w:hAnsi="Times New Roman" w:cs="Times New Roman"/>
          <w:color w:val="000000" w:themeColor="text1"/>
          <w:sz w:val="24"/>
          <w:szCs w:val="24"/>
          <w:lang w:val="en-US"/>
        </w:rPr>
        <w:t>and macro-economic factors</w:t>
      </w:r>
      <w:r w:rsidR="00512442"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such a</w:t>
      </w:r>
      <w:r w:rsidR="00045E3D" w:rsidRPr="001B6443">
        <w:rPr>
          <w:rFonts w:ascii="Times New Roman" w:eastAsia="Calibri" w:hAnsi="Times New Roman" w:cs="Times New Roman"/>
          <w:color w:val="000000" w:themeColor="text1"/>
          <w:sz w:val="24"/>
          <w:szCs w:val="24"/>
          <w:lang w:val="en-US"/>
        </w:rPr>
        <w:t>s GDP growth and inflation</w:t>
      </w:r>
      <w:r w:rsidRPr="001B6443">
        <w:rPr>
          <w:rFonts w:ascii="Times New Roman" w:eastAsia="Calibri" w:hAnsi="Times New Roman" w:cs="Times New Roman"/>
          <w:color w:val="000000" w:themeColor="text1"/>
          <w:sz w:val="24"/>
          <w:szCs w:val="24"/>
          <w:lang w:val="en-US"/>
        </w:rPr>
        <w:t>, following prior studies</w:t>
      </w:r>
      <w:r w:rsidR="00511E00" w:rsidRPr="001B6443">
        <w:rPr>
          <w:rFonts w:ascii="Times New Roman" w:eastAsia="Calibri" w:hAnsi="Times New Roman" w:cs="Times New Roman"/>
          <w:color w:val="000000" w:themeColor="text1"/>
          <w:sz w:val="24"/>
          <w:szCs w:val="24"/>
          <w:lang w:val="en-US"/>
        </w:rPr>
        <w:t xml:space="preserve">  </w:t>
      </w:r>
      <w:r w:rsidR="00511E00" w:rsidRPr="001B6443">
        <w:rPr>
          <w:rFonts w:ascii="Times New Roman" w:eastAsia="Calibri" w:hAnsi="Times New Roman" w:cs="Times New Roman"/>
          <w:color w:val="000000" w:themeColor="text1"/>
          <w:sz w:val="24"/>
          <w:szCs w:val="24"/>
          <w:lang w:val="en-US"/>
        </w:rPr>
        <w:fldChar w:fldCharType="begin" w:fldLock="1"/>
      </w:r>
      <w:r w:rsidR="006A29CE" w:rsidRPr="001B6443">
        <w:rPr>
          <w:rFonts w:ascii="Times New Roman" w:eastAsia="Calibri" w:hAnsi="Times New Roman" w:cs="Times New Roman"/>
          <w:color w:val="000000" w:themeColor="text1"/>
          <w:sz w:val="24"/>
          <w:szCs w:val="24"/>
          <w:lang w:val="en-US"/>
        </w:rPr>
        <w:instrText>ADDIN CSL_CITATION {"citationItems":[{"id":"ITEM-1","itemData":{"DOI":"10.1016/j.euroecorev.2021.103739","ISSN":"00142921","author":[{"dropping-particle":"","family":"Marin","given":"Giovanni","non-dropping-particle":"","parse-names":false,"suffix":""},{"dropping-particle":"","family":"Vona","given":"Francesco","non-dropping-particle":"","parse-names":false,"suffix":""}],"container-title":"European Economic Review","id":"ITEM-1","issued":{"date-parts":[["2021","6","1"]]},"page":"103739","publisher":"North-Holland","title":"The impact of energy prices on socioeconomic and environmental performance: Evidence from French manufacturing establishments, 1997–2015","type":"article-journal","volume":"135"},"uris":["http://www.mendeley.com/documents/?uuid=47aa9448-facc-3d7b-937f-e566a76c6393"]},{"id":"ITEM-2","itemData":{"DOI":"10.1016/j.jcae.2021.100279","ISSN":"18155669","abstract":"Our study focuses on the value relevance of corporate voluntary carbon disclosure. Our sample includes firms from the United States (listed in the S&amp;P 500) and firms from Brazil, Russia, India, and China that are targeted by the CDP. We examine whether the capital market rewards firms’ voluntary carbon disclosure. Voluntary carbon disclosure is measured as firms’ propensity to voluntarily disclose carbon information and the comprehensiveness and quality of their disclosure. We find that firms with greater carbon disclosure have higher firm value. Furthermore, the positive association between firm value and voluntary carbon disclosure is stronger in developing countries. We also find that large emitters with sufficient carbon disclosure experience a less negative valuation than firms with inadequate carbon disclosure. Furthermore, a subcomponent analysis suggests that the disclosure of specific types of climate risk and opportunity is rewarded by investors and can mitigate the valuation penalty of carbon emissions. These results have important implications for companies, investors, and regulators. Our analyses enhance understanding of the consequences of voluntary carbon reporting, which enriches the reporting of current financial information.","author":[{"dropping-particle":"","family":"Jiang","given":"Yan","non-dropping-particle":"","parse-names":false,"suffix":""},{"dropping-particle":"","family":"Luo","given":"Le","non-dropping-particle":"","parse-names":false,"suffix":""},{"dropping-particle":"","family":"Xu","given":"Jian Feng","non-dropping-particle":"","parse-names":false,"suffix":""},{"dropping-particle":"","family":"Shao","given":"Xiao Rui","non-dropping-particle":"","parse-names":false,"suffix":""}],"container-title":"Journal of Contemporary Accounting and Economics","id":"ITEM-2","issue":"3","issued":{"date-parts":[["2021"]]},"title":"The value relevance of corporate voluntary carbon disclosure: Evidence from the United States and BRIC countries","type":"article-journal","volume":"17"},"uris":["http://www.mendeley.com/documents/?uuid=f9f536be-928a-3855-bb6e-085c5e0a9b7c"]},{"id":"ITEM-3","itemData":{"DOI":"10.1016/j.irfa.2021.101734","ISSN":"10575219","abstract":"This study examines how carbon performance affects carbon disclosure and how carbon disclosure affects financial performance. With a sample of global firms, the study analyses how relationships between carbon disclosure, carbon performance and financial performance vary in institutional contexts. Our results show that carbon disclosure positively affects carbon performance, consistent with the signalling theory. We find that carbon disclosure negatively (positively) affects financial performance in the short-term (long-term). Our findings have significant implications for investors as some firms use carbon disclosure as part of impression management. Our results help regulators to monitor carbon disclosure and assist investors with investment decisions.","author":[{"dropping-particle":"","family":"Siddique","given":"Md Abubakar","non-dropping-particle":"","parse-names":false,"suffix":""},{"dropping-particle":"","family":"Akhtaruzzaman","given":"Md","non-dropping-particle":"","parse-names":false,"suffix":""},{"dropping-particle":"","family":"Rashid","given":"Afzalur","non-dropping-particle":"","parse-names":false,"suffix":""},{"dropping-particle":"","family":"Hammami","given":"Helmi","non-dropping-particle":"","parse-names":false,"suffix":""}],"container-title":"International Review of Financial Analysis","id":"ITEM-3","issued":{"date-parts":[["2021","5","1"]]},"page":"101734","title":"Carbon disclosure, carbon performance and financial performance: International evidence","type":"article-journal","volume":"75"},"uris":["http://www.mendeley.com/documents/?uuid=64f9399d-c6b4-3292-b0a2-ef5024edf393"]}],"mendeley":{"formattedCitation":"(Jiang et al. 2021; Marin and Vona 2021; Siddique et al. 2021)","manualFormatting":"(Jiang et al., 2021; Marin and Vona 2021; Siddique et al., 2021)","plainTextFormattedCitation":"(Jiang et al. 2021; Marin and Vona 2021; Siddique et al. 2021)","previouslyFormattedCitation":"(Jiang et al. 2021; Marin and Vona 2021; Siddique et al. 2021)"},"properties":{"noteIndex":0},"schema":"https://github.com/citation-style-language/schema/raw/master/csl-citation.json"}</w:instrText>
      </w:r>
      <w:r w:rsidR="00511E00" w:rsidRPr="001B6443">
        <w:rPr>
          <w:rFonts w:ascii="Times New Roman" w:eastAsia="Calibri" w:hAnsi="Times New Roman" w:cs="Times New Roman"/>
          <w:color w:val="000000" w:themeColor="text1"/>
          <w:sz w:val="24"/>
          <w:szCs w:val="24"/>
          <w:lang w:val="en-US"/>
        </w:rPr>
        <w:fldChar w:fldCharType="separate"/>
      </w:r>
      <w:r w:rsidR="00511E00" w:rsidRPr="001B6443">
        <w:rPr>
          <w:rFonts w:ascii="Times New Roman" w:eastAsia="Calibri" w:hAnsi="Times New Roman" w:cs="Times New Roman"/>
          <w:noProof/>
          <w:color w:val="000000" w:themeColor="text1"/>
          <w:sz w:val="24"/>
          <w:szCs w:val="24"/>
          <w:lang w:val="en-US"/>
        </w:rPr>
        <w:t xml:space="preserve">(Jiang </w:t>
      </w:r>
      <w:r w:rsidR="00511E00" w:rsidRPr="001B6443">
        <w:rPr>
          <w:rFonts w:ascii="Times New Roman" w:eastAsia="Calibri" w:hAnsi="Times New Roman" w:cs="Times New Roman"/>
          <w:i/>
          <w:noProof/>
          <w:color w:val="000000" w:themeColor="text1"/>
          <w:sz w:val="24"/>
          <w:szCs w:val="24"/>
          <w:lang w:val="en-US"/>
        </w:rPr>
        <w:t>et al.,</w:t>
      </w:r>
      <w:r w:rsidR="00511E00" w:rsidRPr="001B6443">
        <w:rPr>
          <w:rFonts w:ascii="Times New Roman" w:eastAsia="Calibri" w:hAnsi="Times New Roman" w:cs="Times New Roman"/>
          <w:noProof/>
          <w:color w:val="000000" w:themeColor="text1"/>
          <w:sz w:val="24"/>
          <w:szCs w:val="24"/>
          <w:lang w:val="en-US"/>
        </w:rPr>
        <w:t xml:space="preserve"> 2021; Marin and Vona 2021; Siddique </w:t>
      </w:r>
      <w:r w:rsidR="00511E00" w:rsidRPr="001B6443">
        <w:rPr>
          <w:rFonts w:ascii="Times New Roman" w:eastAsia="Calibri" w:hAnsi="Times New Roman" w:cs="Times New Roman"/>
          <w:i/>
          <w:noProof/>
          <w:color w:val="000000" w:themeColor="text1"/>
          <w:sz w:val="24"/>
          <w:szCs w:val="24"/>
          <w:lang w:val="en-US"/>
        </w:rPr>
        <w:t>et al.</w:t>
      </w:r>
      <w:r w:rsidR="003F10C8" w:rsidRPr="001B6443">
        <w:rPr>
          <w:rFonts w:ascii="Times New Roman" w:eastAsia="Calibri" w:hAnsi="Times New Roman" w:cs="Times New Roman"/>
          <w:i/>
          <w:noProof/>
          <w:color w:val="000000" w:themeColor="text1"/>
          <w:sz w:val="24"/>
          <w:szCs w:val="24"/>
          <w:lang w:val="en-US"/>
        </w:rPr>
        <w:t>,</w:t>
      </w:r>
      <w:r w:rsidR="00511E00" w:rsidRPr="001B6443">
        <w:rPr>
          <w:rFonts w:ascii="Times New Roman" w:eastAsia="Calibri" w:hAnsi="Times New Roman" w:cs="Times New Roman"/>
          <w:noProof/>
          <w:color w:val="000000" w:themeColor="text1"/>
          <w:sz w:val="24"/>
          <w:szCs w:val="24"/>
          <w:lang w:val="en-US"/>
        </w:rPr>
        <w:t xml:space="preserve"> 2021)</w:t>
      </w:r>
      <w:r w:rsidR="00511E00" w:rsidRPr="001B6443">
        <w:rPr>
          <w:rFonts w:ascii="Times New Roman" w:eastAsia="Calibri" w:hAnsi="Times New Roman" w:cs="Times New Roman"/>
          <w:color w:val="000000" w:themeColor="text1"/>
          <w:sz w:val="24"/>
          <w:szCs w:val="24"/>
          <w:lang w:val="en-US"/>
        </w:rPr>
        <w:fldChar w:fldCharType="end"/>
      </w:r>
      <w:r w:rsidR="003F10C8" w:rsidRPr="001B6443">
        <w:rPr>
          <w:rFonts w:ascii="Times New Roman" w:eastAsia="Calibri" w:hAnsi="Times New Roman" w:cs="Times New Roman"/>
          <w:color w:val="000000" w:themeColor="text1"/>
          <w:sz w:val="24"/>
          <w:szCs w:val="24"/>
          <w:lang w:val="en-US"/>
        </w:rPr>
        <w:t xml:space="preserve">. </w:t>
      </w:r>
    </w:p>
    <w:p w14:paraId="3FF5213D" w14:textId="7F18D072"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7601A144" w14:textId="77777777" w:rsidR="002460C0" w:rsidRPr="001B6443" w:rsidRDefault="002460C0" w:rsidP="00EC5A9C">
      <w:pPr>
        <w:spacing w:after="0" w:line="480" w:lineRule="auto"/>
        <w:jc w:val="both"/>
        <w:rPr>
          <w:rFonts w:ascii="Times New Roman" w:eastAsia="Calibri" w:hAnsi="Times New Roman" w:cs="Times New Roman"/>
          <w:color w:val="000000" w:themeColor="text1"/>
          <w:sz w:val="24"/>
          <w:szCs w:val="24"/>
          <w:lang w:val="en-US"/>
        </w:rPr>
      </w:pPr>
    </w:p>
    <w:p w14:paraId="3A090497" w14:textId="77777777" w:rsidR="00EC5A9C" w:rsidRPr="001B6443" w:rsidRDefault="00EC5A9C" w:rsidP="00EC5A9C">
      <w:pPr>
        <w:numPr>
          <w:ilvl w:val="0"/>
          <w:numId w:val="5"/>
        </w:numPr>
        <w:spacing w:after="0" w:line="480" w:lineRule="auto"/>
        <w:ind w:left="567" w:hanging="567"/>
        <w:outlineLvl w:val="0"/>
        <w:rPr>
          <w:rFonts w:ascii="Times New Roman" w:eastAsia="Times New Roman" w:hAnsi="Times New Roman" w:cs="Times New Roman"/>
          <w:b/>
          <w:bCs/>
          <w:color w:val="000000" w:themeColor="text1"/>
          <w:kern w:val="36"/>
          <w:sz w:val="24"/>
          <w:szCs w:val="24"/>
          <w:lang w:val="en-US" w:eastAsia="ru-RU"/>
        </w:rPr>
      </w:pPr>
      <w:r w:rsidRPr="001B6443">
        <w:rPr>
          <w:rFonts w:ascii="Times New Roman" w:eastAsia="Times New Roman" w:hAnsi="Times New Roman" w:cs="Times New Roman"/>
          <w:b/>
          <w:bCs/>
          <w:color w:val="000000" w:themeColor="text1"/>
          <w:kern w:val="36"/>
          <w:sz w:val="24"/>
          <w:szCs w:val="24"/>
          <w:lang w:val="en-US" w:eastAsia="ru-RU"/>
        </w:rPr>
        <w:t>Empirical results</w:t>
      </w:r>
    </w:p>
    <w:p w14:paraId="0701F01F"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Descriptive statistics and correlation analysis</w:t>
      </w:r>
    </w:p>
    <w:p w14:paraId="706591E0"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Figures 2 and 3 present year-wise distribution of carbon emissions and PCCIs, respectively, for the period 2002-2019. The yearly average of carbon emissions shows a declining trend from 2003 to 2005 </w:t>
      </w:r>
      <w:r w:rsidRPr="001B6443">
        <w:rPr>
          <w:rFonts w:ascii="Times New Roman" w:eastAsia="Calibri" w:hAnsi="Times New Roman" w:cs="Times New Roman"/>
          <w:color w:val="000000" w:themeColor="text1"/>
          <w:sz w:val="24"/>
          <w:szCs w:val="24"/>
          <w:lang w:val="en-US"/>
        </w:rPr>
        <w:lastRenderedPageBreak/>
        <w:t xml:space="preserve">and from 2007 to 2010, followed by a stable pattern between 2010 and 2014, and again a further reduction from 2015 onwards. Figure 3 shows that the average index of PCCIs remains relatively stable during the first three years and increases steadily from 2005 to 2012. Then, it slightly decreases from 2012 to 2015 and again rises steadily during the next four years. Overall, the pattern shows a steady improvement in PCCIs over time and this trend is generally comparable with the observations of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{"citationItems":[{"id":"ITEM-1","itemData":{"DOI":"10.1016/j.bar.2017.01.001","ISBN":"0198511973","ISSN":"10958347","abstract":"This study examines the effects of board characteristics and sustainable compensation policy on carbon reduction initiatives and greenhouse gas (GHG) emissions of a firm. We use firm fixed effect model to analyse data from 256 non-financial UK firms covering a period of 13 years (2002–2014). Our estimation results suggest that board independence and board gender diversity have positive associations with carbon reduction initiatives. In addition, environment-social-governance based compensation policy is found to be positively associated with carbon reduction initiatives. However, we do not find any relationship between corporate governance variables and GHG emissions of a firm. Overall, our evidence suggests that corporate boards and executive management tend to focus on a firm's process-oriented carbon performance, without improving actual carbon performance in the form of reduced GHG emissions. The findings have important implications for practitioners and policymakers with respect to the effectiveness of internal corporate governance mechanisms in addressing climate change risks, and possible linkage between corporate governance reform and carbon related policies.","author":[{"dropping-particle":"","family":"Haque","given":"Faizul","non-dropping-particle":"","parse-names":false,"suffix":""}],"container-title":"British Accounting Review","id":"ITEM-1","issue":"3","issued":{"date-parts":[["2017"]]},"page":"347-364","title":"The effects of board characteristics and sustainable compensation policy on carbon performance of UK firms","type":"article-journal","volume":"49"},"uris":["http://www.mendeley.com/documents/?uuid=746542a6-70c3-42dd-ac7d-e92ddd9b708b"]}],"mendeley":{"formattedCitation":"(Haque 2017)","manualFormatting":"Haque (2017)","plainTextFormattedCitation":"(Haque 2017)","previouslyFormattedCitation":"(Haque 2017)"},"properties":{"noteIndex":0},"schema":"https://github.com/citation-style-language/schema/raw/master/csl-citation.json"}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Haque (2017)</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p>
    <w:p w14:paraId="039A3C8F"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4F11E8EE" w14:textId="745012B8"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Table 4 reports the descriptive statistics of the variable</w:t>
      </w:r>
      <w:r w:rsidR="006B5E74" w:rsidRPr="001B6443">
        <w:rPr>
          <w:rFonts w:ascii="Times New Roman" w:eastAsia="Calibri" w:hAnsi="Times New Roman" w:cs="Times New Roman"/>
          <w:color w:val="000000" w:themeColor="text1"/>
          <w:sz w:val="24"/>
          <w:szCs w:val="24"/>
          <w:lang w:val="en-US"/>
        </w:rPr>
        <w:t>s. The mean value of MV is 1.66</w:t>
      </w:r>
      <w:r w:rsidR="006946D4" w:rsidRPr="001B6443">
        <w:rPr>
          <w:rFonts w:ascii="Times New Roman" w:eastAsia="Calibri" w:hAnsi="Times New Roman" w:cs="Times New Roman"/>
          <w:color w:val="000000" w:themeColor="text1"/>
          <w:sz w:val="24"/>
          <w:szCs w:val="24"/>
          <w:lang w:val="en-US"/>
        </w:rPr>
        <w:t xml:space="preserve"> </w:t>
      </w:r>
      <w:r w:rsidR="006B5E74" w:rsidRPr="001B6443">
        <w:rPr>
          <w:rFonts w:ascii="Times New Roman" w:eastAsia="Calibri" w:hAnsi="Times New Roman" w:cs="Times New Roman"/>
          <w:color w:val="000000" w:themeColor="text1"/>
          <w:sz w:val="24"/>
          <w:szCs w:val="24"/>
          <w:lang w:val="en-US"/>
        </w:rPr>
        <w:t>and varies between 0.33 and 15.99</w:t>
      </w:r>
      <w:r w:rsidRPr="001B6443">
        <w:rPr>
          <w:rFonts w:ascii="Times New Roman" w:eastAsia="Calibri" w:hAnsi="Times New Roman" w:cs="Times New Roman"/>
          <w:color w:val="000000" w:themeColor="text1"/>
          <w:sz w:val="24"/>
          <w:szCs w:val="24"/>
          <w:lang w:val="en-US"/>
        </w:rPr>
        <w:t xml:space="preserve">. The average PCCIs index stands at </w:t>
      </w:r>
      <w:r w:rsidR="0058672C" w:rsidRPr="001B6443">
        <w:rPr>
          <w:rFonts w:ascii="Times New Roman" w:eastAsia="Calibri" w:hAnsi="Times New Roman" w:cs="Times New Roman"/>
          <w:color w:val="000000" w:themeColor="text1"/>
          <w:sz w:val="24"/>
          <w:szCs w:val="24"/>
          <w:lang w:val="en-US"/>
        </w:rPr>
        <w:t>50.00%</w:t>
      </w:r>
      <w:r w:rsidRPr="001B6443">
        <w:rPr>
          <w:rFonts w:ascii="Times New Roman" w:eastAsia="Calibri" w:hAnsi="Times New Roman" w:cs="Times New Roman"/>
          <w:color w:val="000000" w:themeColor="text1"/>
          <w:sz w:val="24"/>
          <w:szCs w:val="24"/>
          <w:lang w:val="en-US"/>
        </w:rPr>
        <w:t xml:space="preserve"> and ranges from 0</w:t>
      </w:r>
      <w:r w:rsidR="0058672C" w:rsidRPr="001B6443">
        <w:rPr>
          <w:rFonts w:ascii="Times New Roman" w:eastAsia="Calibri" w:hAnsi="Times New Roman" w:cs="Times New Roman"/>
          <w:color w:val="000000" w:themeColor="text1"/>
          <w:sz w:val="24"/>
          <w:szCs w:val="24"/>
          <w:lang w:val="en-US"/>
        </w:rPr>
        <w:t>.47% to 99.97%</w:t>
      </w:r>
      <w:r w:rsidRPr="001B6443">
        <w:rPr>
          <w:rFonts w:ascii="Times New Roman" w:eastAsia="Calibri" w:hAnsi="Times New Roman" w:cs="Times New Roman"/>
          <w:color w:val="000000" w:themeColor="text1"/>
          <w:sz w:val="24"/>
          <w:szCs w:val="24"/>
          <w:lang w:val="en-US"/>
        </w:rPr>
        <w:t xml:space="preserve">. The CCPE </w:t>
      </w:r>
      <w:r w:rsidR="006012BF" w:rsidRPr="001B6443">
        <w:rPr>
          <w:rFonts w:ascii="Times New Roman" w:eastAsia="Calibri" w:hAnsi="Times New Roman" w:cs="Times New Roman"/>
          <w:color w:val="000000" w:themeColor="text1"/>
          <w:sz w:val="24"/>
          <w:szCs w:val="24"/>
          <w:lang w:val="en-US"/>
        </w:rPr>
        <w:t>values vary between 6.86 and 19.29, with a mean value of 13.72</w:t>
      </w:r>
      <w:r w:rsidRPr="001B6443">
        <w:rPr>
          <w:rFonts w:ascii="Times New Roman" w:eastAsia="Calibri" w:hAnsi="Times New Roman" w:cs="Times New Roman"/>
          <w:color w:val="000000" w:themeColor="text1"/>
          <w:sz w:val="24"/>
          <w:szCs w:val="24"/>
          <w:lang w:val="en-US"/>
        </w:rPr>
        <w:t xml:space="preserve">. The statistics for BSCOM display that approximately 80% of the firms have BSCOM. </w:t>
      </w:r>
      <w:r w:rsidR="002521C6" w:rsidRPr="001B6443">
        <w:rPr>
          <w:rFonts w:ascii="Times New Roman" w:eastAsia="Calibri" w:hAnsi="Times New Roman" w:cs="Times New Roman"/>
          <w:color w:val="000000" w:themeColor="text1"/>
          <w:sz w:val="24"/>
          <w:szCs w:val="24"/>
          <w:lang w:val="en-US"/>
        </w:rPr>
        <w:t xml:space="preserve">Further, the correlation coefficients in </w:t>
      </w:r>
      <w:r w:rsidRPr="001B6443">
        <w:rPr>
          <w:rFonts w:ascii="Times New Roman" w:eastAsia="Calibri" w:hAnsi="Times New Roman" w:cs="Times New Roman"/>
          <w:color w:val="000000" w:themeColor="text1"/>
          <w:sz w:val="24"/>
          <w:szCs w:val="24"/>
          <w:lang w:val="en-US"/>
        </w:rPr>
        <w:t xml:space="preserve">Table 5 show that CCPE is negatively correlated with MV and positively connected to PCCIs </w:t>
      </w:r>
      <w:r w:rsidR="001C0C42" w:rsidRPr="001B6443">
        <w:rPr>
          <w:rFonts w:ascii="Times New Roman" w:eastAsia="Calibri" w:hAnsi="Times New Roman" w:cs="Times New Roman"/>
          <w:color w:val="000000" w:themeColor="text1"/>
          <w:sz w:val="24"/>
          <w:szCs w:val="24"/>
          <w:lang w:val="en-US"/>
        </w:rPr>
        <w:t>and</w:t>
      </w:r>
      <w:r w:rsidRPr="001B6443">
        <w:rPr>
          <w:rFonts w:ascii="Times New Roman" w:eastAsia="Calibri" w:hAnsi="Times New Roman" w:cs="Times New Roman"/>
          <w:color w:val="000000" w:themeColor="text1"/>
          <w:sz w:val="24"/>
          <w:szCs w:val="24"/>
          <w:lang w:val="en-US"/>
        </w:rPr>
        <w:t xml:space="preserve"> BSCOM. Serious multicollinearity problems arise if correlation coefficients among predictors exceed a cutoff value of 0.80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{"citationItems":[{"id":"ITEM-1","itemData":{"ISBN":"0072427922","ISSN":"10959203","PMID":"20538943","abstract":"This book covers some essential topics of econometrics. It covers from single regression to multiple regression. The second part of the book talks about how to detect a violation of assumptions (multicollinearity, heteroscedasticity, autocorrelation, model specification) made for running multiple regression and what the remedies are. The third part deals with three topics, including (a) regression on dummy variables, (b) regression on dummy dependent variables, (c) autoregressive and distributed lag models. The last part deals with simultaneous-equation model.","author":[{"dropping-particle":"","family":"Gujarati","given":"Damodar N.","non-dropping-particle":"","parse-names":false,"suffix":""}],"edition":"4th Editio","id":"ITEM-1","issued":{"date-parts":[["2004"]]},"number-of-pages":"1-1003","publisher":"The McGraw-Hill Companies","publisher-place":"New York","title":"Basic Econometrics","type":"book"},"uris":["http://www.mendeley.com/documents/?uuid=372b8dff-93a7-3c21-9bc4-e09b483d3d8b"]}],"mendeley":{"formattedCitation":"(Gujarati 2004)","manualFormatting":"(Gujarati, 2004)","plainTextFormattedCitation":"(Gujarati 2004)","previouslyFormattedCitation":"(Gujarati 2004)"},"properties":{"noteIndex":0},"schema":"https://github.com/citation-style-language/schema/raw/master/csl-citation.json"}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(Gujarati, 2004)</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The matrix shows that </w:t>
      </w:r>
      <w:r w:rsidR="001C0C42" w:rsidRPr="001B6443">
        <w:rPr>
          <w:rFonts w:ascii="Times New Roman" w:eastAsia="Calibri" w:hAnsi="Times New Roman" w:cs="Times New Roman"/>
          <w:color w:val="000000" w:themeColor="text1"/>
          <w:sz w:val="24"/>
          <w:szCs w:val="24"/>
          <w:lang w:val="en-US"/>
        </w:rPr>
        <w:t>none of the coefficients exceeds this value</w:t>
      </w:r>
      <w:r w:rsidRPr="001B6443">
        <w:rPr>
          <w:rFonts w:ascii="Times New Roman" w:eastAsia="Calibri" w:hAnsi="Times New Roman" w:cs="Times New Roman"/>
          <w:color w:val="000000" w:themeColor="text1"/>
          <w:sz w:val="24"/>
          <w:szCs w:val="24"/>
          <w:lang w:val="en-US"/>
        </w:rPr>
        <w:t>, thus indicating the absence of multicollinearity.</w:t>
      </w:r>
      <w:r w:rsidRPr="001B6443">
        <w:rPr>
          <w:color w:val="000000" w:themeColor="text1"/>
          <w:vertAlign w:val="superscript"/>
        </w:rPr>
        <w:footnoteReference w:id="10"/>
      </w:r>
      <w:r w:rsidRPr="001B6443">
        <w:rPr>
          <w:rFonts w:ascii="Times New Roman" w:eastAsia="Calibri" w:hAnsi="Times New Roman" w:cs="Times New Roman"/>
          <w:color w:val="000000" w:themeColor="text1"/>
          <w:sz w:val="24"/>
          <w:szCs w:val="24"/>
          <w:lang w:val="en-US"/>
        </w:rPr>
        <w:t xml:space="preserve"> </w:t>
      </w:r>
    </w:p>
    <w:p w14:paraId="7D21C807"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14039F05"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Multivariate results and discussion</w:t>
      </w:r>
    </w:p>
    <w:p w14:paraId="69F83AA3" w14:textId="77777777" w:rsidR="00EC5A9C" w:rsidRPr="001B6443" w:rsidRDefault="00EC5A9C" w:rsidP="00983E28">
      <w:pPr>
        <w:keepNext/>
        <w:keepLines/>
        <w:spacing w:after="0" w:line="480" w:lineRule="auto"/>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 xml:space="preserve">Carbon performance, board sustainability committees, climate change initiatives, and market value  </w:t>
      </w:r>
    </w:p>
    <w:p w14:paraId="72EE656A" w14:textId="429D2AEE" w:rsidR="00EC5A9C" w:rsidRPr="001B6443" w:rsidRDefault="00EC5A9C" w:rsidP="006E32F2">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Table 6 reports the regression results of MV </w:t>
      </w:r>
      <w:r w:rsidR="00C44A73" w:rsidRPr="001B6443">
        <w:rPr>
          <w:rFonts w:ascii="Times New Roman" w:eastAsia="Calibri" w:hAnsi="Times New Roman" w:cs="Times New Roman"/>
          <w:color w:val="000000" w:themeColor="text1"/>
          <w:sz w:val="24"/>
          <w:szCs w:val="24"/>
          <w:lang w:val="en-US"/>
        </w:rPr>
        <w:t>on</w:t>
      </w:r>
      <w:r w:rsidRPr="001B6443">
        <w:rPr>
          <w:rFonts w:ascii="Times New Roman" w:eastAsia="Calibri" w:hAnsi="Times New Roman" w:cs="Times New Roman"/>
          <w:color w:val="000000" w:themeColor="text1"/>
          <w:sz w:val="24"/>
          <w:szCs w:val="24"/>
          <w:lang w:val="en-US"/>
        </w:rPr>
        <w:t xml:space="preserve"> CCPE, PCCIs, and BSCOM. Model (1) shows that CCPE is negativel</w:t>
      </w:r>
      <w:r w:rsidR="00FE2A42" w:rsidRPr="001B6443">
        <w:rPr>
          <w:rFonts w:ascii="Times New Roman" w:eastAsia="Calibri" w:hAnsi="Times New Roman" w:cs="Times New Roman"/>
          <w:color w:val="000000" w:themeColor="text1"/>
          <w:sz w:val="24"/>
          <w:szCs w:val="24"/>
          <w:lang w:val="en-US"/>
        </w:rPr>
        <w:t>y related to MV (p &lt; 0.01),</w:t>
      </w:r>
      <w:r w:rsidRPr="001B6443">
        <w:rPr>
          <w:rFonts w:ascii="Times New Roman" w:eastAsia="Calibri" w:hAnsi="Times New Roman" w:cs="Times New Roman"/>
          <w:color w:val="000000" w:themeColor="text1"/>
          <w:sz w:val="24"/>
          <w:szCs w:val="24"/>
          <w:lang w:val="en-US"/>
        </w:rPr>
        <w:t xml:space="preserve"> indicating that firms with excessive GHG emissions suffer </w:t>
      </w:r>
      <w:r w:rsidR="008875B9" w:rsidRPr="001B6443">
        <w:rPr>
          <w:rFonts w:ascii="Times New Roman" w:eastAsia="Calibri" w:hAnsi="Times New Roman" w:cs="Times New Roman"/>
          <w:color w:val="000000" w:themeColor="text1"/>
          <w:sz w:val="24"/>
          <w:szCs w:val="24"/>
          <w:lang w:val="en-US"/>
        </w:rPr>
        <w:t xml:space="preserve">more </w:t>
      </w:r>
      <w:r w:rsidRPr="001B6443">
        <w:rPr>
          <w:rFonts w:ascii="Times New Roman" w:eastAsia="Calibri" w:hAnsi="Times New Roman" w:cs="Times New Roman"/>
          <w:color w:val="000000" w:themeColor="text1"/>
          <w:sz w:val="24"/>
          <w:szCs w:val="24"/>
          <w:lang w:val="en-US"/>
        </w:rPr>
        <w:t xml:space="preserve">from negative market valuation. This evidence supports </w:t>
      </w:r>
      <w:r w:rsidRPr="001B6443">
        <w:rPr>
          <w:rFonts w:ascii="Times New Roman" w:eastAsia="Calibri" w:hAnsi="Times New Roman" w:cs="Times New Roman"/>
          <w:i/>
          <w:color w:val="000000" w:themeColor="text1"/>
          <w:sz w:val="24"/>
          <w:szCs w:val="24"/>
          <w:lang w:val="en-US"/>
        </w:rPr>
        <w:t>H1a</w:t>
      </w:r>
      <w:r w:rsidRPr="001B6443">
        <w:rPr>
          <w:rFonts w:ascii="Times New Roman" w:eastAsia="Calibri" w:hAnsi="Times New Roman" w:cs="Times New Roman"/>
          <w:color w:val="000000" w:themeColor="text1"/>
          <w:sz w:val="24"/>
          <w:szCs w:val="24"/>
          <w:lang w:val="en-US"/>
        </w:rPr>
        <w:t xml:space="preserve"> and corroborates the findings </w:t>
      </w:r>
      <w:r w:rsidRPr="001B6443">
        <w:rPr>
          <w:rFonts w:ascii="Times New Roman" w:eastAsia="Calibri" w:hAnsi="Times New Roman" w:cs="Times New Roman"/>
          <w:color w:val="000000" w:themeColor="text1"/>
          <w:sz w:val="24"/>
          <w:szCs w:val="24"/>
          <w:lang w:val="en-US"/>
        </w:rPr>
        <w:lastRenderedPageBreak/>
        <w:t xml:space="preserve">of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{"citationItems":[{"id":"ITEM-1","itemData":{"DOI":"10.1016/j.accfor.2017.02.003","ISSN":"14676303","abstract":"This study provides evidence on the potential benefits of mandatory environmental reporting for listed firms’ market valuation. It takes advantage of recent regulation that requires all listed firms in the UK to report their annual greenhouse gas (GHG) emissions in their annual reports and shows that the magnitude of the negative association between GHG emissions and the market value of listed firms decreased after the introduction of the reporting regulation. This decline is attributed to regulation forestalling shareholders’ negative reflexive reaction toward firms’ carbon disclosures, as proposed by the theoretical work of Unerman and O'Dwyer (2007).","author":[{"dropping-particle":"","family":"Baboukardos","given":"Diogenis","non-dropping-particle":"","parse-names":false,"suffix":""}],"container-title":"Accounting Forum","id":"ITEM-1","issue":"3","issued":{"date-parts":[["2017","9","1"]]},"page":"221-233","publisher":"Elsevier Ltd","title":"Market valuation of greenhouse gas emissions under a mandatory reporting regime: Evidence from the UK","type":"article-journal","volume":"41"},"uris":["http://www.mendeley.com/documents/?uuid=e6c311cb-2f97-32af-b9cd-b183c7c801bc"]},{"id":"ITEM-2","itemData":{"DOI":"10.1007/s10997-020-09547-5","ISSN":"1572963X","abstract":"In 2004, Canada’s Greenhouse Gas (GHG) Reporting Program made carbon emissions disclosure mandatory for Canadian facilities emitting 100 kilotonnes or more. Three industrial sectors are responsible for most of Canada’s GHG emissions: oil and gas, transportation and electricity. This study sheds light on the role of industrial sector polluting levels and the influence of firms’ environment or sustainable development committee on the market valuation of their reported carbon emissions. We used a modified version of Ohlson’s model to examine the value relevance of carbon emissions disclosure for the program’s entire reporting period, running from 2004 to 2017, the last available year. Our results show a negative association between GHG emissions and firm value. Investors use the total level of GHG emissions to assess future environmental liabilities, and industrial sector polluting level moderates the negative association between these emissions and firm value. For every additional tonne of GHG emissions, low-polluting firms saw their market value drop by $548 and high-GHG emitting firms by $35. Our results provide evidence of a more prominent negative relationship between GHG emissions and firm value for firms operating in low-GHG emitting industrial sectors, indicating higher penalties from stock market participants for these firms. Our findings suggest that stock market participants draw on distinct institutional logics: the dominant economic logic, favoured by investors interested in high-GHG emitting firms, versus an alternative social and environmental logic, used by those interested in low-GHG emitting firms. Moreover, companies with an environment or sustainable development committee have, on average, higher levels of GHG emissions than companies with no similar committee. The market value of companies with such committee decreases by $518 for every additional tonne of GHG emissions. Companies with no such committee record no effect of GHG emissions on their market values.","author":[{"dropping-particle":"","family":"Radu","given":"Camélia","non-dropping-particle":"","parse-names":false,"suffix":""},{"dropping-particle":"","family":"Maram","given":"Samaneh","non-dropping-particle":"","parse-names":false,"suffix":""}],"container-title":"Journal of Management and Governance","id":"ITEM-2","issued":{"date-parts":[["2020"]]},"publisher":"Springer","title":"The value relevance of reported carbon emissions","type":"article-journal"},"uris":["http://www.mendeley.com/documents/?uuid=4e57e796-e27e-3d16-ae18-5b4ef6f34644"]},{"id":"ITEM-3","itemData":{"DOI":"10.1016/j.bar.2020.100909","ISSN":"10958347","abstract":"Despite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Review","id":"ITEM-3","issue":"1","issued":{"date-parts":[["2021","1","1"]]},"page":"100909","publisher":"Academic Press","title":"Does the market value greenhouse gas emissions? Evidence from multi-country firm data","type":"article-journal","volume":"53"},"uris":["http://www.mendeley.com/documents/?uuid=ac06154c-7498-32c7-a53a-51d28fbf1de9"]}],"mendeley":{"formattedCitation":"(Baboukardos 2017; Choi and Luo 2021; Radu and Maram 2020)","manualFormatting":"Baboukardos (2017) and Choi and Luo (2021)","plainTextFormattedCitation":"(Baboukardos 2017; Choi and Luo 2021; Radu and Maram 2020)","previouslyFormattedCitation":"(Baboukardos 2017; Choi and Luo 2021; Radu and Maram 2020)"},"properties":{"noteIndex":0},"schema":"https://github.com/citation-style-language/schema/raw/master/csl-citation.json"}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Baboukardos (2017) and Choi and Luo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that capital markets react negatively to increased levels of </w:t>
      </w:r>
      <w:r w:rsidR="00A5428F" w:rsidRPr="001B6443">
        <w:rPr>
          <w:rFonts w:ascii="Times New Roman" w:eastAsia="Calibri" w:hAnsi="Times New Roman" w:cs="Times New Roman"/>
          <w:color w:val="000000" w:themeColor="text1"/>
          <w:sz w:val="24"/>
          <w:szCs w:val="24"/>
          <w:lang w:val="en-US"/>
        </w:rPr>
        <w:t xml:space="preserve">emissions. </w:t>
      </w:r>
      <w:r w:rsidR="006E32F2" w:rsidRPr="001B6443">
        <w:rPr>
          <w:rFonts w:ascii="Times New Roman" w:eastAsia="Calibri" w:hAnsi="Times New Roman" w:cs="Times New Roman"/>
          <w:color w:val="000000" w:themeColor="text1"/>
          <w:sz w:val="24"/>
          <w:szCs w:val="24"/>
          <w:lang w:val="en-US"/>
        </w:rPr>
        <w:t xml:space="preserve">Model (2) displays a </w:t>
      </w:r>
      <w:r w:rsidR="003C162A" w:rsidRPr="001B6443">
        <w:rPr>
          <w:rFonts w:ascii="Times New Roman" w:eastAsia="Calibri" w:hAnsi="Times New Roman" w:cs="Times New Roman"/>
          <w:color w:val="000000" w:themeColor="text1"/>
          <w:sz w:val="24"/>
          <w:szCs w:val="24"/>
          <w:lang w:val="en-US"/>
        </w:rPr>
        <w:t xml:space="preserve">positive </w:t>
      </w:r>
      <w:r w:rsidR="006E32F2" w:rsidRPr="001B6443">
        <w:rPr>
          <w:rFonts w:ascii="Times New Roman" w:eastAsia="Calibri" w:hAnsi="Times New Roman" w:cs="Times New Roman"/>
          <w:color w:val="000000" w:themeColor="text1"/>
          <w:sz w:val="24"/>
          <w:szCs w:val="24"/>
          <w:lang w:val="en-US"/>
        </w:rPr>
        <w:t>association between PCCIs and MV</w:t>
      </w:r>
      <w:r w:rsidR="003C162A" w:rsidRPr="001B6443">
        <w:rPr>
          <w:rFonts w:ascii="Times New Roman" w:eastAsia="Calibri" w:hAnsi="Times New Roman" w:cs="Times New Roman"/>
          <w:color w:val="000000" w:themeColor="text1"/>
          <w:sz w:val="24"/>
          <w:szCs w:val="24"/>
          <w:lang w:val="en-US"/>
        </w:rPr>
        <w:t xml:space="preserve"> (p &lt; 0.01), contrary to</w:t>
      </w:r>
      <w:r w:rsidR="00AF57DF" w:rsidRPr="001B6443">
        <w:rPr>
          <w:rFonts w:ascii="Times New Roman" w:eastAsia="Calibri" w:hAnsi="Times New Roman" w:cs="Times New Roman"/>
          <w:color w:val="000000" w:themeColor="text1"/>
          <w:sz w:val="24"/>
          <w:szCs w:val="24"/>
          <w:lang w:val="en-US"/>
        </w:rPr>
        <w:t xml:space="preserve"> expectations of</w:t>
      </w:r>
      <w:r w:rsidR="003C162A" w:rsidRPr="001B6443">
        <w:rPr>
          <w:rFonts w:ascii="Times New Roman" w:eastAsia="Calibri" w:hAnsi="Times New Roman" w:cs="Times New Roman"/>
          <w:color w:val="000000" w:themeColor="text1"/>
          <w:sz w:val="24"/>
          <w:szCs w:val="24"/>
          <w:lang w:val="en-US"/>
        </w:rPr>
        <w:t xml:space="preserve"> </w:t>
      </w:r>
      <w:r w:rsidR="006E32F2" w:rsidRPr="001B6443">
        <w:rPr>
          <w:rFonts w:ascii="Times New Roman" w:eastAsia="Calibri" w:hAnsi="Times New Roman" w:cs="Times New Roman"/>
          <w:i/>
          <w:color w:val="000000" w:themeColor="text1"/>
          <w:sz w:val="24"/>
          <w:szCs w:val="24"/>
          <w:lang w:val="en-US"/>
        </w:rPr>
        <w:t>H1b</w:t>
      </w:r>
      <w:r w:rsidR="00474357" w:rsidRPr="001B6443">
        <w:rPr>
          <w:rFonts w:ascii="Times New Roman" w:eastAsia="Calibri" w:hAnsi="Times New Roman" w:cs="Times New Roman"/>
          <w:color w:val="000000" w:themeColor="text1"/>
          <w:sz w:val="24"/>
          <w:szCs w:val="24"/>
          <w:lang w:val="en-US"/>
        </w:rPr>
        <w:t xml:space="preserve">. This finding suggests that firms facing increased climate-related risks/threats are more likely to adopt process-based environmental initiatives/strategies, such as PCCIs, which can be perceived positively by market participants, resulting in value enhancement </w:t>
      </w:r>
      <w:r w:rsidR="00474357" w:rsidRPr="001B6443">
        <w:rPr>
          <w:rFonts w:ascii="Times New Roman" w:eastAsia="Calibri" w:hAnsi="Times New Roman" w:cs="Times New Roman"/>
          <w:color w:val="000000" w:themeColor="text1"/>
          <w:sz w:val="24"/>
          <w:szCs w:val="24"/>
          <w:lang w:val="en-US"/>
        </w:rPr>
        <w:fldChar w:fldCharType="begin" w:fldLock="1"/>
      </w:r>
      <w:r w:rsidR="00DC70B0"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2020)","plainTextFormattedCitation":"(Haque and Ntim 2020)","previouslyFormattedCitation":"(Haque and Ntim 2020)"},"properties":{"noteIndex":0},"schema":"https://github.com/citation-style-language/schema/raw/master/csl-citation.json"}</w:instrText>
      </w:r>
      <w:r w:rsidR="00474357" w:rsidRPr="001B6443">
        <w:rPr>
          <w:rFonts w:ascii="Times New Roman" w:eastAsia="Calibri" w:hAnsi="Times New Roman" w:cs="Times New Roman"/>
          <w:color w:val="000000" w:themeColor="text1"/>
          <w:sz w:val="24"/>
          <w:szCs w:val="24"/>
          <w:lang w:val="en-US"/>
        </w:rPr>
        <w:fldChar w:fldCharType="separate"/>
      </w:r>
      <w:r w:rsidR="00474357" w:rsidRPr="001B6443">
        <w:rPr>
          <w:rFonts w:ascii="Times New Roman" w:eastAsia="Calibri" w:hAnsi="Times New Roman" w:cs="Times New Roman"/>
          <w:noProof/>
          <w:color w:val="000000" w:themeColor="text1"/>
          <w:sz w:val="24"/>
          <w:szCs w:val="24"/>
          <w:lang w:val="en-US"/>
        </w:rPr>
        <w:t>(Haque and Ntim 2020)</w:t>
      </w:r>
      <w:r w:rsidR="00474357" w:rsidRPr="001B6443">
        <w:rPr>
          <w:rFonts w:ascii="Times New Roman" w:eastAsia="Calibri" w:hAnsi="Times New Roman" w:cs="Times New Roman"/>
          <w:color w:val="000000" w:themeColor="text1"/>
          <w:sz w:val="24"/>
          <w:szCs w:val="24"/>
          <w:lang w:val="en-US"/>
        </w:rPr>
        <w:fldChar w:fldCharType="end"/>
      </w:r>
      <w:r w:rsidR="00474357" w:rsidRPr="001B6443">
        <w:rPr>
          <w:rFonts w:ascii="Times New Roman" w:eastAsia="Calibri" w:hAnsi="Times New Roman" w:cs="Times New Roman"/>
          <w:color w:val="000000" w:themeColor="text1"/>
          <w:sz w:val="24"/>
          <w:szCs w:val="24"/>
          <w:lang w:val="en-US"/>
        </w:rPr>
        <w:t xml:space="preserve">. </w:t>
      </w:r>
      <w:r w:rsidR="00AA7E0C" w:rsidRPr="001B6443">
        <w:rPr>
          <w:rFonts w:ascii="Times New Roman" w:eastAsia="Calibri" w:hAnsi="Times New Roman" w:cs="Times New Roman"/>
          <w:color w:val="000000" w:themeColor="text1"/>
          <w:sz w:val="24"/>
          <w:szCs w:val="24"/>
          <w:lang w:val="en-US"/>
        </w:rPr>
        <w:t xml:space="preserve">This evidence </w:t>
      </w:r>
      <w:r w:rsidR="00474357" w:rsidRPr="001B6443">
        <w:rPr>
          <w:rFonts w:ascii="Times New Roman" w:eastAsia="Calibri" w:hAnsi="Times New Roman" w:cs="Times New Roman"/>
          <w:color w:val="000000" w:themeColor="text1"/>
          <w:sz w:val="24"/>
          <w:szCs w:val="24"/>
          <w:lang w:val="en-US"/>
        </w:rPr>
        <w:t xml:space="preserve">also </w:t>
      </w:r>
      <w:r w:rsidR="00AA7E0C" w:rsidRPr="001B6443">
        <w:rPr>
          <w:rFonts w:ascii="Times New Roman" w:eastAsia="Calibri" w:hAnsi="Times New Roman" w:cs="Times New Roman"/>
          <w:color w:val="000000" w:themeColor="text1"/>
          <w:sz w:val="24"/>
          <w:szCs w:val="24"/>
          <w:lang w:val="en-US"/>
        </w:rPr>
        <w:t>supports the symbolic legitimation view in that firms are likely to engage in symbolic PCCIs</w:t>
      </w:r>
      <w:r w:rsidR="003F45D8" w:rsidRPr="001B6443">
        <w:rPr>
          <w:rFonts w:ascii="Times New Roman" w:eastAsia="Calibri" w:hAnsi="Times New Roman" w:cs="Times New Roman"/>
          <w:color w:val="000000" w:themeColor="text1"/>
          <w:sz w:val="24"/>
          <w:szCs w:val="24"/>
          <w:lang w:val="en-US"/>
        </w:rPr>
        <w:t xml:space="preserve"> to</w:t>
      </w:r>
      <w:r w:rsidR="00AA7E0C" w:rsidRPr="001B6443">
        <w:rPr>
          <w:rFonts w:ascii="Times New Roman" w:eastAsia="Calibri" w:hAnsi="Times New Roman" w:cs="Times New Roman"/>
          <w:color w:val="000000" w:themeColor="text1"/>
          <w:sz w:val="24"/>
          <w:szCs w:val="24"/>
          <w:lang w:val="en-US"/>
        </w:rPr>
        <w:t xml:space="preserve"> </w:t>
      </w:r>
      <w:r w:rsidR="003F45D8" w:rsidRPr="001B6443">
        <w:rPr>
          <w:rFonts w:ascii="Times New Roman" w:eastAsia="Calibri" w:hAnsi="Times New Roman" w:cs="Times New Roman"/>
          <w:color w:val="000000" w:themeColor="text1"/>
          <w:sz w:val="24"/>
          <w:szCs w:val="24"/>
          <w:lang w:val="en-US"/>
        </w:rPr>
        <w:t>impress stakeholders, gain/maintain legitimacy, and ultimately improve MV</w:t>
      </w:r>
      <w:r w:rsidR="00DC70B0" w:rsidRPr="001B6443">
        <w:rPr>
          <w:rFonts w:ascii="Times New Roman" w:eastAsia="Calibri" w:hAnsi="Times New Roman" w:cs="Times New Roman"/>
          <w:color w:val="000000" w:themeColor="text1"/>
          <w:sz w:val="24"/>
          <w:szCs w:val="24"/>
          <w:lang w:val="en-US"/>
        </w:rPr>
        <w:t xml:space="preserve"> </w:t>
      </w:r>
      <w:r w:rsidR="00DC70B0" w:rsidRPr="001B6443">
        <w:rPr>
          <w:rFonts w:ascii="Times New Roman" w:eastAsia="Calibri" w:hAnsi="Times New Roman" w:cs="Times New Roman"/>
          <w:color w:val="000000" w:themeColor="text1"/>
          <w:sz w:val="24"/>
          <w:szCs w:val="24"/>
          <w:lang w:val="en-US"/>
        </w:rPr>
        <w:fldChar w:fldCharType="begin" w:fldLock="1"/>
      </w:r>
      <w:r w:rsidR="007F01C9" w:rsidRPr="001B6443">
        <w:rPr>
          <w:rFonts w:ascii="Times New Roman" w:eastAsia="Calibri" w:hAnsi="Times New Roman" w:cs="Times New Roman"/>
          <w:color w:val="000000" w:themeColor="text1"/>
          <w:sz w:val="24"/>
          <w:szCs w:val="24"/>
          <w:lang w:val="en-US"/>
        </w:rPr>
        <w:instrText>ADDIN CSL_CITATION {"citationItems":[{"id":"ITEM-1","itemData":{"DOI":"10.5465/amr.1995.9508080331","ISSN":"0363-7425","abstract":"This article synthesizes the large but diverse literature on organiza- tional legitimacy, highlighting similarities and disparities among the leading strategic and institutional approaches. The analysis identi- fies three primary forms of legitimacy: pragmatic, based on audience self-interest; moral, based on normative approval: and cognitive, based on comprehensibility and taken-for-grantedness. The article then examines strategies for gaining, maintaining, and repairing le- gitimacy of each type, suggesting both the promises and the pitfalls of such instrumental manipulations.","author":[{"dropping-particle":"","family":"Suchman","given":"Mark C.","non-dropping-particle":"","parse-names":false,"suffix":""}],"container-title":"Academy of Management Review","id":"ITEM-1","issue":"3","issued":{"date-parts":[["1995","7"]]},"page":"571-610","publisher":"Academy of Management","title":"Managing Legitimacy: Strategic and Institutional Approaches","type":"article-journal","volume":"20"},"uris":["http://www.mendeley.com/documents/?uuid=25ac0a93-a4f3-3ed6-b29b-b56e1d429c2e"]},{"id":"ITEM-2","itemData":{"DOI":"10.5465/AMJ.2009.36461950","ISBN":"00014273","ISSN":"00014273","PMID":"36461950","abstract":"Relying on institutional theory, agency rationale, and environmental management research, we hypothesize that, in polluting industries, good environmental performance increases CEO pay; that environmental governance mechanisms strengthen this linkage; that pollution prevention strategies affect executive compensation more than end-of-pipe pollution control; and that long-term pay increases pollution prevention success. Using longitudinal data on 469 U.S. firms, we found support for three hypotheses. Contrary to our expectations, firms with an explicit environmental pay policy and an environmental committee do not reward environmental strategies more than those without such structures, suggesting that these mechanisms play a merely symbolic role.","author":[{"dropping-particle":"","family":"Berrone","given":"Pascual","non-dropping-particle":"","parse-names":false,"suffix":""},{"dropping-particle":"","family":"Gomez-Mejia","given":"Luis R.","non-dropping-particle":"","parse-names":false,"suffix":""}],"container-title":"Academy of Management Journal","id":"ITEM-2","issue":"1","issued":{"date-parts":[["2009"]]},"page":"103-126","title":"Environmental performance and executive compensation: An integrated agency-institutional perspective","type":"article-journal","volume":"52"},"uris":["http://www.mendeley.com/documents/?uuid=09e90e30-48af-3454-9713-af450eb249a9"]}],"mendeley":{"formattedCitation":"(Berrone and Gomez-Mejia 2009; Suchman 1995)","plainTextFormattedCitation":"(Berrone and Gomez-Mejia 2009; Suchman 1995)","previouslyFormattedCitation":"(Berrone and Gomez-Mejia 2009; Suchman 1995)"},"properties":{"noteIndex":0},"schema":"https://github.com/citation-style-language/schema/raw/master/csl-citation.json"}</w:instrText>
      </w:r>
      <w:r w:rsidR="00DC70B0" w:rsidRPr="001B6443">
        <w:rPr>
          <w:rFonts w:ascii="Times New Roman" w:eastAsia="Calibri" w:hAnsi="Times New Roman" w:cs="Times New Roman"/>
          <w:color w:val="000000" w:themeColor="text1"/>
          <w:sz w:val="24"/>
          <w:szCs w:val="24"/>
          <w:lang w:val="en-US"/>
        </w:rPr>
        <w:fldChar w:fldCharType="separate"/>
      </w:r>
      <w:r w:rsidR="00DC70B0" w:rsidRPr="001B6443">
        <w:rPr>
          <w:rFonts w:ascii="Times New Roman" w:eastAsia="Calibri" w:hAnsi="Times New Roman" w:cs="Times New Roman"/>
          <w:noProof/>
          <w:color w:val="000000" w:themeColor="text1"/>
          <w:sz w:val="24"/>
          <w:szCs w:val="24"/>
          <w:lang w:val="en-US"/>
        </w:rPr>
        <w:t>(Berrone and Gomez-Mejia 2009; Suchman 1995)</w:t>
      </w:r>
      <w:r w:rsidR="00DC70B0" w:rsidRPr="001B6443">
        <w:rPr>
          <w:rFonts w:ascii="Times New Roman" w:eastAsia="Calibri" w:hAnsi="Times New Roman" w:cs="Times New Roman"/>
          <w:color w:val="000000" w:themeColor="text1"/>
          <w:sz w:val="24"/>
          <w:szCs w:val="24"/>
          <w:lang w:val="en-US"/>
        </w:rPr>
        <w:fldChar w:fldCharType="end"/>
      </w:r>
      <w:r w:rsidR="00DC70B0" w:rsidRPr="001B6443">
        <w:rPr>
          <w:rFonts w:ascii="Times New Roman" w:eastAsia="Calibri" w:hAnsi="Times New Roman" w:cs="Times New Roman"/>
          <w:color w:val="000000" w:themeColor="text1"/>
          <w:sz w:val="24"/>
          <w:szCs w:val="24"/>
          <w:lang w:val="en-US"/>
        </w:rPr>
        <w:t>.</w:t>
      </w:r>
      <w:r w:rsidR="009E5607" w:rsidRPr="001B6443">
        <w:rPr>
          <w:rFonts w:ascii="Times New Roman" w:eastAsia="Calibri" w:hAnsi="Times New Roman" w:cs="Times New Roman"/>
          <w:color w:val="000000" w:themeColor="text1"/>
          <w:sz w:val="24"/>
          <w:szCs w:val="24"/>
          <w:lang w:val="en-US"/>
        </w:rPr>
        <w:t xml:space="preserve"> Further, Model (3) shows that BSCOM is </w:t>
      </w:r>
      <w:r w:rsidR="00011746" w:rsidRPr="001B6443">
        <w:rPr>
          <w:rFonts w:ascii="Times New Roman" w:eastAsia="Calibri" w:hAnsi="Times New Roman" w:cs="Times New Roman"/>
          <w:color w:val="000000" w:themeColor="text1"/>
          <w:sz w:val="24"/>
          <w:szCs w:val="24"/>
          <w:lang w:val="en-US"/>
        </w:rPr>
        <w:t xml:space="preserve">positively associated with </w:t>
      </w:r>
      <w:r w:rsidR="009E5607" w:rsidRPr="001B6443">
        <w:rPr>
          <w:rFonts w:ascii="Times New Roman" w:eastAsia="Calibri" w:hAnsi="Times New Roman" w:cs="Times New Roman"/>
          <w:color w:val="000000" w:themeColor="text1"/>
          <w:sz w:val="24"/>
          <w:szCs w:val="24"/>
          <w:lang w:val="en-US"/>
        </w:rPr>
        <w:t xml:space="preserve">MV (p &lt; 0.05). This evidence suggests that firms with BSCOM have higher MV and supports the view that CG practices, such as BSCOM improve organizational performance </w:t>
      </w:r>
      <w:r w:rsidR="009E5607" w:rsidRPr="001B6443">
        <w:rPr>
          <w:rFonts w:ascii="Times New Roman" w:eastAsia="Calibri" w:hAnsi="Times New Roman" w:cs="Times New Roman"/>
          <w:color w:val="000000" w:themeColor="text1"/>
          <w:sz w:val="24"/>
          <w:szCs w:val="24"/>
          <w:lang w:val="en-US"/>
        </w:rPr>
        <w:fldChar w:fldCharType="begin" w:fldLock="1"/>
      </w:r>
      <w:r w:rsidR="009E5607"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data","type":"article-journal","volume":"53"},"uris":["http://www.mendeley.com/documents/?uuid=ac06154c-7498-32c7-a53a-51d28fbf1de9"]},{"id":"ITEM-2","itemData":{"DOI":"10.1016/j.ijhm.2020.102753","ISSN":"02784319","abstract":"This study's objective is twofold: (1) to investigate whether board characteristics predict the existence of a sustainability committee, and (2) to examine whether the establishment of sustainability committees stimulates sustainability reporting, external assurance, and the adoption of the Global Reporting Initiative (GRI) framework in hospitality and tourism (H&amp;T) firms. For this purpose, the data was derived from the Thomson Reuters Eikon database for publicly traded H&amp;T firms from 2013 to 2018. The results indicate that while board size is a significant predictor of sustainability committee establishment, female and independent directors are not. Furthermore, the H&amp;T firms with a sustainability committee are more likely to issue a sustainability report, to get an independent assurance statement on sustainability reporting, and to follow GRI guidelines in configuring sustainability report content and structure. Overall, the results suggest important implications to help H&amp;T firms achieve sustainable goals and to design their boards accordingly.","author":[{"dropping-particle":"","family":"Kılıç","given":"Merve","non-dropping-particle":"","parse-names":false,"suffix":""},{"dropping-particle":"","family":"Uyar","given":"Ali","non-dropping-particle":"","parse-names":false,"suffix":""},{"dropping-particle":"","family":"Kuzey","given":"Cemil","non-dropping-particle":"","parse-names":false,"suffix":""},{"dropping-particle":"","family":"Karaman","given":"Abdullah S.","non-dropping-particle":"","parse-names":false,"suffix":""}],"container-title":"International Journal of Hospitality Management","id":"ITEM-2","issued":{"date-parts":[["2021","1","1"]]},"publisher":"Elsevier Ltd","title":"Drivers and consequences of sustainability committee existence? Evidence from the hospitality and tourism industry","type":"article-journal","volume":"92"},"uris":["http://www.mendeley.com/documents/?uuid=1b5e7bbd-1738-338f-b2cc-36c8635158d4"]}],"mendeley":{"formattedCitation":"(Choi and Luo 2021; Kılıç et al. 2021)","manualFormatting":"(Choi and Luo, 2021; Kılıç et al., 2021)","plainTextFormattedCitation":"(Choi and Luo 2021; Kılıç et al. 2021)","previouslyFormattedCitation":"(Choi and Luo 2021; Kılıç et al. 2021)"},"properties":{"noteIndex":0},"schema":"https://github.com/citation-style-language/schema/raw/master/csl-citation.json"}</w:instrText>
      </w:r>
      <w:r w:rsidR="009E5607" w:rsidRPr="001B6443">
        <w:rPr>
          <w:rFonts w:ascii="Times New Roman" w:eastAsia="Calibri" w:hAnsi="Times New Roman" w:cs="Times New Roman"/>
          <w:color w:val="000000" w:themeColor="text1"/>
          <w:sz w:val="24"/>
          <w:szCs w:val="24"/>
          <w:lang w:val="en-US"/>
        </w:rPr>
        <w:fldChar w:fldCharType="separate"/>
      </w:r>
      <w:r w:rsidR="009E5607" w:rsidRPr="001B6443">
        <w:rPr>
          <w:rFonts w:ascii="Times New Roman" w:eastAsia="Calibri" w:hAnsi="Times New Roman" w:cs="Times New Roman"/>
          <w:noProof/>
          <w:color w:val="000000" w:themeColor="text1"/>
          <w:sz w:val="24"/>
          <w:szCs w:val="24"/>
          <w:lang w:val="en-US"/>
        </w:rPr>
        <w:t xml:space="preserve">(Choi and Luo, 2021; Kılıç </w:t>
      </w:r>
      <w:r w:rsidR="009E5607" w:rsidRPr="001B6443">
        <w:rPr>
          <w:rFonts w:ascii="Times New Roman" w:eastAsia="Calibri" w:hAnsi="Times New Roman" w:cs="Times New Roman"/>
          <w:i/>
          <w:iCs/>
          <w:noProof/>
          <w:color w:val="000000" w:themeColor="text1"/>
          <w:sz w:val="24"/>
          <w:szCs w:val="24"/>
          <w:lang w:val="en-US"/>
        </w:rPr>
        <w:t xml:space="preserve">et al., </w:t>
      </w:r>
      <w:r w:rsidR="009E5607" w:rsidRPr="001B6443">
        <w:rPr>
          <w:rFonts w:ascii="Times New Roman" w:eastAsia="Calibri" w:hAnsi="Times New Roman" w:cs="Times New Roman"/>
          <w:noProof/>
          <w:color w:val="000000" w:themeColor="text1"/>
          <w:sz w:val="24"/>
          <w:szCs w:val="24"/>
          <w:lang w:val="en-US"/>
        </w:rPr>
        <w:t>2021)</w:t>
      </w:r>
      <w:r w:rsidR="009E5607" w:rsidRPr="001B6443">
        <w:rPr>
          <w:rFonts w:ascii="Times New Roman" w:eastAsia="Calibri" w:hAnsi="Times New Roman" w:cs="Times New Roman"/>
          <w:color w:val="000000" w:themeColor="text1"/>
          <w:sz w:val="24"/>
          <w:szCs w:val="24"/>
          <w:lang w:val="en-US"/>
        </w:rPr>
        <w:fldChar w:fldCharType="end"/>
      </w:r>
      <w:r w:rsidR="006144A7" w:rsidRPr="001B6443">
        <w:rPr>
          <w:rFonts w:ascii="Times New Roman" w:eastAsia="Calibri" w:hAnsi="Times New Roman" w:cs="Times New Roman"/>
          <w:color w:val="000000" w:themeColor="text1"/>
          <w:sz w:val="24"/>
          <w:szCs w:val="24"/>
          <w:lang w:val="en-US"/>
        </w:rPr>
        <w:t xml:space="preserve">. </w:t>
      </w:r>
      <w:r w:rsidR="003B0CC8" w:rsidRPr="001B6443">
        <w:rPr>
          <w:rFonts w:ascii="Times New Roman" w:eastAsia="Calibri" w:hAnsi="Times New Roman" w:cs="Times New Roman"/>
          <w:color w:val="000000" w:themeColor="text1"/>
          <w:sz w:val="24"/>
          <w:szCs w:val="24"/>
          <w:lang w:val="en-US"/>
        </w:rPr>
        <w:t xml:space="preserve">However, </w:t>
      </w:r>
      <w:r w:rsidR="00011746" w:rsidRPr="001B6443">
        <w:rPr>
          <w:rFonts w:ascii="Times New Roman" w:eastAsia="Calibri" w:hAnsi="Times New Roman" w:cs="Times New Roman"/>
          <w:color w:val="000000" w:themeColor="text1"/>
          <w:sz w:val="24"/>
          <w:szCs w:val="24"/>
          <w:lang w:val="en-US"/>
        </w:rPr>
        <w:t>Models (</w:t>
      </w:r>
      <w:r w:rsidR="003B0CC8" w:rsidRPr="001B6443">
        <w:rPr>
          <w:rFonts w:ascii="Times New Roman" w:eastAsia="Calibri" w:hAnsi="Times New Roman" w:cs="Times New Roman"/>
          <w:color w:val="000000" w:themeColor="text1"/>
          <w:sz w:val="24"/>
          <w:szCs w:val="24"/>
          <w:lang w:val="en-US"/>
        </w:rPr>
        <w:t>4) and (</w:t>
      </w:r>
      <w:r w:rsidR="00011746" w:rsidRPr="001B6443">
        <w:rPr>
          <w:rFonts w:ascii="Times New Roman" w:eastAsia="Calibri" w:hAnsi="Times New Roman" w:cs="Times New Roman"/>
          <w:color w:val="000000" w:themeColor="text1"/>
          <w:sz w:val="24"/>
          <w:szCs w:val="24"/>
          <w:lang w:val="en-US"/>
        </w:rPr>
        <w:t xml:space="preserve">5) show that </w:t>
      </w:r>
      <w:r w:rsidR="00C16E06" w:rsidRPr="001B6443">
        <w:rPr>
          <w:rFonts w:ascii="Times New Roman" w:eastAsia="Calibri" w:hAnsi="Times New Roman" w:cs="Times New Roman"/>
          <w:color w:val="000000" w:themeColor="text1"/>
          <w:sz w:val="24"/>
          <w:szCs w:val="24"/>
          <w:lang w:val="en-US"/>
        </w:rPr>
        <w:t xml:space="preserve">the coefficients for </w:t>
      </w:r>
      <w:r w:rsidR="00011746" w:rsidRPr="001B6443">
        <w:rPr>
          <w:rFonts w:ascii="Times New Roman" w:eastAsia="Calibri" w:hAnsi="Times New Roman" w:cs="Times New Roman"/>
          <w:color w:val="000000" w:themeColor="text1"/>
          <w:sz w:val="24"/>
          <w:szCs w:val="24"/>
          <w:lang w:val="en-US"/>
        </w:rPr>
        <w:t>the interaction terms (CCPE*BSCOM and PCCIs*BSCOM</w:t>
      </w:r>
      <w:r w:rsidR="00C16E06" w:rsidRPr="001B6443">
        <w:rPr>
          <w:rFonts w:ascii="Times New Roman" w:eastAsia="Calibri" w:hAnsi="Times New Roman" w:cs="Times New Roman"/>
          <w:color w:val="000000" w:themeColor="text1"/>
          <w:sz w:val="24"/>
          <w:szCs w:val="24"/>
          <w:lang w:val="en-US"/>
        </w:rPr>
        <w:t>) are insignificant with MV (p &gt; 0.10</w:t>
      </w:r>
      <w:r w:rsidR="003B0CC8" w:rsidRPr="001B6443">
        <w:rPr>
          <w:rFonts w:ascii="Times New Roman" w:eastAsia="Calibri" w:hAnsi="Times New Roman" w:cs="Times New Roman"/>
          <w:color w:val="000000" w:themeColor="text1"/>
          <w:sz w:val="24"/>
          <w:szCs w:val="24"/>
          <w:lang w:val="en-US"/>
        </w:rPr>
        <w:t>)</w:t>
      </w:r>
      <w:r w:rsidR="00011746" w:rsidRPr="001B6443">
        <w:rPr>
          <w:rFonts w:ascii="Times New Roman" w:eastAsia="Calibri" w:hAnsi="Times New Roman" w:cs="Times New Roman"/>
          <w:color w:val="000000" w:themeColor="text1"/>
          <w:sz w:val="24"/>
          <w:szCs w:val="24"/>
          <w:lang w:val="en-US"/>
        </w:rPr>
        <w:t xml:space="preserve">, thereby indicating that BSCOM has no moderating role on the CCPE–MV and the PCCIs–MV </w:t>
      </w:r>
      <w:r w:rsidR="00C16E06" w:rsidRPr="001B6443">
        <w:rPr>
          <w:rFonts w:ascii="Times New Roman" w:eastAsia="Calibri" w:hAnsi="Times New Roman" w:cs="Times New Roman"/>
          <w:color w:val="000000" w:themeColor="text1"/>
          <w:sz w:val="24"/>
          <w:szCs w:val="24"/>
          <w:lang w:val="en-US"/>
        </w:rPr>
        <w:t>links.</w:t>
      </w:r>
      <w:r w:rsidR="006144A7" w:rsidRPr="001B6443">
        <w:rPr>
          <w:rFonts w:ascii="Times New Roman" w:eastAsia="Calibri" w:hAnsi="Times New Roman" w:cs="Times New Roman"/>
          <w:color w:val="000000" w:themeColor="text1"/>
          <w:sz w:val="24"/>
          <w:szCs w:val="24"/>
          <w:lang w:val="en-US"/>
        </w:rPr>
        <w:t xml:space="preserve"> These findings are consistent with the view that BSCOM </w:t>
      </w:r>
      <w:r w:rsidR="00C27BB0" w:rsidRPr="001B6443">
        <w:rPr>
          <w:rFonts w:ascii="Times New Roman" w:eastAsia="Calibri" w:hAnsi="Times New Roman" w:cs="Times New Roman"/>
          <w:color w:val="000000" w:themeColor="text1"/>
          <w:sz w:val="24"/>
          <w:szCs w:val="24"/>
          <w:lang w:val="en-US"/>
        </w:rPr>
        <w:t xml:space="preserve">established </w:t>
      </w:r>
      <w:r w:rsidR="0092194F" w:rsidRPr="001B6443">
        <w:rPr>
          <w:rFonts w:ascii="Times New Roman" w:eastAsia="Calibri" w:hAnsi="Times New Roman" w:cs="Times New Roman"/>
          <w:color w:val="000000" w:themeColor="text1"/>
          <w:sz w:val="24"/>
          <w:szCs w:val="24"/>
          <w:lang w:val="en-US"/>
        </w:rPr>
        <w:t>under a symbolic approach</w:t>
      </w:r>
      <w:r w:rsidR="00C27BB0" w:rsidRPr="001B6443">
        <w:rPr>
          <w:rFonts w:ascii="Times New Roman" w:eastAsia="Calibri" w:hAnsi="Times New Roman" w:cs="Times New Roman"/>
          <w:color w:val="000000" w:themeColor="text1"/>
          <w:sz w:val="24"/>
          <w:szCs w:val="24"/>
          <w:lang w:val="en-US"/>
        </w:rPr>
        <w:t xml:space="preserve"> </w:t>
      </w:r>
      <w:r w:rsidR="00BF409B" w:rsidRPr="001B6443">
        <w:rPr>
          <w:rFonts w:ascii="Times New Roman" w:eastAsia="Calibri" w:hAnsi="Times New Roman" w:cs="Times New Roman"/>
          <w:color w:val="000000" w:themeColor="text1"/>
          <w:sz w:val="24"/>
          <w:szCs w:val="24"/>
          <w:lang w:val="en-US"/>
        </w:rPr>
        <w:t xml:space="preserve">can </w:t>
      </w:r>
      <w:r w:rsidR="006144A7" w:rsidRPr="001B6443">
        <w:rPr>
          <w:rFonts w:ascii="Times New Roman" w:eastAsia="Calibri" w:hAnsi="Times New Roman" w:cs="Times New Roman"/>
          <w:color w:val="000000" w:themeColor="text1"/>
          <w:sz w:val="24"/>
          <w:szCs w:val="24"/>
          <w:lang w:val="en-US"/>
        </w:rPr>
        <w:t>generate value</w:t>
      </w:r>
      <w:r w:rsidR="0092194F" w:rsidRPr="001B6443">
        <w:rPr>
          <w:rFonts w:ascii="Times New Roman" w:eastAsia="Calibri" w:hAnsi="Times New Roman" w:cs="Times New Roman"/>
          <w:color w:val="000000" w:themeColor="text1"/>
          <w:sz w:val="24"/>
          <w:szCs w:val="24"/>
          <w:lang w:val="en-US"/>
        </w:rPr>
        <w:t xml:space="preserve">, but it can be ineffective at </w:t>
      </w:r>
      <w:r w:rsidR="007F01C9" w:rsidRPr="001B6443">
        <w:rPr>
          <w:rFonts w:ascii="Times New Roman" w:eastAsia="Calibri" w:hAnsi="Times New Roman" w:cs="Times New Roman"/>
          <w:color w:val="000000" w:themeColor="text1"/>
          <w:sz w:val="24"/>
          <w:szCs w:val="24"/>
          <w:lang w:val="en-US"/>
        </w:rPr>
        <w:t xml:space="preserve">mitigating sustainability-related risks and improving environmental performance </w:t>
      </w:r>
      <w:r w:rsidR="007F01C9" w:rsidRPr="001B6443">
        <w:rPr>
          <w:rFonts w:ascii="Times New Roman" w:eastAsia="Calibri" w:hAnsi="Times New Roman" w:cs="Times New Roman"/>
          <w:color w:val="000000" w:themeColor="text1"/>
          <w:sz w:val="24"/>
          <w:szCs w:val="24"/>
          <w:lang w:val="en-US"/>
        </w:rPr>
        <w:fldChar w:fldCharType="begin" w:fldLock="1"/>
      </w:r>
      <w:r w:rsidR="00B82C1F" w:rsidRPr="001B6443">
        <w:rPr>
          <w:rFonts w:ascii="Times New Roman" w:eastAsia="Calibri" w:hAnsi="Times New Roman" w:cs="Times New Roman"/>
          <w:color w:val="000000" w:themeColor="text1"/>
          <w:sz w:val="24"/>
          <w:szCs w:val="24"/>
          <w:lang w:val="en-US"/>
        </w:rPr>
        <w:instrText>ADDIN CSL_CITATION {"citationItems":[{"id":"ITEM-1","itemData":{"DOI":"10.1007/s10551-017-3453-2","ISSN":"15730697","abstract":"This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Ethics","id":"ITEM-1","issue":"4","issued":{"date-parts":[["2019"]]},"page":"1161-1186","title":"The Heterogeneity of Board-Level Sustainability Committees and Corporate Social Performance","type":"article-journal","volume":"154"},"uris":["http://www.mendeley.com/documents/?uuid=73547ce0-856e-39c4-9675-abc201661377"]},{"id":"ITEM-2","itemData":{"DOI":"10.1007/s10551-012-1331-5","ISBN":"1055101213315","ISSN":"01674544","abstract":"The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Ethics","id":"ITEM-2","issue":"1","issued":{"date-parts":[["2013"]]},"page":"107-129","title":"Is Environmental Governance Substantive or Symbolic? An Empirical Investigation","type":"article-journal","volume":"114"},"uris":["http://www.mendeley.com/documents/?uuid=11168b68-825c-4070-a02d-65763cc23af2"]}],"mendeley":{"formattedCitation":"(Burke et al. 2019; Rodrigue et al. 2013)","plainTextFormattedCitation":"(Burke et al. 2019; Rodrigue et al. 2013)","previouslyFormattedCitation":"(Burke et al. 2019; Rodrigue et al. 2013)"},"properties":{"noteIndex":0},"schema":"https://github.com/citation-style-language/schema/raw/master/csl-citation.json"}</w:instrText>
      </w:r>
      <w:r w:rsidR="007F01C9" w:rsidRPr="001B6443">
        <w:rPr>
          <w:rFonts w:ascii="Times New Roman" w:eastAsia="Calibri" w:hAnsi="Times New Roman" w:cs="Times New Roman"/>
          <w:color w:val="000000" w:themeColor="text1"/>
          <w:sz w:val="24"/>
          <w:szCs w:val="24"/>
          <w:lang w:val="en-US"/>
        </w:rPr>
        <w:fldChar w:fldCharType="separate"/>
      </w:r>
      <w:r w:rsidR="007F01C9" w:rsidRPr="001B6443">
        <w:rPr>
          <w:rFonts w:ascii="Times New Roman" w:eastAsia="Calibri" w:hAnsi="Times New Roman" w:cs="Times New Roman"/>
          <w:noProof/>
          <w:color w:val="000000" w:themeColor="text1"/>
          <w:sz w:val="24"/>
          <w:szCs w:val="24"/>
          <w:lang w:val="en-US"/>
        </w:rPr>
        <w:t xml:space="preserve">(Burke </w:t>
      </w:r>
      <w:r w:rsidR="007F01C9" w:rsidRPr="001B6443">
        <w:rPr>
          <w:rFonts w:ascii="Times New Roman" w:eastAsia="Calibri" w:hAnsi="Times New Roman" w:cs="Times New Roman"/>
          <w:i/>
          <w:noProof/>
          <w:color w:val="000000" w:themeColor="text1"/>
          <w:sz w:val="24"/>
          <w:szCs w:val="24"/>
          <w:lang w:val="en-US"/>
        </w:rPr>
        <w:t>et al.</w:t>
      </w:r>
      <w:r w:rsidR="007F01C9" w:rsidRPr="001B6443">
        <w:rPr>
          <w:rFonts w:ascii="Times New Roman" w:eastAsia="Calibri" w:hAnsi="Times New Roman" w:cs="Times New Roman"/>
          <w:noProof/>
          <w:color w:val="000000" w:themeColor="text1"/>
          <w:sz w:val="24"/>
          <w:szCs w:val="24"/>
          <w:lang w:val="en-US"/>
        </w:rPr>
        <w:t xml:space="preserve"> 2019; Rodrigue </w:t>
      </w:r>
      <w:r w:rsidR="007F01C9" w:rsidRPr="001B6443">
        <w:rPr>
          <w:rFonts w:ascii="Times New Roman" w:eastAsia="Calibri" w:hAnsi="Times New Roman" w:cs="Times New Roman"/>
          <w:i/>
          <w:noProof/>
          <w:color w:val="000000" w:themeColor="text1"/>
          <w:sz w:val="24"/>
          <w:szCs w:val="24"/>
          <w:lang w:val="en-US"/>
        </w:rPr>
        <w:t>et al.</w:t>
      </w:r>
      <w:r w:rsidR="007F01C9" w:rsidRPr="001B6443">
        <w:rPr>
          <w:rFonts w:ascii="Times New Roman" w:eastAsia="Calibri" w:hAnsi="Times New Roman" w:cs="Times New Roman"/>
          <w:noProof/>
          <w:color w:val="000000" w:themeColor="text1"/>
          <w:sz w:val="24"/>
          <w:szCs w:val="24"/>
          <w:lang w:val="en-US"/>
        </w:rPr>
        <w:t xml:space="preserve"> 2013)</w:t>
      </w:r>
      <w:r w:rsidR="007F01C9" w:rsidRPr="001B6443">
        <w:rPr>
          <w:rFonts w:ascii="Times New Roman" w:eastAsia="Calibri" w:hAnsi="Times New Roman" w:cs="Times New Roman"/>
          <w:color w:val="000000" w:themeColor="text1"/>
          <w:sz w:val="24"/>
          <w:szCs w:val="24"/>
          <w:lang w:val="en-US"/>
        </w:rPr>
        <w:fldChar w:fldCharType="end"/>
      </w:r>
      <w:r w:rsidR="00B82C1F" w:rsidRPr="001B6443">
        <w:rPr>
          <w:rFonts w:ascii="Times New Roman" w:eastAsia="Calibri" w:hAnsi="Times New Roman" w:cs="Times New Roman"/>
          <w:color w:val="000000" w:themeColor="text1"/>
          <w:sz w:val="24"/>
          <w:szCs w:val="24"/>
          <w:lang w:val="en-US"/>
        </w:rPr>
        <w:t xml:space="preserve">. </w:t>
      </w:r>
      <w:r w:rsidR="008B1794" w:rsidRPr="001B6443">
        <w:rPr>
          <w:rFonts w:ascii="Times New Roman" w:eastAsia="Calibri" w:hAnsi="Times New Roman" w:cs="Times New Roman"/>
          <w:color w:val="000000" w:themeColor="text1"/>
          <w:sz w:val="24"/>
          <w:szCs w:val="24"/>
          <w:lang w:val="en-US"/>
        </w:rPr>
        <w:t xml:space="preserve">Given that the formation of CSR/sustainability committees is purely voluntary and firms may establish such committees for </w:t>
      </w:r>
      <w:r w:rsidR="00124AAB" w:rsidRPr="001B6443">
        <w:rPr>
          <w:rFonts w:ascii="Times New Roman" w:eastAsia="Calibri" w:hAnsi="Times New Roman" w:cs="Times New Roman"/>
          <w:color w:val="000000" w:themeColor="text1"/>
          <w:sz w:val="24"/>
          <w:szCs w:val="24"/>
          <w:lang w:val="en-US"/>
        </w:rPr>
        <w:t>greenwashing purposes</w:t>
      </w:r>
      <w:r w:rsidR="008B1794" w:rsidRPr="001B6443">
        <w:rPr>
          <w:rFonts w:ascii="Times New Roman" w:eastAsia="Calibri" w:hAnsi="Times New Roman" w:cs="Times New Roman"/>
          <w:color w:val="000000" w:themeColor="text1"/>
          <w:sz w:val="24"/>
          <w:szCs w:val="24"/>
          <w:lang w:val="en-US"/>
        </w:rPr>
        <w:t xml:space="preserve"> </w:t>
      </w:r>
      <w:r w:rsidR="008B1794" w:rsidRPr="001B6443">
        <w:rPr>
          <w:rFonts w:ascii="Times New Roman" w:eastAsia="Calibri" w:hAnsi="Times New Roman" w:cs="Times New Roman"/>
          <w:color w:val="000000" w:themeColor="text1"/>
          <w:sz w:val="24"/>
          <w:szCs w:val="24"/>
          <w:lang w:val="en-US"/>
        </w:rPr>
        <w:fldChar w:fldCharType="begin" w:fldLock="1"/>
      </w:r>
      <w:r w:rsidR="008B1794" w:rsidRPr="001B6443">
        <w:rPr>
          <w:rFonts w:ascii="Times New Roman" w:eastAsia="Calibri" w:hAnsi="Times New Roman" w:cs="Times New Roman"/>
          <w:color w:val="000000" w:themeColor="text1"/>
          <w:sz w:val="24"/>
          <w:szCs w:val="24"/>
          <w:lang w:val="en-US"/>
        </w:rPr>
        <w:instrText>ADDIN CSL_CITATION {"citationItems":[{"id":"ITEM-1","itemData":{"DOI":"10.1007/s10551-015-2664-7","ISBN":"9781109761504","ISSN":"15730697","abstract":"This study explores the relationship between board environmental committees and corporate environmental performance (CEP). We propose that board environmental committees will be positively associated with CEP. Moreover, we argue that the composition of the committee (i.e., stakeholder representation) as well as the presence of a sustainability manager will influence this relationship. Our results find support for a positive association between board environmental committees and CEP. Further, the presence of a senior-level environmental manager positively moderates this relationship, but is not effective in isolation. Unexpectedly, no support was found for the influences of stakeholder representation.","author":[{"dropping-particle":"","family":"Dixon-Fowler","given":"Heather R.","non-dropping-particle":"","parse-names":false,"suffix":""},{"dropping-particle":"","family":"Ellstrand","given":"Alan E.","non-dropping-particle":"","parse-names":false,"suffix":""},{"dropping-particle":"","family":"Johnson","given":"Jonathan L.","non-dropping-particle":"","parse-names":false,"suffix":""}],"container-title":"Journal of Business Ethics","id":"ITEM-1","issue":"3","issued":{"date-parts":[["2017"]]},"page":"423-438","title":"The Role of Board Environmental Committees in Corporate Environmental Performance","type":"article-journal","volume":"140"},"uris":["http://www.mendeley.com/documents/?uuid=bda04092-fd52-330f-9775-ff44447d71cb"]}],"mendeley":{"formattedCitation":"(Dixon-Fowler et al. 2017)","manualFormatting":"(Dixon-Fowler et al., 2017)","plainTextFormattedCitation":"(Dixon-Fowler et al. 2017)","previouslyFormattedCitation":"(Dixon-Fowler et al. 2017)"},"properties":{"noteIndex":0},"schema":"https://github.com/citation-style-language/schema/raw/master/csl-citation.json"}</w:instrText>
      </w:r>
      <w:r w:rsidR="008B1794" w:rsidRPr="001B6443">
        <w:rPr>
          <w:rFonts w:ascii="Times New Roman" w:eastAsia="Calibri" w:hAnsi="Times New Roman" w:cs="Times New Roman"/>
          <w:color w:val="000000" w:themeColor="text1"/>
          <w:sz w:val="24"/>
          <w:szCs w:val="24"/>
          <w:lang w:val="en-US"/>
        </w:rPr>
        <w:fldChar w:fldCharType="separate"/>
      </w:r>
      <w:r w:rsidR="008B1794" w:rsidRPr="001B6443">
        <w:rPr>
          <w:rFonts w:ascii="Times New Roman" w:eastAsia="Calibri" w:hAnsi="Times New Roman" w:cs="Times New Roman"/>
          <w:noProof/>
          <w:color w:val="000000" w:themeColor="text1"/>
          <w:sz w:val="24"/>
          <w:szCs w:val="24"/>
          <w:lang w:val="en-US"/>
        </w:rPr>
        <w:t xml:space="preserve">(Dixon-Fowler </w:t>
      </w:r>
      <w:r w:rsidR="008B1794" w:rsidRPr="001B6443">
        <w:rPr>
          <w:rFonts w:ascii="Times New Roman" w:eastAsia="Calibri" w:hAnsi="Times New Roman" w:cs="Times New Roman"/>
          <w:i/>
          <w:noProof/>
          <w:color w:val="000000" w:themeColor="text1"/>
          <w:sz w:val="24"/>
          <w:szCs w:val="24"/>
          <w:lang w:val="en-US"/>
        </w:rPr>
        <w:t>et al.,</w:t>
      </w:r>
      <w:r w:rsidR="008B1794" w:rsidRPr="001B6443">
        <w:rPr>
          <w:rFonts w:ascii="Times New Roman" w:eastAsia="Calibri" w:hAnsi="Times New Roman" w:cs="Times New Roman"/>
          <w:noProof/>
          <w:color w:val="000000" w:themeColor="text1"/>
          <w:sz w:val="24"/>
          <w:szCs w:val="24"/>
          <w:lang w:val="en-US"/>
        </w:rPr>
        <w:t xml:space="preserve"> 2017)</w:t>
      </w:r>
      <w:r w:rsidR="008B1794" w:rsidRPr="001B6443">
        <w:rPr>
          <w:rFonts w:ascii="Times New Roman" w:eastAsia="Calibri" w:hAnsi="Times New Roman" w:cs="Times New Roman"/>
          <w:color w:val="000000" w:themeColor="text1"/>
          <w:sz w:val="24"/>
          <w:szCs w:val="24"/>
          <w:lang w:val="en-US"/>
        </w:rPr>
        <w:fldChar w:fldCharType="end"/>
      </w:r>
      <w:r w:rsidR="008B1794" w:rsidRPr="001B6443">
        <w:rPr>
          <w:rFonts w:ascii="Times New Roman" w:eastAsia="Calibri" w:hAnsi="Times New Roman" w:cs="Times New Roman"/>
          <w:color w:val="000000" w:themeColor="text1"/>
          <w:sz w:val="24"/>
          <w:szCs w:val="24"/>
          <w:lang w:val="en-US"/>
        </w:rPr>
        <w:t xml:space="preserve">, our findings appear to </w:t>
      </w:r>
      <w:r w:rsidR="00533CC2" w:rsidRPr="001B6443">
        <w:rPr>
          <w:rFonts w:ascii="Times New Roman" w:eastAsia="Calibri" w:hAnsi="Times New Roman" w:cs="Times New Roman"/>
          <w:color w:val="000000" w:themeColor="text1"/>
          <w:sz w:val="24"/>
          <w:szCs w:val="24"/>
          <w:lang w:val="en-US"/>
        </w:rPr>
        <w:t xml:space="preserve">indicate that executives can </w:t>
      </w:r>
      <w:r w:rsidR="008B1794" w:rsidRPr="001B6443">
        <w:rPr>
          <w:rFonts w:ascii="Times New Roman" w:eastAsia="Calibri" w:hAnsi="Times New Roman" w:cs="Times New Roman"/>
          <w:color w:val="000000" w:themeColor="text1"/>
          <w:sz w:val="24"/>
          <w:szCs w:val="24"/>
          <w:lang w:val="en-US"/>
        </w:rPr>
        <w:t>influence the formation of BSCOM</w:t>
      </w:r>
      <w:r w:rsidR="00100DB7" w:rsidRPr="001B6443">
        <w:rPr>
          <w:rFonts w:ascii="Times New Roman" w:eastAsia="Calibri" w:hAnsi="Times New Roman" w:cs="Times New Roman"/>
          <w:color w:val="000000" w:themeColor="text1"/>
          <w:sz w:val="24"/>
          <w:szCs w:val="24"/>
          <w:lang w:val="en-US"/>
        </w:rPr>
        <w:t>,</w:t>
      </w:r>
      <w:r w:rsidR="008B1794" w:rsidRPr="001B6443">
        <w:rPr>
          <w:rFonts w:ascii="Times New Roman" w:eastAsia="Calibri" w:hAnsi="Times New Roman" w:cs="Times New Roman"/>
          <w:color w:val="000000" w:themeColor="text1"/>
          <w:sz w:val="24"/>
          <w:szCs w:val="24"/>
          <w:lang w:val="en-US"/>
        </w:rPr>
        <w:t xml:space="preserve"> and hence may exert dominance over its decisions-making. This supports the view that environmentally sensitive firms tend to nominate their executives to BSCOM to pursue economic/financial motives, and hence the establishment of BSCOM </w:t>
      </w:r>
      <w:r w:rsidR="00124AAB" w:rsidRPr="001B6443">
        <w:rPr>
          <w:rFonts w:ascii="Times New Roman" w:eastAsia="Calibri" w:hAnsi="Times New Roman" w:cs="Times New Roman"/>
          <w:color w:val="000000" w:themeColor="text1"/>
          <w:sz w:val="24"/>
          <w:szCs w:val="24"/>
          <w:lang w:val="en-US"/>
        </w:rPr>
        <w:t>serves as an impression management tool</w:t>
      </w:r>
      <w:r w:rsidR="008B1794" w:rsidRPr="001B6443">
        <w:rPr>
          <w:rFonts w:ascii="Times New Roman" w:eastAsia="Calibri" w:hAnsi="Times New Roman" w:cs="Times New Roman"/>
          <w:color w:val="000000" w:themeColor="text1"/>
          <w:sz w:val="24"/>
          <w:szCs w:val="24"/>
          <w:lang w:val="en-US"/>
        </w:rPr>
        <w:t xml:space="preserve"> </w:t>
      </w:r>
      <w:r w:rsidR="008B1794" w:rsidRPr="001B6443">
        <w:rPr>
          <w:rFonts w:ascii="Times New Roman" w:eastAsia="Calibri" w:hAnsi="Times New Roman" w:cs="Times New Roman"/>
          <w:color w:val="000000" w:themeColor="text1"/>
          <w:sz w:val="24"/>
          <w:szCs w:val="24"/>
          <w:lang w:val="en-US"/>
        </w:rPr>
        <w:fldChar w:fldCharType="begin" w:fldLock="1"/>
      </w:r>
      <w:r w:rsidR="009443A3" w:rsidRPr="001B6443">
        <w:rPr>
          <w:rFonts w:ascii="Times New Roman" w:eastAsia="Calibri" w:hAnsi="Times New Roman" w:cs="Times New Roman"/>
          <w:color w:val="000000" w:themeColor="text1"/>
          <w:sz w:val="24"/>
          <w:szCs w:val="24"/>
          <w:lang w:val="en-US"/>
        </w:rPr>
        <w:instrText>ADDIN CSL_CITATION {"citationItems":[{"id":"ITEM-1","itemData":{"DOI":"10.1007/s10551-012-1331-5","ISBN":"1055101213315","ISSN":"01674544","abstract":"The emergence of environmental governance practices raises a fundamental question as to whether they are substantive or symbolic. Toward that end, we analyze the relationship between a firm's environmental governance and its environmental management as reflected in its ultimate outcome, environmental performance. We posit that substantive practices would bring changes in organizations, most notably in terms of improved environmental performance, whereas symbolic practices would portray organizations as environmentally committed without making meaningful changes to their operations. Focusing on a sample of environmentally sensitive firms, results are consistent with environmental governance mechanisms being predominantly part of a symbolic approach to manage stakeholder perceptions on environmental management, having little substantial impact on organizations. Statistical analyses show mostly that there is no relation between environmental governance mechanisms and environmental performance, measured in terms of regulatory compliance, pollution prevention, and environmental capital expenditures. However, there is some indication that environmental incentives are associated with pollution prevention. Interviews with corporate directors shed further light on these results by underlining that environmental governance mechanisms are employed at the board level to protect the organization from reputational and/or regulatory harm, but are not necessarily intended to proactively improve environmental performance. © 2012 Springer Science+Business Media B.V.","author":[{"dropping-particle":"","family":"Rodrigue","given":"Michelle","non-dropping-particle":"","parse-names":false,"suffix":""},{"dropping-particle":"","family":"Magnan","given":"Michel","non-dropping-particle":"","parse-names":false,"suffix":""},{"dropping-particle":"","family":"Cho","given":"Charles H.","non-dropping-particle":"","parse-names":false,"suffix":""}],"container-title":"Journal of Business Ethics","id":"ITEM-1","issue":"1","issued":{"date-parts":[["2013"]]},"page":"107-129","title":"Is Environmental Governance Substantive or Symbolic? An Empirical Investigation","type":"article-journal","volume":"114"},"uris":["http://www.mendeley.com/documents/?uuid=bcfc4f76-3182-48c5-9d31-2e69b7ab531a"]}],"mendeley":{"formattedCitation":"(Rodrigue et al. 2013)","manualFormatting":"(Rodrigue et al., 2013)","plainTextFormattedCitation":"(Rodrigue et al. 2013)","previouslyFormattedCitation":"(Rodrigue et al. 2013)"},"properties":{"noteIndex":0},"schema":"https://github.com/citation-style-language/schema/raw/master/csl-citation.json"}</w:instrText>
      </w:r>
      <w:r w:rsidR="008B1794" w:rsidRPr="001B6443">
        <w:rPr>
          <w:rFonts w:ascii="Times New Roman" w:eastAsia="Calibri" w:hAnsi="Times New Roman" w:cs="Times New Roman"/>
          <w:color w:val="000000" w:themeColor="text1"/>
          <w:sz w:val="24"/>
          <w:szCs w:val="24"/>
          <w:lang w:val="en-US"/>
        </w:rPr>
        <w:fldChar w:fldCharType="separate"/>
      </w:r>
      <w:r w:rsidR="008B1794" w:rsidRPr="001B6443">
        <w:rPr>
          <w:rFonts w:ascii="Times New Roman" w:eastAsia="Calibri" w:hAnsi="Times New Roman" w:cs="Times New Roman"/>
          <w:noProof/>
          <w:color w:val="000000" w:themeColor="text1"/>
          <w:sz w:val="24"/>
          <w:szCs w:val="24"/>
          <w:lang w:val="en-US"/>
        </w:rPr>
        <w:t xml:space="preserve">(Rodrigue </w:t>
      </w:r>
      <w:r w:rsidR="008B1794" w:rsidRPr="001B6443">
        <w:rPr>
          <w:rFonts w:ascii="Times New Roman" w:eastAsia="Calibri" w:hAnsi="Times New Roman" w:cs="Times New Roman"/>
          <w:i/>
          <w:noProof/>
          <w:color w:val="000000" w:themeColor="text1"/>
          <w:sz w:val="24"/>
          <w:szCs w:val="24"/>
          <w:lang w:val="en-US"/>
        </w:rPr>
        <w:t>et al.,</w:t>
      </w:r>
      <w:r w:rsidR="008B1794" w:rsidRPr="001B6443">
        <w:rPr>
          <w:rFonts w:ascii="Times New Roman" w:eastAsia="Calibri" w:hAnsi="Times New Roman" w:cs="Times New Roman"/>
          <w:noProof/>
          <w:color w:val="000000" w:themeColor="text1"/>
          <w:sz w:val="24"/>
          <w:szCs w:val="24"/>
          <w:lang w:val="en-US"/>
        </w:rPr>
        <w:t xml:space="preserve"> 2013)</w:t>
      </w:r>
      <w:r w:rsidR="008B1794" w:rsidRPr="001B6443">
        <w:rPr>
          <w:rFonts w:ascii="Times New Roman" w:eastAsia="Calibri" w:hAnsi="Times New Roman" w:cs="Times New Roman"/>
          <w:color w:val="000000" w:themeColor="text1"/>
          <w:sz w:val="24"/>
          <w:szCs w:val="24"/>
          <w:lang w:val="en-US"/>
        </w:rPr>
        <w:fldChar w:fldCharType="end"/>
      </w:r>
      <w:r w:rsidR="008B1794" w:rsidRPr="001B6443">
        <w:rPr>
          <w:rFonts w:ascii="Times New Roman" w:eastAsia="Calibri" w:hAnsi="Times New Roman" w:cs="Times New Roman"/>
          <w:color w:val="000000" w:themeColor="text1"/>
          <w:sz w:val="24"/>
          <w:szCs w:val="24"/>
          <w:lang w:val="en-US"/>
        </w:rPr>
        <w:t xml:space="preserve">. </w:t>
      </w:r>
    </w:p>
    <w:p w14:paraId="3EB58A6B" w14:textId="77777777" w:rsidR="00EC5A9C" w:rsidRPr="001B6443" w:rsidRDefault="00EC5A9C" w:rsidP="00EC5A9C">
      <w:pPr>
        <w:spacing w:after="0" w:line="480" w:lineRule="auto"/>
        <w:jc w:val="both"/>
        <w:rPr>
          <w:rFonts w:ascii="Times New Roman" w:eastAsia="Times New Roman" w:hAnsi="Times New Roman" w:cs="Times New Roman"/>
          <w:i/>
          <w:color w:val="000000" w:themeColor="text1"/>
          <w:sz w:val="24"/>
          <w:szCs w:val="24"/>
          <w:lang w:val="en-US" w:eastAsia="ru-RU"/>
        </w:rPr>
      </w:pPr>
    </w:p>
    <w:p w14:paraId="558C0EE6" w14:textId="77777777" w:rsidR="00EC5A9C" w:rsidRPr="001B6443" w:rsidRDefault="00EC5A9C" w:rsidP="00C25417">
      <w:pPr>
        <w:keepNext/>
        <w:keepLines/>
        <w:spacing w:after="0" w:line="480" w:lineRule="auto"/>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lastRenderedPageBreak/>
        <w:t>Carbon performance, board sustainability committees, and climate change initiatives</w:t>
      </w:r>
    </w:p>
    <w:p w14:paraId="0E2E084D" w14:textId="1781F7EC" w:rsidR="009C2597"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Table 7 reports the regression results of </w:t>
      </w:r>
      <w:r w:rsidR="00D1254B"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color w:val="000000" w:themeColor="text1"/>
          <w:sz w:val="24"/>
          <w:szCs w:val="24"/>
          <w:lang w:val="en-US"/>
        </w:rPr>
        <w:t>against</w:t>
      </w:r>
      <w:r w:rsidR="00D1254B" w:rsidRPr="001B6443">
        <w:rPr>
          <w:rFonts w:ascii="Times New Roman" w:eastAsia="Calibri" w:hAnsi="Times New Roman" w:cs="Times New Roman"/>
          <w:color w:val="000000" w:themeColor="text1"/>
          <w:sz w:val="24"/>
          <w:szCs w:val="24"/>
          <w:lang w:val="en-US"/>
        </w:rPr>
        <w:t>, PCCIs</w:t>
      </w:r>
      <w:r w:rsidR="009E4510" w:rsidRPr="001B6443">
        <w:rPr>
          <w:rFonts w:ascii="Times New Roman" w:eastAsia="Calibri" w:hAnsi="Times New Roman" w:cs="Times New Roman"/>
          <w:color w:val="000000" w:themeColor="text1"/>
          <w:sz w:val="24"/>
          <w:szCs w:val="24"/>
          <w:lang w:val="en-US"/>
        </w:rPr>
        <w:t xml:space="preserve"> and BSCOM</w:t>
      </w:r>
      <w:r w:rsidRPr="001B6443">
        <w:rPr>
          <w:rFonts w:ascii="Times New Roman" w:eastAsia="Calibri" w:hAnsi="Times New Roman" w:cs="Times New Roman"/>
          <w:color w:val="000000" w:themeColor="text1"/>
          <w:sz w:val="24"/>
          <w:szCs w:val="24"/>
          <w:lang w:val="en-US"/>
        </w:rPr>
        <w:t xml:space="preserve">. </w:t>
      </w:r>
      <w:r w:rsidR="004803B4" w:rsidRPr="001B6443">
        <w:rPr>
          <w:rFonts w:ascii="Times New Roman" w:eastAsia="Calibri" w:hAnsi="Times New Roman" w:cs="Times New Roman"/>
          <w:color w:val="000000" w:themeColor="text1"/>
          <w:sz w:val="24"/>
          <w:szCs w:val="24"/>
          <w:lang w:val="en-US"/>
        </w:rPr>
        <w:t>Models (1-6)</w:t>
      </w:r>
      <w:r w:rsidR="00265F2F" w:rsidRPr="001B6443">
        <w:rPr>
          <w:rFonts w:ascii="Times New Roman" w:eastAsia="Calibri" w:hAnsi="Times New Roman" w:cs="Times New Roman"/>
          <w:color w:val="000000" w:themeColor="text1"/>
          <w:sz w:val="24"/>
          <w:szCs w:val="24"/>
          <w:lang w:val="en-US"/>
        </w:rPr>
        <w:t xml:space="preserve"> show that </w:t>
      </w:r>
      <w:r w:rsidR="00462271" w:rsidRPr="001B6443">
        <w:rPr>
          <w:rFonts w:ascii="Times New Roman" w:eastAsia="Calibri" w:hAnsi="Times New Roman" w:cs="Times New Roman"/>
          <w:color w:val="000000" w:themeColor="text1"/>
          <w:sz w:val="24"/>
          <w:szCs w:val="24"/>
          <w:lang w:val="en-US"/>
        </w:rPr>
        <w:t xml:space="preserve">PCCIs, </w:t>
      </w:r>
      <w:r w:rsidRPr="001B6443">
        <w:rPr>
          <w:rFonts w:ascii="Times New Roman" w:eastAsia="Calibri" w:hAnsi="Times New Roman" w:cs="Times New Roman"/>
          <w:color w:val="000000" w:themeColor="text1"/>
          <w:sz w:val="24"/>
          <w:szCs w:val="24"/>
          <w:lang w:val="en-US"/>
        </w:rPr>
        <w:t>PCCIs</w:t>
      </w:r>
      <w:r w:rsidR="00462271" w:rsidRPr="001B6443">
        <w:rPr>
          <w:rFonts w:ascii="Times New Roman" w:eastAsia="Calibri" w:hAnsi="Times New Roman" w:cs="Times New Roman"/>
          <w:i/>
          <w:color w:val="000000" w:themeColor="text1"/>
          <w:sz w:val="24"/>
          <w:szCs w:val="24"/>
          <w:vertAlign w:val="subscript"/>
          <w:lang w:val="en-US"/>
        </w:rPr>
        <w:t>t-1</w:t>
      </w:r>
      <w:r w:rsidR="00462271" w:rsidRPr="001B6443">
        <w:rPr>
          <w:rFonts w:ascii="Times New Roman" w:eastAsia="Calibri" w:hAnsi="Times New Roman" w:cs="Times New Roman"/>
          <w:color w:val="000000" w:themeColor="text1"/>
          <w:sz w:val="24"/>
          <w:szCs w:val="24"/>
          <w:lang w:val="en-US"/>
        </w:rPr>
        <w:t>, and PCCIs</w:t>
      </w:r>
      <w:r w:rsidR="00462271" w:rsidRPr="001B6443">
        <w:rPr>
          <w:rFonts w:ascii="Times New Roman" w:eastAsia="Calibri" w:hAnsi="Times New Roman" w:cs="Times New Roman"/>
          <w:i/>
          <w:color w:val="000000" w:themeColor="text1"/>
          <w:sz w:val="24"/>
          <w:szCs w:val="24"/>
          <w:vertAlign w:val="subscript"/>
          <w:lang w:val="en-US"/>
        </w:rPr>
        <w:t>t-2</w:t>
      </w:r>
      <w:r w:rsidR="00462271" w:rsidRPr="001B6443">
        <w:rPr>
          <w:rFonts w:ascii="Times New Roman" w:eastAsia="Calibri" w:hAnsi="Times New Roman" w:cs="Times New Roman"/>
          <w:color w:val="000000" w:themeColor="text1"/>
          <w:sz w:val="24"/>
          <w:szCs w:val="24"/>
          <w:lang w:val="en-US"/>
        </w:rPr>
        <w:t xml:space="preserve"> are positively </w:t>
      </w:r>
      <w:r w:rsidR="004803B4" w:rsidRPr="001B6443">
        <w:rPr>
          <w:rFonts w:ascii="Times New Roman" w:eastAsia="Calibri" w:hAnsi="Times New Roman" w:cs="Times New Roman"/>
          <w:color w:val="000000" w:themeColor="text1"/>
          <w:sz w:val="24"/>
          <w:szCs w:val="24"/>
          <w:lang w:val="en-US"/>
        </w:rPr>
        <w:t>associated with</w:t>
      </w:r>
      <w:r w:rsidR="00462271" w:rsidRPr="001B6443">
        <w:rPr>
          <w:rFonts w:ascii="Times New Roman" w:eastAsia="Calibri" w:hAnsi="Times New Roman" w:cs="Times New Roman"/>
          <w:color w:val="000000" w:themeColor="text1"/>
          <w:sz w:val="24"/>
          <w:szCs w:val="24"/>
          <w:lang w:val="en-US"/>
        </w:rPr>
        <w:t xml:space="preserve"> CCPE </w:t>
      </w:r>
      <w:r w:rsidR="004803B4" w:rsidRPr="001B6443">
        <w:rPr>
          <w:rFonts w:ascii="Times New Roman" w:eastAsia="Calibri" w:hAnsi="Times New Roman" w:cs="Times New Roman"/>
          <w:color w:val="000000" w:themeColor="text1"/>
          <w:sz w:val="24"/>
          <w:szCs w:val="24"/>
          <w:lang w:val="en-US"/>
        </w:rPr>
        <w:t xml:space="preserve">(p &lt; 0.01). </w:t>
      </w:r>
      <w:r w:rsidR="009F51B2" w:rsidRPr="001B6443">
        <w:rPr>
          <w:rFonts w:ascii="Times New Roman" w:eastAsia="Calibri" w:hAnsi="Times New Roman" w:cs="Times New Roman"/>
          <w:color w:val="000000" w:themeColor="text1"/>
          <w:sz w:val="24"/>
          <w:szCs w:val="24"/>
          <w:lang w:val="en-US"/>
        </w:rPr>
        <w:t>These</w:t>
      </w:r>
      <w:r w:rsidR="000055BA" w:rsidRPr="001B6443">
        <w:rPr>
          <w:rFonts w:ascii="Times New Roman" w:eastAsia="Calibri" w:hAnsi="Times New Roman" w:cs="Times New Roman"/>
          <w:color w:val="000000" w:themeColor="text1"/>
          <w:sz w:val="24"/>
          <w:szCs w:val="24"/>
          <w:lang w:val="en-US"/>
        </w:rPr>
        <w:t xml:space="preserve"> result</w:t>
      </w:r>
      <w:r w:rsidR="009F51B2" w:rsidRPr="001B6443">
        <w:rPr>
          <w:rFonts w:ascii="Times New Roman" w:eastAsia="Calibri" w:hAnsi="Times New Roman" w:cs="Times New Roman"/>
          <w:color w:val="000000" w:themeColor="text1"/>
          <w:sz w:val="24"/>
          <w:szCs w:val="24"/>
          <w:lang w:val="en-US"/>
        </w:rPr>
        <w:t>s indicate</w:t>
      </w:r>
      <w:r w:rsidRPr="001B6443">
        <w:rPr>
          <w:rFonts w:ascii="Times New Roman" w:eastAsia="Calibri" w:hAnsi="Times New Roman" w:cs="Times New Roman"/>
          <w:color w:val="000000" w:themeColor="text1"/>
          <w:sz w:val="24"/>
          <w:szCs w:val="24"/>
          <w:lang w:val="en-US"/>
        </w:rPr>
        <w:t xml:space="preserve"> that </w:t>
      </w:r>
      <w:r w:rsidR="00265F2F" w:rsidRPr="001B6443">
        <w:rPr>
          <w:rFonts w:ascii="Times New Roman" w:eastAsia="Calibri" w:hAnsi="Times New Roman" w:cs="Times New Roman"/>
          <w:color w:val="000000" w:themeColor="text1"/>
          <w:sz w:val="24"/>
          <w:szCs w:val="24"/>
          <w:lang w:val="en-US"/>
        </w:rPr>
        <w:t xml:space="preserve">firms that engage in PCCIs continue to emit high emissions. </w:t>
      </w:r>
      <w:r w:rsidRPr="001B6443">
        <w:rPr>
          <w:rFonts w:ascii="Times New Roman" w:eastAsia="Calibri" w:hAnsi="Times New Roman" w:cs="Times New Roman"/>
          <w:color w:val="000000" w:themeColor="text1"/>
          <w:sz w:val="24"/>
          <w:szCs w:val="24"/>
          <w:lang w:val="en-US"/>
        </w:rPr>
        <w:t xml:space="preserve">This </w:t>
      </w:r>
      <w:r w:rsidR="00436A73" w:rsidRPr="001B6443">
        <w:rPr>
          <w:rFonts w:ascii="Times New Roman" w:eastAsia="Calibri" w:hAnsi="Times New Roman" w:cs="Times New Roman"/>
          <w:color w:val="000000" w:themeColor="text1"/>
          <w:sz w:val="24"/>
          <w:szCs w:val="24"/>
          <w:lang w:val="en-US"/>
        </w:rPr>
        <w:t xml:space="preserve">is consistent with </w:t>
      </w:r>
      <w:r w:rsidRPr="001B6443">
        <w:rPr>
          <w:rFonts w:ascii="Times New Roman" w:eastAsia="Calibri" w:hAnsi="Times New Roman" w:cs="Times New Roman"/>
          <w:color w:val="000000" w:themeColor="text1"/>
          <w:sz w:val="24"/>
          <w:szCs w:val="24"/>
          <w:lang w:val="en-US"/>
        </w:rPr>
        <w:t xml:space="preserve">prior studies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Value","type":"article-journal","volume":"31"},"uris":["http://www.mendeley.com/documents/?uuid=233c96ce-971f-33e7-ad90-be8611789ad9"]},{"id":"ITEM-2","itemData":{"DOI":"10.1007/s10551-015-2979-4","ISSN":"15730697","abstract":"The objective of this study was to analyze the quality of climate information disclosed by companies and the impression management strategies they have developed to justify or conceal negative aspects of their performance. The study is based on a qualitative content analysis of the sustainability reports of 21 energy-sector companies that use the Global Reporting Initiative (GRI) with A or A+ application levels over a period of 5 years (n = 105). It contributes to the literature on climate disclosure by demonstrating the ineffectiveness of the external assurance process in ensuring the quality and representativeness of the data. Significant non-compliance with GRI standards was identified in 86 of the 93 reports audited by a third party. In addition, six of the 21 companies surveyed were found to disclose increasingly opaque information over time, concealing information on the measurement and methodology used. Through this study, four impression management strategies were identified. These are employed either to justify certain information (by minimizing impacts, excuses and commitment) or to conceal it (through strategic omissions and manipulation of figures). In exposing the high incidence of non-compliance in GRI reporting and the use of impression management strategies by companies, this study shows that it will be difficult or impossible for stakeholders to reasonably assess, monitor and compare companies’ climate performance on the basis of these reports.","author":[{"dropping-particle":"","family":"Talbot","given":"David","non-dropping-particle":"","parse-names":false,"suffix":""},{"dropping-particle":"","family":"Boiral","given":"Olivier","non-dropping-particle":"","parse-names":false,"suffix":""}],"container-title":"Journal of Business Ethics","id":"ITEM-2","issue":"2","issued":{"date-parts":[["2018","12","12"]]},"page":"367-383","publisher":"Springer Netherlands","title":"GHG reporting and impression management: An assessment of sustainability reports from the energy sector","type":"article-journal","volume":"147"},"uris":["http://www.mendeley.com/documents/?uuid=54532871-0404-3567-82a1-81b6d1737d31"]},{"id":"ITEM-3","itemData":{"DOI":"10.1007/s10551-014-2497-9","ISSN":"15730697","abstract":"This paper explores the strategies organizations use to demonstrate their accountability for biodiversity and legitimize their impact in this area through the use of techniques of neutralization. Neutralization aims to manage stakeholder impressions on very socially sensitive issues. Based on the content analysis of 148 sustainability reports from mining organizations, the study sheds light on the successful use of rhetoric in reports on non-measurable and potentially unaccountable issues. Specifically, the study shows that mining organizations use four main techniques of neutralization when they explain their impact on biodiversity. When they address stakeholders, they defend their social legitimacy and environmental responsiveness using one of the four techniques: they claim of a net positive or neutral impact on biodiversity, they deny that they have a significant impact, they distance themselves from the impact of their actions, and they play down their responsibilities. The study contributes to the literature on corporate sustainability and accounting for stakeholders. It focuses on under-researched issues such as the management of biodiversity and the tactics used to rationalize negative impacts. The study also bridges the gap between theories about organizational legitimacy, impression management, and techniques of neutralization.","author":[{"dropping-particle":"","family":"Boiral","given":"Olivier","non-dropping-particle":"","parse-names":false,"suffix":""}],"container-title":"Journal of Business Ethics","id":"ITEM-3","issue":"4","issued":{"date-parts":[["2016","6","1"]]},"page":"751-768","publisher":"Springer Netherlands","title":"Accounting for the Unaccountable: Biodiversity Reporting and Impression Management","type":"article-journal","volume":"135"},"uris":["http://www.mendeley.com/documents/?uuid=e07c8682-1e5d-35ca-b427-7c7429c4345c"]}],"mendeley":{"formattedCitation":"(Boiral 2016; Haque and Ntim 2020; Talbot and Boiral 2018)","manualFormatting":"(Boiral, 2016; Talbot and Boiral, 2018)","plainTextFormattedCitation":"(Boiral 2016; Haque and Ntim 2020; Talbot and Boiral 2018)","previouslyFormattedCitation":"(Boiral 2016; Haque and Ntim 2020; Talbot and Boiral 2018)"},"properties":{"noteIndex":0},"schema":"https://github.com/citation-style-language/schema/raw/master/csl-citation.json"}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(Boiral, 2016; Talbot and Boiral, 2018)</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th</w:t>
      </w:r>
      <w:r w:rsidR="004803B4" w:rsidRPr="001B6443">
        <w:rPr>
          <w:rFonts w:ascii="Times New Roman" w:eastAsia="Calibri" w:hAnsi="Times New Roman" w:cs="Times New Roman"/>
          <w:color w:val="000000" w:themeColor="text1"/>
          <w:sz w:val="24"/>
          <w:szCs w:val="24"/>
          <w:lang w:val="en-US"/>
        </w:rPr>
        <w:t xml:space="preserve">at provide evidence of symbolic process-based </w:t>
      </w:r>
      <w:r w:rsidRPr="001B6443">
        <w:rPr>
          <w:rFonts w:ascii="Times New Roman" w:eastAsia="Calibri" w:hAnsi="Times New Roman" w:cs="Times New Roman"/>
          <w:color w:val="000000" w:themeColor="text1"/>
          <w:sz w:val="24"/>
          <w:szCs w:val="24"/>
          <w:lang w:val="en-US"/>
        </w:rPr>
        <w:t xml:space="preserve">environmental initiatives in the form of active engagements in environmentally friendly activities and extensive </w:t>
      </w:r>
      <w:r w:rsidR="004803B4" w:rsidRPr="001B6443">
        <w:rPr>
          <w:rFonts w:ascii="Times New Roman" w:eastAsia="Calibri" w:hAnsi="Times New Roman" w:cs="Times New Roman"/>
          <w:color w:val="000000" w:themeColor="text1"/>
          <w:sz w:val="24"/>
          <w:szCs w:val="24"/>
          <w:lang w:val="en-US"/>
        </w:rPr>
        <w:t xml:space="preserve">environmental </w:t>
      </w:r>
      <w:r w:rsidRPr="001B6443">
        <w:rPr>
          <w:rFonts w:ascii="Times New Roman" w:eastAsia="Calibri" w:hAnsi="Times New Roman" w:cs="Times New Roman"/>
          <w:color w:val="000000" w:themeColor="text1"/>
          <w:sz w:val="24"/>
          <w:szCs w:val="24"/>
          <w:lang w:val="en-US"/>
        </w:rPr>
        <w:t xml:space="preserve">reporting, but these symbolic commitments do not necessarily improve </w:t>
      </w:r>
      <w:r w:rsidR="00265F2F" w:rsidRPr="001B6443">
        <w:rPr>
          <w:rFonts w:ascii="Times New Roman" w:eastAsia="Calibri" w:hAnsi="Times New Roman" w:cs="Times New Roman"/>
          <w:color w:val="000000" w:themeColor="text1"/>
          <w:sz w:val="24"/>
          <w:szCs w:val="24"/>
          <w:lang w:val="en-US"/>
        </w:rPr>
        <w:t>outcome-based CCPE</w:t>
      </w:r>
      <w:r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{"citationItems":[{"id":"ITEM-1","itemData":{"DOI":"10.1002/bse.2711","ISSN":"10990836","abstract":"Environmental regulations play an essential role in managing firm behavior and providing a reference point for the minimum standards of corporate environmental performance, yet certain firms fail to ensure their environmental performance meets these standards. This research focuses on public firms that the US government has penalized for violating environmental regulations and investigates whether these firms subsequently improved their environmental performance. Surprisingly, neither the receipt of a penalty for an environmental violation nor the imposition of a greater penalty was associated with improvements in environmental performance. Instead, a penalty for environmental violation predicted further, albeit mild, deterioration in environmental performance. While the existing literature has established that financial penalties deter most firms from committing environmental violations, this research contributes to this literature by revealing that these penalties fail to motivate firms that have violated environmental regulations to improve their environmental performance.","author":[{"dropping-particle":"","family":"Shevchenko","given":"Anton","non-dropping-particle":"","parse-names":false,"suffix":""}],"container-title":"Business Strategy and the Environment","id":"ITEM-1","issue":"4","issued":{"date-parts":[["2021"]]},"page":"1723-1734","publisher":"John Wiley and Sons Ltd","title":"Do financial penalties for environmental violations facilitate improvements in corporate environmental performance? An empirical investigation","type":"article-journal","volume":"30"},"uris":["http://www.mendeley.com/documents/?uuid=39711be7-7df4-35df-929c-3a1ec5b2b9fe"]}],"mendeley":{"formattedCitation":"(Shevchenko 2021)","manualFormatting":"(Shevchenko, 2021)","plainTextFormattedCitation":"(Shevchenko 2021)","previouslyFormattedCitation":"(Shevchenko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(Shevchenko,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Theoretica</w:t>
      </w:r>
      <w:r w:rsidR="009F51B2" w:rsidRPr="001B6443">
        <w:rPr>
          <w:rFonts w:ascii="Times New Roman" w:eastAsia="Calibri" w:hAnsi="Times New Roman" w:cs="Times New Roman"/>
          <w:color w:val="000000" w:themeColor="text1"/>
          <w:sz w:val="24"/>
          <w:szCs w:val="24"/>
          <w:lang w:val="en-US"/>
        </w:rPr>
        <w:t xml:space="preserve">lly, this finding supports </w:t>
      </w:r>
      <w:r w:rsidR="00857E44" w:rsidRPr="001B6443">
        <w:rPr>
          <w:rFonts w:ascii="Times New Roman" w:eastAsia="Calibri" w:hAnsi="Times New Roman" w:cs="Times New Roman"/>
          <w:color w:val="000000" w:themeColor="text1"/>
          <w:sz w:val="24"/>
          <w:szCs w:val="24"/>
          <w:lang w:val="en-US"/>
        </w:rPr>
        <w:t>the symbolic legitimation</w:t>
      </w:r>
      <w:r w:rsidR="008D55E7" w:rsidRPr="001B6443">
        <w:rPr>
          <w:rFonts w:ascii="Times New Roman" w:eastAsia="Calibri" w:hAnsi="Times New Roman" w:cs="Times New Roman"/>
          <w:color w:val="000000" w:themeColor="text1"/>
          <w:sz w:val="24"/>
          <w:szCs w:val="24"/>
          <w:lang w:val="en-US"/>
        </w:rPr>
        <w:t>/greenwashing</w:t>
      </w:r>
      <w:r w:rsidR="00857E44" w:rsidRPr="001B6443">
        <w:rPr>
          <w:rFonts w:ascii="Times New Roman" w:eastAsia="Calibri" w:hAnsi="Times New Roman" w:cs="Times New Roman"/>
          <w:color w:val="000000" w:themeColor="text1"/>
          <w:sz w:val="24"/>
          <w:szCs w:val="24"/>
          <w:lang w:val="en-US"/>
        </w:rPr>
        <w:t xml:space="preserve"> </w:t>
      </w:r>
      <w:r w:rsidR="00A03B48" w:rsidRPr="001B6443">
        <w:rPr>
          <w:rFonts w:ascii="Times New Roman" w:eastAsia="Calibri" w:hAnsi="Times New Roman" w:cs="Times New Roman"/>
          <w:color w:val="000000" w:themeColor="text1"/>
          <w:sz w:val="24"/>
          <w:szCs w:val="24"/>
          <w:lang w:val="en-US"/>
        </w:rPr>
        <w:t>view</w:t>
      </w:r>
      <w:r w:rsidR="009F51B2"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in that firms </w:t>
      </w:r>
      <w:r w:rsidR="004F49B8" w:rsidRPr="001B6443">
        <w:rPr>
          <w:rFonts w:ascii="Times New Roman" w:eastAsia="Calibri" w:hAnsi="Times New Roman" w:cs="Times New Roman"/>
          <w:color w:val="000000" w:themeColor="text1"/>
          <w:sz w:val="24"/>
          <w:szCs w:val="24"/>
          <w:lang w:val="en-US"/>
        </w:rPr>
        <w:t>are</w:t>
      </w:r>
      <w:r w:rsidR="004803B4" w:rsidRPr="001B6443">
        <w:rPr>
          <w:rFonts w:ascii="Times New Roman" w:eastAsia="Calibri" w:hAnsi="Times New Roman" w:cs="Times New Roman"/>
          <w:color w:val="000000" w:themeColor="text1"/>
          <w:sz w:val="24"/>
          <w:szCs w:val="24"/>
          <w:lang w:val="en-US"/>
        </w:rPr>
        <w:t xml:space="preserve"> likely to </w:t>
      </w:r>
      <w:r w:rsidR="00857E44" w:rsidRPr="001B6443">
        <w:rPr>
          <w:rFonts w:ascii="Times New Roman" w:eastAsia="Calibri" w:hAnsi="Times New Roman" w:cs="Times New Roman"/>
          <w:color w:val="000000" w:themeColor="text1"/>
          <w:sz w:val="24"/>
          <w:szCs w:val="24"/>
          <w:lang w:val="en-US"/>
        </w:rPr>
        <w:t>engage</w:t>
      </w:r>
      <w:r w:rsidRPr="001B6443">
        <w:rPr>
          <w:rFonts w:ascii="Times New Roman" w:eastAsia="Calibri" w:hAnsi="Times New Roman" w:cs="Times New Roman"/>
          <w:color w:val="000000" w:themeColor="text1"/>
          <w:sz w:val="24"/>
          <w:szCs w:val="24"/>
          <w:lang w:val="en-US"/>
        </w:rPr>
        <w:t xml:space="preserve"> in PCCIs </w:t>
      </w:r>
      <w:r w:rsidR="008F7F64" w:rsidRPr="001B6443">
        <w:rPr>
          <w:rFonts w:ascii="Times New Roman" w:eastAsia="Calibri" w:hAnsi="Times New Roman" w:cs="Times New Roman"/>
          <w:color w:val="000000" w:themeColor="text1"/>
          <w:sz w:val="24"/>
          <w:szCs w:val="24"/>
          <w:lang w:val="en-US"/>
        </w:rPr>
        <w:t xml:space="preserve">under a symbolic approach </w:t>
      </w:r>
      <w:r w:rsidRPr="001B6443">
        <w:rPr>
          <w:rFonts w:ascii="Times New Roman" w:eastAsia="Calibri" w:hAnsi="Times New Roman" w:cs="Times New Roman"/>
          <w:color w:val="000000" w:themeColor="text1"/>
          <w:sz w:val="24"/>
          <w:szCs w:val="24"/>
          <w:lang w:val="en-US"/>
        </w:rPr>
        <w:t xml:space="preserve">to </w:t>
      </w:r>
      <w:r w:rsidR="00E445BF" w:rsidRPr="001B6443">
        <w:rPr>
          <w:rFonts w:ascii="Times New Roman" w:eastAsia="Calibri" w:hAnsi="Times New Roman" w:cs="Times New Roman"/>
          <w:color w:val="000000" w:themeColor="text1"/>
          <w:sz w:val="24"/>
          <w:szCs w:val="24"/>
          <w:lang w:val="en-US"/>
        </w:rPr>
        <w:t>protect/maintain/improve</w:t>
      </w:r>
      <w:r w:rsidR="008F7F64" w:rsidRPr="001B6443">
        <w:rPr>
          <w:rFonts w:ascii="Times New Roman" w:eastAsia="Calibri" w:hAnsi="Times New Roman" w:cs="Times New Roman"/>
          <w:color w:val="000000" w:themeColor="text1"/>
          <w:sz w:val="24"/>
          <w:szCs w:val="24"/>
          <w:lang w:val="en-US"/>
        </w:rPr>
        <w:t xml:space="preserve"> legitimacy, but </w:t>
      </w:r>
      <w:r w:rsidR="001F102F" w:rsidRPr="001B6443">
        <w:rPr>
          <w:rFonts w:ascii="Times New Roman" w:eastAsia="Calibri" w:hAnsi="Times New Roman" w:cs="Times New Roman"/>
          <w:color w:val="000000" w:themeColor="text1"/>
          <w:sz w:val="24"/>
          <w:szCs w:val="24"/>
          <w:lang w:val="en-US"/>
        </w:rPr>
        <w:t>such</w:t>
      </w:r>
      <w:r w:rsidR="008F7F64" w:rsidRPr="001B6443">
        <w:rPr>
          <w:rFonts w:ascii="Times New Roman" w:eastAsia="Calibri" w:hAnsi="Times New Roman" w:cs="Times New Roman"/>
          <w:color w:val="000000" w:themeColor="text1"/>
          <w:sz w:val="24"/>
          <w:szCs w:val="24"/>
          <w:lang w:val="en-US"/>
        </w:rPr>
        <w:t xml:space="preserve"> initiatives do not </w:t>
      </w:r>
      <w:r w:rsidR="0024010B" w:rsidRPr="001B6443">
        <w:rPr>
          <w:rFonts w:ascii="Times New Roman" w:eastAsia="Calibri" w:hAnsi="Times New Roman" w:cs="Times New Roman"/>
          <w:color w:val="000000" w:themeColor="text1"/>
          <w:sz w:val="24"/>
          <w:szCs w:val="24"/>
          <w:lang w:val="en-US"/>
        </w:rPr>
        <w:t>result in</w:t>
      </w:r>
      <w:r w:rsidR="008F7F64" w:rsidRPr="001B6443">
        <w:rPr>
          <w:rFonts w:ascii="Times New Roman" w:eastAsia="Calibri" w:hAnsi="Times New Roman" w:cs="Times New Roman"/>
          <w:color w:val="000000" w:themeColor="text1"/>
          <w:sz w:val="24"/>
          <w:szCs w:val="24"/>
          <w:lang w:val="en-US"/>
        </w:rPr>
        <w:t xml:space="preserve"> </w:t>
      </w:r>
      <w:r w:rsidR="00E445BF" w:rsidRPr="001B6443">
        <w:rPr>
          <w:rFonts w:ascii="Times New Roman" w:eastAsia="Calibri" w:hAnsi="Times New Roman" w:cs="Times New Roman"/>
          <w:color w:val="000000" w:themeColor="text1"/>
          <w:sz w:val="24"/>
          <w:szCs w:val="24"/>
          <w:lang w:val="en-US"/>
        </w:rPr>
        <w:t xml:space="preserve">observable </w:t>
      </w:r>
      <w:r w:rsidR="0024010B" w:rsidRPr="001B6443">
        <w:rPr>
          <w:rFonts w:ascii="Times New Roman" w:eastAsia="Calibri" w:hAnsi="Times New Roman" w:cs="Times New Roman"/>
          <w:color w:val="000000" w:themeColor="text1"/>
          <w:sz w:val="24"/>
          <w:szCs w:val="24"/>
          <w:lang w:val="en-US"/>
        </w:rPr>
        <w:t xml:space="preserve">emissions </w:t>
      </w:r>
      <w:r w:rsidR="008F7F64" w:rsidRPr="001B6443">
        <w:rPr>
          <w:rFonts w:ascii="Times New Roman" w:eastAsia="Calibri" w:hAnsi="Times New Roman" w:cs="Times New Roman"/>
          <w:color w:val="000000" w:themeColor="text1"/>
          <w:sz w:val="24"/>
          <w:szCs w:val="24"/>
          <w:lang w:val="en-US"/>
        </w:rPr>
        <w:t>reductions</w:t>
      </w:r>
      <w:r w:rsidR="0024010B" w:rsidRPr="001B6443">
        <w:rPr>
          <w:rFonts w:ascii="Times New Roman" w:eastAsia="Calibri" w:hAnsi="Times New Roman" w:cs="Times New Roman"/>
          <w:color w:val="000000" w:themeColor="text1"/>
          <w:sz w:val="24"/>
          <w:szCs w:val="24"/>
          <w:lang w:val="en-US"/>
        </w:rPr>
        <w:t xml:space="preserve"> </w:t>
      </w:r>
      <w:r w:rsidR="0024010B"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2020)","manualFormatting":"(Haque and Ntim, 2020)","plainTextFormattedCitation":"(Haque and Ntim 2020)","previouslyFormattedCitation":"(Haque and Ntim 2020)"},"properties":{"noteIndex":0},"schema":"https://github.com/citation-style-language/schema/raw/master/csl-citation.json"}</w:instrText>
      </w:r>
      <w:r w:rsidR="0024010B" w:rsidRPr="001B6443">
        <w:rPr>
          <w:rFonts w:ascii="Times New Roman" w:eastAsia="Calibri" w:hAnsi="Times New Roman" w:cs="Times New Roman"/>
          <w:color w:val="000000" w:themeColor="text1"/>
          <w:sz w:val="24"/>
          <w:szCs w:val="24"/>
          <w:lang w:val="en-US"/>
        </w:rPr>
        <w:fldChar w:fldCharType="separate"/>
      </w:r>
      <w:r w:rsidR="0024010B" w:rsidRPr="001B6443">
        <w:rPr>
          <w:rFonts w:ascii="Times New Roman" w:eastAsia="Calibri" w:hAnsi="Times New Roman" w:cs="Times New Roman"/>
          <w:noProof/>
          <w:color w:val="000000" w:themeColor="text1"/>
          <w:sz w:val="24"/>
          <w:szCs w:val="24"/>
          <w:lang w:val="en-US"/>
        </w:rPr>
        <w:t>(Haque and Ntim</w:t>
      </w:r>
      <w:r w:rsidR="00C91FF2" w:rsidRPr="001B6443">
        <w:rPr>
          <w:rFonts w:ascii="Times New Roman" w:eastAsia="Calibri" w:hAnsi="Times New Roman" w:cs="Times New Roman"/>
          <w:noProof/>
          <w:color w:val="000000" w:themeColor="text1"/>
          <w:sz w:val="24"/>
          <w:szCs w:val="24"/>
          <w:lang w:val="en-US"/>
        </w:rPr>
        <w:t>,</w:t>
      </w:r>
      <w:r w:rsidR="0024010B" w:rsidRPr="001B6443">
        <w:rPr>
          <w:rFonts w:ascii="Times New Roman" w:eastAsia="Calibri" w:hAnsi="Times New Roman" w:cs="Times New Roman"/>
          <w:noProof/>
          <w:color w:val="000000" w:themeColor="text1"/>
          <w:sz w:val="24"/>
          <w:szCs w:val="24"/>
          <w:lang w:val="en-US"/>
        </w:rPr>
        <w:t xml:space="preserve"> 2020)</w:t>
      </w:r>
      <w:r w:rsidR="0024010B"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E445BF" w:rsidRPr="001B6443">
        <w:rPr>
          <w:rFonts w:ascii="Times New Roman" w:eastAsia="Calibri" w:hAnsi="Times New Roman" w:cs="Times New Roman"/>
          <w:color w:val="000000" w:themeColor="text1"/>
          <w:sz w:val="24"/>
          <w:szCs w:val="24"/>
          <w:lang w:val="en-US"/>
        </w:rPr>
        <w:t>Further,</w:t>
      </w:r>
      <w:r w:rsidRPr="001B6443">
        <w:rPr>
          <w:rFonts w:ascii="Times New Roman" w:eastAsia="Calibri" w:hAnsi="Times New Roman" w:cs="Times New Roman"/>
          <w:color w:val="000000" w:themeColor="text1"/>
          <w:sz w:val="24"/>
          <w:szCs w:val="24"/>
          <w:lang w:val="en-US"/>
        </w:rPr>
        <w:t xml:space="preserve"> </w:t>
      </w:r>
      <w:r w:rsidR="00E445BF" w:rsidRPr="001B6443">
        <w:rPr>
          <w:rFonts w:ascii="Times New Roman" w:eastAsia="Calibri" w:hAnsi="Times New Roman" w:cs="Times New Roman"/>
          <w:color w:val="000000" w:themeColor="text1"/>
          <w:sz w:val="24"/>
          <w:szCs w:val="24"/>
          <w:lang w:val="en-US"/>
        </w:rPr>
        <w:t xml:space="preserve">BSCOM, </w:t>
      </w:r>
      <w:r w:rsidRPr="001B6443">
        <w:rPr>
          <w:rFonts w:ascii="Times New Roman" w:eastAsia="Calibri" w:hAnsi="Times New Roman" w:cs="Times New Roman"/>
          <w:color w:val="000000" w:themeColor="text1"/>
          <w:sz w:val="24"/>
          <w:szCs w:val="24"/>
          <w:lang w:val="en-US"/>
        </w:rPr>
        <w:t>BSCOM</w:t>
      </w:r>
      <w:r w:rsidR="00E445BF" w:rsidRPr="001B6443">
        <w:rPr>
          <w:rFonts w:ascii="Times New Roman" w:eastAsia="Calibri" w:hAnsi="Times New Roman" w:cs="Times New Roman"/>
          <w:i/>
          <w:color w:val="000000" w:themeColor="text1"/>
          <w:sz w:val="24"/>
          <w:szCs w:val="24"/>
          <w:vertAlign w:val="subscript"/>
          <w:lang w:val="en-US"/>
        </w:rPr>
        <w:t>t-1</w:t>
      </w:r>
      <w:r w:rsidR="00E445BF" w:rsidRPr="001B6443">
        <w:rPr>
          <w:rFonts w:ascii="Times New Roman" w:eastAsia="Calibri" w:hAnsi="Times New Roman" w:cs="Times New Roman"/>
          <w:color w:val="000000" w:themeColor="text1"/>
          <w:sz w:val="24"/>
          <w:szCs w:val="24"/>
          <w:lang w:val="en-US"/>
        </w:rPr>
        <w:t>, and BSCOM</w:t>
      </w:r>
      <w:r w:rsidR="00E445BF" w:rsidRPr="001B6443">
        <w:rPr>
          <w:rFonts w:ascii="Times New Roman" w:eastAsia="Calibri" w:hAnsi="Times New Roman" w:cs="Times New Roman"/>
          <w:i/>
          <w:color w:val="000000" w:themeColor="text1"/>
          <w:sz w:val="24"/>
          <w:szCs w:val="24"/>
          <w:vertAlign w:val="subscript"/>
          <w:lang w:val="en-US"/>
        </w:rPr>
        <w:t>t-2</w:t>
      </w:r>
      <w:r w:rsidRPr="001B6443">
        <w:rPr>
          <w:rFonts w:ascii="Times New Roman" w:eastAsia="Calibri" w:hAnsi="Times New Roman" w:cs="Times New Roman"/>
          <w:color w:val="000000" w:themeColor="text1"/>
          <w:sz w:val="24"/>
          <w:szCs w:val="24"/>
          <w:lang w:val="en-US"/>
        </w:rPr>
        <w:t xml:space="preserve"> </w:t>
      </w:r>
      <w:r w:rsidR="00E445BF" w:rsidRPr="001B6443">
        <w:rPr>
          <w:rFonts w:ascii="Times New Roman" w:eastAsia="Calibri" w:hAnsi="Times New Roman" w:cs="Times New Roman"/>
          <w:color w:val="000000" w:themeColor="text1"/>
          <w:sz w:val="24"/>
          <w:szCs w:val="24"/>
          <w:lang w:val="en-US"/>
        </w:rPr>
        <w:t xml:space="preserve">are </w:t>
      </w:r>
      <w:r w:rsidRPr="001B6443">
        <w:rPr>
          <w:rFonts w:ascii="Times New Roman" w:eastAsia="Calibri" w:hAnsi="Times New Roman" w:cs="Times New Roman"/>
          <w:color w:val="000000" w:themeColor="text1"/>
          <w:sz w:val="24"/>
          <w:szCs w:val="24"/>
          <w:lang w:val="en-US"/>
        </w:rPr>
        <w:t xml:space="preserve">positively related to </w:t>
      </w:r>
      <w:r w:rsidR="00E445BF" w:rsidRPr="001B6443">
        <w:rPr>
          <w:rFonts w:ascii="Times New Roman" w:eastAsia="Calibri" w:hAnsi="Times New Roman" w:cs="Times New Roman"/>
          <w:color w:val="000000" w:themeColor="text1"/>
          <w:sz w:val="24"/>
          <w:szCs w:val="24"/>
          <w:lang w:val="en-US"/>
        </w:rPr>
        <w:t>CCPE</w:t>
      </w:r>
      <w:r w:rsidR="007E6D4F" w:rsidRPr="001B6443">
        <w:rPr>
          <w:rFonts w:ascii="Times New Roman" w:eastAsia="Calibri" w:hAnsi="Times New Roman" w:cs="Times New Roman"/>
          <w:color w:val="000000" w:themeColor="text1"/>
          <w:sz w:val="24"/>
          <w:szCs w:val="24"/>
          <w:lang w:val="en-US"/>
        </w:rPr>
        <w:t xml:space="preserve">, </w:t>
      </w:r>
      <w:r w:rsidR="008664B1" w:rsidRPr="001B6443">
        <w:rPr>
          <w:rFonts w:ascii="Times New Roman" w:eastAsia="Calibri" w:hAnsi="Times New Roman" w:cs="Times New Roman"/>
          <w:color w:val="000000" w:themeColor="text1"/>
          <w:sz w:val="24"/>
          <w:szCs w:val="24"/>
          <w:lang w:val="en-US"/>
        </w:rPr>
        <w:t xml:space="preserve">indicating </w:t>
      </w:r>
      <w:r w:rsidR="00E445BF" w:rsidRPr="001B6443">
        <w:rPr>
          <w:rFonts w:ascii="Times New Roman" w:eastAsia="Calibri" w:hAnsi="Times New Roman" w:cs="Times New Roman"/>
          <w:color w:val="000000" w:themeColor="text1"/>
          <w:sz w:val="24"/>
          <w:szCs w:val="24"/>
          <w:lang w:val="en-US"/>
        </w:rPr>
        <w:t>that firms with</w:t>
      </w:r>
      <w:r w:rsidR="008664B1"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BSCOM </w:t>
      </w:r>
      <w:r w:rsidR="00E445BF" w:rsidRPr="001B6443">
        <w:rPr>
          <w:rFonts w:ascii="Times New Roman" w:eastAsia="Calibri" w:hAnsi="Times New Roman" w:cs="Times New Roman"/>
          <w:color w:val="000000" w:themeColor="text1"/>
          <w:sz w:val="24"/>
          <w:szCs w:val="24"/>
          <w:lang w:val="en-US"/>
        </w:rPr>
        <w:t>are likely to emit high emissions</w:t>
      </w:r>
      <w:r w:rsidR="004F49B8" w:rsidRPr="001B6443">
        <w:rPr>
          <w:rFonts w:ascii="Times New Roman" w:eastAsia="Calibri" w:hAnsi="Times New Roman" w:cs="Times New Roman"/>
          <w:color w:val="000000" w:themeColor="text1"/>
          <w:sz w:val="24"/>
          <w:szCs w:val="24"/>
          <w:lang w:val="en-US"/>
        </w:rPr>
        <w:t>.</w:t>
      </w:r>
      <w:r w:rsidR="00B82C1F" w:rsidRPr="001B6443">
        <w:rPr>
          <w:rFonts w:ascii="Times New Roman" w:eastAsia="Calibri" w:hAnsi="Times New Roman" w:cs="Times New Roman"/>
          <w:color w:val="000000" w:themeColor="text1"/>
          <w:sz w:val="24"/>
          <w:szCs w:val="24"/>
          <w:lang w:val="en-US"/>
        </w:rPr>
        <w:t xml:space="preserve"> These findings corroborate past studies </w:t>
      </w:r>
      <w:r w:rsidR="00B82C1F" w:rsidRPr="001B6443">
        <w:rPr>
          <w:rFonts w:ascii="Times New Roman" w:eastAsia="Calibri" w:hAnsi="Times New Roman" w:cs="Times New Roman"/>
          <w:color w:val="000000" w:themeColor="text1"/>
          <w:sz w:val="24"/>
          <w:szCs w:val="24"/>
          <w:lang w:val="en-US"/>
        </w:rPr>
        <w:fldChar w:fldCharType="begin" w:fldLock="1"/>
      </w:r>
      <w:r w:rsidR="00AF4EC6" w:rsidRPr="001B6443">
        <w:rPr>
          <w:rFonts w:ascii="Times New Roman" w:eastAsia="Calibri" w:hAnsi="Times New Roman" w:cs="Times New Roman"/>
          <w:color w:val="000000" w:themeColor="text1"/>
          <w:sz w:val="24"/>
          <w:szCs w:val="24"/>
          <w:lang w:val="en-US"/>
        </w:rPr>
        <w:instrText>ADDIN CSL_CITATION {"citationItems":[{"id":"ITEM-1","itemData":{"DOI":"10.1002/smj.1952","ISBN":"1097-0266","ISSN":"01432095","PMID":"31767271","abstract":"Like governance structure and alliance scope, partner selection may serve to safeguard firms’ intellectual assets in R&amp;D alliances. We categorize potential alliance partners into friends, acquaintances, and strangers, depending on their previous alliance experience. Data on 1,159 R&amp;D alliances indicate that the more radical an alliance’s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alliances.","author":[{"dropping-particle":"","family":"Walls","given":"Judith L.","non-dropping-particle":"","parse-names":false,"suffix":""},{"dropping-particle":"","family":"Berrone","given":"Pascual","non-dropping-particle":"","parse-names":false,"suffix":""},{"dropping-particle":"","family":"Phan","given":"Phillip H.","non-dropping-particle":"","parse-names":false,"suffix":""}],"container-title":"Strategic Management Journal","id":"ITEM-1","issue":"8","issued":{"date-parts":[["2012"]]},"page":"885-913","title":"Corporate governance and environmental performance: Is there really a link?","type":"article-journal","volume":"33"},"uris":["http://www.mendeley.com/documents/?uuid=48f13855-f0f7-4cab-b5b5-37a88c5d07a2"]},{"id":"ITEM-2","itemData":{"DOI":"10.1007/s10551-017-3453-2","ISSN":"15730697","abstract":"This paper explores an increasingly prevalent element of board-level commitment to sustainability. We propose a theoretical framework under which the existence and associated actions of board-level sustainability committees are motivated by shared value creation, where the interests of a diverse group of stakeholders are satisfied and sufficient profit is achieved. Using hand-collected data, we find that sustainability committees are heterogeneous in focus and vary in their effectiveness. Specifically, we disaggregate the sustainability committee construct based on stakeholder group focus (i.e., community, employee, environment, and consumer/supplier) and find that associations between sustainability committees and performance outcomes are stronger when committees focused on a specific stakeholder group are paired with relevant performance outcomes. We generally find that sustainability committees are effective at impacting relevant strengths, but do not mitigate relevant concerns. These results are consistent with the shared value framework, where committees both generate value by pursuing sustainability-related opportunities and protect value by monitoring, but not necessarily mitigating sustainability-related risks. Univariate tests suggest that effective committees are also larger, more independent, and meet more frequently. Finally, we propose a new method to classify industries based on their sensitivity to certain stakeholder groups and find that the effectiveness of committees focused on specific stakeholders is more pronounced in industries that are sensitive to these stakeholders.","author":[{"dropping-particle":"","family":"Burke","given":"Jenna J.","non-dropping-particle":"","parse-names":false,"suffix":""},{"dropping-particle":"","family":"Hoitash","given":"Rani","non-dropping-particle":"","parse-names":false,"suffix":""},{"dropping-particle":"","family":"Hoitash","given":"Udi","non-dropping-particle":"","parse-names":false,"suffix":""}],"container-title":"Journal of Business Ethics","id":"ITEM-2","issue":"4","issued":{"date-parts":[["2019"]]},"page":"1161-1186","title":"The Heterogeneity of Board-Level Sustainability Committees and Corporate Social Performance","type":"article-journal","volume":"154"},"uris":["http://www.mendeley.com/documents/?uuid=73547ce0-856e-39c4-9675-abc201661377"]}],"mendeley":{"formattedCitation":"(Burke et al. 2019; Walls et al. 2012)","plainTextFormattedCitation":"(Burke et al. 2019; Walls et al. 2012)","previouslyFormattedCitation":"(Burke et al. 2019; Walls et al. 2012)"},"properties":{"noteIndex":0},"schema":"https://github.com/citation-style-language/schema/raw/master/csl-citation.json"}</w:instrText>
      </w:r>
      <w:r w:rsidR="00B82C1F" w:rsidRPr="001B6443">
        <w:rPr>
          <w:rFonts w:ascii="Times New Roman" w:eastAsia="Calibri" w:hAnsi="Times New Roman" w:cs="Times New Roman"/>
          <w:color w:val="000000" w:themeColor="text1"/>
          <w:sz w:val="24"/>
          <w:szCs w:val="24"/>
          <w:lang w:val="en-US"/>
        </w:rPr>
        <w:fldChar w:fldCharType="separate"/>
      </w:r>
      <w:r w:rsidR="00B82C1F" w:rsidRPr="001B6443">
        <w:rPr>
          <w:rFonts w:ascii="Times New Roman" w:eastAsia="Calibri" w:hAnsi="Times New Roman" w:cs="Times New Roman"/>
          <w:noProof/>
          <w:color w:val="000000" w:themeColor="text1"/>
          <w:sz w:val="24"/>
          <w:szCs w:val="24"/>
          <w:lang w:val="en-US"/>
        </w:rPr>
        <w:t xml:space="preserve">(Burke </w:t>
      </w:r>
      <w:r w:rsidR="00B82C1F" w:rsidRPr="001B6443">
        <w:rPr>
          <w:rFonts w:ascii="Times New Roman" w:eastAsia="Calibri" w:hAnsi="Times New Roman" w:cs="Times New Roman"/>
          <w:i/>
          <w:noProof/>
          <w:color w:val="000000" w:themeColor="text1"/>
          <w:sz w:val="24"/>
          <w:szCs w:val="24"/>
          <w:lang w:val="en-US"/>
        </w:rPr>
        <w:t>et al.</w:t>
      </w:r>
      <w:r w:rsidR="00B82C1F" w:rsidRPr="001B6443">
        <w:rPr>
          <w:rFonts w:ascii="Times New Roman" w:eastAsia="Calibri" w:hAnsi="Times New Roman" w:cs="Times New Roman"/>
          <w:noProof/>
          <w:color w:val="000000" w:themeColor="text1"/>
          <w:sz w:val="24"/>
          <w:szCs w:val="24"/>
          <w:lang w:val="en-US"/>
        </w:rPr>
        <w:t xml:space="preserve"> 2019; Walls </w:t>
      </w:r>
      <w:r w:rsidR="00B82C1F" w:rsidRPr="001B6443">
        <w:rPr>
          <w:rFonts w:ascii="Times New Roman" w:eastAsia="Calibri" w:hAnsi="Times New Roman" w:cs="Times New Roman"/>
          <w:i/>
          <w:noProof/>
          <w:color w:val="000000" w:themeColor="text1"/>
          <w:sz w:val="24"/>
          <w:szCs w:val="24"/>
          <w:lang w:val="en-US"/>
        </w:rPr>
        <w:t>et al.</w:t>
      </w:r>
      <w:r w:rsidR="00B82C1F" w:rsidRPr="001B6443">
        <w:rPr>
          <w:rFonts w:ascii="Times New Roman" w:eastAsia="Calibri" w:hAnsi="Times New Roman" w:cs="Times New Roman"/>
          <w:noProof/>
          <w:color w:val="000000" w:themeColor="text1"/>
          <w:sz w:val="24"/>
          <w:szCs w:val="24"/>
          <w:lang w:val="en-US"/>
        </w:rPr>
        <w:t xml:space="preserve"> 2012)</w:t>
      </w:r>
      <w:r w:rsidR="00B82C1F" w:rsidRPr="001B6443">
        <w:rPr>
          <w:rFonts w:ascii="Times New Roman" w:eastAsia="Calibri" w:hAnsi="Times New Roman" w:cs="Times New Roman"/>
          <w:color w:val="000000" w:themeColor="text1"/>
          <w:sz w:val="24"/>
          <w:szCs w:val="24"/>
          <w:lang w:val="en-US"/>
        </w:rPr>
        <w:fldChar w:fldCharType="end"/>
      </w:r>
      <w:r w:rsidR="00B82C1F" w:rsidRPr="001B6443">
        <w:rPr>
          <w:rFonts w:ascii="Times New Roman" w:eastAsia="Calibri" w:hAnsi="Times New Roman" w:cs="Times New Roman"/>
          <w:color w:val="000000" w:themeColor="text1"/>
          <w:sz w:val="24"/>
          <w:szCs w:val="24"/>
          <w:lang w:val="en-US"/>
        </w:rPr>
        <w:t xml:space="preserve">, which reveal a positive association between BSCOM and environmental concerns and argue that firms exposed to </w:t>
      </w:r>
      <w:r w:rsidR="00AA296C" w:rsidRPr="001B6443">
        <w:rPr>
          <w:rFonts w:ascii="Times New Roman" w:eastAsia="Calibri" w:hAnsi="Times New Roman" w:cs="Times New Roman"/>
          <w:color w:val="000000" w:themeColor="text1"/>
          <w:sz w:val="24"/>
          <w:szCs w:val="24"/>
          <w:lang w:val="en-US"/>
        </w:rPr>
        <w:t>greater</w:t>
      </w:r>
      <w:r w:rsidR="00B82C1F" w:rsidRPr="001B6443">
        <w:rPr>
          <w:rFonts w:ascii="Times New Roman" w:eastAsia="Calibri" w:hAnsi="Times New Roman" w:cs="Times New Roman"/>
          <w:color w:val="000000" w:themeColor="text1"/>
          <w:sz w:val="24"/>
          <w:szCs w:val="24"/>
          <w:lang w:val="en-US"/>
        </w:rPr>
        <w:t xml:space="preserve"> environmental risks are more likely to </w:t>
      </w:r>
      <w:r w:rsidR="001047DC" w:rsidRPr="001B6443">
        <w:rPr>
          <w:rFonts w:ascii="Times New Roman" w:eastAsia="Calibri" w:hAnsi="Times New Roman" w:cs="Times New Roman"/>
          <w:color w:val="000000" w:themeColor="text1"/>
          <w:sz w:val="24"/>
          <w:szCs w:val="24"/>
          <w:lang w:val="en-US"/>
        </w:rPr>
        <w:t xml:space="preserve">use BSCOM as an impression management tool to protect/maintain/improve their legitimacy. </w:t>
      </w:r>
      <w:r w:rsidR="00AA296C" w:rsidRPr="001B6443">
        <w:rPr>
          <w:rFonts w:ascii="Times New Roman" w:eastAsia="Calibri" w:hAnsi="Times New Roman" w:cs="Times New Roman"/>
          <w:color w:val="000000" w:themeColor="text1"/>
          <w:sz w:val="24"/>
          <w:szCs w:val="24"/>
          <w:lang w:val="en-US"/>
        </w:rPr>
        <w:t>Further, t</w:t>
      </w:r>
      <w:r w:rsidR="0055798E" w:rsidRPr="001B6443">
        <w:rPr>
          <w:rFonts w:ascii="Times New Roman" w:eastAsia="Calibri" w:hAnsi="Times New Roman" w:cs="Times New Roman"/>
          <w:color w:val="000000" w:themeColor="text1"/>
          <w:sz w:val="24"/>
          <w:szCs w:val="24"/>
          <w:lang w:val="en-US"/>
        </w:rPr>
        <w:t>he interaction terms (PCCIs</w:t>
      </w:r>
      <w:r w:rsidRPr="001B6443">
        <w:rPr>
          <w:rFonts w:ascii="Times New Roman" w:eastAsia="Calibri" w:hAnsi="Times New Roman" w:cs="Times New Roman"/>
          <w:color w:val="000000" w:themeColor="text1"/>
          <w:sz w:val="24"/>
          <w:szCs w:val="24"/>
          <w:lang w:val="en-US"/>
        </w:rPr>
        <w:t>*BSCOM</w:t>
      </w:r>
      <w:r w:rsidR="00226FF7" w:rsidRPr="001B6443">
        <w:rPr>
          <w:rFonts w:ascii="Times New Roman" w:eastAsia="Calibri" w:hAnsi="Times New Roman" w:cs="Times New Roman"/>
          <w:color w:val="000000" w:themeColor="text1"/>
          <w:sz w:val="24"/>
          <w:szCs w:val="24"/>
          <w:lang w:val="en-US"/>
        </w:rPr>
        <w:t>, PCCIs</w:t>
      </w:r>
      <w:r w:rsidR="00226FF7" w:rsidRPr="001B6443">
        <w:rPr>
          <w:rFonts w:ascii="Times New Roman" w:eastAsia="Calibri" w:hAnsi="Times New Roman" w:cs="Times New Roman"/>
          <w:i/>
          <w:color w:val="000000" w:themeColor="text1"/>
          <w:sz w:val="24"/>
          <w:szCs w:val="24"/>
          <w:vertAlign w:val="subscript"/>
          <w:lang w:val="en-US"/>
        </w:rPr>
        <w:t>t-1</w:t>
      </w:r>
      <w:r w:rsidR="00226FF7" w:rsidRPr="001B6443">
        <w:rPr>
          <w:rFonts w:ascii="Times New Roman" w:eastAsia="Calibri" w:hAnsi="Times New Roman" w:cs="Times New Roman"/>
          <w:color w:val="000000" w:themeColor="text1"/>
          <w:sz w:val="24"/>
          <w:szCs w:val="24"/>
          <w:lang w:val="en-US"/>
        </w:rPr>
        <w:t>*BSCOM</w:t>
      </w:r>
      <w:r w:rsidR="00226FF7" w:rsidRPr="001B6443">
        <w:rPr>
          <w:rFonts w:ascii="Times New Roman" w:eastAsia="Calibri" w:hAnsi="Times New Roman" w:cs="Times New Roman"/>
          <w:i/>
          <w:color w:val="000000" w:themeColor="text1"/>
          <w:sz w:val="24"/>
          <w:szCs w:val="24"/>
          <w:vertAlign w:val="subscript"/>
          <w:lang w:val="en-US"/>
        </w:rPr>
        <w:t>t-1</w:t>
      </w:r>
      <w:r w:rsidR="00226FF7" w:rsidRPr="001B6443">
        <w:rPr>
          <w:rFonts w:ascii="Times New Roman" w:eastAsia="Calibri" w:hAnsi="Times New Roman" w:cs="Times New Roman"/>
          <w:color w:val="000000" w:themeColor="text1"/>
          <w:sz w:val="24"/>
          <w:szCs w:val="24"/>
          <w:lang w:val="en-US"/>
        </w:rPr>
        <w:t>, and PCCIs</w:t>
      </w:r>
      <w:r w:rsidR="00226FF7" w:rsidRPr="001B6443">
        <w:rPr>
          <w:rFonts w:ascii="Times New Roman" w:eastAsia="Calibri" w:hAnsi="Times New Roman" w:cs="Times New Roman"/>
          <w:i/>
          <w:color w:val="000000" w:themeColor="text1"/>
          <w:sz w:val="24"/>
          <w:szCs w:val="24"/>
          <w:vertAlign w:val="subscript"/>
          <w:lang w:val="en-US"/>
        </w:rPr>
        <w:t>t-2</w:t>
      </w:r>
      <w:r w:rsidR="00226FF7" w:rsidRPr="001B6443">
        <w:rPr>
          <w:rFonts w:ascii="Times New Roman" w:eastAsia="Calibri" w:hAnsi="Times New Roman" w:cs="Times New Roman"/>
          <w:color w:val="000000" w:themeColor="text1"/>
          <w:sz w:val="24"/>
          <w:szCs w:val="24"/>
          <w:lang w:val="en-US"/>
        </w:rPr>
        <w:t>*BSCOM</w:t>
      </w:r>
      <w:r w:rsidR="00226FF7" w:rsidRPr="001B6443">
        <w:rPr>
          <w:rFonts w:ascii="Times New Roman" w:eastAsia="Calibri" w:hAnsi="Times New Roman" w:cs="Times New Roman"/>
          <w:i/>
          <w:color w:val="000000" w:themeColor="text1"/>
          <w:sz w:val="24"/>
          <w:szCs w:val="24"/>
          <w:vertAlign w:val="subscript"/>
          <w:lang w:val="en-US"/>
        </w:rPr>
        <w:t>t-2</w:t>
      </w:r>
      <w:r w:rsidR="00226FF7"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w:t>
      </w:r>
      <w:r w:rsidR="00226FF7" w:rsidRPr="001B6443">
        <w:rPr>
          <w:rFonts w:ascii="Times New Roman" w:eastAsia="Calibri" w:hAnsi="Times New Roman" w:cs="Times New Roman"/>
          <w:color w:val="000000" w:themeColor="text1"/>
          <w:sz w:val="24"/>
          <w:szCs w:val="24"/>
          <w:lang w:val="en-US"/>
        </w:rPr>
        <w:t>are st</w:t>
      </w:r>
      <w:r w:rsidR="004F49B8" w:rsidRPr="001B6443">
        <w:rPr>
          <w:rFonts w:ascii="Times New Roman" w:eastAsia="Calibri" w:hAnsi="Times New Roman" w:cs="Times New Roman"/>
          <w:color w:val="000000" w:themeColor="text1"/>
          <w:sz w:val="24"/>
          <w:szCs w:val="24"/>
          <w:lang w:val="en-US"/>
        </w:rPr>
        <w:t>atistically insignificant, implying</w:t>
      </w:r>
      <w:r w:rsidR="00226FF7" w:rsidRPr="001B6443">
        <w:rPr>
          <w:rFonts w:ascii="Times New Roman" w:eastAsia="Calibri" w:hAnsi="Times New Roman" w:cs="Times New Roman"/>
          <w:color w:val="000000" w:themeColor="text1"/>
          <w:sz w:val="24"/>
          <w:szCs w:val="24"/>
          <w:lang w:val="en-US"/>
        </w:rPr>
        <w:t xml:space="preserve"> that BSCOM has no moderating impact on the PCCIs—CCPE link</w:t>
      </w:r>
      <w:r w:rsidR="007E6D4F" w:rsidRPr="001B6443">
        <w:rPr>
          <w:rFonts w:ascii="Times New Roman" w:eastAsia="Calibri" w:hAnsi="Times New Roman" w:cs="Times New Roman"/>
          <w:color w:val="000000" w:themeColor="text1"/>
          <w:sz w:val="24"/>
          <w:szCs w:val="24"/>
          <w:lang w:val="en-US"/>
        </w:rPr>
        <w:t xml:space="preserve">. This evidence </w:t>
      </w:r>
      <w:r w:rsidR="00226FF7" w:rsidRPr="001B6443">
        <w:rPr>
          <w:rFonts w:ascii="Times New Roman" w:eastAsia="Calibri" w:hAnsi="Times New Roman" w:cs="Times New Roman"/>
          <w:color w:val="000000" w:themeColor="text1"/>
          <w:sz w:val="24"/>
          <w:szCs w:val="24"/>
          <w:lang w:val="en-US"/>
        </w:rPr>
        <w:t>suggest</w:t>
      </w:r>
      <w:r w:rsidR="007E6D4F" w:rsidRPr="001B6443">
        <w:rPr>
          <w:rFonts w:ascii="Times New Roman" w:eastAsia="Calibri" w:hAnsi="Times New Roman" w:cs="Times New Roman"/>
          <w:color w:val="000000" w:themeColor="text1"/>
          <w:sz w:val="24"/>
          <w:szCs w:val="24"/>
          <w:lang w:val="en-US"/>
        </w:rPr>
        <w:t>s</w:t>
      </w:r>
      <w:r w:rsidR="00226FF7" w:rsidRPr="001B6443">
        <w:rPr>
          <w:rFonts w:ascii="Times New Roman" w:eastAsia="Calibri" w:hAnsi="Times New Roman" w:cs="Times New Roman"/>
          <w:color w:val="000000" w:themeColor="text1"/>
          <w:sz w:val="24"/>
          <w:szCs w:val="24"/>
          <w:lang w:val="en-US"/>
        </w:rPr>
        <w:t xml:space="preserve"> that desp</w:t>
      </w:r>
      <w:r w:rsidR="00D676D7" w:rsidRPr="001B6443">
        <w:rPr>
          <w:rFonts w:ascii="Times New Roman" w:eastAsia="Calibri" w:hAnsi="Times New Roman" w:cs="Times New Roman"/>
          <w:color w:val="000000" w:themeColor="text1"/>
          <w:sz w:val="24"/>
          <w:szCs w:val="24"/>
          <w:lang w:val="en-US"/>
        </w:rPr>
        <w:t xml:space="preserve">ite greater commitment to PCCIs, </w:t>
      </w:r>
      <w:r w:rsidR="00226FF7" w:rsidRPr="001B6443">
        <w:rPr>
          <w:rFonts w:ascii="Times New Roman" w:eastAsia="Calibri" w:hAnsi="Times New Roman" w:cs="Times New Roman"/>
          <w:color w:val="000000" w:themeColor="text1"/>
          <w:sz w:val="24"/>
          <w:szCs w:val="24"/>
          <w:lang w:val="en-US"/>
        </w:rPr>
        <w:t>GHG emissions continue to increase</w:t>
      </w:r>
      <w:r w:rsidR="00D676D7" w:rsidRPr="001B6443">
        <w:rPr>
          <w:rFonts w:ascii="Times New Roman" w:eastAsia="Calibri" w:hAnsi="Times New Roman" w:cs="Times New Roman"/>
          <w:color w:val="000000" w:themeColor="text1"/>
          <w:sz w:val="24"/>
          <w:szCs w:val="24"/>
          <w:lang w:val="en-US"/>
        </w:rPr>
        <w:t xml:space="preserve"> </w:t>
      </w:r>
      <w:r w:rsidR="00EF14EA" w:rsidRPr="001B6443">
        <w:rPr>
          <w:rFonts w:ascii="Times New Roman" w:eastAsia="Calibri" w:hAnsi="Times New Roman" w:cs="Times New Roman"/>
          <w:color w:val="000000" w:themeColor="text1"/>
          <w:sz w:val="24"/>
          <w:szCs w:val="24"/>
          <w:lang w:val="en-US"/>
        </w:rPr>
        <w:t xml:space="preserve">regardless </w:t>
      </w:r>
      <w:r w:rsidR="007A225C" w:rsidRPr="001B6443">
        <w:rPr>
          <w:rFonts w:ascii="Times New Roman" w:eastAsia="Calibri" w:hAnsi="Times New Roman" w:cs="Times New Roman"/>
          <w:color w:val="000000" w:themeColor="text1"/>
          <w:sz w:val="24"/>
          <w:szCs w:val="24"/>
          <w:lang w:val="en-US"/>
        </w:rPr>
        <w:t>of whether a firm has BSCOM or not</w:t>
      </w:r>
      <w:r w:rsidRPr="001B6443">
        <w:rPr>
          <w:rFonts w:ascii="Times New Roman" w:eastAsia="Calibri" w:hAnsi="Times New Roman" w:cs="Times New Roman"/>
          <w:bCs/>
          <w:color w:val="000000" w:themeColor="text1"/>
          <w:sz w:val="24"/>
          <w:szCs w:val="24"/>
          <w:lang w:val="en-US"/>
        </w:rPr>
        <w:t>.</w:t>
      </w:r>
      <w:r w:rsidR="00901A09" w:rsidRPr="001B6443">
        <w:rPr>
          <w:rFonts w:ascii="Times New Roman" w:eastAsia="Calibri" w:hAnsi="Times New Roman" w:cs="Times New Roman"/>
          <w:bCs/>
          <w:color w:val="000000" w:themeColor="text1"/>
          <w:sz w:val="24"/>
          <w:szCs w:val="24"/>
          <w:lang w:val="en-US"/>
        </w:rPr>
        <w:t xml:space="preserve"> </w:t>
      </w:r>
      <w:r w:rsidR="008B237A" w:rsidRPr="001B6443">
        <w:rPr>
          <w:rFonts w:ascii="Times New Roman" w:eastAsia="Calibri" w:hAnsi="Times New Roman" w:cs="Times New Roman"/>
          <w:color w:val="000000" w:themeColor="text1"/>
          <w:sz w:val="24"/>
          <w:szCs w:val="24"/>
          <w:lang w:val="en-US"/>
        </w:rPr>
        <w:t>Collectively, Tables 6 and 7</w:t>
      </w:r>
      <w:r w:rsidRPr="001B6443">
        <w:rPr>
          <w:rFonts w:ascii="Times New Roman" w:eastAsia="Calibri" w:hAnsi="Times New Roman" w:cs="Times New Roman"/>
          <w:color w:val="000000" w:themeColor="text1"/>
          <w:sz w:val="24"/>
          <w:szCs w:val="24"/>
          <w:lang w:val="en-US"/>
        </w:rPr>
        <w:t xml:space="preserve"> suggest that firms </w:t>
      </w:r>
      <w:r w:rsidR="0020118A" w:rsidRPr="001B6443">
        <w:rPr>
          <w:rFonts w:ascii="Times New Roman" w:eastAsia="Calibri" w:hAnsi="Times New Roman" w:cs="Times New Roman"/>
          <w:color w:val="000000" w:themeColor="text1"/>
          <w:sz w:val="24"/>
          <w:szCs w:val="24"/>
          <w:lang w:val="en-US"/>
        </w:rPr>
        <w:t>that engage</w:t>
      </w:r>
      <w:r w:rsidR="000C44EB" w:rsidRPr="001B6443">
        <w:rPr>
          <w:rFonts w:ascii="Times New Roman" w:eastAsia="Calibri" w:hAnsi="Times New Roman" w:cs="Times New Roman"/>
          <w:color w:val="000000" w:themeColor="text1"/>
          <w:sz w:val="24"/>
          <w:szCs w:val="24"/>
          <w:lang w:val="en-US"/>
        </w:rPr>
        <w:t xml:space="preserve"> in PCCIs </w:t>
      </w:r>
      <w:r w:rsidR="00901A09" w:rsidRPr="001B6443">
        <w:rPr>
          <w:rFonts w:ascii="Times New Roman" w:eastAsia="Calibri" w:hAnsi="Times New Roman" w:cs="Times New Roman"/>
          <w:color w:val="000000" w:themeColor="text1"/>
          <w:sz w:val="24"/>
          <w:szCs w:val="24"/>
          <w:lang w:val="en-US"/>
        </w:rPr>
        <w:t>under a symbolic approach</w:t>
      </w:r>
      <w:r w:rsidR="001047DC" w:rsidRPr="001B6443">
        <w:rPr>
          <w:rFonts w:ascii="Times New Roman" w:eastAsia="Calibri" w:hAnsi="Times New Roman" w:cs="Times New Roman"/>
          <w:color w:val="000000" w:themeColor="text1"/>
          <w:sz w:val="24"/>
          <w:szCs w:val="24"/>
          <w:lang w:val="en-US"/>
        </w:rPr>
        <w:t xml:space="preserve"> to enhance MV</w:t>
      </w:r>
      <w:r w:rsidR="00901A09" w:rsidRPr="001B6443">
        <w:rPr>
          <w:rFonts w:ascii="Times New Roman" w:eastAsia="Calibri" w:hAnsi="Times New Roman" w:cs="Times New Roman"/>
          <w:color w:val="000000" w:themeColor="text1"/>
          <w:sz w:val="24"/>
          <w:szCs w:val="24"/>
          <w:lang w:val="en-US"/>
        </w:rPr>
        <w:t xml:space="preserve"> </w:t>
      </w:r>
      <w:r w:rsidR="00FB56AB" w:rsidRPr="001B6443">
        <w:rPr>
          <w:rFonts w:ascii="Times New Roman" w:eastAsia="Calibri" w:hAnsi="Times New Roman" w:cs="Times New Roman"/>
          <w:color w:val="000000" w:themeColor="text1"/>
          <w:sz w:val="24"/>
          <w:szCs w:val="24"/>
          <w:lang w:val="en-US"/>
        </w:rPr>
        <w:t>are more likely to</w:t>
      </w:r>
      <w:r w:rsidR="000C44EB" w:rsidRPr="001B6443">
        <w:rPr>
          <w:rFonts w:ascii="Times New Roman" w:eastAsia="Calibri" w:hAnsi="Times New Roman" w:cs="Times New Roman"/>
          <w:color w:val="000000" w:themeColor="text1"/>
          <w:sz w:val="24"/>
          <w:szCs w:val="24"/>
          <w:lang w:val="en-US"/>
        </w:rPr>
        <w:t xml:space="preserve"> establish </w:t>
      </w:r>
      <w:r w:rsidRPr="001B6443">
        <w:rPr>
          <w:rFonts w:ascii="Times New Roman" w:eastAsia="Calibri" w:hAnsi="Times New Roman" w:cs="Times New Roman"/>
          <w:color w:val="000000" w:themeColor="text1"/>
          <w:sz w:val="24"/>
          <w:szCs w:val="24"/>
          <w:lang w:val="en-US"/>
        </w:rPr>
        <w:t>BSC</w:t>
      </w:r>
      <w:r w:rsidR="00FB56AB" w:rsidRPr="001B6443">
        <w:rPr>
          <w:rFonts w:ascii="Times New Roman" w:eastAsia="Calibri" w:hAnsi="Times New Roman" w:cs="Times New Roman"/>
          <w:color w:val="000000" w:themeColor="text1"/>
          <w:sz w:val="24"/>
          <w:szCs w:val="24"/>
          <w:lang w:val="en-US"/>
        </w:rPr>
        <w:t>OM as an impression management tool for achieving greenwashing purposes to create positive impressions and gain/maintain/repair</w:t>
      </w:r>
      <w:r w:rsidR="00901A09" w:rsidRPr="001B6443">
        <w:rPr>
          <w:rFonts w:ascii="Times New Roman" w:eastAsia="Calibri" w:hAnsi="Times New Roman" w:cs="Times New Roman"/>
          <w:color w:val="000000" w:themeColor="text1"/>
          <w:sz w:val="24"/>
          <w:szCs w:val="24"/>
          <w:lang w:val="en-US"/>
        </w:rPr>
        <w:t xml:space="preserve"> legitimacy</w:t>
      </w:r>
      <w:r w:rsidR="00C934AD" w:rsidRPr="001B6443">
        <w:rPr>
          <w:rFonts w:ascii="Times New Roman" w:eastAsia="Calibri" w:hAnsi="Times New Roman" w:cs="Times New Roman"/>
          <w:color w:val="000000" w:themeColor="text1"/>
          <w:sz w:val="24"/>
          <w:szCs w:val="24"/>
          <w:lang w:val="en-US"/>
        </w:rPr>
        <w:t xml:space="preserve">. Nevertheless, PCCIs do not improve outcome-based CCPE, and BSCOM </w:t>
      </w:r>
      <w:r w:rsidR="00212897" w:rsidRPr="001B6443">
        <w:rPr>
          <w:rFonts w:ascii="Times New Roman" w:eastAsia="Calibri" w:hAnsi="Times New Roman" w:cs="Times New Roman"/>
          <w:color w:val="000000" w:themeColor="text1"/>
          <w:sz w:val="24"/>
          <w:szCs w:val="24"/>
          <w:lang w:val="en-US"/>
        </w:rPr>
        <w:t>does not</w:t>
      </w:r>
      <w:r w:rsidR="009C2597" w:rsidRPr="001B6443">
        <w:rPr>
          <w:rFonts w:ascii="Times New Roman" w:eastAsia="Calibri" w:hAnsi="Times New Roman" w:cs="Times New Roman"/>
          <w:color w:val="000000" w:themeColor="text1"/>
          <w:sz w:val="24"/>
          <w:szCs w:val="24"/>
          <w:lang w:val="en-US"/>
        </w:rPr>
        <w:t xml:space="preserve"> r</w:t>
      </w:r>
      <w:r w:rsidR="00212897" w:rsidRPr="001B6443">
        <w:rPr>
          <w:rFonts w:ascii="Times New Roman" w:eastAsia="Calibri" w:hAnsi="Times New Roman" w:cs="Times New Roman"/>
          <w:color w:val="000000" w:themeColor="text1"/>
          <w:sz w:val="24"/>
          <w:szCs w:val="24"/>
          <w:lang w:val="en-US"/>
        </w:rPr>
        <w:t xml:space="preserve">educe </w:t>
      </w:r>
      <w:r w:rsidR="009C2597" w:rsidRPr="001B6443">
        <w:rPr>
          <w:rFonts w:ascii="Times New Roman" w:eastAsia="Calibri" w:hAnsi="Times New Roman" w:cs="Times New Roman"/>
          <w:color w:val="000000" w:themeColor="text1"/>
          <w:sz w:val="24"/>
          <w:szCs w:val="24"/>
          <w:lang w:val="en-US"/>
        </w:rPr>
        <w:t>excessive GHG emissions, which</w:t>
      </w:r>
      <w:r w:rsidR="0071013E" w:rsidRPr="001B6443">
        <w:rPr>
          <w:rFonts w:ascii="Times New Roman" w:eastAsia="Calibri" w:hAnsi="Times New Roman" w:cs="Times New Roman"/>
          <w:color w:val="000000" w:themeColor="text1"/>
          <w:sz w:val="24"/>
          <w:szCs w:val="24"/>
          <w:lang w:val="en-US"/>
        </w:rPr>
        <w:t xml:space="preserve"> in turn </w:t>
      </w:r>
      <w:r w:rsidR="009C2597" w:rsidRPr="001B6443">
        <w:rPr>
          <w:rFonts w:ascii="Times New Roman" w:eastAsia="Calibri" w:hAnsi="Times New Roman" w:cs="Times New Roman"/>
          <w:color w:val="000000" w:themeColor="text1"/>
          <w:sz w:val="24"/>
          <w:szCs w:val="24"/>
          <w:lang w:val="en-US"/>
        </w:rPr>
        <w:t xml:space="preserve">are </w:t>
      </w:r>
      <w:r w:rsidR="0071013E" w:rsidRPr="001B6443">
        <w:rPr>
          <w:rFonts w:ascii="Times New Roman" w:eastAsia="Calibri" w:hAnsi="Times New Roman" w:cs="Times New Roman"/>
          <w:color w:val="000000" w:themeColor="text1"/>
          <w:sz w:val="24"/>
          <w:szCs w:val="24"/>
          <w:lang w:val="en-US"/>
        </w:rPr>
        <w:t xml:space="preserve">perceived negatively </w:t>
      </w:r>
      <w:r w:rsidR="009C2597" w:rsidRPr="001B6443">
        <w:rPr>
          <w:rFonts w:ascii="Times New Roman" w:eastAsia="Calibri" w:hAnsi="Times New Roman" w:cs="Times New Roman"/>
          <w:color w:val="000000" w:themeColor="text1"/>
          <w:sz w:val="24"/>
          <w:szCs w:val="24"/>
          <w:lang w:val="en-US"/>
        </w:rPr>
        <w:t>by market participants.</w:t>
      </w:r>
    </w:p>
    <w:p w14:paraId="0770DEE8" w14:textId="77777777"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10241ECF"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lastRenderedPageBreak/>
        <w:t>Additional analyses</w:t>
      </w:r>
    </w:p>
    <w:p w14:paraId="0FCE52A3" w14:textId="77777777" w:rsidR="00E24B25"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Prior literature suggests that environmental management systems, CG practices, and organizational performance are greatly influenced by differing country- and sector- level environmental regulations, institutional systems, and regulatory frameworks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author":[{"dropping-particle":"","family":"Bianchini","given":"Roberto","non-dropping-particle":"","parse-names":false,"suffix":""},{"dropping-particle":"","family":"Croce","given":"Annalisa","non-dropping-particle":"","parse-names":false,"suffix":""}],"container-title":"Review of Corporate Finance","id":"ITEM-1","issued":{"date-parts":[["2022"]]},"title":"The Role of Environmental Policies in Promoting Venture Capital Investments in Cleantech Companies","type":"article-journal","volume":"2"},"uris":["http://www.mendeley.com/documents/?uuid=7e507781-a6f4-44de-9c0e-09182dd9e74a"]},{"id":"ITEM-2","itemData":{"DOI":"10.1111/1467-8551.12356","ISSN":"14678551","abstract":"In the presence of environmental policy, how do regulated firms respond? The answer is crucial for the design and effectiveness of policy regimes intended to mitigate environmental damage. We investigate whether particular types of firms are more likely to be proactive; in other words, which firms tend to behave in a manner most consistent with the desired policy outcomes. Using data on per-firm ‘verified’ and ‘allocated’ emissions from the European Union's Emissions Trading System (EU ETS) from 2005 till 2016, and given that some firms exceed or undershoot the allocated allowances by a large margin, we posit that this and related measures are useful proxies for a firm's proactiveness in responding to environmental policy. We find that public firms are less likely than private firms to be proactive, whilst the same is found for firms in common rather than civil law countries and for state-owned firms. Strikingly, proactiveness is associated both with greater reductions in greenhouse gas emissions and poorer firm performance, suggesting there is an economic cost to good environmental behaviour. Whilst the EU ETS is reducing emissions, it is not yet adequately compensating proactive firms or penalizing those who pollute – better system design could aid this further.","author":[{"dropping-particle":"","family":"Andreou","given":"Panayiotis C.","non-dropping-particle":"","parse-names":false,"suffix":""},{"dropping-particle":"","family":"Kellard","given":"Neil M.","non-dropping-particle":"","parse-names":false,"suffix":""}],"container-title":"British Journal of Management","id":"ITEM-2","issue":"3","issued":{"date-parts":[["2021"]]},"page":"630-647","title":"Corporate Environmental Proactivity: Evidence from the European Union's Emissions Trading System","type":"article-journal","volume":"32"},"uris":["http://www.mendeley.com/documents/?uuid=7dfe55b5-098b-30c6-bc10-b3146b2ae362"]},{"id":"ITEM-3","itemData":{"DOI":"10.1111/1467-8551.12461","ISSN":"14678551","abstract":"Public awareness about issues surrounding the physical environment and climate change is becoming more important around the world. However, there is a lack of research on the association between environment-related perceptions and reputational exposure. Therefore, we know little about whether and how reputational exposure is shaped by institutional pressures, as would be stipulated by institutional theory. Using a sample of 643 firms from 19 European countries over the period 2015–2018, we aim to shed further light on this issue. Our results show that more environmentally friendly public perceptions result in lower reputational exposure. This finding holds when, on an individual basis, we examine public opinions on energy, climate and the introduction of related policies. To ensure robustness in our results, we conduct a number of analyses and tests designed to alleviate endogeneity and correct sample bias.","author":[{"dropping-particle":"","family":"Gaganis","given":"Chrysovalantis","non-dropping-particle":"","parse-names":false,"suffix":""},{"dropping-particle":"","family":"Papadimitri","given":"Panagiota","non-dropping-particle":"","parse-names":false,"suffix":""},{"dropping-particle":"","family":"Pasiouras","given":"Fotios","non-dropping-particle":"","parse-names":false,"suffix":""},{"dropping-particle":"","family":"Ventouri","given":"Alexia","non-dropping-particle":"","parse-names":false,"suffix":""}],"container-title":"British Journal of Management","id":"ITEM-3","issued":{"date-parts":[["2021"]]},"publisher":"Blackwell Publishing Ltd","title":"Informal Institutions and Corporate Reputational Exposure: The Role of Public Environmental Perceptions","type":"article-journal"},"uris":["http://www.mendeley.com/documents/?uuid=ac09d22e-deed-3f5b-b7c7-6b647fa78213"]}],"mendeley":{"formattedCitation":"(Andreou and Kellard 2021; Bianchini and Croce 2022; Gaganis et al. 2021)","manualFormatting":"(Andreou and Kellard 2021; Bianchini and Croce 2022; Gaganis et al., 2021)","plainTextFormattedCitation":"(Andreou and Kellard 2021; Bianchini and Croce 2022; Gaganis et al. 2021)","previouslyFormattedCitation":"(Andreou and Kellard 2021; Bianchini and Croce 2022; Gaganis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(Andreou and Kellard 2021; Bianchini and Croce 2022; Gaganis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In this regard, it is important to focus on variations in regional and sectoral contexts when assessing the factors and outcomes of corporate environmental impacts and climate change </w:t>
      </w:r>
      <w:r w:rsidR="001702B1" w:rsidRPr="001B6443">
        <w:rPr>
          <w:rFonts w:ascii="Times New Roman" w:eastAsia="Calibri" w:hAnsi="Times New Roman" w:cs="Times New Roman"/>
          <w:color w:val="000000" w:themeColor="text1"/>
          <w:sz w:val="24"/>
          <w:szCs w:val="24"/>
          <w:lang w:val="en-US"/>
        </w:rPr>
        <w:t>initiatives</w:t>
      </w:r>
      <w:r w:rsidRPr="001B6443">
        <w:rPr>
          <w:rFonts w:ascii="Times New Roman" w:eastAsia="Calibri" w:hAnsi="Times New Roman" w:cs="Times New Roman"/>
          <w:color w:val="000000" w:themeColor="text1"/>
          <w:sz w:val="24"/>
          <w:szCs w:val="24"/>
          <w:lang w:val="en-US"/>
        </w:rPr>
        <w:t xml:space="preserve">/practices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{"citationItems":[{"id":"ITEM-1","itemData":{"DOI":"https://doi.org/10.1002/bse.2700","ISSN":"10990836","abstract":"This study investigates the relationship between environmental management practices (EMPs) and financial performance (FP) and consequently ascertains whether environmental performance (EP) can mediate the EMPs–FP nexus. Distinctly using data envelopment analysis and generalised method of moments techniques to analyse a comprehensive dataset of Nikkei 225 listed firms from 2007 to 2018 (1920 firm-year observations), our findings first suggest that EMPs have a positive effect on FP. Second, the desired EP can be achieved through the adoption of comprehensive EMPs. Third, improved EP has a substantial impact on shaping the EMPs' effect on FP. These findings are consistent with the predictions of resource-based view and institutional theories. The results are robust to controlling for different types of alternative measures and endogeneities. The findings have important implications for academics, investors, managers, policymakers and regulators.","author":[{"dropping-particle":"","family":"Aslam","given":"Shoaib","non-dropping-particle":"","parse-names":false,"suffix":""},{"dropping-particle":"","family":"Elmagrhi","given":"Mohamed H.","non-dropping-particle":"","parse-names":false,"suffix":""},{"dropping-particle":"","family":"Rehman","given":"Ramiz Ur","non-dropping-particle":"","parse-names":false,"suffix":""},{"dropping-particle":"","family":"Ntim","given":"Collins G.","non-dropping-particle":"","parse-names":false,"suffix":""}],"container-title":"Business Strategy and the Environment","id":"ITEM-1","issue":"4","issued":{"date-parts":[["2021"]]},"page":"1655-1673","title":"Environmental management practices and financial performance using data envelopment analysis in Japan: The mediating role of environmental performance","type":"article-journal","volume":"30"},"uris":["http://www.mendeley.com/documents/?uuid=1ad70ec4-53a4-4df3-a301-01eed3b98b5f"]},{"id":"ITEM-2","itemData":{"DOI":"10.1111/1467-8551.12377","ISSN":"14678551","abstract":"This paper examines renewable energy (RE) investment and the role of a country's legal system in shaping investment decisions. Analysing data from 236 renewable energy companies between 2000 and 2017 across the world, our study establishes that those in a common law system are more responsive to growth opportunities in RE investment, while facing greater financial constraints than their counterparts in civil law systems. Our study demonstrates that the global imbalance in RE development is caused by the influence of a country's legal system, which determines the regulatory and business ethos that impacts on the trajectory of investment, and by the varying degrees of accountability implicit in a country's governance environment. Our research raises the implication that the opportunity costs of forgone economic gains are in direct conflict with long-term environmental goals, retarding the transition from carbon-based to sustainable sources of energy, and provides insights into how development can be stimulated by fiscal incentives, favourable regulations, societal engagement, improved access to finance and the alignment of national strategies. Our findings contribute to the economic literature of legal origin theory and establish fundamental principles for refining global RE development strategy and confronting the challenge of climate change.","author":[{"dropping-particle":"","family":"Liu","given":"Jia","non-dropping-particle":"","parse-names":false,"suffix":""},{"dropping-particle":"","family":"Zhang","given":"Dayong","non-dropping-particle":"","parse-names":false,"suffix":""},{"dropping-particle":"","family":"Cai","given":"Jing","non-dropping-particle":"","parse-names":false,"suffix":""},{"dropping-particle":"","family":"Davenport","given":"John","non-dropping-particle":"","parse-names":false,"suffix":""}],"container-title":"British Journal of Management","id":"ITEM-2","issue":"3","issued":{"date-parts":[["2021"]]},"page":"579-610","title":"Legal Systems, National Governance and Renewable Energy Investment: Evidence from Around the World","type":"article-journal","volume":"32"},"uris":["http://www.mendeley.com/documents/?uuid=41117600-eeb6-356f-a002-d5ceacdec548"]},{"id":"ITEM-3","itemData":{"DOI":"10.1111/1467-8551.12015","ISSN":"10453172","abstract":"As part of the debate about globalization and regionalization, this paper adds a perspective that has so far remained underexposed, that of (formerly state-owned) firms in (previously) regulated industries, in order to better understand the (changing) role of the home country/region in internationalization processes in the context of regional market liberalization. We explore the global/regional orientations of the seven major European Union electric utilities from five different home countries, which are active in both fossil-fuel and renewable energy generation. Using a multiple case study design, we collected internationalization/regionalization data from firms' annual reports for the years 2000, 2005 and 2010, supplemented with an analysis of secondary sources. Firms show a clear pattern of increasing internationalization away from the home-country market, coupled with a home-region orientation for traditional generation activities which differs from the more international, wider and often multiple regional presences in the newer renewables business for some firms. Institutional factors are argued to play an important role in both processes. Findings suggest distinct regionalization patterns for business units and different firm-specific advantages, with strategic opportunities related to asset positions. Home-country effects may be linked to a heterogeneous firm-specific home-region liability of foreignness, resulting in incomplete home-region internationalization in most cases. © 2013 British Academy of Management.","author":[{"dropping-particle":"","family":"Kolk","given":"Ans","non-dropping-particle":"","parse-names":false,"suffix":""},{"dropping-particle":"","family":"Lindeque","given":"Johan","non-dropping-particle":"","parse-names":false,"suffix":""},{"dropping-particle":"","family":"Buuse","given":"Daniel","non-dropping-particle":"van den","parse-names":false,"suffix":""}],"container-title":"British Journal of Management","id":"ITEM-3","issued":{"date-parts":[["2014"]]},"page":"77-99","title":"Regionalization Strategies of European Union Electric Utilities","type":"article-journal","volume":"25"},"uris":["http://www.mendeley.com/documents/?uuid=f5f84c69-15b2-3f2c-a1dc-e580f599c12a"]}],"mendeley":{"formattedCitation":"(Aslam et al. 2021; Kolk et al. 2014; Liu et al. 2021)","manualFormatting":"(Aslam et al., 2021; Kolk et al., 2014; Liu et al., 2021)","plainTextFormattedCitation":"(Aslam et al. 2021; Kolk et al. 2014; Liu et al. 2021)","previouslyFormattedCitation":"(Aslam et al. 2021; Kolk et al. 2014; Liu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(Aslam </w:t>
      </w:r>
      <w:r w:rsidRPr="001B6443">
        <w:rPr>
          <w:rFonts w:ascii="Times New Roman" w:eastAsia="Calibri" w:hAnsi="Times New Roman" w:cs="Times New Roman"/>
          <w:i/>
          <w:iCs/>
          <w:noProof/>
          <w:color w:val="000000" w:themeColor="text1"/>
          <w:sz w:val="24"/>
          <w:szCs w:val="24"/>
          <w:lang w:val="en-US"/>
        </w:rPr>
        <w:t>et al.</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 Kolk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2014; Liu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Hence, we perform a set of country</w:t>
      </w:r>
      <w:r w:rsidR="008B3722"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and sector</w:t>
      </w:r>
      <w:r w:rsidR="008B3722" w:rsidRPr="001B6443">
        <w:rPr>
          <w:rFonts w:ascii="Times New Roman" w:eastAsia="Calibri" w:hAnsi="Times New Roman" w:cs="Times New Roman"/>
          <w:color w:val="000000" w:themeColor="text1"/>
          <w:sz w:val="24"/>
          <w:szCs w:val="24"/>
          <w:lang w:val="en-US"/>
        </w:rPr>
        <w:t>-group</w:t>
      </w:r>
      <w:r w:rsidRPr="001B6443">
        <w:rPr>
          <w:rFonts w:ascii="Times New Roman" w:eastAsia="Calibri" w:hAnsi="Times New Roman" w:cs="Times New Roman"/>
          <w:color w:val="000000" w:themeColor="text1"/>
          <w:sz w:val="24"/>
          <w:szCs w:val="24"/>
          <w:lang w:val="en-US"/>
        </w:rPr>
        <w:t xml:space="preserve"> ana</w:t>
      </w:r>
      <w:r w:rsidR="00E24B25" w:rsidRPr="001B6443">
        <w:rPr>
          <w:rFonts w:ascii="Times New Roman" w:eastAsia="Calibri" w:hAnsi="Times New Roman" w:cs="Times New Roman"/>
          <w:color w:val="000000" w:themeColor="text1"/>
          <w:sz w:val="24"/>
          <w:szCs w:val="24"/>
          <w:lang w:val="en-US"/>
        </w:rPr>
        <w:t xml:space="preserve">lyses. </w:t>
      </w:r>
    </w:p>
    <w:p w14:paraId="63488158" w14:textId="77777777" w:rsidR="00E24B25" w:rsidRPr="001B6443" w:rsidRDefault="00E24B25" w:rsidP="00EC5A9C">
      <w:pPr>
        <w:spacing w:after="0" w:line="480" w:lineRule="auto"/>
        <w:jc w:val="both"/>
        <w:rPr>
          <w:rFonts w:ascii="Times New Roman" w:eastAsia="Calibri" w:hAnsi="Times New Roman" w:cs="Times New Roman"/>
          <w:color w:val="000000" w:themeColor="text1"/>
          <w:sz w:val="24"/>
          <w:szCs w:val="24"/>
          <w:lang w:val="en-US"/>
        </w:rPr>
      </w:pPr>
    </w:p>
    <w:p w14:paraId="47C04796" w14:textId="3F06B841" w:rsidR="00D754F3" w:rsidRPr="001B6443" w:rsidRDefault="00EC5A9C" w:rsidP="00F45023">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First, we estimate whether the predicted relationships differ across share</w:t>
      </w:r>
      <w:r w:rsidR="00DA0B49" w:rsidRPr="001B6443">
        <w:rPr>
          <w:rFonts w:ascii="Times New Roman" w:eastAsia="Calibri" w:hAnsi="Times New Roman" w:cs="Times New Roman"/>
          <w:color w:val="000000" w:themeColor="text1"/>
          <w:sz w:val="24"/>
          <w:szCs w:val="24"/>
          <w:lang w:val="en-US"/>
        </w:rPr>
        <w:t>holder</w:t>
      </w:r>
      <w:r w:rsidRPr="001B6443">
        <w:rPr>
          <w:rFonts w:ascii="Times New Roman" w:eastAsia="Calibri" w:hAnsi="Times New Roman" w:cs="Times New Roman"/>
          <w:color w:val="000000" w:themeColor="text1"/>
          <w:sz w:val="24"/>
          <w:szCs w:val="24"/>
          <w:lang w:val="en-US"/>
        </w:rPr>
        <w:t>-based and sta</w:t>
      </w:r>
      <w:r w:rsidR="00E20CCC" w:rsidRPr="001B6443">
        <w:rPr>
          <w:rFonts w:ascii="Times New Roman" w:eastAsia="Calibri" w:hAnsi="Times New Roman" w:cs="Times New Roman"/>
          <w:color w:val="000000" w:themeColor="text1"/>
          <w:sz w:val="24"/>
          <w:szCs w:val="24"/>
          <w:lang w:val="en-US"/>
        </w:rPr>
        <w:t>ke</w:t>
      </w:r>
      <w:r w:rsidR="00DE03AB" w:rsidRPr="001B6443">
        <w:rPr>
          <w:rFonts w:ascii="Times New Roman" w:eastAsia="Calibri" w:hAnsi="Times New Roman" w:cs="Times New Roman"/>
          <w:color w:val="000000" w:themeColor="text1"/>
          <w:sz w:val="24"/>
          <w:szCs w:val="24"/>
          <w:lang w:val="en-US"/>
        </w:rPr>
        <w:t xml:space="preserve">holder-based </w:t>
      </w:r>
      <w:r w:rsidR="00CB1C36" w:rsidRPr="001B6443">
        <w:rPr>
          <w:rFonts w:ascii="Times New Roman" w:eastAsia="Calibri" w:hAnsi="Times New Roman" w:cs="Times New Roman"/>
          <w:color w:val="000000" w:themeColor="text1"/>
          <w:sz w:val="24"/>
          <w:szCs w:val="24"/>
          <w:lang w:val="en-US"/>
        </w:rPr>
        <w:t xml:space="preserve">CG </w:t>
      </w:r>
      <w:r w:rsidR="00DE03AB" w:rsidRPr="001B6443">
        <w:rPr>
          <w:rFonts w:ascii="Times New Roman" w:eastAsia="Calibri" w:hAnsi="Times New Roman" w:cs="Times New Roman"/>
          <w:color w:val="000000" w:themeColor="text1"/>
          <w:sz w:val="24"/>
          <w:szCs w:val="24"/>
          <w:lang w:val="en-US"/>
        </w:rPr>
        <w:t>countries</w:t>
      </w:r>
      <w:r w:rsidR="00CB1C36" w:rsidRPr="001B6443">
        <w:rPr>
          <w:rFonts w:ascii="Times New Roman" w:eastAsia="Calibri" w:hAnsi="Times New Roman" w:cs="Times New Roman"/>
          <w:color w:val="000000" w:themeColor="text1"/>
          <w:sz w:val="24"/>
          <w:szCs w:val="24"/>
          <w:lang w:val="en-US"/>
        </w:rPr>
        <w:t>/systems</w:t>
      </w:r>
      <w:r w:rsidR="00DE03AB" w:rsidRPr="001B6443">
        <w:rPr>
          <w:rFonts w:ascii="Times New Roman" w:eastAsia="Calibri" w:hAnsi="Times New Roman" w:cs="Times New Roman"/>
          <w:color w:val="000000" w:themeColor="text1"/>
          <w:sz w:val="24"/>
          <w:szCs w:val="24"/>
          <w:lang w:val="en-US"/>
        </w:rPr>
        <w:t xml:space="preserve">. </w:t>
      </w:r>
      <w:r w:rsidR="00023336" w:rsidRPr="001B6443">
        <w:rPr>
          <w:rFonts w:ascii="Times New Roman" w:eastAsia="Calibri" w:hAnsi="Times New Roman" w:cs="Times New Roman"/>
          <w:color w:val="000000" w:themeColor="text1"/>
          <w:sz w:val="24"/>
          <w:szCs w:val="24"/>
          <w:lang w:val="en-US"/>
        </w:rPr>
        <w:t>We introduce t</w:t>
      </w:r>
      <w:r w:rsidR="00023336" w:rsidRPr="001B6443">
        <w:rPr>
          <w:rFonts w:ascii="Times New Roman" w:eastAsia="Times New Roman" w:hAnsi="Times New Roman" w:cs="Times New Roman"/>
          <w:color w:val="000000" w:themeColor="text1"/>
          <w:lang w:val="en-US" w:eastAsia="ru-RU"/>
        </w:rPr>
        <w:t xml:space="preserve">he dummy variable (SHARE) that equals one </w:t>
      </w:r>
      <w:r w:rsidR="00023336" w:rsidRPr="001B6443">
        <w:rPr>
          <w:rFonts w:ascii="Times New Roman" w:hAnsi="Times New Roman" w:cs="Times New Roman"/>
          <w:color w:val="000000" w:themeColor="text1"/>
          <w:lang w:val="en-US"/>
        </w:rPr>
        <w:t>if firms belong to share</w:t>
      </w:r>
      <w:r w:rsidR="00DA0B49" w:rsidRPr="001B6443">
        <w:rPr>
          <w:rFonts w:ascii="Times New Roman" w:hAnsi="Times New Roman" w:cs="Times New Roman"/>
          <w:color w:val="000000" w:themeColor="text1"/>
          <w:lang w:val="en-US"/>
        </w:rPr>
        <w:t>holder</w:t>
      </w:r>
      <w:r w:rsidR="00023336" w:rsidRPr="001B6443">
        <w:rPr>
          <w:rFonts w:ascii="Times New Roman" w:hAnsi="Times New Roman" w:cs="Times New Roman"/>
          <w:color w:val="000000" w:themeColor="text1"/>
          <w:lang w:val="en-US"/>
        </w:rPr>
        <w:t xml:space="preserve">-based </w:t>
      </w:r>
      <w:r w:rsidR="00CB1C36" w:rsidRPr="001B6443">
        <w:rPr>
          <w:rFonts w:ascii="Times New Roman" w:hAnsi="Times New Roman" w:cs="Times New Roman"/>
          <w:color w:val="000000" w:themeColor="text1"/>
          <w:lang w:val="en-US"/>
        </w:rPr>
        <w:t xml:space="preserve">CG </w:t>
      </w:r>
      <w:r w:rsidR="00023336" w:rsidRPr="001B6443">
        <w:rPr>
          <w:rFonts w:ascii="Times New Roman" w:hAnsi="Times New Roman" w:cs="Times New Roman"/>
          <w:color w:val="000000" w:themeColor="text1"/>
          <w:lang w:val="en-US"/>
        </w:rPr>
        <w:t>countries</w:t>
      </w:r>
      <w:r w:rsidR="00CB1C36" w:rsidRPr="001B6443">
        <w:rPr>
          <w:rFonts w:ascii="Times New Roman" w:hAnsi="Times New Roman" w:cs="Times New Roman"/>
          <w:color w:val="000000" w:themeColor="text1"/>
          <w:lang w:val="en-US"/>
        </w:rPr>
        <w:t>/systems</w:t>
      </w:r>
      <w:r w:rsidR="00023336" w:rsidRPr="001B6443">
        <w:rPr>
          <w:rFonts w:ascii="Times New Roman" w:hAnsi="Times New Roman" w:cs="Times New Roman"/>
          <w:color w:val="000000" w:themeColor="text1"/>
          <w:lang w:val="en-US"/>
        </w:rPr>
        <w:t xml:space="preserve">, and zero otherwise. </w:t>
      </w:r>
      <w:r w:rsidR="0064622C" w:rsidRPr="001B6443">
        <w:rPr>
          <w:rFonts w:ascii="Times New Roman" w:hAnsi="Times New Roman" w:cs="Times New Roman"/>
          <w:color w:val="000000" w:themeColor="text1"/>
          <w:lang w:val="en-US"/>
        </w:rPr>
        <w:t xml:space="preserve">Panel A of </w:t>
      </w:r>
      <w:r w:rsidR="00DE03AB" w:rsidRPr="001B6443">
        <w:rPr>
          <w:rFonts w:ascii="Times New Roman" w:eastAsia="Calibri" w:hAnsi="Times New Roman" w:cs="Times New Roman"/>
          <w:color w:val="000000" w:themeColor="text1"/>
          <w:sz w:val="24"/>
          <w:szCs w:val="24"/>
          <w:lang w:val="en-US"/>
        </w:rPr>
        <w:t xml:space="preserve">Table 8 </w:t>
      </w:r>
      <w:r w:rsidRPr="001B6443">
        <w:rPr>
          <w:rFonts w:ascii="Times New Roman" w:eastAsia="Calibri" w:hAnsi="Times New Roman" w:cs="Times New Roman"/>
          <w:color w:val="000000" w:themeColor="text1"/>
          <w:sz w:val="24"/>
          <w:szCs w:val="24"/>
          <w:lang w:val="en-US"/>
        </w:rPr>
        <w:t>di</w:t>
      </w:r>
      <w:r w:rsidR="00592365" w:rsidRPr="001B6443">
        <w:rPr>
          <w:rFonts w:ascii="Times New Roman" w:eastAsia="Calibri" w:hAnsi="Times New Roman" w:cs="Times New Roman"/>
          <w:color w:val="000000" w:themeColor="text1"/>
          <w:sz w:val="24"/>
          <w:szCs w:val="24"/>
          <w:lang w:val="en-US"/>
        </w:rPr>
        <w:t xml:space="preserve">splays that the </w:t>
      </w:r>
      <w:r w:rsidR="00B85D77" w:rsidRPr="001B6443">
        <w:rPr>
          <w:rFonts w:ascii="Times New Roman" w:eastAsia="Calibri" w:hAnsi="Times New Roman" w:cs="Times New Roman"/>
          <w:color w:val="000000" w:themeColor="text1"/>
          <w:sz w:val="24"/>
          <w:szCs w:val="24"/>
          <w:lang w:val="en-US"/>
        </w:rPr>
        <w:t>coefficient</w:t>
      </w:r>
      <w:r w:rsidR="00487949" w:rsidRPr="001B6443">
        <w:rPr>
          <w:rFonts w:ascii="Times New Roman" w:eastAsia="Calibri" w:hAnsi="Times New Roman" w:cs="Times New Roman"/>
          <w:color w:val="000000" w:themeColor="text1"/>
          <w:sz w:val="24"/>
          <w:szCs w:val="24"/>
          <w:lang w:val="en-US"/>
        </w:rPr>
        <w:t xml:space="preserve"> of </w:t>
      </w:r>
      <w:r w:rsidR="00592365" w:rsidRPr="001B6443">
        <w:rPr>
          <w:rFonts w:ascii="Times New Roman" w:eastAsia="Calibri" w:hAnsi="Times New Roman" w:cs="Times New Roman"/>
          <w:color w:val="000000" w:themeColor="text1"/>
          <w:sz w:val="24"/>
          <w:szCs w:val="24"/>
          <w:lang w:val="en-US"/>
        </w:rPr>
        <w:t>CCPE*BSCOM</w:t>
      </w:r>
      <w:r w:rsidR="00487949" w:rsidRPr="001B6443">
        <w:rPr>
          <w:rFonts w:ascii="Times New Roman" w:eastAsia="Calibri" w:hAnsi="Times New Roman" w:cs="Times New Roman"/>
          <w:color w:val="000000" w:themeColor="text1"/>
          <w:sz w:val="24"/>
          <w:szCs w:val="24"/>
          <w:lang w:val="en-US"/>
        </w:rPr>
        <w:t xml:space="preserve">*SHARE is positive, indicating that </w:t>
      </w:r>
      <w:r w:rsidR="00E079F1" w:rsidRPr="001B6443">
        <w:rPr>
          <w:rFonts w:ascii="Times New Roman" w:eastAsia="Calibri" w:hAnsi="Times New Roman" w:cs="Times New Roman"/>
          <w:color w:val="000000" w:themeColor="text1"/>
          <w:sz w:val="24"/>
          <w:szCs w:val="24"/>
          <w:lang w:val="en-US"/>
        </w:rPr>
        <w:t>the negative impact of emissions</w:t>
      </w:r>
      <w:r w:rsidR="00592365" w:rsidRPr="001B6443">
        <w:rPr>
          <w:rFonts w:ascii="Times New Roman" w:eastAsia="Calibri" w:hAnsi="Times New Roman" w:cs="Times New Roman"/>
          <w:color w:val="000000" w:themeColor="text1"/>
          <w:sz w:val="24"/>
          <w:szCs w:val="24"/>
          <w:lang w:val="en-US"/>
        </w:rPr>
        <w:t xml:space="preserve"> on MV is</w:t>
      </w:r>
      <w:r w:rsidRPr="001B6443">
        <w:rPr>
          <w:rFonts w:ascii="Times New Roman" w:eastAsia="Calibri" w:hAnsi="Times New Roman" w:cs="Times New Roman"/>
          <w:color w:val="000000" w:themeColor="text1"/>
          <w:sz w:val="24"/>
          <w:szCs w:val="24"/>
          <w:lang w:val="en-US"/>
        </w:rPr>
        <w:t xml:space="preserve"> </w:t>
      </w:r>
      <w:r w:rsidR="00E079F1" w:rsidRPr="001B6443">
        <w:rPr>
          <w:rFonts w:ascii="Times New Roman" w:eastAsia="Calibri" w:hAnsi="Times New Roman" w:cs="Times New Roman"/>
          <w:color w:val="000000" w:themeColor="text1"/>
          <w:sz w:val="24"/>
          <w:szCs w:val="24"/>
          <w:lang w:val="en-US"/>
        </w:rPr>
        <w:t xml:space="preserve">weaker for firms with BSCOM </w:t>
      </w:r>
      <w:r w:rsidRPr="001B6443">
        <w:rPr>
          <w:rFonts w:ascii="Times New Roman" w:eastAsia="Calibri" w:hAnsi="Times New Roman" w:cs="Times New Roman"/>
          <w:color w:val="000000" w:themeColor="text1"/>
          <w:sz w:val="24"/>
          <w:szCs w:val="24"/>
          <w:lang w:val="en-US"/>
        </w:rPr>
        <w:t xml:space="preserve">in shareholder-based </w:t>
      </w:r>
      <w:r w:rsidR="00CB1C36" w:rsidRPr="001B6443">
        <w:rPr>
          <w:rFonts w:ascii="Times New Roman" w:eastAsia="Calibri" w:hAnsi="Times New Roman" w:cs="Times New Roman"/>
          <w:color w:val="000000" w:themeColor="text1"/>
          <w:sz w:val="24"/>
          <w:szCs w:val="24"/>
          <w:lang w:val="en-US"/>
        </w:rPr>
        <w:t xml:space="preserve">CG </w:t>
      </w:r>
      <w:r w:rsidRPr="001B6443">
        <w:rPr>
          <w:rFonts w:ascii="Times New Roman" w:eastAsia="Calibri" w:hAnsi="Times New Roman" w:cs="Times New Roman"/>
          <w:color w:val="000000" w:themeColor="text1"/>
          <w:sz w:val="24"/>
          <w:szCs w:val="24"/>
          <w:lang w:val="en-US"/>
        </w:rPr>
        <w:t>countries</w:t>
      </w:r>
      <w:r w:rsidR="00CB1C36" w:rsidRPr="001B6443">
        <w:rPr>
          <w:rFonts w:ascii="Times New Roman" w:eastAsia="Calibri" w:hAnsi="Times New Roman" w:cs="Times New Roman"/>
          <w:color w:val="000000" w:themeColor="text1"/>
          <w:sz w:val="24"/>
          <w:szCs w:val="24"/>
          <w:lang w:val="en-US"/>
        </w:rPr>
        <w:t>/systems</w:t>
      </w:r>
      <w:r w:rsidR="003A0243" w:rsidRPr="001B6443">
        <w:rPr>
          <w:rFonts w:ascii="Times New Roman" w:eastAsia="Calibri" w:hAnsi="Times New Roman" w:cs="Times New Roman"/>
          <w:color w:val="000000" w:themeColor="text1"/>
          <w:sz w:val="24"/>
          <w:szCs w:val="24"/>
          <w:lang w:val="en-US"/>
        </w:rPr>
        <w:t>. Further,</w:t>
      </w:r>
      <w:r w:rsidR="00822929" w:rsidRPr="001B6443">
        <w:rPr>
          <w:rFonts w:ascii="Times New Roman" w:eastAsia="Calibri" w:hAnsi="Times New Roman" w:cs="Times New Roman"/>
          <w:color w:val="000000" w:themeColor="text1"/>
          <w:sz w:val="24"/>
          <w:szCs w:val="24"/>
          <w:lang w:val="en-US"/>
        </w:rPr>
        <w:t xml:space="preserve"> </w:t>
      </w:r>
      <w:r w:rsidR="003A0243" w:rsidRPr="001B6443">
        <w:rPr>
          <w:rFonts w:ascii="Times New Roman" w:eastAsia="Calibri" w:hAnsi="Times New Roman" w:cs="Times New Roman"/>
          <w:color w:val="000000" w:themeColor="text1"/>
          <w:sz w:val="24"/>
          <w:szCs w:val="24"/>
          <w:lang w:val="en-US"/>
        </w:rPr>
        <w:t xml:space="preserve">SHARE is positively related to MV, indicating that firms operating in shareholder-based CG countries/systems </w:t>
      </w:r>
      <w:r w:rsidR="00822929" w:rsidRPr="001B6443">
        <w:rPr>
          <w:rFonts w:ascii="Times New Roman" w:eastAsia="Calibri" w:hAnsi="Times New Roman" w:cs="Times New Roman"/>
          <w:color w:val="000000" w:themeColor="text1"/>
          <w:sz w:val="24"/>
          <w:szCs w:val="24"/>
          <w:lang w:val="en-US"/>
        </w:rPr>
        <w:t xml:space="preserve">have higher MV. </w:t>
      </w:r>
      <w:r w:rsidR="0064622C" w:rsidRPr="001B6443">
        <w:rPr>
          <w:rFonts w:ascii="Times New Roman" w:eastAsia="Calibri" w:hAnsi="Times New Roman" w:cs="Times New Roman"/>
          <w:color w:val="000000" w:themeColor="text1"/>
          <w:sz w:val="24"/>
          <w:szCs w:val="24"/>
          <w:lang w:val="en-US"/>
        </w:rPr>
        <w:t>Panel B</w:t>
      </w:r>
      <w:r w:rsidR="00822929" w:rsidRPr="001B6443">
        <w:rPr>
          <w:rFonts w:ascii="Times New Roman" w:eastAsia="Calibri" w:hAnsi="Times New Roman" w:cs="Times New Roman"/>
          <w:color w:val="000000" w:themeColor="text1"/>
          <w:sz w:val="24"/>
          <w:szCs w:val="24"/>
          <w:lang w:val="en-US"/>
        </w:rPr>
        <w:t xml:space="preserve"> display</w:t>
      </w:r>
      <w:r w:rsidR="0064622C" w:rsidRPr="001B6443">
        <w:rPr>
          <w:rFonts w:ascii="Times New Roman" w:eastAsia="Calibri" w:hAnsi="Times New Roman" w:cs="Times New Roman"/>
          <w:color w:val="000000" w:themeColor="text1"/>
          <w:sz w:val="24"/>
          <w:szCs w:val="24"/>
          <w:lang w:val="en-US"/>
        </w:rPr>
        <w:t>s</w:t>
      </w:r>
      <w:r w:rsidR="00822929" w:rsidRPr="001B6443">
        <w:rPr>
          <w:rFonts w:ascii="Times New Roman" w:eastAsia="Calibri" w:hAnsi="Times New Roman" w:cs="Times New Roman"/>
          <w:color w:val="000000" w:themeColor="text1"/>
          <w:sz w:val="24"/>
          <w:szCs w:val="24"/>
          <w:lang w:val="en-US"/>
        </w:rPr>
        <w:t xml:space="preserve"> that the positive relationship between BSCOM and CCPE is stronger for stakeholder-based countries/systems</w:t>
      </w:r>
      <w:r w:rsidR="0064622C" w:rsidRPr="001B6443">
        <w:rPr>
          <w:rFonts w:ascii="Times New Roman" w:eastAsia="Calibri" w:hAnsi="Times New Roman" w:cs="Times New Roman"/>
          <w:color w:val="000000" w:themeColor="text1"/>
          <w:sz w:val="24"/>
          <w:szCs w:val="24"/>
          <w:lang w:val="en-US"/>
        </w:rPr>
        <w:t xml:space="preserve">. Altogether, the </w:t>
      </w:r>
      <w:r w:rsidRPr="001B6443">
        <w:rPr>
          <w:rFonts w:ascii="Times New Roman" w:eastAsia="Calibri" w:hAnsi="Times New Roman" w:cs="Times New Roman"/>
          <w:color w:val="000000" w:themeColor="text1"/>
          <w:sz w:val="24"/>
          <w:szCs w:val="24"/>
          <w:lang w:val="en-US"/>
        </w:rPr>
        <w:t xml:space="preserve">results suggest that </w:t>
      </w:r>
      <w:r w:rsidR="00E20CCC" w:rsidRPr="001B6443">
        <w:rPr>
          <w:rFonts w:ascii="Times New Roman" w:eastAsia="Calibri" w:hAnsi="Times New Roman" w:cs="Times New Roman"/>
          <w:color w:val="000000" w:themeColor="text1"/>
          <w:sz w:val="24"/>
          <w:szCs w:val="24"/>
          <w:lang w:val="en-US"/>
        </w:rPr>
        <w:t>firms</w:t>
      </w:r>
      <w:r w:rsidR="003A0243" w:rsidRPr="001B6443">
        <w:rPr>
          <w:rFonts w:ascii="Times New Roman" w:eastAsia="Calibri" w:hAnsi="Times New Roman" w:cs="Times New Roman"/>
          <w:color w:val="000000" w:themeColor="text1"/>
          <w:sz w:val="24"/>
          <w:szCs w:val="24"/>
          <w:lang w:val="en-US"/>
        </w:rPr>
        <w:t xml:space="preserve"> from </w:t>
      </w:r>
      <w:r w:rsidR="00E20CCC" w:rsidRPr="001B6443">
        <w:rPr>
          <w:rFonts w:ascii="Times New Roman" w:eastAsia="Calibri" w:hAnsi="Times New Roman" w:cs="Times New Roman"/>
          <w:color w:val="000000" w:themeColor="text1"/>
          <w:sz w:val="24"/>
          <w:szCs w:val="24"/>
          <w:lang w:val="en-US"/>
        </w:rPr>
        <w:t>shareholder</w:t>
      </w:r>
      <w:r w:rsidRPr="001B6443">
        <w:rPr>
          <w:rFonts w:ascii="Times New Roman" w:eastAsia="Calibri" w:hAnsi="Times New Roman" w:cs="Times New Roman"/>
          <w:color w:val="000000" w:themeColor="text1"/>
          <w:sz w:val="24"/>
          <w:szCs w:val="24"/>
          <w:lang w:val="en-US"/>
        </w:rPr>
        <w:t>-oriented markets are more concerned about the economic consequences</w:t>
      </w:r>
      <w:r w:rsidR="00592365" w:rsidRPr="001B6443">
        <w:rPr>
          <w:rFonts w:ascii="Times New Roman" w:eastAsia="Calibri" w:hAnsi="Times New Roman" w:cs="Times New Roman"/>
          <w:color w:val="000000" w:themeColor="text1"/>
          <w:sz w:val="24"/>
          <w:szCs w:val="24"/>
          <w:lang w:val="en-US"/>
        </w:rPr>
        <w:t xml:space="preserve"> of their environmental impacts</w:t>
      </w:r>
      <w:r w:rsidRPr="001B6443">
        <w:rPr>
          <w:rFonts w:ascii="Times New Roman" w:eastAsia="Calibri" w:hAnsi="Times New Roman" w:cs="Times New Roman"/>
          <w:color w:val="000000" w:themeColor="text1"/>
          <w:sz w:val="24"/>
          <w:szCs w:val="24"/>
          <w:lang w:val="en-US"/>
        </w:rPr>
        <w:t xml:space="preserve">. This is consistent with the view that firms in shareholder-based countries are compelled by investors’ pressures to pursue short-term financial goals and value-enhancing developments, while firms in stakeholder-based regimes are motivated to promote social values and stakeholder perspectives </w:t>
      </w:r>
      <w:r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{"citationItems":[{"id":"ITEM-1","itemData":{"DOI":"10.1111/1467-8551.12352","ISSN":"14678551","abstract":"We develop new theory pertaining to the institutional determinants of renewable energy usage across countries and over time. Building on key strands of the comparative capitalisms literature, we introduce new hypotheses relating to the 2009 Directive from the European Union (EU) on energy generation, as well as the impact of labour market regimes, national stock markets and merger and acquisition (M&amp;A) activity, as well as ‘doing business’ conditions across countries. Based on renewable energy data from 27 EU countries over a period of 11 years, we provide new tests of the determinants of renewable energy usage. The data show strong and robust evidence of a causal impact of institutional determinants on renewable energy usage, consistent with a positive impact of the EU's 2009 Directive and other specific institutional factors. We discuss the implications for policy and practice.","author":[{"dropping-particle":"","family":"Allen","given":"Maria L.","non-dropping-particle":"","parse-names":false,"suffix":""},{"dropping-particle":"","family":"Allen","given":"Matthew M.C.","non-dropping-particle":"","parse-names":false,"suffix":""},{"dropping-particle":"","family":"Cumming","given":"Douglas","non-dropping-particle":"","parse-names":false,"suffix":""},{"dropping-particle":"","family":"Johan","given":"Sofia","non-dropping-particle":"","parse-names":false,"suffix":""}],"container-title":"British Journal of Management","id":"ITEM-1","issue":"3","issued":{"date-parts":[["2021"]]},"page":"611-629","title":"Comparative Capitalisms and Energy Transitions: Renewable Energy in the European Union","type":"article-journal","volume":"32"},"uris":["http://www.mendeley.com/documents/?uuid=84b914ce-f256-3e34-88ad-3d8344fc1e83"]},{"id":"ITEM-2","itemData":{"DOI":"10.1111/1467-8551.12377","ISSN":"14678551","abstract":"This paper examines renewable energy (RE) investment and the role of a country's legal system in shaping investment decisions. Analysing data from 236 renewable energy companies between 2000 and 2017 across the world, our study establishes that those in a common law system are more responsive to growth opportunities in RE investment, while facing greater financial constraints than their counterparts in civil law systems. Our study demonstrates that the global imbalance in RE development is caused by the influence of a country's legal system, which determines the regulatory and business ethos that impacts on the trajectory of investment, and by the varying degrees of accountability implicit in a country's governance environment. Our research raises the implication that the opportunity costs of forgone economic gains are in direct conflict with long-term environmental goals, retarding the transition from carbon-based to sustainable sources of energy, and provides insights into how development can be stimulated by fiscal incentives, favourable regulations, societal engagement, improved access to finance and the alignment of national strategies. Our findings contribute to the economic literature of legal origin theory and establish fundamental principles for refining global RE development strategy and confronting the challenge of climate change.","author":[{"dropping-particle":"","family":"Liu","given":"Jia","non-dropping-particle":"","parse-names":false,"suffix":""},{"dropping-particle":"","family":"Zhang","given":"Dayong","non-dropping-particle":"","parse-names":false,"suffix":""},{"dropping-particle":"","family":"Cai","given":"Jing","non-dropping-particle":"","parse-names":false,"suffix":""},{"dropping-particle":"","family":"Davenport","given":"John","non-dropping-particle":"","parse-names":false,"suffix":""}],"container-title":"British Journal of Management","id":"ITEM-2","issue":"3","issued":{"date-parts":[["2021"]]},"page":"579-610","title":"Legal Systems, National Governance and Renewable Energy Investment: Evidence from Around the World","type":"article-journal","volume":"32"},"uris":["http://www.mendeley.com/documents/?uuid=41117600-eeb6-356f-a002-d5ceacdec548"]}],"mendeley":{"formattedCitation":"(Allen et al. 2021; Liu et al. 2021)","manualFormatting":"(Allen et al., 2021; Liu et al., 2021)","plainTextFormattedCitation":"(Allen et al. 2021; Liu et al. 2021)","previouslyFormattedCitation":"(Allen et al. 2021; Liu et al. 2021)"},"properties":{"noteIndex":0},"schema":"https://github.com/citation-style-language/schema/raw/master/csl-citation.json"}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 xml:space="preserve">(Allen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 Liu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007F3BAC" w:rsidRPr="001B6443">
        <w:rPr>
          <w:rFonts w:ascii="Times New Roman" w:eastAsia="Calibri" w:hAnsi="Times New Roman" w:cs="Times New Roman"/>
          <w:color w:val="000000" w:themeColor="text1"/>
          <w:sz w:val="24"/>
          <w:szCs w:val="24"/>
          <w:lang w:val="en-US"/>
        </w:rPr>
        <w:t xml:space="preserve"> Overall, the results</w:t>
      </w:r>
      <w:r w:rsidR="00F45023" w:rsidRPr="001B6443">
        <w:rPr>
          <w:rFonts w:ascii="Times New Roman" w:eastAsia="Calibri" w:hAnsi="Times New Roman" w:cs="Times New Roman"/>
          <w:color w:val="000000" w:themeColor="text1"/>
          <w:sz w:val="24"/>
          <w:szCs w:val="24"/>
          <w:lang w:val="en-US"/>
        </w:rPr>
        <w:t xml:space="preserve"> conform with past research in </w:t>
      </w:r>
      <w:r w:rsidR="007F3BAC" w:rsidRPr="001B6443">
        <w:rPr>
          <w:rFonts w:ascii="Times New Roman" w:eastAsia="Calibri" w:hAnsi="Times New Roman" w:cs="Times New Roman"/>
          <w:color w:val="000000" w:themeColor="text1"/>
          <w:sz w:val="24"/>
          <w:szCs w:val="24"/>
          <w:lang w:val="en-US"/>
        </w:rPr>
        <w:t>suggest</w:t>
      </w:r>
      <w:r w:rsidR="00F45023" w:rsidRPr="001B6443">
        <w:rPr>
          <w:rFonts w:ascii="Times New Roman" w:eastAsia="Calibri" w:hAnsi="Times New Roman" w:cs="Times New Roman"/>
          <w:color w:val="000000" w:themeColor="text1"/>
          <w:sz w:val="24"/>
          <w:szCs w:val="24"/>
          <w:lang w:val="en-US"/>
        </w:rPr>
        <w:t>ing</w:t>
      </w:r>
      <w:r w:rsidR="007F3BAC" w:rsidRPr="001B6443">
        <w:rPr>
          <w:rFonts w:ascii="Times New Roman" w:eastAsia="Calibri" w:hAnsi="Times New Roman" w:cs="Times New Roman"/>
          <w:color w:val="000000" w:themeColor="text1"/>
          <w:sz w:val="24"/>
          <w:szCs w:val="24"/>
          <w:lang w:val="en-US"/>
        </w:rPr>
        <w:t xml:space="preserve"> that climate governance</w:t>
      </w:r>
      <w:r w:rsidR="00D754F3" w:rsidRPr="001B6443">
        <w:rPr>
          <w:rFonts w:ascii="Times New Roman" w:eastAsia="Calibri" w:hAnsi="Times New Roman" w:cs="Times New Roman"/>
          <w:color w:val="000000" w:themeColor="text1"/>
          <w:sz w:val="24"/>
          <w:szCs w:val="24"/>
          <w:lang w:val="en-US"/>
        </w:rPr>
        <w:t xml:space="preserve"> </w:t>
      </w:r>
      <w:r w:rsidR="00D754F3" w:rsidRPr="001B6443">
        <w:rPr>
          <w:rFonts w:ascii="Times New Roman" w:eastAsia="Calibri" w:hAnsi="Times New Roman" w:cs="Times New Roman"/>
          <w:color w:val="000000" w:themeColor="text1"/>
          <w:sz w:val="24"/>
          <w:szCs w:val="24"/>
          <w:lang w:val="en-US"/>
        </w:rPr>
        <w:fldChar w:fldCharType="begin" w:fldLock="1"/>
      </w:r>
      <w:r w:rsidR="00344CDC"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performance","type":"article-journal","volume":"52"},"uris":["http://www.mendeley.com/documents/?uuid=c71df26d-d480-3b40-b9c9-2d5e5bd33b21"]}],"mendeley":{"formattedCitation":"(Bui et al. 2020)","plainTextFormattedCitation":"(Bui et al. 2020)","previouslyFormattedCitation":"(Bui et al. 2020)"},"properties":{"noteIndex":0},"schema":"https://github.com/citation-style-language/schema/raw/master/csl-citation.json"}</w:instrText>
      </w:r>
      <w:r w:rsidR="00D754F3" w:rsidRPr="001B6443">
        <w:rPr>
          <w:rFonts w:ascii="Times New Roman" w:eastAsia="Calibri" w:hAnsi="Times New Roman" w:cs="Times New Roman"/>
          <w:color w:val="000000" w:themeColor="text1"/>
          <w:sz w:val="24"/>
          <w:szCs w:val="24"/>
          <w:lang w:val="en-US"/>
        </w:rPr>
        <w:fldChar w:fldCharType="separate"/>
      </w:r>
      <w:r w:rsidR="00D754F3" w:rsidRPr="001B6443">
        <w:rPr>
          <w:rFonts w:ascii="Times New Roman" w:eastAsia="Calibri" w:hAnsi="Times New Roman" w:cs="Times New Roman"/>
          <w:noProof/>
          <w:color w:val="000000" w:themeColor="text1"/>
          <w:sz w:val="24"/>
          <w:szCs w:val="24"/>
          <w:lang w:val="en-US"/>
        </w:rPr>
        <w:t xml:space="preserve">(Bui </w:t>
      </w:r>
      <w:r w:rsidR="00D754F3" w:rsidRPr="001B6443">
        <w:rPr>
          <w:rFonts w:ascii="Times New Roman" w:eastAsia="Calibri" w:hAnsi="Times New Roman" w:cs="Times New Roman"/>
          <w:i/>
          <w:noProof/>
          <w:color w:val="000000" w:themeColor="text1"/>
          <w:sz w:val="24"/>
          <w:szCs w:val="24"/>
          <w:lang w:val="en-US"/>
        </w:rPr>
        <w:t>et al.</w:t>
      </w:r>
      <w:r w:rsidR="00D754F3" w:rsidRPr="001B6443">
        <w:rPr>
          <w:rFonts w:ascii="Times New Roman" w:eastAsia="Calibri" w:hAnsi="Times New Roman" w:cs="Times New Roman"/>
          <w:noProof/>
          <w:color w:val="000000" w:themeColor="text1"/>
          <w:sz w:val="24"/>
          <w:szCs w:val="24"/>
          <w:lang w:val="en-US"/>
        </w:rPr>
        <w:t xml:space="preserve"> 2020)</w:t>
      </w:r>
      <w:r w:rsidR="00D754F3" w:rsidRPr="001B6443">
        <w:rPr>
          <w:rFonts w:ascii="Times New Roman" w:eastAsia="Calibri" w:hAnsi="Times New Roman" w:cs="Times New Roman"/>
          <w:color w:val="000000" w:themeColor="text1"/>
          <w:sz w:val="24"/>
          <w:szCs w:val="24"/>
          <w:lang w:val="en-US"/>
        </w:rPr>
        <w:fldChar w:fldCharType="end"/>
      </w:r>
      <w:r w:rsidR="00D754F3" w:rsidRPr="001B6443">
        <w:rPr>
          <w:rFonts w:ascii="Times New Roman" w:eastAsia="Calibri" w:hAnsi="Times New Roman" w:cs="Times New Roman"/>
          <w:color w:val="000000" w:themeColor="text1"/>
          <w:sz w:val="24"/>
          <w:szCs w:val="24"/>
          <w:lang w:val="en-US"/>
        </w:rPr>
        <w:t>, institutional pressures</w:t>
      </w:r>
      <w:r w:rsidR="00344CDC" w:rsidRPr="001B6443">
        <w:rPr>
          <w:rFonts w:ascii="Times New Roman" w:eastAsia="Calibri" w:hAnsi="Times New Roman" w:cs="Times New Roman"/>
          <w:color w:val="000000" w:themeColor="text1"/>
          <w:sz w:val="24"/>
          <w:szCs w:val="24"/>
          <w:lang w:val="en-US"/>
        </w:rPr>
        <w:t xml:space="preserve"> </w:t>
      </w:r>
      <w:r w:rsidR="00344CDC" w:rsidRPr="001B6443">
        <w:rPr>
          <w:rFonts w:ascii="Times New Roman" w:eastAsia="Calibri" w:hAnsi="Times New Roman" w:cs="Times New Roman"/>
          <w:color w:val="000000" w:themeColor="text1"/>
          <w:sz w:val="24"/>
          <w:szCs w:val="24"/>
          <w:lang w:val="en-US"/>
        </w:rPr>
        <w:fldChar w:fldCharType="begin" w:fldLock="1"/>
      </w:r>
      <w:r w:rsidR="00002384" w:rsidRPr="001B6443">
        <w:rPr>
          <w:rFonts w:ascii="Times New Roman" w:eastAsia="Calibri" w:hAnsi="Times New Roman" w:cs="Times New Roman"/>
          <w:color w:val="000000" w:themeColor="text1"/>
          <w:sz w:val="24"/>
          <w:szCs w:val="24"/>
          <w:lang w:val="en-US"/>
        </w:rPr>
        <w:instrText>ADDIN CSL_CITATION {"citationItems":[{"id":"ITEM-1","itemData":{"DOI":"10.1111/1467-8551.12613","author":[{"dropping-particle":"","family":"Benlemlih","given":"Mohammed","non-dropping-particle":"","parse-names":false,"suffix":""},{"dropping-particle":"","family":"Arif","given":"Muhammad","non-dropping-particle":"","parse-names":false,"suffix":""},{"dropping-particle":"","family":"Nadeem","given":"Muhammad","non-dropping-particle":"","parse-names":false,"suffix":""}],"container-title":"British Journal of Management","id":"ITEM-1","issued":{"date-parts":[["2022"]]},"page":"1-25","title":"Institutional Ownership and Greenhouse Gas Emissions : A Comparative Study of the UK and the USA","type":"article-journal","volume":"0"},"uris":["http://www.mendeley.com/documents/?uuid=56ddca19-af3d-4a63-9d8b-7a5455b6e2bb"]}],"mendeley":{"formattedCitation":"(Benlemlih et al. 2022)","plainTextFormattedCitation":"(Benlemlih et al. 2022)","previouslyFormattedCitation":"(Benlemlih et al. 2022)"},"properties":{"noteIndex":0},"schema":"https://github.com/citation-style-language/schema/raw/master/csl-citation.json"}</w:instrText>
      </w:r>
      <w:r w:rsidR="00344CDC" w:rsidRPr="001B6443">
        <w:rPr>
          <w:rFonts w:ascii="Times New Roman" w:eastAsia="Calibri" w:hAnsi="Times New Roman" w:cs="Times New Roman"/>
          <w:color w:val="000000" w:themeColor="text1"/>
          <w:sz w:val="24"/>
          <w:szCs w:val="24"/>
          <w:lang w:val="en-US"/>
        </w:rPr>
        <w:fldChar w:fldCharType="separate"/>
      </w:r>
      <w:r w:rsidR="00344CDC" w:rsidRPr="001B6443">
        <w:rPr>
          <w:rFonts w:ascii="Times New Roman" w:eastAsia="Calibri" w:hAnsi="Times New Roman" w:cs="Times New Roman"/>
          <w:noProof/>
          <w:color w:val="000000" w:themeColor="text1"/>
          <w:sz w:val="24"/>
          <w:szCs w:val="24"/>
          <w:lang w:val="en-US"/>
        </w:rPr>
        <w:t xml:space="preserve">(Benlemlih </w:t>
      </w:r>
      <w:r w:rsidR="00344CDC" w:rsidRPr="001B6443">
        <w:rPr>
          <w:rFonts w:ascii="Times New Roman" w:eastAsia="Calibri" w:hAnsi="Times New Roman" w:cs="Times New Roman"/>
          <w:i/>
          <w:noProof/>
          <w:color w:val="000000" w:themeColor="text1"/>
          <w:sz w:val="24"/>
          <w:szCs w:val="24"/>
          <w:lang w:val="en-US"/>
        </w:rPr>
        <w:t>et al.</w:t>
      </w:r>
      <w:r w:rsidR="00344CDC" w:rsidRPr="001B6443">
        <w:rPr>
          <w:rFonts w:ascii="Times New Roman" w:eastAsia="Calibri" w:hAnsi="Times New Roman" w:cs="Times New Roman"/>
          <w:noProof/>
          <w:color w:val="000000" w:themeColor="text1"/>
          <w:sz w:val="24"/>
          <w:szCs w:val="24"/>
          <w:lang w:val="en-US"/>
        </w:rPr>
        <w:t xml:space="preserve"> 2022)</w:t>
      </w:r>
      <w:r w:rsidR="00344CDC" w:rsidRPr="001B6443">
        <w:rPr>
          <w:rFonts w:ascii="Times New Roman" w:eastAsia="Calibri" w:hAnsi="Times New Roman" w:cs="Times New Roman"/>
          <w:color w:val="000000" w:themeColor="text1"/>
          <w:sz w:val="24"/>
          <w:szCs w:val="24"/>
          <w:lang w:val="en-US"/>
        </w:rPr>
        <w:fldChar w:fldCharType="end"/>
      </w:r>
      <w:r w:rsidR="00D754F3" w:rsidRPr="001B6443">
        <w:rPr>
          <w:rFonts w:ascii="Times New Roman" w:eastAsia="Calibri" w:hAnsi="Times New Roman" w:cs="Times New Roman"/>
          <w:color w:val="000000" w:themeColor="text1"/>
          <w:sz w:val="24"/>
          <w:szCs w:val="24"/>
          <w:lang w:val="en-US"/>
        </w:rPr>
        <w:t xml:space="preserve">, and </w:t>
      </w:r>
      <w:r w:rsidR="00002384" w:rsidRPr="001B6443">
        <w:rPr>
          <w:rFonts w:ascii="Times New Roman" w:eastAsia="Calibri" w:hAnsi="Times New Roman" w:cs="Times New Roman"/>
          <w:color w:val="000000" w:themeColor="text1"/>
          <w:sz w:val="24"/>
          <w:szCs w:val="24"/>
          <w:lang w:val="en-US"/>
        </w:rPr>
        <w:t xml:space="preserve">legal systems </w:t>
      </w:r>
      <w:r w:rsidR="00002384" w:rsidRPr="001B6443">
        <w:rPr>
          <w:rFonts w:ascii="Times New Roman" w:eastAsia="Calibri" w:hAnsi="Times New Roman" w:cs="Times New Roman"/>
          <w:color w:val="000000" w:themeColor="text1"/>
          <w:sz w:val="24"/>
          <w:szCs w:val="24"/>
          <w:lang w:val="en-US"/>
        </w:rPr>
        <w:fldChar w:fldCharType="begin" w:fldLock="1"/>
      </w:r>
      <w:r w:rsidR="00AA4CCF" w:rsidRPr="001B6443">
        <w:rPr>
          <w:rFonts w:ascii="Times New Roman" w:eastAsia="Calibri" w:hAnsi="Times New Roman" w:cs="Times New Roman"/>
          <w:color w:val="000000" w:themeColor="text1"/>
          <w:sz w:val="24"/>
          <w:szCs w:val="24"/>
          <w:lang w:val="en-US"/>
        </w:rPr>
        <w:instrText>ADDIN CSL_CITATION {"citationItems":[{"id":"ITEM-1","itemData":{"DOI":"10.1111/1467-8551.12356","ISSN":"14678551","abstract":"In the presence of environmental policy, how do regulated firms respond? The answer is crucial for the design and effectiveness of policy regimes intended to mitigate environmental damage. We investigate whether particular types of firms are more likely to be proactive; in other words, which firms tend to behave in a manner most consistent with the desired policy outcomes. Using data on per-firm ‘verified’ and ‘allocated’ emissions from the European Union's Emissions Trading System (EU ETS) from 2005 till 2016, and given that some firms exceed or undershoot the allocated allowances by a large margin, we posit that this and related measures are useful proxies for a firm's proactiveness in responding to environmental policy. We find that public firms are less likely than private firms to be proactive, whilst the same is found for firms in common rather than civil law countries and for state-owned firms. Strikingly, proactiveness is associated both with greater reductions in greenhouse gas emissions and poorer firm performance, suggesting there is an economic cost to good environmental behaviour. Whilst the EU ETS is reducing emissions, it is not yet adequately compensating proactive firms or penalizing those who pollute – better system design could aid this further.","author":[{"dropping-particle":"","family":"Andreou","given":"Panayiotis C.","non-dropping-particle":"","parse-names":false,"suffix":""},{"dropping-particle":"","family":"Kellard","given":"Neil M.","non-dropping-particle":"","parse-names":false,"suffix":""}],"container-title":"British Journal of Management","id":"ITEM-1","issue":"3","issued":{"date-parts":[["2021"]]},"page":"630-647","title":"Corporate Environmental Proactivity: Evidence from the European Union's Emissions Trading System","type":"article-journal","volume":"32"},"uris":["http://www.mendeley.com/documents/?uuid=7dfe55b5-098b-30c6-bc10-b3146b2ae362"]}],"mendeley":{"formattedCitation":"(Andreou and Kellard 2021)","plainTextFormattedCitation":"(Andreou and Kellard 2021)","previouslyFormattedCitation":"(Andreou and Kellard 2021)"},"properties":{"noteIndex":0},"schema":"https://github.com/citation-style-language/schema/raw/master/csl-citation.json"}</w:instrText>
      </w:r>
      <w:r w:rsidR="00002384" w:rsidRPr="001B6443">
        <w:rPr>
          <w:rFonts w:ascii="Times New Roman" w:eastAsia="Calibri" w:hAnsi="Times New Roman" w:cs="Times New Roman"/>
          <w:color w:val="000000" w:themeColor="text1"/>
          <w:sz w:val="24"/>
          <w:szCs w:val="24"/>
          <w:lang w:val="en-US"/>
        </w:rPr>
        <w:fldChar w:fldCharType="separate"/>
      </w:r>
      <w:r w:rsidR="00002384" w:rsidRPr="001B6443">
        <w:rPr>
          <w:rFonts w:ascii="Times New Roman" w:eastAsia="Calibri" w:hAnsi="Times New Roman" w:cs="Times New Roman"/>
          <w:noProof/>
          <w:color w:val="000000" w:themeColor="text1"/>
          <w:sz w:val="24"/>
          <w:szCs w:val="24"/>
          <w:lang w:val="en-US"/>
        </w:rPr>
        <w:t>(Andreou and Kellard 2021)</w:t>
      </w:r>
      <w:r w:rsidR="00002384" w:rsidRPr="001B6443">
        <w:rPr>
          <w:rFonts w:ascii="Times New Roman" w:eastAsia="Calibri" w:hAnsi="Times New Roman" w:cs="Times New Roman"/>
          <w:color w:val="000000" w:themeColor="text1"/>
          <w:sz w:val="24"/>
          <w:szCs w:val="24"/>
          <w:lang w:val="en-US"/>
        </w:rPr>
        <w:fldChar w:fldCharType="end"/>
      </w:r>
      <w:r w:rsidR="00D754F3" w:rsidRPr="001B6443">
        <w:rPr>
          <w:rFonts w:ascii="Times New Roman" w:eastAsia="Calibri" w:hAnsi="Times New Roman" w:cs="Times New Roman"/>
          <w:color w:val="000000" w:themeColor="text1"/>
          <w:sz w:val="24"/>
          <w:szCs w:val="24"/>
          <w:lang w:val="en-US"/>
        </w:rPr>
        <w:t xml:space="preserve"> </w:t>
      </w:r>
      <w:r w:rsidR="00F45023" w:rsidRPr="001B6443">
        <w:rPr>
          <w:rFonts w:ascii="Times New Roman" w:eastAsia="Calibri" w:hAnsi="Times New Roman" w:cs="Times New Roman"/>
          <w:color w:val="000000" w:themeColor="text1"/>
          <w:sz w:val="24"/>
          <w:szCs w:val="24"/>
          <w:lang w:val="en-US"/>
        </w:rPr>
        <w:t xml:space="preserve">affect corporate responses to climate change and performance outcomes. </w:t>
      </w:r>
    </w:p>
    <w:p w14:paraId="16E0502B" w14:textId="77777777" w:rsidR="00F45023" w:rsidRPr="001B6443" w:rsidRDefault="00F45023" w:rsidP="00F45023">
      <w:pPr>
        <w:spacing w:after="0" w:line="480" w:lineRule="auto"/>
        <w:jc w:val="both"/>
        <w:rPr>
          <w:rFonts w:ascii="Times New Roman" w:eastAsia="Calibri" w:hAnsi="Times New Roman" w:cs="Times New Roman"/>
          <w:color w:val="000000" w:themeColor="text1"/>
          <w:sz w:val="24"/>
          <w:szCs w:val="24"/>
          <w:lang w:val="en-US"/>
        </w:rPr>
      </w:pPr>
    </w:p>
    <w:p w14:paraId="6E608F84" w14:textId="7E6D6CE6" w:rsidR="003261DB"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Second, we repeat the estimations for EU ETS and non-EU ETS countries. </w:t>
      </w:r>
      <w:r w:rsidR="00023336" w:rsidRPr="001B6443">
        <w:rPr>
          <w:rFonts w:ascii="Times New Roman" w:eastAsia="Calibri" w:hAnsi="Times New Roman" w:cs="Times New Roman"/>
          <w:color w:val="000000" w:themeColor="text1"/>
          <w:sz w:val="24"/>
          <w:szCs w:val="24"/>
          <w:lang w:val="en-US"/>
        </w:rPr>
        <w:t xml:space="preserve">We </w:t>
      </w:r>
      <w:r w:rsidR="00162046" w:rsidRPr="001B6443">
        <w:rPr>
          <w:rFonts w:ascii="Times New Roman" w:eastAsia="Calibri" w:hAnsi="Times New Roman" w:cs="Times New Roman"/>
          <w:color w:val="000000" w:themeColor="text1"/>
          <w:sz w:val="24"/>
          <w:szCs w:val="24"/>
          <w:lang w:val="en-US"/>
        </w:rPr>
        <w:t>employ</w:t>
      </w:r>
      <w:r w:rsidR="00023336" w:rsidRPr="001B6443">
        <w:rPr>
          <w:rFonts w:ascii="Times New Roman" w:eastAsia="Calibri" w:hAnsi="Times New Roman" w:cs="Times New Roman"/>
          <w:color w:val="000000" w:themeColor="text1"/>
          <w:sz w:val="24"/>
          <w:szCs w:val="24"/>
          <w:lang w:val="en-US"/>
        </w:rPr>
        <w:t xml:space="preserve"> t</w:t>
      </w:r>
      <w:r w:rsidR="00023336" w:rsidRPr="001B6443">
        <w:rPr>
          <w:rFonts w:ascii="Times New Roman" w:eastAsia="Times New Roman" w:hAnsi="Times New Roman" w:cs="Times New Roman"/>
          <w:color w:val="000000" w:themeColor="text1"/>
          <w:sz w:val="24"/>
          <w:szCs w:val="24"/>
          <w:lang w:val="en-US" w:eastAsia="ru-RU"/>
        </w:rPr>
        <w:t xml:space="preserve">he dummy variable (EUETS) that equals one </w:t>
      </w:r>
      <w:r w:rsidR="00023336" w:rsidRPr="001B6443">
        <w:rPr>
          <w:rFonts w:ascii="Times New Roman" w:hAnsi="Times New Roman" w:cs="Times New Roman"/>
          <w:color w:val="000000" w:themeColor="text1"/>
          <w:sz w:val="24"/>
          <w:szCs w:val="24"/>
          <w:lang w:val="en-US"/>
        </w:rPr>
        <w:t xml:space="preserve">if firms belong to EU ETS countries, and zero otherwise. </w:t>
      </w:r>
      <w:r w:rsidR="00360CF6" w:rsidRPr="001B6443">
        <w:rPr>
          <w:rFonts w:ascii="Times New Roman" w:hAnsi="Times New Roman" w:cs="Times New Roman"/>
          <w:color w:val="000000" w:themeColor="text1"/>
          <w:sz w:val="24"/>
          <w:szCs w:val="24"/>
          <w:lang w:val="en-US"/>
        </w:rPr>
        <w:t xml:space="preserve">Panel A of </w:t>
      </w:r>
      <w:r w:rsidRPr="001B6443">
        <w:rPr>
          <w:rFonts w:ascii="Times New Roman" w:eastAsia="Calibri" w:hAnsi="Times New Roman" w:cs="Times New Roman"/>
          <w:color w:val="000000" w:themeColor="text1"/>
          <w:sz w:val="24"/>
          <w:szCs w:val="24"/>
          <w:lang w:val="en-US"/>
        </w:rPr>
        <w:t>Table 9 shows that the negative impact of CCPE</w:t>
      </w:r>
      <w:r w:rsidR="00E84409" w:rsidRPr="001B6443">
        <w:rPr>
          <w:rFonts w:ascii="Times New Roman" w:eastAsia="Calibri" w:hAnsi="Times New Roman" w:cs="Times New Roman"/>
          <w:color w:val="000000" w:themeColor="text1"/>
          <w:sz w:val="24"/>
          <w:szCs w:val="24"/>
          <w:lang w:val="en-US"/>
        </w:rPr>
        <w:t xml:space="preserve"> on MV is more prominent for </w:t>
      </w:r>
      <w:r w:rsidR="00DA0CE9" w:rsidRPr="001B6443">
        <w:rPr>
          <w:rFonts w:ascii="Times New Roman" w:eastAsia="Calibri" w:hAnsi="Times New Roman" w:cs="Times New Roman"/>
          <w:color w:val="000000" w:themeColor="text1"/>
          <w:sz w:val="24"/>
          <w:szCs w:val="24"/>
          <w:lang w:val="en-US"/>
        </w:rPr>
        <w:t xml:space="preserve">EU ETS countries, </w:t>
      </w:r>
      <w:r w:rsidRPr="001B6443">
        <w:rPr>
          <w:rFonts w:ascii="Times New Roman" w:eastAsia="Calibri" w:hAnsi="Times New Roman" w:cs="Times New Roman"/>
          <w:color w:val="000000" w:themeColor="text1"/>
          <w:sz w:val="24"/>
          <w:szCs w:val="24"/>
          <w:lang w:val="en-US"/>
        </w:rPr>
        <w:t xml:space="preserve">indicating </w:t>
      </w:r>
      <w:r w:rsidR="00E84409" w:rsidRPr="001B6443">
        <w:rPr>
          <w:rFonts w:ascii="Times New Roman" w:eastAsia="Calibri" w:hAnsi="Times New Roman" w:cs="Times New Roman"/>
          <w:color w:val="000000" w:themeColor="text1"/>
          <w:sz w:val="24"/>
          <w:szCs w:val="24"/>
          <w:lang w:val="en-US"/>
        </w:rPr>
        <w:t xml:space="preserve">that high-polluting firms in </w:t>
      </w:r>
      <w:r w:rsidRPr="001B6443">
        <w:rPr>
          <w:rFonts w:ascii="Times New Roman" w:eastAsia="Calibri" w:hAnsi="Times New Roman" w:cs="Times New Roman"/>
          <w:color w:val="000000" w:themeColor="text1"/>
          <w:sz w:val="24"/>
          <w:szCs w:val="24"/>
          <w:lang w:val="en-US"/>
        </w:rPr>
        <w:t xml:space="preserve">EU ETS countries are penalized more by market participants than those in </w:t>
      </w:r>
      <w:r w:rsidR="00E84409" w:rsidRPr="001B6443">
        <w:rPr>
          <w:rFonts w:ascii="Times New Roman" w:eastAsia="Calibri" w:hAnsi="Times New Roman" w:cs="Times New Roman"/>
          <w:color w:val="000000" w:themeColor="text1"/>
          <w:sz w:val="24"/>
          <w:szCs w:val="24"/>
          <w:lang w:val="en-US"/>
        </w:rPr>
        <w:t>non-</w:t>
      </w:r>
      <w:r w:rsidRPr="001B6443">
        <w:rPr>
          <w:rFonts w:ascii="Times New Roman" w:eastAsia="Calibri" w:hAnsi="Times New Roman" w:cs="Times New Roman"/>
          <w:color w:val="000000" w:themeColor="text1"/>
          <w:sz w:val="24"/>
          <w:szCs w:val="24"/>
          <w:lang w:val="en-US"/>
        </w:rPr>
        <w:t xml:space="preserve">EU ETS </w:t>
      </w:r>
      <w:r w:rsidR="003857DB" w:rsidRPr="001B6443">
        <w:rPr>
          <w:rFonts w:ascii="Times New Roman" w:eastAsia="Calibri" w:hAnsi="Times New Roman" w:cs="Times New Roman"/>
          <w:color w:val="000000" w:themeColor="text1"/>
          <w:sz w:val="24"/>
          <w:szCs w:val="24"/>
          <w:lang w:val="en-US"/>
        </w:rPr>
        <w:t>countries</w:t>
      </w:r>
      <w:r w:rsidRPr="001B6443">
        <w:rPr>
          <w:rFonts w:ascii="Times New Roman" w:eastAsia="Calibri" w:hAnsi="Times New Roman" w:cs="Times New Roman"/>
          <w:color w:val="000000" w:themeColor="text1"/>
          <w:sz w:val="24"/>
          <w:szCs w:val="24"/>
          <w:lang w:val="en-US"/>
        </w:rPr>
        <w:t xml:space="preserve">. This </w:t>
      </w:r>
      <w:r w:rsidR="003857DB" w:rsidRPr="001B6443">
        <w:rPr>
          <w:rFonts w:ascii="Times New Roman" w:eastAsia="Calibri" w:hAnsi="Times New Roman" w:cs="Times New Roman"/>
          <w:color w:val="000000" w:themeColor="text1"/>
          <w:sz w:val="24"/>
          <w:szCs w:val="24"/>
          <w:lang w:val="en-US"/>
        </w:rPr>
        <w:t xml:space="preserve">evidence </w:t>
      </w:r>
      <w:r w:rsidR="00360CF6" w:rsidRPr="001B6443">
        <w:rPr>
          <w:rFonts w:ascii="Times New Roman" w:eastAsia="Calibri" w:hAnsi="Times New Roman" w:cs="Times New Roman"/>
          <w:color w:val="000000" w:themeColor="text1"/>
          <w:sz w:val="24"/>
          <w:szCs w:val="24"/>
          <w:lang w:val="en-US"/>
        </w:rPr>
        <w:t>suggests</w:t>
      </w:r>
      <w:r w:rsidR="003857DB" w:rsidRPr="001B6443">
        <w:rPr>
          <w:rFonts w:ascii="Times New Roman" w:eastAsia="Calibri" w:hAnsi="Times New Roman" w:cs="Times New Roman"/>
          <w:color w:val="000000" w:themeColor="text1"/>
          <w:sz w:val="24"/>
          <w:szCs w:val="24"/>
          <w:lang w:val="en-US"/>
        </w:rPr>
        <w:t xml:space="preserve"> </w:t>
      </w:r>
      <w:r w:rsidR="00A35FC3" w:rsidRPr="001B6443">
        <w:rPr>
          <w:rFonts w:ascii="Times New Roman" w:eastAsia="Calibri" w:hAnsi="Times New Roman" w:cs="Times New Roman"/>
          <w:color w:val="000000" w:themeColor="text1"/>
          <w:sz w:val="24"/>
          <w:szCs w:val="24"/>
          <w:lang w:val="en-US"/>
        </w:rPr>
        <w:t xml:space="preserve">that firms regulated </w:t>
      </w:r>
      <w:r w:rsidRPr="001B6443">
        <w:rPr>
          <w:rFonts w:ascii="Times New Roman" w:eastAsia="Calibri" w:hAnsi="Times New Roman" w:cs="Times New Roman"/>
          <w:color w:val="000000" w:themeColor="text1"/>
          <w:sz w:val="24"/>
          <w:szCs w:val="24"/>
          <w:lang w:val="en-US"/>
        </w:rPr>
        <w:t xml:space="preserve">under the EU ETS </w:t>
      </w:r>
      <w:r w:rsidR="00CD272E" w:rsidRPr="001B6443">
        <w:rPr>
          <w:rFonts w:ascii="Times New Roman" w:eastAsia="Calibri" w:hAnsi="Times New Roman" w:cs="Times New Roman"/>
          <w:color w:val="000000" w:themeColor="text1"/>
          <w:sz w:val="24"/>
          <w:szCs w:val="24"/>
          <w:lang w:val="en-US"/>
        </w:rPr>
        <w:t xml:space="preserve">need to </w:t>
      </w:r>
      <w:r w:rsidR="00360CF6" w:rsidRPr="001B6443">
        <w:rPr>
          <w:rFonts w:ascii="Times New Roman" w:eastAsia="Calibri" w:hAnsi="Times New Roman" w:cs="Times New Roman"/>
          <w:color w:val="000000" w:themeColor="text1"/>
          <w:sz w:val="24"/>
          <w:szCs w:val="24"/>
          <w:lang w:val="en-US"/>
        </w:rPr>
        <w:t xml:space="preserve">incur more costs to reduce </w:t>
      </w:r>
      <w:r w:rsidR="00A35FC3" w:rsidRPr="001B6443">
        <w:rPr>
          <w:rFonts w:ascii="Times New Roman" w:eastAsia="Calibri" w:hAnsi="Times New Roman" w:cs="Times New Roman"/>
          <w:color w:val="000000" w:themeColor="text1"/>
          <w:sz w:val="24"/>
          <w:szCs w:val="24"/>
          <w:lang w:val="en-US"/>
        </w:rPr>
        <w:t>emissions and increase</w:t>
      </w:r>
      <w:r w:rsidRPr="001B6443">
        <w:rPr>
          <w:rFonts w:ascii="Times New Roman" w:eastAsia="Calibri" w:hAnsi="Times New Roman" w:cs="Times New Roman"/>
          <w:color w:val="000000" w:themeColor="text1"/>
          <w:sz w:val="24"/>
          <w:szCs w:val="24"/>
          <w:lang w:val="en-US"/>
        </w:rPr>
        <w:t xml:space="preserve"> energy efficiency according to the ‘cap and trade’ principle, and thus are </w:t>
      </w:r>
      <w:r w:rsidR="00A35FC3" w:rsidRPr="001B6443">
        <w:rPr>
          <w:rFonts w:ascii="Times New Roman" w:eastAsia="Calibri" w:hAnsi="Times New Roman" w:cs="Times New Roman"/>
          <w:color w:val="000000" w:themeColor="text1"/>
          <w:sz w:val="24"/>
          <w:szCs w:val="24"/>
          <w:lang w:val="en-US"/>
        </w:rPr>
        <w:t>more undervalued by market</w:t>
      </w:r>
      <w:r w:rsidRPr="001B6443">
        <w:rPr>
          <w:rFonts w:ascii="Times New Roman" w:eastAsia="Calibri" w:hAnsi="Times New Roman" w:cs="Times New Roman"/>
          <w:color w:val="000000" w:themeColor="text1"/>
          <w:sz w:val="24"/>
          <w:szCs w:val="24"/>
          <w:lang w:val="en-US"/>
        </w:rPr>
        <w:t xml:space="preserve">s for </w:t>
      </w:r>
      <w:r w:rsidR="003857DB" w:rsidRPr="001B6443">
        <w:rPr>
          <w:rFonts w:ascii="Times New Roman" w:eastAsia="Calibri" w:hAnsi="Times New Roman" w:cs="Times New Roman"/>
          <w:color w:val="000000" w:themeColor="text1"/>
          <w:sz w:val="24"/>
          <w:szCs w:val="24"/>
          <w:lang w:val="en-US"/>
        </w:rPr>
        <w:t xml:space="preserve">excessive </w:t>
      </w:r>
      <w:r w:rsidRPr="001B6443">
        <w:rPr>
          <w:rFonts w:ascii="Times New Roman" w:eastAsia="Calibri" w:hAnsi="Times New Roman" w:cs="Times New Roman"/>
          <w:color w:val="000000" w:themeColor="text1"/>
          <w:sz w:val="24"/>
          <w:szCs w:val="24"/>
          <w:lang w:val="en-US"/>
        </w:rPr>
        <w:t>emissions</w:t>
      </w:r>
      <w:r w:rsidR="00A35FC3" w:rsidRPr="001B6443">
        <w:rPr>
          <w:rFonts w:ascii="Times New Roman" w:eastAsia="Calibri" w:hAnsi="Times New Roman" w:cs="Times New Roman"/>
          <w:color w:val="000000" w:themeColor="text1"/>
          <w:sz w:val="24"/>
          <w:szCs w:val="24"/>
          <w:lang w:val="en-US"/>
        </w:rPr>
        <w:t xml:space="preserve"> </w:t>
      </w:r>
      <w:r w:rsidR="00A35FC3"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{"citationItems":[{"id":"ITEM-1","itemData":{"DOI":"10.1080/09638180.2014.927782","ISSN":"14684497","abstract":"Abstract: This study examines the valuation relevance of greenhouse gas emissions under the European Union Carbon Emissions Trading Scheme. We posit that carbon emissions affect firm valuation only to the extent that a firm's emissions exceed its carbon allowances under a cap-and-trade system and the extent of its inability to pass on carbon-related compliance costs to consumers and end-users. We measure a firm's ability to pass on the future costs by its market power and its carbon performance relative to its industry peers. The results show that firms' carbon allowances are not associated with firm valuation but the allocation shortfalls are negatively associated. We also find that the negative association between firm values and carbon emission shortfalls is mitigated for firms with better carbon performance relative to their industry peers and for firms in less competitive industry sectors. These findings, which suggest that the valuation impact of carbon emissions is unlikely to be homogenous across firms or industrial sectors, have important implications for future research design and for the disclosure and recognition of a firm's greenhouse gas liabilities.","author":[{"dropping-particle":"","family":"Clarkson","given":"Peter M.","non-dropping-particle":"","parse-names":false,"suffix":""},{"dropping-particle":"","family":"Li","given":"Yue","non-dropping-particle":"","parse-names":false,"suffix":""},{"dropping-particle":"","family":"Pinnuck","given":"Matthew","non-dropping-particle":"","parse-names":false,"suffix":""},{"dropping-particle":"","family":"Richardson","given":"Gordon D.","non-dropping-particle":"","parse-names":false,"suffix":""}],"container-title":"European Accounting Review","id":"ITEM-1","issue":"3","issued":{"date-parts":[["2015","7","3"]]},"page":"551-580","publisher":"Routledge","title":"The Valuation Relevance of Greenhouse Gas Emissions under the European Union Carbon Emissions Trading Scheme","type":"article-journal","volume":"24"},"uris":["http://www.mendeley.com/documents/?uuid=006fc3d1-c13f-353d-875c-26b0a40ab7af"]}],"mendeley":{"formattedCitation":"(Clarkson et al. 2015)","manualFormatting":"(Clarkson et al., 2015)","plainTextFormattedCitation":"(Clarkson et al. 2015)","previouslyFormattedCitation":"(Clarkson et al. 2015)"},"properties":{"noteIndex":0},"schema":"https://github.com/citation-style-language/schema/raw/master/csl-citation.json"}</w:instrText>
      </w:r>
      <w:r w:rsidR="00A35FC3" w:rsidRPr="001B6443">
        <w:rPr>
          <w:rFonts w:ascii="Times New Roman" w:eastAsia="Calibri" w:hAnsi="Times New Roman" w:cs="Times New Roman"/>
          <w:color w:val="000000" w:themeColor="text1"/>
          <w:sz w:val="24"/>
          <w:szCs w:val="24"/>
          <w:lang w:val="en-US"/>
        </w:rPr>
        <w:fldChar w:fldCharType="separate"/>
      </w:r>
      <w:r w:rsidR="00A35FC3" w:rsidRPr="001B6443">
        <w:rPr>
          <w:rFonts w:ascii="Times New Roman" w:eastAsia="Calibri" w:hAnsi="Times New Roman" w:cs="Times New Roman"/>
          <w:noProof/>
          <w:color w:val="000000" w:themeColor="text1"/>
          <w:sz w:val="24"/>
          <w:szCs w:val="24"/>
          <w:lang w:val="en-US"/>
        </w:rPr>
        <w:t xml:space="preserve">(Clarkson </w:t>
      </w:r>
      <w:r w:rsidR="00A35FC3" w:rsidRPr="001B6443">
        <w:rPr>
          <w:rFonts w:ascii="Times New Roman" w:eastAsia="Calibri" w:hAnsi="Times New Roman" w:cs="Times New Roman"/>
          <w:i/>
          <w:iCs/>
          <w:noProof/>
          <w:color w:val="000000" w:themeColor="text1"/>
          <w:sz w:val="24"/>
          <w:szCs w:val="24"/>
          <w:lang w:val="en-US"/>
        </w:rPr>
        <w:t>et al</w:t>
      </w:r>
      <w:r w:rsidR="00A35FC3" w:rsidRPr="001B6443">
        <w:rPr>
          <w:rFonts w:ascii="Times New Roman" w:eastAsia="Calibri" w:hAnsi="Times New Roman" w:cs="Times New Roman"/>
          <w:noProof/>
          <w:color w:val="000000" w:themeColor="text1"/>
          <w:sz w:val="24"/>
          <w:szCs w:val="24"/>
          <w:lang w:val="en-US"/>
        </w:rPr>
        <w:t>.</w:t>
      </w:r>
      <w:r w:rsidR="00B51FFE" w:rsidRPr="001B6443">
        <w:rPr>
          <w:rFonts w:ascii="Times New Roman" w:eastAsia="Calibri" w:hAnsi="Times New Roman" w:cs="Times New Roman"/>
          <w:noProof/>
          <w:color w:val="000000" w:themeColor="text1"/>
          <w:sz w:val="24"/>
          <w:szCs w:val="24"/>
          <w:lang w:val="en-US"/>
        </w:rPr>
        <w:t>,</w:t>
      </w:r>
      <w:r w:rsidR="00A35FC3" w:rsidRPr="001B6443">
        <w:rPr>
          <w:rFonts w:ascii="Times New Roman" w:eastAsia="Calibri" w:hAnsi="Times New Roman" w:cs="Times New Roman"/>
          <w:noProof/>
          <w:color w:val="000000" w:themeColor="text1"/>
          <w:sz w:val="24"/>
          <w:szCs w:val="24"/>
          <w:lang w:val="en-US"/>
        </w:rPr>
        <w:t xml:space="preserve"> 2015)</w:t>
      </w:r>
      <w:r w:rsidR="00A35FC3"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001C3AFC"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By contrast, </w:t>
      </w:r>
      <w:r w:rsidR="00D8776A" w:rsidRPr="001B6443">
        <w:rPr>
          <w:rFonts w:ascii="Times New Roman" w:eastAsia="Calibri" w:hAnsi="Times New Roman" w:cs="Times New Roman"/>
          <w:color w:val="000000" w:themeColor="text1"/>
          <w:sz w:val="24"/>
          <w:szCs w:val="24"/>
          <w:lang w:val="en-US"/>
        </w:rPr>
        <w:t xml:space="preserve">high-polluting </w:t>
      </w:r>
      <w:r w:rsidRPr="001B6443">
        <w:rPr>
          <w:rFonts w:ascii="Times New Roman" w:eastAsia="Calibri" w:hAnsi="Times New Roman" w:cs="Times New Roman"/>
          <w:color w:val="000000" w:themeColor="text1"/>
          <w:sz w:val="24"/>
          <w:szCs w:val="24"/>
          <w:lang w:val="en-US"/>
        </w:rPr>
        <w:t xml:space="preserve">firms </w:t>
      </w:r>
      <w:r w:rsidR="0097714A" w:rsidRPr="001B6443">
        <w:rPr>
          <w:rFonts w:ascii="Times New Roman" w:eastAsia="Calibri" w:hAnsi="Times New Roman" w:cs="Times New Roman"/>
          <w:color w:val="000000" w:themeColor="text1"/>
          <w:sz w:val="24"/>
          <w:szCs w:val="24"/>
          <w:lang w:val="en-US"/>
        </w:rPr>
        <w:t>in</w:t>
      </w:r>
      <w:r w:rsidR="00D8776A" w:rsidRPr="001B6443">
        <w:rPr>
          <w:rFonts w:ascii="Times New Roman" w:eastAsia="Calibri" w:hAnsi="Times New Roman" w:cs="Times New Roman"/>
          <w:color w:val="000000" w:themeColor="text1"/>
          <w:sz w:val="24"/>
          <w:szCs w:val="24"/>
          <w:lang w:val="en-US"/>
        </w:rPr>
        <w:t xml:space="preserve"> non-</w:t>
      </w:r>
      <w:r w:rsidR="003857DB" w:rsidRPr="001B6443">
        <w:rPr>
          <w:rFonts w:ascii="Times New Roman" w:eastAsia="Calibri" w:hAnsi="Times New Roman" w:cs="Times New Roman"/>
          <w:color w:val="000000" w:themeColor="text1"/>
          <w:sz w:val="24"/>
          <w:szCs w:val="24"/>
          <w:lang w:val="en-US"/>
        </w:rPr>
        <w:t>EU ETS jurisdictions</w:t>
      </w:r>
      <w:r w:rsidR="00D8776A" w:rsidRPr="001B6443">
        <w:rPr>
          <w:rFonts w:ascii="Times New Roman" w:eastAsia="Calibri" w:hAnsi="Times New Roman" w:cs="Times New Roman"/>
          <w:color w:val="000000" w:themeColor="text1"/>
          <w:sz w:val="24"/>
          <w:szCs w:val="24"/>
          <w:lang w:val="en-US"/>
        </w:rPr>
        <w:t xml:space="preserve"> are penalized </w:t>
      </w:r>
      <w:r w:rsidR="00A35FC3" w:rsidRPr="001B6443">
        <w:rPr>
          <w:rFonts w:ascii="Times New Roman" w:eastAsia="Calibri" w:hAnsi="Times New Roman" w:cs="Times New Roman"/>
          <w:color w:val="000000" w:themeColor="text1"/>
          <w:sz w:val="24"/>
          <w:szCs w:val="24"/>
          <w:lang w:val="en-US"/>
        </w:rPr>
        <w:t xml:space="preserve">less </w:t>
      </w:r>
      <w:r w:rsidR="00D8776A" w:rsidRPr="001B6443">
        <w:rPr>
          <w:rFonts w:ascii="Times New Roman" w:eastAsia="Calibri" w:hAnsi="Times New Roman" w:cs="Times New Roman"/>
          <w:color w:val="000000" w:themeColor="text1"/>
          <w:sz w:val="24"/>
          <w:szCs w:val="24"/>
          <w:lang w:val="en-US"/>
        </w:rPr>
        <w:t>by market</w:t>
      </w:r>
      <w:r w:rsidR="003857DB" w:rsidRPr="001B6443">
        <w:rPr>
          <w:rFonts w:ascii="Times New Roman" w:eastAsia="Calibri" w:hAnsi="Times New Roman" w:cs="Times New Roman"/>
          <w:color w:val="000000" w:themeColor="text1"/>
          <w:sz w:val="24"/>
          <w:szCs w:val="24"/>
          <w:lang w:val="en-US"/>
        </w:rPr>
        <w:t xml:space="preserve"> participants</w:t>
      </w:r>
      <w:r w:rsidR="00D8776A"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due to the absence of reg</w:t>
      </w:r>
      <w:r w:rsidR="00D8776A" w:rsidRPr="001B6443">
        <w:rPr>
          <w:rFonts w:ascii="Times New Roman" w:eastAsia="Calibri" w:hAnsi="Times New Roman" w:cs="Times New Roman"/>
          <w:color w:val="000000" w:themeColor="text1"/>
          <w:sz w:val="24"/>
          <w:szCs w:val="24"/>
          <w:lang w:val="en-US"/>
        </w:rPr>
        <w:t>ulatory systems</w:t>
      </w:r>
      <w:r w:rsidR="00423C83" w:rsidRPr="001B6443">
        <w:rPr>
          <w:rFonts w:ascii="Times New Roman" w:eastAsia="Calibri" w:hAnsi="Times New Roman" w:cs="Times New Roman"/>
          <w:color w:val="000000" w:themeColor="text1"/>
          <w:sz w:val="24"/>
          <w:szCs w:val="24"/>
          <w:lang w:val="en-US"/>
        </w:rPr>
        <w:t>,</w:t>
      </w:r>
      <w:r w:rsidR="00D8776A" w:rsidRPr="001B6443">
        <w:rPr>
          <w:rFonts w:ascii="Times New Roman" w:eastAsia="Calibri" w:hAnsi="Times New Roman" w:cs="Times New Roman"/>
          <w:color w:val="000000" w:themeColor="text1"/>
          <w:sz w:val="24"/>
          <w:szCs w:val="24"/>
          <w:lang w:val="en-US"/>
        </w:rPr>
        <w:t xml:space="preserve"> such as </w:t>
      </w:r>
      <w:r w:rsidR="00A35FC3" w:rsidRPr="001B6443">
        <w:rPr>
          <w:rFonts w:ascii="Times New Roman" w:eastAsia="Calibri" w:hAnsi="Times New Roman" w:cs="Times New Roman"/>
          <w:color w:val="000000" w:themeColor="text1"/>
          <w:sz w:val="24"/>
          <w:szCs w:val="24"/>
          <w:lang w:val="en-US"/>
        </w:rPr>
        <w:t xml:space="preserve">the </w:t>
      </w:r>
      <w:r w:rsidR="00D8776A" w:rsidRPr="001B6443">
        <w:rPr>
          <w:rFonts w:ascii="Times New Roman" w:eastAsia="Calibri" w:hAnsi="Times New Roman" w:cs="Times New Roman"/>
          <w:color w:val="000000" w:themeColor="text1"/>
          <w:sz w:val="24"/>
          <w:szCs w:val="24"/>
          <w:lang w:val="en-US"/>
        </w:rPr>
        <w:t xml:space="preserve">EU ETS </w:t>
      </w:r>
      <w:r w:rsidR="00D8776A" w:rsidRPr="001B6443">
        <w:rPr>
          <w:rFonts w:ascii="Times New Roman" w:eastAsia="Calibri" w:hAnsi="Times New Roman" w:cs="Times New Roman"/>
          <w:color w:val="000000" w:themeColor="text1"/>
          <w:sz w:val="24"/>
          <w:szCs w:val="24"/>
          <w:lang w:val="en-US"/>
        </w:rPr>
        <w:fldChar w:fldCharType="begin" w:fldLock="1"/>
      </w:r>
      <w:r w:rsidR="00511E00"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2021)","manualFormatting":"(Choi and Luo, 2021)","plainTextFormattedCitation":"(Choi and Luo 2021)","previouslyFormattedCitation":"(Choi and Luo 2021)"},"properties":{"noteIndex":0},"schema":"https://github.com/citation-style-language/schema/raw/master/csl-citation.json"}</w:instrText>
      </w:r>
      <w:r w:rsidR="00D8776A" w:rsidRPr="001B6443">
        <w:rPr>
          <w:rFonts w:ascii="Times New Roman" w:eastAsia="Calibri" w:hAnsi="Times New Roman" w:cs="Times New Roman"/>
          <w:color w:val="000000" w:themeColor="text1"/>
          <w:sz w:val="24"/>
          <w:szCs w:val="24"/>
          <w:lang w:val="en-US"/>
        </w:rPr>
        <w:fldChar w:fldCharType="separate"/>
      </w:r>
      <w:r w:rsidR="00D8776A" w:rsidRPr="001B6443">
        <w:rPr>
          <w:rFonts w:ascii="Times New Roman" w:eastAsia="Calibri" w:hAnsi="Times New Roman" w:cs="Times New Roman"/>
          <w:noProof/>
          <w:color w:val="000000" w:themeColor="text1"/>
          <w:sz w:val="24"/>
          <w:szCs w:val="24"/>
          <w:lang w:val="en-US"/>
        </w:rPr>
        <w:t>(Choi and Luo</w:t>
      </w:r>
      <w:r w:rsidR="00B51FFE" w:rsidRPr="001B6443">
        <w:rPr>
          <w:rFonts w:ascii="Times New Roman" w:eastAsia="Calibri" w:hAnsi="Times New Roman" w:cs="Times New Roman"/>
          <w:noProof/>
          <w:color w:val="000000" w:themeColor="text1"/>
          <w:sz w:val="24"/>
          <w:szCs w:val="24"/>
          <w:lang w:val="en-US"/>
        </w:rPr>
        <w:t>,</w:t>
      </w:r>
      <w:r w:rsidR="00D8776A" w:rsidRPr="001B6443">
        <w:rPr>
          <w:rFonts w:ascii="Times New Roman" w:eastAsia="Calibri" w:hAnsi="Times New Roman" w:cs="Times New Roman"/>
          <w:noProof/>
          <w:color w:val="000000" w:themeColor="text1"/>
          <w:sz w:val="24"/>
          <w:szCs w:val="24"/>
          <w:lang w:val="en-US"/>
        </w:rPr>
        <w:t xml:space="preserve"> 2021)</w:t>
      </w:r>
      <w:r w:rsidR="00D8776A" w:rsidRPr="001B6443">
        <w:rPr>
          <w:rFonts w:ascii="Times New Roman" w:eastAsia="Calibri" w:hAnsi="Times New Roman" w:cs="Times New Roman"/>
          <w:color w:val="000000" w:themeColor="text1"/>
          <w:sz w:val="24"/>
          <w:szCs w:val="24"/>
          <w:lang w:val="en-US"/>
        </w:rPr>
        <w:fldChar w:fldCharType="end"/>
      </w:r>
      <w:r w:rsidR="00D8776A" w:rsidRPr="001B6443">
        <w:rPr>
          <w:rFonts w:ascii="Times New Roman" w:eastAsia="Calibri" w:hAnsi="Times New Roman" w:cs="Times New Roman"/>
          <w:color w:val="000000" w:themeColor="text1"/>
          <w:sz w:val="24"/>
          <w:szCs w:val="24"/>
          <w:lang w:val="en-US"/>
        </w:rPr>
        <w:t xml:space="preserve">. </w:t>
      </w:r>
      <w:r w:rsidR="00EC540E" w:rsidRPr="001B6443">
        <w:rPr>
          <w:rFonts w:ascii="Times New Roman" w:eastAsia="Calibri" w:hAnsi="Times New Roman" w:cs="Times New Roman"/>
          <w:color w:val="000000" w:themeColor="text1"/>
          <w:sz w:val="24"/>
          <w:szCs w:val="24"/>
          <w:lang w:val="en-US"/>
        </w:rPr>
        <w:t>BSCOM*EUETS is positively related to MV</w:t>
      </w:r>
      <w:r w:rsidR="00FE1541" w:rsidRPr="001B6443">
        <w:rPr>
          <w:rFonts w:ascii="Times New Roman" w:eastAsia="Calibri" w:hAnsi="Times New Roman" w:cs="Times New Roman"/>
          <w:color w:val="000000" w:themeColor="text1"/>
          <w:sz w:val="24"/>
          <w:szCs w:val="24"/>
          <w:lang w:val="en-US"/>
        </w:rPr>
        <w:t xml:space="preserve">, </w:t>
      </w:r>
      <w:r w:rsidR="00A61FD4" w:rsidRPr="001B6443">
        <w:rPr>
          <w:rFonts w:ascii="Times New Roman" w:eastAsia="Calibri" w:hAnsi="Times New Roman" w:cs="Times New Roman"/>
          <w:color w:val="000000" w:themeColor="text1"/>
          <w:sz w:val="24"/>
          <w:szCs w:val="24"/>
          <w:lang w:val="en-US"/>
        </w:rPr>
        <w:t>which suggests</w:t>
      </w:r>
      <w:r w:rsidR="00FE1541" w:rsidRPr="001B6443">
        <w:rPr>
          <w:rFonts w:ascii="Times New Roman" w:eastAsia="Calibri" w:hAnsi="Times New Roman" w:cs="Times New Roman"/>
          <w:color w:val="000000" w:themeColor="text1"/>
          <w:sz w:val="24"/>
          <w:szCs w:val="24"/>
          <w:lang w:val="en-US"/>
        </w:rPr>
        <w:t xml:space="preserve"> that </w:t>
      </w:r>
      <w:r w:rsidR="0097203A" w:rsidRPr="001B6443">
        <w:rPr>
          <w:rFonts w:ascii="Times New Roman" w:eastAsia="Calibri" w:hAnsi="Times New Roman" w:cs="Times New Roman"/>
          <w:color w:val="000000" w:themeColor="text1"/>
          <w:sz w:val="24"/>
          <w:szCs w:val="24"/>
          <w:lang w:val="en-US"/>
        </w:rPr>
        <w:t xml:space="preserve">capital markets react more positively to </w:t>
      </w:r>
      <w:r w:rsidR="00EC540E" w:rsidRPr="001B6443">
        <w:rPr>
          <w:rFonts w:ascii="Times New Roman" w:eastAsia="Calibri" w:hAnsi="Times New Roman" w:cs="Times New Roman"/>
          <w:color w:val="000000" w:themeColor="text1"/>
          <w:sz w:val="24"/>
          <w:szCs w:val="24"/>
          <w:lang w:val="en-US"/>
        </w:rPr>
        <w:t xml:space="preserve">the presence of </w:t>
      </w:r>
      <w:r w:rsidR="0097203A" w:rsidRPr="001B6443">
        <w:rPr>
          <w:rFonts w:ascii="Times New Roman" w:eastAsia="Calibri" w:hAnsi="Times New Roman" w:cs="Times New Roman"/>
          <w:color w:val="000000" w:themeColor="text1"/>
          <w:sz w:val="24"/>
          <w:szCs w:val="24"/>
          <w:lang w:val="en-US"/>
        </w:rPr>
        <w:t>BSCOM</w:t>
      </w:r>
      <w:r w:rsidR="00EC540E" w:rsidRPr="001B6443">
        <w:rPr>
          <w:rFonts w:ascii="Times New Roman" w:eastAsia="Calibri" w:hAnsi="Times New Roman" w:cs="Times New Roman"/>
          <w:color w:val="000000" w:themeColor="text1"/>
          <w:sz w:val="24"/>
          <w:szCs w:val="24"/>
          <w:lang w:val="en-US"/>
        </w:rPr>
        <w:t xml:space="preserve"> in EU ETS countries</w:t>
      </w:r>
      <w:r w:rsidR="00FE1541" w:rsidRPr="001B6443">
        <w:rPr>
          <w:rFonts w:ascii="Times New Roman" w:eastAsia="Calibri" w:hAnsi="Times New Roman" w:cs="Times New Roman"/>
          <w:color w:val="000000" w:themeColor="text1"/>
          <w:sz w:val="24"/>
          <w:szCs w:val="24"/>
          <w:lang w:val="en-US"/>
        </w:rPr>
        <w:t>. Panel B shows that E</w:t>
      </w:r>
      <w:r w:rsidR="007B7AD2" w:rsidRPr="001B6443">
        <w:rPr>
          <w:rFonts w:ascii="Times New Roman" w:eastAsia="Calibri" w:hAnsi="Times New Roman" w:cs="Times New Roman"/>
          <w:color w:val="000000" w:themeColor="text1"/>
          <w:sz w:val="24"/>
          <w:szCs w:val="24"/>
          <w:lang w:val="en-US"/>
        </w:rPr>
        <w:t>U</w:t>
      </w:r>
      <w:r w:rsidR="00C267BF" w:rsidRPr="001B6443">
        <w:rPr>
          <w:rFonts w:ascii="Times New Roman" w:eastAsia="Calibri" w:hAnsi="Times New Roman" w:cs="Times New Roman"/>
          <w:color w:val="000000" w:themeColor="text1"/>
          <w:sz w:val="24"/>
          <w:szCs w:val="24"/>
          <w:lang w:val="en-US"/>
        </w:rPr>
        <w:t xml:space="preserve"> </w:t>
      </w:r>
      <w:r w:rsidR="007B7AD2" w:rsidRPr="001B6443">
        <w:rPr>
          <w:rFonts w:ascii="Times New Roman" w:eastAsia="Calibri" w:hAnsi="Times New Roman" w:cs="Times New Roman"/>
          <w:color w:val="000000" w:themeColor="text1"/>
          <w:sz w:val="24"/>
          <w:szCs w:val="24"/>
          <w:lang w:val="en-US"/>
        </w:rPr>
        <w:t>ETS</w:t>
      </w:r>
      <w:r w:rsidR="00DA0CE9" w:rsidRPr="001B6443">
        <w:rPr>
          <w:rFonts w:ascii="Times New Roman" w:eastAsia="Calibri" w:hAnsi="Times New Roman" w:cs="Times New Roman"/>
          <w:color w:val="000000" w:themeColor="text1"/>
          <w:sz w:val="24"/>
          <w:szCs w:val="24"/>
          <w:lang w:val="en-US"/>
        </w:rPr>
        <w:t xml:space="preserve"> is negatively related to CCPE, </w:t>
      </w:r>
      <w:r w:rsidR="00D754F3" w:rsidRPr="001B6443">
        <w:rPr>
          <w:rFonts w:ascii="Times New Roman" w:eastAsia="Calibri" w:hAnsi="Times New Roman" w:cs="Times New Roman"/>
          <w:color w:val="000000" w:themeColor="text1"/>
          <w:sz w:val="24"/>
          <w:szCs w:val="24"/>
          <w:lang w:val="en-US"/>
        </w:rPr>
        <w:t>indicating that</w:t>
      </w:r>
      <w:r w:rsidR="007B7AD2" w:rsidRPr="001B6443">
        <w:rPr>
          <w:rFonts w:ascii="Times New Roman" w:eastAsia="Calibri" w:hAnsi="Times New Roman" w:cs="Times New Roman"/>
          <w:color w:val="000000" w:themeColor="text1"/>
          <w:sz w:val="24"/>
          <w:szCs w:val="24"/>
          <w:lang w:val="en-US"/>
        </w:rPr>
        <w:t xml:space="preserve"> </w:t>
      </w:r>
      <w:r w:rsidR="002B1D53" w:rsidRPr="001B6443">
        <w:rPr>
          <w:rFonts w:ascii="Times New Roman" w:eastAsia="Calibri" w:hAnsi="Times New Roman" w:cs="Times New Roman"/>
          <w:color w:val="000000" w:themeColor="text1"/>
          <w:sz w:val="24"/>
          <w:szCs w:val="24"/>
          <w:lang w:val="en-US"/>
        </w:rPr>
        <w:t xml:space="preserve">the </w:t>
      </w:r>
      <w:r w:rsidR="007B7AD2" w:rsidRPr="001B6443">
        <w:rPr>
          <w:rFonts w:ascii="Times New Roman" w:eastAsia="Calibri" w:hAnsi="Times New Roman" w:cs="Times New Roman"/>
          <w:color w:val="000000" w:themeColor="text1"/>
          <w:sz w:val="24"/>
          <w:szCs w:val="24"/>
          <w:lang w:val="en-US"/>
        </w:rPr>
        <w:t xml:space="preserve">EU ETS </w:t>
      </w:r>
      <w:r w:rsidR="002B1D53" w:rsidRPr="001B6443">
        <w:rPr>
          <w:rFonts w:ascii="Times New Roman" w:eastAsia="Calibri" w:hAnsi="Times New Roman" w:cs="Times New Roman"/>
          <w:color w:val="000000" w:themeColor="text1"/>
          <w:sz w:val="24"/>
          <w:szCs w:val="24"/>
          <w:lang w:val="en-US"/>
        </w:rPr>
        <w:t>lead</w:t>
      </w:r>
      <w:r w:rsidR="00D754F3" w:rsidRPr="001B6443">
        <w:rPr>
          <w:rFonts w:ascii="Times New Roman" w:eastAsia="Calibri" w:hAnsi="Times New Roman" w:cs="Times New Roman"/>
          <w:color w:val="000000" w:themeColor="text1"/>
          <w:sz w:val="24"/>
          <w:szCs w:val="24"/>
          <w:lang w:val="en-US"/>
        </w:rPr>
        <w:t>s</w:t>
      </w:r>
      <w:r w:rsidR="002B1D53" w:rsidRPr="001B6443">
        <w:rPr>
          <w:rFonts w:ascii="Times New Roman" w:eastAsia="Calibri" w:hAnsi="Times New Roman" w:cs="Times New Roman"/>
          <w:color w:val="000000" w:themeColor="text1"/>
          <w:sz w:val="24"/>
          <w:szCs w:val="24"/>
          <w:lang w:val="en-US"/>
        </w:rPr>
        <w:t xml:space="preserve"> to observable reductions in corporate emiss</w:t>
      </w:r>
      <w:r w:rsidR="00D754F3" w:rsidRPr="001B6443">
        <w:rPr>
          <w:rFonts w:ascii="Times New Roman" w:eastAsia="Calibri" w:hAnsi="Times New Roman" w:cs="Times New Roman"/>
          <w:color w:val="000000" w:themeColor="text1"/>
          <w:sz w:val="24"/>
          <w:szCs w:val="24"/>
          <w:lang w:val="en-US"/>
        </w:rPr>
        <w:t xml:space="preserve">ions. </w:t>
      </w:r>
      <w:r w:rsidR="00313443" w:rsidRPr="001B6443">
        <w:rPr>
          <w:rFonts w:ascii="Times New Roman" w:eastAsia="Calibri" w:hAnsi="Times New Roman" w:cs="Times New Roman"/>
          <w:color w:val="000000" w:themeColor="text1"/>
          <w:sz w:val="24"/>
          <w:szCs w:val="24"/>
          <w:lang w:val="en-US"/>
        </w:rPr>
        <w:t>In this case</w:t>
      </w:r>
      <w:r w:rsidR="00D5783E" w:rsidRPr="001B6443">
        <w:rPr>
          <w:rFonts w:ascii="Times New Roman" w:eastAsia="Calibri" w:hAnsi="Times New Roman" w:cs="Times New Roman"/>
          <w:color w:val="000000" w:themeColor="text1"/>
          <w:sz w:val="24"/>
          <w:szCs w:val="24"/>
          <w:lang w:val="en-US"/>
        </w:rPr>
        <w:t xml:space="preserve">, the nature of climate governance </w:t>
      </w:r>
      <w:r w:rsidR="00D5783E" w:rsidRPr="001B6443">
        <w:rPr>
          <w:rFonts w:ascii="Times New Roman" w:eastAsia="Calibri" w:hAnsi="Times New Roman" w:cs="Times New Roman"/>
          <w:color w:val="000000" w:themeColor="text1"/>
          <w:sz w:val="24"/>
          <w:szCs w:val="24"/>
          <w:lang w:val="en-US"/>
        </w:rPr>
        <w:fldChar w:fldCharType="begin" w:fldLock="1"/>
      </w:r>
      <w:r w:rsidR="00D754F3"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performance","type":"article-journal","volume":"52"},"uris":["http://www.mendeley.com/documents/?uuid=c71df26d-d480-3b40-b9c9-2d5e5bd33b21"]}],"mendeley":{"formattedCitation":"(Bui et al. 2020)","plainTextFormattedCitation":"(Bui et al. 2020)","previouslyFormattedCitation":"(Bui et al. 2020)"},"properties":{"noteIndex":0},"schema":"https://github.com/citation-style-language/schema/raw/master/csl-citation.json"}</w:instrText>
      </w:r>
      <w:r w:rsidR="00D5783E" w:rsidRPr="001B6443">
        <w:rPr>
          <w:rFonts w:ascii="Times New Roman" w:eastAsia="Calibri" w:hAnsi="Times New Roman" w:cs="Times New Roman"/>
          <w:color w:val="000000" w:themeColor="text1"/>
          <w:sz w:val="24"/>
          <w:szCs w:val="24"/>
          <w:lang w:val="en-US"/>
        </w:rPr>
        <w:fldChar w:fldCharType="separate"/>
      </w:r>
      <w:r w:rsidR="00D5783E" w:rsidRPr="001B6443">
        <w:rPr>
          <w:rFonts w:ascii="Times New Roman" w:eastAsia="Calibri" w:hAnsi="Times New Roman" w:cs="Times New Roman"/>
          <w:noProof/>
          <w:color w:val="000000" w:themeColor="text1"/>
          <w:sz w:val="24"/>
          <w:szCs w:val="24"/>
          <w:lang w:val="en-US"/>
        </w:rPr>
        <w:t xml:space="preserve">(Bui </w:t>
      </w:r>
      <w:r w:rsidR="00D5783E" w:rsidRPr="001B6443">
        <w:rPr>
          <w:rFonts w:ascii="Times New Roman" w:eastAsia="Calibri" w:hAnsi="Times New Roman" w:cs="Times New Roman"/>
          <w:i/>
          <w:noProof/>
          <w:color w:val="000000" w:themeColor="text1"/>
          <w:sz w:val="24"/>
          <w:szCs w:val="24"/>
          <w:lang w:val="en-US"/>
        </w:rPr>
        <w:t>et al.</w:t>
      </w:r>
      <w:r w:rsidR="00D5783E" w:rsidRPr="001B6443">
        <w:rPr>
          <w:rFonts w:ascii="Times New Roman" w:eastAsia="Calibri" w:hAnsi="Times New Roman" w:cs="Times New Roman"/>
          <w:noProof/>
          <w:color w:val="000000" w:themeColor="text1"/>
          <w:sz w:val="24"/>
          <w:szCs w:val="24"/>
          <w:lang w:val="en-US"/>
        </w:rPr>
        <w:t xml:space="preserve"> 2020)</w:t>
      </w:r>
      <w:r w:rsidR="00D5783E" w:rsidRPr="001B6443">
        <w:rPr>
          <w:rFonts w:ascii="Times New Roman" w:eastAsia="Calibri" w:hAnsi="Times New Roman" w:cs="Times New Roman"/>
          <w:color w:val="000000" w:themeColor="text1"/>
          <w:sz w:val="24"/>
          <w:szCs w:val="24"/>
          <w:lang w:val="en-US"/>
        </w:rPr>
        <w:fldChar w:fldCharType="end"/>
      </w:r>
      <w:r w:rsidR="00D5783E" w:rsidRPr="001B6443">
        <w:rPr>
          <w:rFonts w:ascii="Times New Roman" w:eastAsia="Calibri" w:hAnsi="Times New Roman" w:cs="Times New Roman"/>
          <w:color w:val="000000" w:themeColor="text1"/>
          <w:sz w:val="24"/>
          <w:szCs w:val="24"/>
          <w:lang w:val="en-US"/>
        </w:rPr>
        <w:t>, as well as internal and external governance systems</w:t>
      </w:r>
      <w:r w:rsidR="00D754F3" w:rsidRPr="001B6443">
        <w:rPr>
          <w:rFonts w:ascii="Times New Roman" w:eastAsia="Calibri" w:hAnsi="Times New Roman" w:cs="Times New Roman"/>
          <w:color w:val="000000" w:themeColor="text1"/>
          <w:sz w:val="24"/>
          <w:szCs w:val="24"/>
          <w:lang w:val="en-US"/>
        </w:rPr>
        <w:t xml:space="preserve"> </w:t>
      </w:r>
      <w:r w:rsidR="00D754F3" w:rsidRPr="001B6443">
        <w:rPr>
          <w:rFonts w:ascii="Times New Roman" w:eastAsia="Calibri" w:hAnsi="Times New Roman" w:cs="Times New Roman"/>
          <w:color w:val="000000" w:themeColor="text1"/>
          <w:sz w:val="24"/>
          <w:szCs w:val="24"/>
          <w:lang w:val="en-US"/>
        </w:rPr>
        <w:fldChar w:fldCharType="begin" w:fldLock="1"/>
      </w:r>
      <w:r w:rsidR="00D754F3"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data","type":"article-journal","volume":"53"},"uris":["http://www.mendeley.com/documents/?uuid=ac06154c-7498-32c7-a53a-51d28fbf1de9"]}],"mendeley":{"formattedCitation":"(Choi and Luo 2021)","plainTextFormattedCitation":"(Choi and Luo 2021)","previouslyFormattedCitation":"(Choi and Luo 2021)"},"properties":{"noteIndex":0},"schema":"https://github.com/citation-style-language/schema/raw/master/csl-citation.json"}</w:instrText>
      </w:r>
      <w:r w:rsidR="00D754F3" w:rsidRPr="001B6443">
        <w:rPr>
          <w:rFonts w:ascii="Times New Roman" w:eastAsia="Calibri" w:hAnsi="Times New Roman" w:cs="Times New Roman"/>
          <w:color w:val="000000" w:themeColor="text1"/>
          <w:sz w:val="24"/>
          <w:szCs w:val="24"/>
          <w:lang w:val="en-US"/>
        </w:rPr>
        <w:fldChar w:fldCharType="separate"/>
      </w:r>
      <w:r w:rsidR="00D754F3" w:rsidRPr="001B6443">
        <w:rPr>
          <w:rFonts w:ascii="Times New Roman" w:eastAsia="Calibri" w:hAnsi="Times New Roman" w:cs="Times New Roman"/>
          <w:noProof/>
          <w:color w:val="000000" w:themeColor="text1"/>
          <w:sz w:val="24"/>
          <w:szCs w:val="24"/>
          <w:lang w:val="en-US"/>
        </w:rPr>
        <w:t>(Choi and Luo 2021)</w:t>
      </w:r>
      <w:r w:rsidR="00D754F3" w:rsidRPr="001B6443">
        <w:rPr>
          <w:rFonts w:ascii="Times New Roman" w:eastAsia="Calibri" w:hAnsi="Times New Roman" w:cs="Times New Roman"/>
          <w:color w:val="000000" w:themeColor="text1"/>
          <w:sz w:val="24"/>
          <w:szCs w:val="24"/>
          <w:lang w:val="en-US"/>
        </w:rPr>
        <w:fldChar w:fldCharType="end"/>
      </w:r>
      <w:r w:rsidR="00D5783E" w:rsidRPr="001B6443">
        <w:rPr>
          <w:rFonts w:ascii="Times New Roman" w:eastAsia="Calibri" w:hAnsi="Times New Roman" w:cs="Times New Roman"/>
          <w:color w:val="000000" w:themeColor="text1"/>
          <w:sz w:val="24"/>
          <w:szCs w:val="24"/>
          <w:lang w:val="en-US"/>
        </w:rPr>
        <w:t xml:space="preserve"> that vary across countries can explain the effect of </w:t>
      </w:r>
      <w:r w:rsidR="00D754F3" w:rsidRPr="001B6443">
        <w:rPr>
          <w:rFonts w:ascii="Times New Roman" w:eastAsia="Calibri" w:hAnsi="Times New Roman" w:cs="Times New Roman"/>
          <w:color w:val="000000" w:themeColor="text1"/>
          <w:sz w:val="24"/>
          <w:szCs w:val="24"/>
          <w:lang w:val="en-US"/>
        </w:rPr>
        <w:t xml:space="preserve">stringent </w:t>
      </w:r>
      <w:r w:rsidR="00D5783E" w:rsidRPr="001B6443">
        <w:rPr>
          <w:rFonts w:ascii="Times New Roman" w:eastAsia="Calibri" w:hAnsi="Times New Roman" w:cs="Times New Roman"/>
          <w:color w:val="000000" w:themeColor="text1"/>
          <w:sz w:val="24"/>
          <w:szCs w:val="24"/>
          <w:lang w:val="en-US"/>
        </w:rPr>
        <w:t>environmenta</w:t>
      </w:r>
      <w:r w:rsidR="00D754F3" w:rsidRPr="001B6443">
        <w:rPr>
          <w:rFonts w:ascii="Times New Roman" w:eastAsia="Calibri" w:hAnsi="Times New Roman" w:cs="Times New Roman"/>
          <w:color w:val="000000" w:themeColor="text1"/>
          <w:sz w:val="24"/>
          <w:szCs w:val="24"/>
          <w:lang w:val="en-US"/>
        </w:rPr>
        <w:t xml:space="preserve">l regulations on corporate emissions. </w:t>
      </w:r>
    </w:p>
    <w:p w14:paraId="0F8E19F9" w14:textId="77777777" w:rsidR="00280D3A" w:rsidRPr="001B6443" w:rsidRDefault="00280D3A" w:rsidP="00EC5A9C">
      <w:pPr>
        <w:spacing w:after="0" w:line="480" w:lineRule="auto"/>
        <w:jc w:val="both"/>
        <w:rPr>
          <w:rFonts w:ascii="Times New Roman" w:eastAsia="Calibri" w:hAnsi="Times New Roman" w:cs="Times New Roman"/>
          <w:color w:val="000000" w:themeColor="text1"/>
          <w:sz w:val="24"/>
          <w:szCs w:val="24"/>
          <w:lang w:val="en-US"/>
        </w:rPr>
      </w:pPr>
    </w:p>
    <w:p w14:paraId="54BEAB56" w14:textId="32EDF86F"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Third, we estimate Equations (1) and (2) for three subsamples: Paris (2019-2016), Kyoto (2015-2005), and pre-reforms (2004-2002) to consider the effects of global climate change reforms/initiatives. Table 10 displays a significantly negative association between CCPE and MV in Paris and Kyoto </w:t>
      </w:r>
      <w:r w:rsidR="00162046" w:rsidRPr="001B6443">
        <w:rPr>
          <w:rFonts w:ascii="Times New Roman" w:eastAsia="Calibri" w:hAnsi="Times New Roman" w:cs="Times New Roman"/>
          <w:color w:val="000000" w:themeColor="text1"/>
          <w:sz w:val="24"/>
          <w:szCs w:val="24"/>
          <w:lang w:val="en-US"/>
        </w:rPr>
        <w:t>sub</w:t>
      </w:r>
      <w:r w:rsidRPr="001B6443">
        <w:rPr>
          <w:rFonts w:ascii="Times New Roman" w:eastAsia="Calibri" w:hAnsi="Times New Roman" w:cs="Times New Roman"/>
          <w:color w:val="000000" w:themeColor="text1"/>
          <w:sz w:val="24"/>
          <w:szCs w:val="24"/>
          <w:lang w:val="en-US"/>
        </w:rPr>
        <w:t xml:space="preserve">samples, and no association in a pre-reforms subsample. These results highlight the importance of global </w:t>
      </w:r>
      <w:r w:rsidR="00913D25" w:rsidRPr="001B6443">
        <w:rPr>
          <w:rFonts w:ascii="Times New Roman" w:eastAsia="Calibri" w:hAnsi="Times New Roman" w:cs="Times New Roman"/>
          <w:color w:val="000000" w:themeColor="text1"/>
          <w:sz w:val="24"/>
          <w:szCs w:val="24"/>
          <w:lang w:val="en-US"/>
        </w:rPr>
        <w:t>reforms/</w:t>
      </w:r>
      <w:r w:rsidRPr="001B6443">
        <w:rPr>
          <w:rFonts w:ascii="Times New Roman" w:eastAsia="Calibri" w:hAnsi="Times New Roman" w:cs="Times New Roman"/>
          <w:color w:val="000000" w:themeColor="text1"/>
          <w:sz w:val="24"/>
          <w:szCs w:val="24"/>
          <w:lang w:val="en-US"/>
        </w:rPr>
        <w:t xml:space="preserve">initiatives </w:t>
      </w:r>
      <w:r w:rsidRPr="001B6443">
        <w:rPr>
          <w:rFonts w:ascii="Times New Roman" w:eastAsia="Calibri" w:hAnsi="Times New Roman" w:cs="Times New Roman"/>
          <w:bCs/>
          <w:color w:val="000000" w:themeColor="text1"/>
          <w:sz w:val="24"/>
          <w:szCs w:val="24"/>
          <w:lang w:val="en-US"/>
        </w:rPr>
        <w:t>in raising awareness among market participants about the negative consequences of GHG emiss</w:t>
      </w:r>
      <w:r w:rsidR="00162046" w:rsidRPr="001B6443">
        <w:rPr>
          <w:rFonts w:ascii="Times New Roman" w:eastAsia="Calibri" w:hAnsi="Times New Roman" w:cs="Times New Roman"/>
          <w:bCs/>
          <w:color w:val="000000" w:themeColor="text1"/>
          <w:sz w:val="24"/>
          <w:szCs w:val="24"/>
          <w:lang w:val="en-US"/>
        </w:rPr>
        <w:t xml:space="preserve">ions. </w:t>
      </w:r>
      <w:r w:rsidRPr="001B6443">
        <w:rPr>
          <w:rFonts w:ascii="Times New Roman" w:eastAsia="Calibri" w:hAnsi="Times New Roman" w:cs="Times New Roman"/>
          <w:color w:val="000000" w:themeColor="text1"/>
          <w:sz w:val="24"/>
          <w:szCs w:val="24"/>
          <w:lang w:val="en-US"/>
        </w:rPr>
        <w:t>Finally, we estimate the hypothesized relationships for environmentally sensitive and non-sensitive sectors. The results reveal that the negative effect of CCPE on MV is more pronou</w:t>
      </w:r>
      <w:r w:rsidR="00F76953" w:rsidRPr="001B6443">
        <w:rPr>
          <w:rFonts w:ascii="Times New Roman" w:eastAsia="Calibri" w:hAnsi="Times New Roman" w:cs="Times New Roman"/>
          <w:color w:val="000000" w:themeColor="text1"/>
          <w:sz w:val="24"/>
          <w:szCs w:val="24"/>
          <w:lang w:val="en-US"/>
        </w:rPr>
        <w:t xml:space="preserve">nced in sensitive sectors, </w:t>
      </w:r>
      <w:r w:rsidRPr="001B6443">
        <w:rPr>
          <w:rFonts w:ascii="Times New Roman" w:eastAsia="Calibri" w:hAnsi="Times New Roman" w:cs="Times New Roman"/>
          <w:color w:val="000000" w:themeColor="text1"/>
          <w:sz w:val="24"/>
          <w:szCs w:val="24"/>
          <w:lang w:val="en-US"/>
        </w:rPr>
        <w:t xml:space="preserve">indicating </w:t>
      </w:r>
      <w:r w:rsidR="00CE78C3" w:rsidRPr="001B6443">
        <w:rPr>
          <w:rFonts w:ascii="Times New Roman" w:eastAsia="Calibri" w:hAnsi="Times New Roman" w:cs="Times New Roman"/>
          <w:color w:val="000000" w:themeColor="text1"/>
          <w:sz w:val="24"/>
          <w:szCs w:val="24"/>
          <w:lang w:val="en-US"/>
        </w:rPr>
        <w:t xml:space="preserve">that </w:t>
      </w:r>
      <w:r w:rsidRPr="001B6443">
        <w:rPr>
          <w:rFonts w:ascii="Times New Roman" w:eastAsia="Calibri" w:hAnsi="Times New Roman" w:cs="Times New Roman"/>
          <w:color w:val="000000" w:themeColor="text1"/>
          <w:sz w:val="24"/>
          <w:szCs w:val="24"/>
          <w:lang w:val="en-US"/>
        </w:rPr>
        <w:t xml:space="preserve">firms in sensitive sectors suffer </w:t>
      </w:r>
      <w:r w:rsidRPr="001B6443">
        <w:rPr>
          <w:rFonts w:ascii="Times New Roman" w:eastAsia="Calibri" w:hAnsi="Times New Roman" w:cs="Times New Roman"/>
          <w:color w:val="000000" w:themeColor="text1"/>
          <w:sz w:val="24"/>
          <w:szCs w:val="24"/>
          <w:lang w:val="en-US"/>
        </w:rPr>
        <w:lastRenderedPageBreak/>
        <w:t>more from negative market effects due to their higher impacts on climate change (for brevity not reported</w:t>
      </w:r>
      <w:r w:rsidR="00A96736"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 but available upon request).       </w:t>
      </w:r>
    </w:p>
    <w:p w14:paraId="31BFEEAA" w14:textId="4F360E48"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  </w:t>
      </w:r>
    </w:p>
    <w:p w14:paraId="2B33C33B" w14:textId="77777777" w:rsidR="00EC5A9C" w:rsidRPr="001B6443" w:rsidRDefault="00EC5A9C" w:rsidP="00EC5A9C">
      <w:pPr>
        <w:keepNext/>
        <w:keepLines/>
        <w:numPr>
          <w:ilvl w:val="1"/>
          <w:numId w:val="5"/>
        </w:numPr>
        <w:spacing w:after="0" w:line="480" w:lineRule="auto"/>
        <w:ind w:left="567" w:hanging="567"/>
        <w:outlineLvl w:val="1"/>
        <w:rPr>
          <w:rFonts w:ascii="Times New Roman" w:eastAsia="Times New Roman" w:hAnsi="Times New Roman" w:cs="Times New Roman"/>
          <w:i/>
          <w:iCs/>
          <w:color w:val="000000" w:themeColor="text1"/>
          <w:sz w:val="24"/>
          <w:szCs w:val="24"/>
          <w:lang w:val="en-US"/>
        </w:rPr>
      </w:pPr>
      <w:r w:rsidRPr="001B6443">
        <w:rPr>
          <w:rFonts w:ascii="Times New Roman" w:eastAsia="Times New Roman" w:hAnsi="Times New Roman" w:cs="Times New Roman"/>
          <w:i/>
          <w:iCs/>
          <w:color w:val="000000" w:themeColor="text1"/>
          <w:sz w:val="24"/>
          <w:szCs w:val="24"/>
          <w:lang w:val="en-US"/>
        </w:rPr>
        <w:t>Robustness tests</w:t>
      </w:r>
    </w:p>
    <w:p w14:paraId="7BD56F3E" w14:textId="69AAE863"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We perform a number of sensitivity tests to </w:t>
      </w:r>
      <w:r w:rsidR="00A96736" w:rsidRPr="001B6443">
        <w:rPr>
          <w:rFonts w:ascii="Times New Roman" w:eastAsia="Calibri" w:hAnsi="Times New Roman" w:cs="Times New Roman"/>
          <w:color w:val="000000" w:themeColor="text1"/>
          <w:sz w:val="24"/>
          <w:szCs w:val="24"/>
          <w:lang w:val="en-US"/>
        </w:rPr>
        <w:t>check</w:t>
      </w:r>
      <w:r w:rsidRPr="001B6443">
        <w:rPr>
          <w:rFonts w:ascii="Times New Roman" w:eastAsia="Calibri" w:hAnsi="Times New Roman" w:cs="Times New Roman"/>
          <w:color w:val="000000" w:themeColor="text1"/>
          <w:sz w:val="24"/>
          <w:szCs w:val="24"/>
          <w:lang w:val="en-US"/>
        </w:rPr>
        <w:t xml:space="preserve"> the robustness of our findings. First, to ensure that our main results are not af</w:t>
      </w:r>
      <w:r w:rsidR="00116BD0" w:rsidRPr="001B6443">
        <w:rPr>
          <w:rFonts w:ascii="Times New Roman" w:eastAsia="Calibri" w:hAnsi="Times New Roman" w:cs="Times New Roman"/>
          <w:color w:val="000000" w:themeColor="text1"/>
          <w:sz w:val="24"/>
          <w:szCs w:val="24"/>
          <w:lang w:val="en-US"/>
        </w:rPr>
        <w:t>fected by possible endogeneity</w:t>
      </w:r>
      <w:r w:rsidR="00116BD0" w:rsidRPr="001B6443">
        <w:rPr>
          <w:rFonts w:ascii="Times New Roman" w:eastAsia="Calibri" w:hAnsi="Times New Roman" w:cs="Times New Roman"/>
          <w:color w:val="000000" w:themeColor="text1"/>
          <w:sz w:val="24"/>
          <w:szCs w:val="24"/>
          <w:vertAlign w:val="superscript"/>
          <w:lang w:val="en-US"/>
        </w:rPr>
        <w:footnoteReference w:id="11"/>
      </w:r>
      <w:r w:rsidR="00116BD0" w:rsidRPr="001B6443">
        <w:rPr>
          <w:rFonts w:ascii="Times New Roman" w:eastAsia="Calibri" w:hAnsi="Times New Roman" w:cs="Times New Roman"/>
          <w:color w:val="000000" w:themeColor="text1"/>
          <w:sz w:val="24"/>
          <w:szCs w:val="24"/>
          <w:lang w:val="en-US"/>
        </w:rPr>
        <w:t xml:space="preserve">, we perform </w:t>
      </w:r>
      <w:r w:rsidR="00116BD0" w:rsidRPr="001B6443">
        <w:rPr>
          <w:rFonts w:ascii="Times New Roman" w:eastAsia="Times New Roman" w:hAnsi="Times New Roman" w:cs="Times New Roman"/>
          <w:bCs/>
          <w:color w:val="000000" w:themeColor="text1"/>
          <w:sz w:val="24"/>
          <w:szCs w:val="20"/>
          <w:lang w:val="en-US" w:eastAsia="ru-RU"/>
        </w:rPr>
        <w:t xml:space="preserve">two-stage least squares (2SLS). </w:t>
      </w:r>
      <w:r w:rsidR="00116BD0" w:rsidRPr="001B6443">
        <w:rPr>
          <w:rFonts w:ascii="Times New Roman" w:eastAsia="Calibri" w:hAnsi="Times New Roman" w:cs="Times New Roman"/>
          <w:color w:val="000000" w:themeColor="text1"/>
          <w:sz w:val="24"/>
          <w:szCs w:val="24"/>
          <w:lang w:val="en-US"/>
        </w:rPr>
        <w:t xml:space="preserve">Second, </w:t>
      </w:r>
      <w:r w:rsidR="00116BD0" w:rsidRPr="001B6443">
        <w:rPr>
          <w:rFonts w:ascii="Times New Roman" w:eastAsia="Times New Roman" w:hAnsi="Times New Roman" w:cs="Times New Roman"/>
          <w:bCs/>
          <w:color w:val="000000" w:themeColor="text1"/>
          <w:sz w:val="24"/>
          <w:szCs w:val="20"/>
          <w:lang w:val="en-US" w:eastAsia="ru-RU"/>
        </w:rPr>
        <w:t xml:space="preserve">to </w:t>
      </w:r>
      <w:r w:rsidR="00116BD0" w:rsidRPr="001B6443">
        <w:rPr>
          <w:rFonts w:ascii="Times New Roman" w:eastAsia="Calibri" w:hAnsi="Times New Roman" w:cs="Times New Roman"/>
          <w:color w:val="000000" w:themeColor="text1"/>
          <w:sz w:val="24"/>
          <w:szCs w:val="24"/>
          <w:lang w:val="en-US"/>
        </w:rPr>
        <w:t xml:space="preserve">confirm the absence of endogeneity, </w:t>
      </w:r>
      <w:r w:rsidRPr="001B6443">
        <w:rPr>
          <w:rFonts w:ascii="Times New Roman" w:eastAsia="Calibri" w:hAnsi="Times New Roman" w:cs="Times New Roman"/>
          <w:color w:val="000000" w:themeColor="text1"/>
          <w:sz w:val="24"/>
          <w:szCs w:val="24"/>
          <w:lang w:val="en-US"/>
        </w:rPr>
        <w:t xml:space="preserve">we employ a dynamic two-step system GMM, developed by </w:t>
      </w:r>
      <w:r w:rsidRPr="001B6443">
        <w:rPr>
          <w:rFonts w:ascii="Times New Roman" w:eastAsia="Calibri" w:hAnsi="Times New Roman" w:cs="Times New Roman"/>
          <w:color w:val="000000" w:themeColor="text1"/>
          <w:sz w:val="24"/>
          <w:szCs w:val="24"/>
          <w:lang w:val="en-US"/>
        </w:rPr>
        <w:fldChar w:fldCharType="begin" w:fldLock="1"/>
      </w:r>
      <w:r w:rsidRPr="001B6443">
        <w:rPr>
          <w:rFonts w:ascii="Times New Roman" w:eastAsia="Calibri" w:hAnsi="Times New Roman" w:cs="Times New Roman"/>
          <w:color w:val="000000" w:themeColor="text1"/>
          <w:sz w:val="24"/>
          <w:szCs w:val="24"/>
          <w:lang w:val="en-US"/>
        </w:rPr>
        <w:instrText>ADDIN CSL_CITATION {"citationItems":[{"id":"ITEM-1","itemData":{"abstract":"This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tests.","author":[{"dropping-particle":"","family":"Arellano","given":"M.","non-dropping-particle":"","parse-names":false,"suffix":""},{"dropping-particle":"","family":"Bond","given":"S.","non-dropping-particle":"","parse-names":false,"suffix":""}],"container-title":"Review of Economic Studies","id":"ITEM-1","issued":{"date-parts":[["1991"]]},"page":"277-297","title":"Some tests of specification for panel data: Monte Carlo evidence and an application to employment equations","type":"article-journal","volume":"58"},"uris":["http://www.mendeley.com/documents/?uuid=55bac00f-79c1-34d8-83b2-206d321c8962"]},{"id":"ITEM-2","itemData":{"DOI":"10.1016/S0304-4076(98)00009-8","ISBN":"0304-4076","ISSN":"03044076","PMID":"2697832","abstrac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 © 1998 Elsevier Science S.A. All rights reserved.","author":[{"dropping-particle":"","family":"Blundell","given":"Richard","non-dropping-particle":"","parse-names":false,"suffix":""},{"dropping-particle":"","family":"Bond","given":"Stephen","non-dropping-particle":"","parse-names":false,"suffix":""}],"container-title":"Journal of Econometrics","id":"ITEM-2","issue":"1","issued":{"date-parts":[["1998"]]},"page":"115-143","title":"Initial conditions and moment restrictions in dynamic panel data models","type":"article-journal","volume":"87"},"uris":["http://www.mendeley.com/documents/?uuid=3d389cc4-19de-4a40-9e03-6efe22527e65"]}],"mendeley":{"formattedCitation":"(Arellano and Bond 1991; Blundell and Bond 1998)","manualFormatting":"Arellano and Bond (1991) and Blundell and Bond (1998)","plainTextFormattedCitation":"(Arellano and Bond 1991; Blundell and Bond 1998)","previouslyFormattedCitation":"(Arellano and Bond 1991; Blundell and Bond 1998)"},"properties":{"noteIndex":0},"schema":"https://github.com/citation-style-language/schema/raw/master/csl-citation.json"}</w:instrText>
      </w:r>
      <w:r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Arellano and Bond (1991) and Blundell and Bond (1998)</w:t>
      </w:r>
      <w:r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vertAlign w:val="superscript"/>
          <w:lang w:val="en-US"/>
        </w:rPr>
        <w:footnoteReference w:id="12"/>
      </w:r>
      <w:r w:rsidRPr="001B6443">
        <w:rPr>
          <w:rFonts w:ascii="Times New Roman" w:eastAsia="Calibri" w:hAnsi="Times New Roman" w:cs="Times New Roman"/>
          <w:color w:val="000000" w:themeColor="text1"/>
          <w:sz w:val="24"/>
          <w:szCs w:val="24"/>
          <w:lang w:val="en-US"/>
        </w:rPr>
        <w:t xml:space="preserve"> Third, we run </w:t>
      </w:r>
      <w:r w:rsidRPr="001B6443">
        <w:rPr>
          <w:rFonts w:ascii="Times New Roman" w:eastAsia="Times New Roman" w:hAnsi="Times New Roman" w:cs="Times New Roman"/>
          <w:bCs/>
          <w:color w:val="000000" w:themeColor="text1"/>
          <w:sz w:val="24"/>
          <w:szCs w:val="20"/>
          <w:lang w:val="en-US" w:eastAsia="ru-RU"/>
        </w:rPr>
        <w:t>Heckman</w:t>
      </w:r>
      <w:r w:rsidR="006715A3" w:rsidRPr="001B6443">
        <w:rPr>
          <w:rFonts w:ascii="Times New Roman" w:eastAsia="Times New Roman" w:hAnsi="Times New Roman" w:cs="Times New Roman"/>
          <w:bCs/>
          <w:color w:val="000000" w:themeColor="text1"/>
          <w:sz w:val="24"/>
          <w:szCs w:val="20"/>
          <w:lang w:val="en-US" w:eastAsia="ru-RU"/>
        </w:rPr>
        <w:t xml:space="preserve"> selection models using sector</w:t>
      </w:r>
      <w:r w:rsidRPr="001B6443">
        <w:rPr>
          <w:rFonts w:ascii="Times New Roman" w:eastAsia="Times New Roman" w:hAnsi="Times New Roman" w:cs="Times New Roman"/>
          <w:bCs/>
          <w:color w:val="000000" w:themeColor="text1"/>
          <w:sz w:val="24"/>
          <w:szCs w:val="20"/>
          <w:lang w:val="en-US" w:eastAsia="ru-RU"/>
        </w:rPr>
        <w:t xml:space="preserve"> average values of the main independent variables as exclusion restrictions to address self-selection issues. </w:t>
      </w:r>
      <w:r w:rsidR="00734C6D" w:rsidRPr="001B6443">
        <w:rPr>
          <w:rFonts w:ascii="Times New Roman" w:eastAsia="Calibri" w:hAnsi="Times New Roman" w:cs="Times New Roman"/>
          <w:color w:val="000000" w:themeColor="text1"/>
          <w:sz w:val="24"/>
          <w:szCs w:val="24"/>
          <w:lang w:val="en-US"/>
        </w:rPr>
        <w:t xml:space="preserve">The results from 2SLS (in Table 11) and GMM </w:t>
      </w:r>
      <w:r w:rsidRPr="001B6443">
        <w:rPr>
          <w:rFonts w:ascii="Times New Roman" w:eastAsia="Calibri" w:hAnsi="Times New Roman" w:cs="Times New Roman"/>
          <w:color w:val="000000" w:themeColor="text1"/>
          <w:sz w:val="24"/>
          <w:szCs w:val="24"/>
          <w:lang w:val="en-US"/>
        </w:rPr>
        <w:t xml:space="preserve">and Heckman models </w:t>
      </w:r>
      <w:r w:rsidR="00734C6D" w:rsidRPr="001B6443">
        <w:rPr>
          <w:rFonts w:ascii="Times New Roman" w:eastAsia="Calibri" w:hAnsi="Times New Roman" w:cs="Times New Roman"/>
          <w:color w:val="000000" w:themeColor="text1"/>
          <w:sz w:val="24"/>
          <w:szCs w:val="24"/>
          <w:lang w:val="en-US"/>
        </w:rPr>
        <w:t xml:space="preserve">(in Table 12) </w:t>
      </w:r>
      <w:r w:rsidR="006C33A6" w:rsidRPr="001B6443">
        <w:rPr>
          <w:rFonts w:ascii="Times New Roman" w:eastAsia="Calibri" w:hAnsi="Times New Roman" w:cs="Times New Roman"/>
          <w:color w:val="000000" w:themeColor="text1"/>
          <w:sz w:val="24"/>
          <w:szCs w:val="24"/>
          <w:lang w:val="en-US"/>
        </w:rPr>
        <w:t>are qualitatively similar to those reported in Tables 6 and 7</w:t>
      </w:r>
      <w:r w:rsidR="00734C6D" w:rsidRPr="001B6443">
        <w:rPr>
          <w:rFonts w:ascii="Times New Roman" w:eastAsia="Calibri" w:hAnsi="Times New Roman" w:cs="Times New Roman"/>
          <w:color w:val="000000" w:themeColor="text1"/>
          <w:sz w:val="24"/>
          <w:szCs w:val="24"/>
          <w:lang w:val="en-US"/>
        </w:rPr>
        <w:t xml:space="preserve">, </w:t>
      </w:r>
      <w:r w:rsidR="00DF52F4" w:rsidRPr="001B6443">
        <w:rPr>
          <w:rFonts w:ascii="Times New Roman" w:eastAsia="Calibri" w:hAnsi="Times New Roman" w:cs="Times New Roman"/>
          <w:color w:val="000000" w:themeColor="text1"/>
          <w:sz w:val="24"/>
          <w:szCs w:val="24"/>
          <w:lang w:val="en-US"/>
        </w:rPr>
        <w:t>indicating</w:t>
      </w:r>
      <w:r w:rsidR="006C33A6" w:rsidRPr="001B6443">
        <w:rPr>
          <w:rFonts w:ascii="Times New Roman" w:eastAsia="Calibri" w:hAnsi="Times New Roman" w:cs="Times New Roman"/>
          <w:color w:val="000000" w:themeColor="text1"/>
          <w:sz w:val="24"/>
          <w:szCs w:val="24"/>
          <w:lang w:val="en-US"/>
        </w:rPr>
        <w:t xml:space="preserve"> the robustness of our main findings </w:t>
      </w:r>
      <w:r w:rsidRPr="001B6443">
        <w:rPr>
          <w:rFonts w:ascii="Times New Roman" w:eastAsia="Calibri" w:hAnsi="Times New Roman" w:cs="Times New Roman"/>
          <w:color w:val="000000" w:themeColor="text1"/>
          <w:sz w:val="24"/>
          <w:szCs w:val="24"/>
          <w:lang w:val="en-US"/>
        </w:rPr>
        <w:t>to endogeneity and sample selection bias. Fourth, we estimate Equation</w:t>
      </w:r>
      <w:r w:rsidR="006D3AFD" w:rsidRPr="001B6443">
        <w:rPr>
          <w:rFonts w:ascii="Times New Roman" w:eastAsia="Calibri" w:hAnsi="Times New Roman" w:cs="Times New Roman"/>
          <w:color w:val="000000" w:themeColor="text1"/>
          <w:sz w:val="24"/>
          <w:szCs w:val="24"/>
          <w:lang w:val="en-US"/>
        </w:rPr>
        <w:t>s</w:t>
      </w:r>
      <w:r w:rsidRPr="001B6443">
        <w:rPr>
          <w:rFonts w:ascii="Times New Roman" w:eastAsia="Calibri" w:hAnsi="Times New Roman" w:cs="Times New Roman"/>
          <w:color w:val="000000" w:themeColor="text1"/>
          <w:sz w:val="24"/>
          <w:szCs w:val="24"/>
          <w:lang w:val="en-US"/>
        </w:rPr>
        <w:t xml:space="preserve"> (1)</w:t>
      </w:r>
      <w:r w:rsidR="006D3AFD" w:rsidRPr="001B6443">
        <w:rPr>
          <w:rFonts w:ascii="Times New Roman" w:eastAsia="Calibri" w:hAnsi="Times New Roman" w:cs="Times New Roman"/>
          <w:color w:val="000000" w:themeColor="text1"/>
          <w:sz w:val="24"/>
          <w:szCs w:val="24"/>
          <w:lang w:val="en-US"/>
        </w:rPr>
        <w:t xml:space="preserve"> and (2)</w:t>
      </w:r>
      <w:r w:rsidRPr="001B6443">
        <w:rPr>
          <w:rFonts w:ascii="Times New Roman" w:eastAsia="Calibri" w:hAnsi="Times New Roman" w:cs="Times New Roman"/>
          <w:color w:val="000000" w:themeColor="text1"/>
          <w:sz w:val="24"/>
          <w:szCs w:val="24"/>
          <w:lang w:val="en-US"/>
        </w:rPr>
        <w:t xml:space="preserve"> using the </w:t>
      </w:r>
      <w:r w:rsidR="006D3AFD" w:rsidRPr="001B6443">
        <w:rPr>
          <w:rFonts w:ascii="Times New Roman" w:eastAsia="Calibri" w:hAnsi="Times New Roman" w:cs="Times New Roman"/>
          <w:color w:val="000000" w:themeColor="text1"/>
          <w:sz w:val="24"/>
          <w:szCs w:val="24"/>
          <w:lang w:val="en-US"/>
        </w:rPr>
        <w:t xml:space="preserve">relative changes in MV, CCPE, and PCCIs in year </w:t>
      </w:r>
      <w:r w:rsidR="006D3AFD" w:rsidRPr="001B6443">
        <w:rPr>
          <w:rFonts w:ascii="Times New Roman" w:eastAsia="Calibri" w:hAnsi="Times New Roman" w:cs="Times New Roman"/>
          <w:i/>
          <w:color w:val="000000" w:themeColor="text1"/>
          <w:sz w:val="24"/>
          <w:szCs w:val="24"/>
          <w:lang w:val="en-US"/>
        </w:rPr>
        <w:t xml:space="preserve">t </w:t>
      </w:r>
      <w:r w:rsidR="006D3AFD" w:rsidRPr="001B6443">
        <w:rPr>
          <w:rFonts w:ascii="Times New Roman" w:eastAsia="Calibri" w:hAnsi="Times New Roman" w:cs="Times New Roman"/>
          <w:color w:val="000000" w:themeColor="text1"/>
          <w:sz w:val="24"/>
          <w:szCs w:val="24"/>
          <w:lang w:val="en-US"/>
        </w:rPr>
        <w:t xml:space="preserve">(compared to year </w:t>
      </w:r>
      <w:r w:rsidR="006D3AFD" w:rsidRPr="001B6443">
        <w:rPr>
          <w:rFonts w:ascii="Times New Roman" w:eastAsia="Calibri" w:hAnsi="Times New Roman" w:cs="Times New Roman"/>
          <w:i/>
          <w:color w:val="000000" w:themeColor="text1"/>
          <w:sz w:val="24"/>
          <w:szCs w:val="24"/>
          <w:lang w:val="en-US"/>
        </w:rPr>
        <w:t>t-1</w:t>
      </w:r>
      <w:r w:rsidR="001955A8" w:rsidRPr="001B6443">
        <w:rPr>
          <w:rFonts w:ascii="Times New Roman" w:eastAsia="Calibri" w:hAnsi="Times New Roman" w:cs="Times New Roman"/>
          <w:color w:val="000000" w:themeColor="text1"/>
          <w:sz w:val="24"/>
          <w:szCs w:val="24"/>
          <w:lang w:val="en-US"/>
        </w:rPr>
        <w:t>)</w:t>
      </w:r>
      <w:r w:rsidR="006D3AFD" w:rsidRPr="001B6443">
        <w:rPr>
          <w:rFonts w:ascii="Times New Roman" w:eastAsia="Calibri" w:hAnsi="Times New Roman" w:cs="Times New Roman"/>
          <w:color w:val="000000" w:themeColor="text1"/>
          <w:sz w:val="24"/>
          <w:szCs w:val="24"/>
          <w:lang w:val="en-US"/>
        </w:rPr>
        <w:t>, since</w:t>
      </w:r>
      <w:r w:rsidR="001955A8" w:rsidRPr="001B6443">
        <w:rPr>
          <w:rFonts w:ascii="Times New Roman" w:eastAsia="Calibri" w:hAnsi="Times New Roman" w:cs="Times New Roman"/>
          <w:color w:val="000000" w:themeColor="text1"/>
          <w:sz w:val="24"/>
          <w:szCs w:val="24"/>
          <w:lang w:val="en-US"/>
        </w:rPr>
        <w:t xml:space="preserve"> it is possible that capital markets react positively to reductions in GHG emissions even if the level of CCPE is high.</w:t>
      </w:r>
      <w:r w:rsidR="00FA078F"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The un</w:t>
      </w:r>
      <w:r w:rsidR="0050554D" w:rsidRPr="001B6443">
        <w:rPr>
          <w:rFonts w:ascii="Times New Roman" w:eastAsia="Calibri" w:hAnsi="Times New Roman" w:cs="Times New Roman"/>
          <w:color w:val="000000" w:themeColor="text1"/>
          <w:sz w:val="24"/>
          <w:szCs w:val="24"/>
          <w:lang w:val="en-US"/>
        </w:rPr>
        <w:t>-</w:t>
      </w:r>
      <w:r w:rsidR="007636C4" w:rsidRPr="001B6443">
        <w:rPr>
          <w:rFonts w:ascii="Times New Roman" w:eastAsia="Calibri" w:hAnsi="Times New Roman" w:cs="Times New Roman"/>
          <w:color w:val="000000" w:themeColor="text1"/>
          <w:sz w:val="24"/>
          <w:szCs w:val="24"/>
          <w:lang w:val="en-US"/>
        </w:rPr>
        <w:t>ta</w:t>
      </w:r>
      <w:r w:rsidR="00FA078F" w:rsidRPr="001B6443">
        <w:rPr>
          <w:rFonts w:ascii="Times New Roman" w:eastAsia="Calibri" w:hAnsi="Times New Roman" w:cs="Times New Roman"/>
          <w:color w:val="000000" w:themeColor="text1"/>
          <w:sz w:val="24"/>
          <w:szCs w:val="24"/>
          <w:lang w:val="en-US"/>
        </w:rPr>
        <w:t>bulated results support the original</w:t>
      </w:r>
      <w:r w:rsidR="007636C4" w:rsidRPr="001B6443">
        <w:rPr>
          <w:rFonts w:ascii="Times New Roman" w:eastAsia="Calibri" w:hAnsi="Times New Roman" w:cs="Times New Roman"/>
          <w:color w:val="000000" w:themeColor="text1"/>
          <w:sz w:val="24"/>
          <w:szCs w:val="24"/>
          <w:lang w:val="en-US"/>
        </w:rPr>
        <w:t xml:space="preserve"> findings regarding the relationships among MV, CCPE, and PCCIs</w:t>
      </w:r>
      <w:r w:rsidRPr="001B6443">
        <w:rPr>
          <w:rFonts w:ascii="Times New Roman" w:eastAsia="Calibri" w:hAnsi="Times New Roman" w:cs="Times New Roman"/>
          <w:color w:val="000000" w:themeColor="text1"/>
          <w:sz w:val="24"/>
          <w:szCs w:val="24"/>
          <w:lang w:val="en-US"/>
        </w:rPr>
        <w:t>.</w:t>
      </w:r>
      <w:r w:rsidR="00612458"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Fifth, we estimate Equations (1) and (2) using separate CCPE values of Scope 1 and Scope 2 emissions to assess their individual effects on MV. In addition, we replace CCPE with carbon intensity, measured as the ratio of GHG emissions to total assets. The un</w:t>
      </w:r>
      <w:r w:rsidR="0050554D" w:rsidRPr="001B6443">
        <w:rPr>
          <w:rFonts w:ascii="Times New Roman" w:eastAsia="Calibri" w:hAnsi="Times New Roman" w:cs="Times New Roman"/>
          <w:color w:val="000000" w:themeColor="text1"/>
          <w:sz w:val="24"/>
          <w:szCs w:val="24"/>
          <w:lang w:val="en-US"/>
        </w:rPr>
        <w:t>-</w:t>
      </w:r>
      <w:r w:rsidRPr="001B6443">
        <w:rPr>
          <w:rFonts w:ascii="Times New Roman" w:eastAsia="Calibri" w:hAnsi="Times New Roman" w:cs="Times New Roman"/>
          <w:color w:val="000000" w:themeColor="text1"/>
          <w:sz w:val="24"/>
          <w:szCs w:val="24"/>
          <w:lang w:val="en-US"/>
        </w:rPr>
        <w:t xml:space="preserve">tabulated results </w:t>
      </w:r>
      <w:r w:rsidR="000458FA" w:rsidRPr="001B6443">
        <w:rPr>
          <w:rFonts w:ascii="Times New Roman" w:eastAsia="Calibri" w:hAnsi="Times New Roman" w:cs="Times New Roman"/>
          <w:color w:val="000000" w:themeColor="text1"/>
          <w:sz w:val="24"/>
          <w:szCs w:val="24"/>
          <w:lang w:val="en-US"/>
        </w:rPr>
        <w:t xml:space="preserve">indicate that </w:t>
      </w:r>
      <w:r w:rsidR="00FE00F5" w:rsidRPr="001B6443">
        <w:rPr>
          <w:rFonts w:ascii="Times New Roman" w:eastAsia="Calibri" w:hAnsi="Times New Roman" w:cs="Times New Roman"/>
          <w:color w:val="000000" w:themeColor="text1"/>
          <w:sz w:val="24"/>
          <w:szCs w:val="24"/>
          <w:lang w:val="en-US"/>
        </w:rPr>
        <w:t xml:space="preserve">our </w:t>
      </w:r>
      <w:r w:rsidR="000458FA" w:rsidRPr="001B6443">
        <w:rPr>
          <w:rFonts w:ascii="Times New Roman" w:eastAsia="Calibri" w:hAnsi="Times New Roman" w:cs="Times New Roman"/>
          <w:color w:val="000000" w:themeColor="text1"/>
          <w:sz w:val="24"/>
          <w:szCs w:val="24"/>
          <w:lang w:val="en-US"/>
        </w:rPr>
        <w:t xml:space="preserve">findings are robust </w:t>
      </w:r>
      <w:r w:rsidR="00FE00F5" w:rsidRPr="001B6443">
        <w:rPr>
          <w:rFonts w:ascii="Times New Roman" w:eastAsia="Calibri" w:hAnsi="Times New Roman" w:cs="Times New Roman"/>
          <w:color w:val="000000" w:themeColor="text1"/>
          <w:sz w:val="24"/>
          <w:szCs w:val="24"/>
          <w:lang w:val="en-US"/>
        </w:rPr>
        <w:t xml:space="preserve">to </w:t>
      </w:r>
      <w:r w:rsidR="000458FA" w:rsidRPr="001B6443">
        <w:rPr>
          <w:rFonts w:ascii="Times New Roman" w:eastAsia="Calibri" w:hAnsi="Times New Roman" w:cs="Times New Roman"/>
          <w:color w:val="000000" w:themeColor="text1"/>
          <w:sz w:val="24"/>
          <w:szCs w:val="24"/>
          <w:lang w:val="en-US"/>
        </w:rPr>
        <w:t xml:space="preserve">the inclusion of these measures. </w:t>
      </w:r>
    </w:p>
    <w:p w14:paraId="5CA208BC" w14:textId="77777777" w:rsidR="002460C0" w:rsidRPr="001B6443" w:rsidRDefault="002460C0" w:rsidP="00EC5A9C">
      <w:pPr>
        <w:spacing w:after="0" w:line="480" w:lineRule="auto"/>
        <w:jc w:val="both"/>
        <w:rPr>
          <w:rFonts w:ascii="Times New Roman" w:eastAsia="Calibri" w:hAnsi="Times New Roman" w:cs="Times New Roman"/>
          <w:color w:val="000000" w:themeColor="text1"/>
          <w:sz w:val="24"/>
          <w:szCs w:val="24"/>
          <w:lang w:val="en-US"/>
        </w:rPr>
      </w:pPr>
    </w:p>
    <w:p w14:paraId="4619A24C" w14:textId="40459C7B"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p>
    <w:p w14:paraId="3963BC9A" w14:textId="2C918A7A" w:rsidR="00EC5A9C" w:rsidRPr="001B6443" w:rsidRDefault="008335E9" w:rsidP="00EC5A9C">
      <w:pPr>
        <w:numPr>
          <w:ilvl w:val="0"/>
          <w:numId w:val="5"/>
        </w:numPr>
        <w:spacing w:after="0" w:line="480" w:lineRule="auto"/>
        <w:ind w:left="567" w:hanging="567"/>
        <w:outlineLvl w:val="0"/>
        <w:rPr>
          <w:rFonts w:ascii="Times New Roman" w:eastAsia="Times New Roman" w:hAnsi="Times New Roman" w:cs="Times New Roman"/>
          <w:b/>
          <w:bCs/>
          <w:color w:val="000000" w:themeColor="text1"/>
          <w:kern w:val="36"/>
          <w:sz w:val="24"/>
          <w:szCs w:val="24"/>
          <w:lang w:eastAsia="ru-RU"/>
        </w:rPr>
      </w:pPr>
      <w:r w:rsidRPr="001B6443">
        <w:rPr>
          <w:rFonts w:ascii="Times New Roman" w:eastAsia="Times New Roman" w:hAnsi="Times New Roman" w:cs="Times New Roman"/>
          <w:b/>
          <w:bCs/>
          <w:color w:val="000000" w:themeColor="text1"/>
          <w:kern w:val="36"/>
          <w:sz w:val="24"/>
          <w:szCs w:val="24"/>
          <w:lang w:val="en-US" w:eastAsia="ru-RU"/>
        </w:rPr>
        <w:lastRenderedPageBreak/>
        <w:t>Conclusion</w:t>
      </w:r>
    </w:p>
    <w:p w14:paraId="42473B0F" w14:textId="5D170803" w:rsidR="00EC5A9C" w:rsidRPr="001B6443" w:rsidRDefault="00EC5A9C" w:rsidP="00EC5A9C">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Due to the increasing levels of GHG emissions and particularly their adverse impacts on the environment, socio-economic systems, and subsequently human lives, climate change has attracted a growing interest among academics, practitioners, policymakers, and regulators over the past few decades, thus becoming a dominant issue on the economic, political, and business agenda. However, there is limited evidence on the role of CG mechanisms</w:t>
      </w:r>
      <w:r w:rsidR="001C372C" w:rsidRPr="001B6443">
        <w:rPr>
          <w:rFonts w:ascii="Times New Roman" w:eastAsia="Calibri" w:hAnsi="Times New Roman" w:cs="Times New Roman"/>
          <w:color w:val="000000" w:themeColor="text1"/>
          <w:sz w:val="24"/>
          <w:szCs w:val="24"/>
          <w:lang w:val="en-US"/>
        </w:rPr>
        <w:t>, such as BSCOM</w:t>
      </w:r>
      <w:r w:rsidRPr="001B6443">
        <w:rPr>
          <w:rFonts w:ascii="Times New Roman" w:eastAsia="Calibri" w:hAnsi="Times New Roman" w:cs="Times New Roman"/>
          <w:color w:val="000000" w:themeColor="text1"/>
          <w:sz w:val="24"/>
          <w:szCs w:val="24"/>
          <w:lang w:val="en-US"/>
        </w:rPr>
        <w:t xml:space="preserve"> in addressing climate change issues and on the value relevance of PCCIs and CCPE. Our study aims to address this lacuna by empirically examining the interrelationships among BSCOM, PCCIs, CCPE, and MV based on a dataset of 592 global firms operating </w:t>
      </w:r>
      <w:r w:rsidR="001D0B64" w:rsidRPr="001B6443">
        <w:rPr>
          <w:rFonts w:ascii="Times New Roman" w:eastAsia="Calibri" w:hAnsi="Times New Roman" w:cs="Times New Roman"/>
          <w:color w:val="000000" w:themeColor="text1"/>
          <w:sz w:val="24"/>
          <w:szCs w:val="24"/>
          <w:lang w:val="en-US"/>
        </w:rPr>
        <w:t xml:space="preserve">in 35 </w:t>
      </w:r>
      <w:r w:rsidRPr="001B6443">
        <w:rPr>
          <w:rFonts w:ascii="Times New Roman" w:eastAsia="Calibri" w:hAnsi="Times New Roman" w:cs="Times New Roman"/>
          <w:color w:val="000000" w:themeColor="text1"/>
          <w:sz w:val="24"/>
          <w:szCs w:val="24"/>
          <w:lang w:val="en-US"/>
        </w:rPr>
        <w:t>countries from 2002 to 2019. Drawing on</w:t>
      </w:r>
      <w:r w:rsidR="0050554D" w:rsidRPr="001B6443">
        <w:rPr>
          <w:rFonts w:ascii="Times New Roman" w:eastAsia="Calibri" w:hAnsi="Times New Roman" w:cs="Times New Roman"/>
          <w:color w:val="000000" w:themeColor="text1"/>
          <w:sz w:val="24"/>
          <w:szCs w:val="24"/>
          <w:lang w:val="en-US"/>
        </w:rPr>
        <w:t xml:space="preserve"> </w:t>
      </w:r>
      <w:r w:rsidR="004817A8" w:rsidRPr="001B6443">
        <w:rPr>
          <w:rFonts w:ascii="Times New Roman" w:eastAsia="Calibri" w:hAnsi="Times New Roman" w:cs="Times New Roman"/>
          <w:color w:val="000000" w:themeColor="text1"/>
          <w:sz w:val="24"/>
          <w:szCs w:val="24"/>
          <w:lang w:val="en-US"/>
        </w:rPr>
        <w:t xml:space="preserve">the </w:t>
      </w:r>
      <w:r w:rsidR="002158D7" w:rsidRPr="001B6443">
        <w:rPr>
          <w:rFonts w:ascii="Times New Roman" w:eastAsia="Calibri" w:hAnsi="Times New Roman" w:cs="Times New Roman"/>
          <w:color w:val="000000" w:themeColor="text1"/>
          <w:sz w:val="24"/>
          <w:szCs w:val="24"/>
          <w:lang w:val="en-US"/>
        </w:rPr>
        <w:t xml:space="preserve">dynamic </w:t>
      </w:r>
      <w:r w:rsidR="0050554D" w:rsidRPr="001B6443">
        <w:rPr>
          <w:rFonts w:ascii="Times New Roman" w:eastAsia="Calibri" w:hAnsi="Times New Roman" w:cs="Times New Roman"/>
          <w:color w:val="000000" w:themeColor="text1"/>
          <w:sz w:val="24"/>
          <w:szCs w:val="24"/>
          <w:lang w:val="en-US"/>
        </w:rPr>
        <w:t>multi-dimensional socio-economic-based theoretical framework</w:t>
      </w:r>
      <w:r w:rsidR="00B222DC" w:rsidRPr="001B6443">
        <w:rPr>
          <w:rFonts w:ascii="Times New Roman" w:eastAsia="Calibri" w:hAnsi="Times New Roman" w:cs="Times New Roman"/>
          <w:color w:val="000000" w:themeColor="text1"/>
          <w:sz w:val="24"/>
          <w:szCs w:val="24"/>
          <w:lang w:val="en-US"/>
        </w:rPr>
        <w:t xml:space="preserve">, our study offers several new contributions to </w:t>
      </w:r>
      <w:r w:rsidRPr="001B6443">
        <w:rPr>
          <w:rFonts w:ascii="Times New Roman" w:eastAsia="Calibri" w:hAnsi="Times New Roman" w:cs="Times New Roman"/>
          <w:color w:val="000000" w:themeColor="text1"/>
          <w:sz w:val="24"/>
          <w:szCs w:val="24"/>
          <w:lang w:val="en-US"/>
        </w:rPr>
        <w:t>the extant literature</w:t>
      </w:r>
      <w:r w:rsidR="00B222DC" w:rsidRPr="001B6443">
        <w:rPr>
          <w:rFonts w:ascii="Times New Roman" w:eastAsia="Calibri" w:hAnsi="Times New Roman" w:cs="Times New Roman"/>
          <w:color w:val="000000" w:themeColor="text1"/>
          <w:sz w:val="24"/>
          <w:szCs w:val="24"/>
          <w:lang w:val="en-US"/>
        </w:rPr>
        <w:t xml:space="preserve">. </w:t>
      </w:r>
    </w:p>
    <w:p w14:paraId="24E35D6D" w14:textId="77777777" w:rsidR="00335231" w:rsidRPr="001B6443" w:rsidRDefault="00335231" w:rsidP="008F3D14">
      <w:pPr>
        <w:spacing w:after="0" w:line="480" w:lineRule="auto"/>
        <w:jc w:val="both"/>
        <w:rPr>
          <w:rFonts w:ascii="Times New Roman" w:eastAsia="Calibri" w:hAnsi="Times New Roman" w:cs="Times New Roman"/>
          <w:color w:val="000000" w:themeColor="text1"/>
          <w:sz w:val="24"/>
          <w:szCs w:val="24"/>
          <w:lang w:val="en-US"/>
        </w:rPr>
      </w:pPr>
    </w:p>
    <w:p w14:paraId="520E58D5" w14:textId="0F46BF03" w:rsidR="00EC5A9C" w:rsidRPr="001B6443" w:rsidRDefault="00E30E92" w:rsidP="008F3D14">
      <w:pPr>
        <w:spacing w:after="0" w:line="480" w:lineRule="auto"/>
        <w:jc w:val="both"/>
        <w:rPr>
          <w:rFonts w:ascii="Times New Roman" w:eastAsia="Calibri" w:hAnsi="Times New Roman" w:cs="Times New Roman"/>
          <w:color w:val="000000" w:themeColor="text1"/>
          <w:sz w:val="24"/>
          <w:szCs w:val="24"/>
          <w:lang w:val="en-US"/>
        </w:rPr>
      </w:pPr>
      <w:r w:rsidRPr="001B6443">
        <w:rPr>
          <w:rFonts w:ascii="Times New Roman" w:eastAsia="Calibri" w:hAnsi="Times New Roman" w:cs="Times New Roman"/>
          <w:color w:val="000000" w:themeColor="text1"/>
          <w:sz w:val="24"/>
          <w:szCs w:val="24"/>
          <w:lang w:val="en-US"/>
        </w:rPr>
        <w:t xml:space="preserve">First, it extends the extant </w:t>
      </w:r>
      <w:r w:rsidR="00EC5A9C" w:rsidRPr="001B6443">
        <w:rPr>
          <w:rFonts w:ascii="Times New Roman" w:eastAsia="Calibri" w:hAnsi="Times New Roman" w:cs="Times New Roman"/>
          <w:color w:val="000000" w:themeColor="text1"/>
          <w:sz w:val="24"/>
          <w:szCs w:val="24"/>
          <w:lang w:val="en-US"/>
        </w:rPr>
        <w:t xml:space="preserve">literature </w:t>
      </w:r>
      <w:r w:rsidR="00DC1234" w:rsidRPr="001B6443">
        <w:rPr>
          <w:rFonts w:ascii="Times New Roman" w:eastAsia="Calibri" w:hAnsi="Times New Roman" w:cs="Times New Roman"/>
          <w:color w:val="000000" w:themeColor="text1"/>
          <w:sz w:val="24"/>
          <w:szCs w:val="24"/>
          <w:lang w:val="en-US"/>
        </w:rPr>
        <w:fldChar w:fldCharType="begin" w:fldLock="1"/>
      </w:r>
      <w:r w:rsidR="0016357D" w:rsidRPr="001B6443">
        <w:rPr>
          <w:rFonts w:ascii="Times New Roman" w:eastAsia="Calibri" w:hAnsi="Times New Roman" w:cs="Times New Roman"/>
          <w:color w:val="000000" w:themeColor="text1"/>
          <w:sz w:val="24"/>
          <w:szCs w:val="24"/>
          <w:lang w:val="en-US"/>
        </w:rPr>
        <w:instrText>ADDIN CSL_CITATION {"citationItems":[{"id":"ITEM-1","itemData":{"DOI":"10.1016/j.bar.2020.100909","ISSN":"10958347","abstract":"Despite increasing global attention on corporate carbon emissions, few studies have examined the value relevance of carbon emission information in the international context. This paper examines whether carbon emission information voluntarily disclosed by a firm affects its market value. After controlling for a firm's likelihood to provide voluntary carbon disclosures, we find that the level of carbon emissions is negatively related to firm value. This negative impact is more prominent for firms in countries that have a national carbon emission trading scheme and stringent environmental regulations. Furthermore, corporate governance is found to reduce the negative value effect of carbon emissions, indicating that shareholders have favorable perceptions regarding the carbon management ability of firms with good corporate governance. Cultural contexts such as uncertainty avoidance and long-term orientation also affect the value effect of risks and future liabilities associated with carbon emissions. We find that the value-decreasing effect of carbon emissions is weaker in countries characterized by high uncertainty avoidance and long-term orientations.","author":[{"dropping-particle":"","family":"Choi","given":"Bobae","non-dropping-particle":"","parse-names":false,"suffix":""},{"dropping-particle":"","family":"Luo","given":"Le","non-dropping-particle":"","parse-names":false,"suffix":""}],"container-title":"British Accounting Review","id":"ITEM-1","issue":"1","issued":{"date-parts":[["2021","1","1"]]},"page":"100909","publisher":"Academic Press","title":"Does the market value greenhouse gas emissions? Evidence from multi-country firm data","type":"article-journal","volume":"53"},"uris":["http://www.mendeley.com/documents/?uuid=ac06154c-7498-32c7-a53a-51d28fbf1de9"]},{"id":"ITEM-2","itemData":{"DOI":"10.1002/bse.2683","ISSN":"10990836","abstract":"Companies are responding to the effects of climate change by reducing CO2 emissions as a way of managing stakeholder interests and complying with legal and regulatory requirements. In Europe, the emissions trading system is consolidated as a limiting market and control scheme to support business climate change management through a collaborative relationship between government and industry. This work focuses on the economic accounting field, analysing carbon management accounting and its impact on financial performance in scenarios attached to that trading system. The methodological approach used is quantitative, empirically testing the hypotheses through a multiple regression analysis with a sample of 350 European companies. The results attest to the importance of carbon management accounting (CMA) control and its effects on financial performance. Compared with European emission trading, the results failed to display significant differences in the relationship studied between those that make up this type of market and those that do not.","author":[{"dropping-particle":"","family":"Tuesta","given":"Naranjo Yenny","non-dropping-particle":"","parse-names":false,"suffix":""},{"dropping-particle":"","family":"Soler","given":"Crespo Cristina","non-dropping-particle":"","parse-names":false,"suffix":""},{"dropping-particle":"","family":"Feliu","given":"Ripoll Vicente","non-dropping-particle":"","parse-names":false,"suffix":""}],"container-title":"Business Strategy and the Environment","id":"ITEM-2","issue":"2","issued":{"date-parts":[["2021","2","1"]]},"page":"1270-1282","publisher":"John Wiley and Sons Ltd","title":"Carbon management accounting and financial performance: Evidence from the European Union emission trading system","type":"article-journal","volume":"30"},"uris":["http://www.mendeley.com/documents/?uuid=d4b12cf1-99a1-339b-bc48-702498a48222"]}],"mendeley":{"formattedCitation":"(Choi and Luo 2021; Tuesta et al. 2021)","manualFormatting":"(Choi and Luo, 2021; Tuesta et al., 2021)","plainTextFormattedCitation":"(Choi and Luo 2021; Tuesta et al. 2021)","previouslyFormattedCitation":"(Choi and Luo 2021; Tuesta et al. 2021)"},"properties":{"noteIndex":0},"schema":"https://github.com/citation-style-language/schema/raw/master/csl-citation.json"}</w:instrText>
      </w:r>
      <w:r w:rsidR="00DC1234" w:rsidRPr="001B6443">
        <w:rPr>
          <w:rFonts w:ascii="Times New Roman" w:eastAsia="Calibri" w:hAnsi="Times New Roman" w:cs="Times New Roman"/>
          <w:color w:val="000000" w:themeColor="text1"/>
          <w:sz w:val="24"/>
          <w:szCs w:val="24"/>
          <w:lang w:val="en-US"/>
        </w:rPr>
        <w:fldChar w:fldCharType="separate"/>
      </w:r>
      <w:r w:rsidRPr="001B6443">
        <w:rPr>
          <w:rFonts w:ascii="Times New Roman" w:eastAsia="Calibri" w:hAnsi="Times New Roman" w:cs="Times New Roman"/>
          <w:noProof/>
          <w:color w:val="000000" w:themeColor="text1"/>
          <w:sz w:val="24"/>
          <w:szCs w:val="24"/>
          <w:lang w:val="en-US"/>
        </w:rPr>
        <w:t>(Choi and Luo</w:t>
      </w:r>
      <w:r w:rsidR="00504AA7"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 Tuesta </w:t>
      </w:r>
      <w:r w:rsidRPr="001B6443">
        <w:rPr>
          <w:rFonts w:ascii="Times New Roman" w:eastAsia="Calibri" w:hAnsi="Times New Roman" w:cs="Times New Roman"/>
          <w:i/>
          <w:iCs/>
          <w:noProof/>
          <w:color w:val="000000" w:themeColor="text1"/>
          <w:sz w:val="24"/>
          <w:szCs w:val="24"/>
          <w:lang w:val="en-US"/>
        </w:rPr>
        <w:t>et al</w:t>
      </w:r>
      <w:r w:rsidRPr="001B6443">
        <w:rPr>
          <w:rFonts w:ascii="Times New Roman" w:eastAsia="Calibri" w:hAnsi="Times New Roman" w:cs="Times New Roman"/>
          <w:noProof/>
          <w:color w:val="000000" w:themeColor="text1"/>
          <w:sz w:val="24"/>
          <w:szCs w:val="24"/>
          <w:lang w:val="en-US"/>
        </w:rPr>
        <w:t>.</w:t>
      </w:r>
      <w:r w:rsidR="004E5CEF" w:rsidRPr="001B6443">
        <w:rPr>
          <w:rFonts w:ascii="Times New Roman" w:eastAsia="Calibri" w:hAnsi="Times New Roman" w:cs="Times New Roman"/>
          <w:noProof/>
          <w:color w:val="000000" w:themeColor="text1"/>
          <w:sz w:val="24"/>
          <w:szCs w:val="24"/>
          <w:lang w:val="en-US"/>
        </w:rPr>
        <w:t>,</w:t>
      </w:r>
      <w:r w:rsidRPr="001B6443">
        <w:rPr>
          <w:rFonts w:ascii="Times New Roman" w:eastAsia="Calibri" w:hAnsi="Times New Roman" w:cs="Times New Roman"/>
          <w:noProof/>
          <w:color w:val="000000" w:themeColor="text1"/>
          <w:sz w:val="24"/>
          <w:szCs w:val="24"/>
          <w:lang w:val="en-US"/>
        </w:rPr>
        <w:t xml:space="preserve"> 2021)</w:t>
      </w:r>
      <w:r w:rsidR="00DC1234" w:rsidRPr="001B6443">
        <w:rPr>
          <w:rFonts w:ascii="Times New Roman" w:eastAsia="Calibri" w:hAnsi="Times New Roman" w:cs="Times New Roman"/>
          <w:color w:val="000000" w:themeColor="text1"/>
          <w:sz w:val="24"/>
          <w:szCs w:val="24"/>
          <w:lang w:val="en-US"/>
        </w:rPr>
        <w:fldChar w:fldCharType="end"/>
      </w:r>
      <w:r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by suggesting that higher levels of GHG emission</w:t>
      </w:r>
      <w:r w:rsidR="005E532E" w:rsidRPr="001B6443">
        <w:rPr>
          <w:rFonts w:ascii="Times New Roman" w:eastAsia="Calibri" w:hAnsi="Times New Roman" w:cs="Times New Roman"/>
          <w:color w:val="000000" w:themeColor="text1"/>
          <w:sz w:val="24"/>
          <w:szCs w:val="24"/>
          <w:lang w:val="en-US"/>
        </w:rPr>
        <w:t xml:space="preserve">s have a negative impact on MV, whereas PCCIs </w:t>
      </w:r>
      <w:r w:rsidR="007B51A4" w:rsidRPr="001B6443">
        <w:rPr>
          <w:rFonts w:ascii="Times New Roman" w:eastAsia="Calibri" w:hAnsi="Times New Roman" w:cs="Times New Roman"/>
          <w:color w:val="000000" w:themeColor="text1"/>
          <w:sz w:val="24"/>
          <w:szCs w:val="24"/>
          <w:lang w:val="en-US"/>
        </w:rPr>
        <w:t xml:space="preserve">have a positive relationship with </w:t>
      </w:r>
      <w:r w:rsidR="005E532E" w:rsidRPr="001B6443">
        <w:rPr>
          <w:rFonts w:ascii="Times New Roman" w:eastAsia="Calibri" w:hAnsi="Times New Roman" w:cs="Times New Roman"/>
          <w:color w:val="000000" w:themeColor="text1"/>
          <w:sz w:val="24"/>
          <w:szCs w:val="24"/>
          <w:lang w:val="en-US"/>
        </w:rPr>
        <w:t>MV</w:t>
      </w:r>
      <w:r w:rsidR="007B51A4" w:rsidRPr="001B6443">
        <w:rPr>
          <w:rFonts w:ascii="Times New Roman" w:eastAsia="Calibri" w:hAnsi="Times New Roman" w:cs="Times New Roman"/>
          <w:color w:val="000000" w:themeColor="text1"/>
          <w:sz w:val="24"/>
          <w:szCs w:val="24"/>
          <w:lang w:val="en-US"/>
        </w:rPr>
        <w:t>. Second</w:t>
      </w:r>
      <w:r w:rsidR="00EC5A9C" w:rsidRPr="001B6443">
        <w:rPr>
          <w:rFonts w:ascii="Times New Roman" w:eastAsia="Calibri" w:hAnsi="Times New Roman" w:cs="Times New Roman"/>
          <w:color w:val="000000" w:themeColor="text1"/>
          <w:sz w:val="24"/>
          <w:szCs w:val="24"/>
          <w:lang w:val="en-US"/>
        </w:rPr>
        <w:t>, our resul</w:t>
      </w:r>
      <w:r w:rsidR="00F741E4" w:rsidRPr="001B6443">
        <w:rPr>
          <w:rFonts w:ascii="Times New Roman" w:eastAsia="Calibri" w:hAnsi="Times New Roman" w:cs="Times New Roman"/>
          <w:color w:val="000000" w:themeColor="text1"/>
          <w:sz w:val="24"/>
          <w:szCs w:val="24"/>
          <w:lang w:val="en-US"/>
        </w:rPr>
        <w:t>t</w:t>
      </w:r>
      <w:r w:rsidR="002C7095" w:rsidRPr="001B6443">
        <w:rPr>
          <w:rFonts w:ascii="Times New Roman" w:eastAsia="Calibri" w:hAnsi="Times New Roman" w:cs="Times New Roman"/>
          <w:color w:val="000000" w:themeColor="text1"/>
          <w:sz w:val="24"/>
          <w:szCs w:val="24"/>
          <w:lang w:val="en-US"/>
        </w:rPr>
        <w:t>s offer new evidence that PCCIs are positively related to increased</w:t>
      </w:r>
      <w:r w:rsidR="008207C6"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levels of GHG emissions.</w:t>
      </w:r>
      <w:r w:rsidR="005E4F02" w:rsidRPr="001B6443">
        <w:rPr>
          <w:rFonts w:ascii="Times New Roman" w:eastAsia="Calibri" w:hAnsi="Times New Roman" w:cs="Times New Roman"/>
          <w:color w:val="000000" w:themeColor="text1"/>
          <w:sz w:val="24"/>
          <w:szCs w:val="24"/>
          <w:lang w:val="en-US"/>
        </w:rPr>
        <w:t xml:space="preserve"> </w:t>
      </w:r>
      <w:r w:rsidR="007B51A4" w:rsidRPr="001B6443">
        <w:rPr>
          <w:rFonts w:ascii="Times New Roman" w:eastAsia="Calibri" w:hAnsi="Times New Roman" w:cs="Times New Roman"/>
          <w:color w:val="000000" w:themeColor="text1"/>
          <w:sz w:val="24"/>
          <w:szCs w:val="24"/>
          <w:lang w:val="en-US"/>
        </w:rPr>
        <w:t>Third</w:t>
      </w:r>
      <w:r w:rsidR="005E532E" w:rsidRPr="001B6443">
        <w:rPr>
          <w:rFonts w:ascii="Times New Roman" w:eastAsia="Calibri" w:hAnsi="Times New Roman" w:cs="Times New Roman"/>
          <w:color w:val="000000" w:themeColor="text1"/>
          <w:sz w:val="24"/>
          <w:szCs w:val="24"/>
          <w:lang w:val="en-US"/>
        </w:rPr>
        <w:t xml:space="preserve">, our results contribute to the CG and carbon literature </w:t>
      </w:r>
      <w:r w:rsidR="005E532E" w:rsidRPr="001B6443">
        <w:rPr>
          <w:rFonts w:ascii="Times New Roman" w:eastAsia="Calibri" w:hAnsi="Times New Roman" w:cs="Times New Roman"/>
          <w:color w:val="000000" w:themeColor="text1"/>
          <w:sz w:val="24"/>
          <w:szCs w:val="24"/>
          <w:lang w:val="en-US"/>
        </w:rPr>
        <w:fldChar w:fldCharType="begin" w:fldLock="1"/>
      </w:r>
      <w:r w:rsidR="005E532E" w:rsidRPr="001B6443">
        <w:rPr>
          <w:rFonts w:ascii="Times New Roman" w:eastAsia="Calibri" w:hAnsi="Times New Roman" w:cs="Times New Roman"/>
          <w:color w:val="000000" w:themeColor="text1"/>
          <w:sz w:val="24"/>
          <w:szCs w:val="24"/>
          <w:lang w:val="en-US"/>
        </w:rPr>
        <w:instrText>ADDIN CSL_CITATION {"citationItems":[{"id":"ITEM-1","itemData":{"DOI":"10.1016/j.bar.2019.100880","ISSN":"10958347","abstract":"Integration of carbon oversight into board structures and processes has the potential to improve carbon performance and demonstrate accountability to stakeholders. However, it is not clear how climate governance affects carbon disclosure. Contributing to two strands of the literature, sustainability and governance issues, this paper examines the combined impact of climate governance on carbon disclosure. We find climate governance is associated with alignment between carbon disclosure and carbon performance. The results suggest that climate governance also reduces over-acclaiming of good performance via extensive disclosure, and low-polluters disclose more to differentiate themselves. Our findings highlight the importance of the frequency of reporting to the board and time horizon of carbon reporting for improving carbon disclosure and carbon performance. In contrast to traditional governance mechanisms, our results suggest climate governance better reflects firms’ commitment to addressing sustainability issues and transparent reporting.","author":[{"dropping-particle":"","family":"Bui","given":"Binh","non-dropping-particle":"","parse-names":false,"suffix":""},{"dropping-particle":"","family":"Houqe","given":"Muhammad Nurul","non-dropping-particle":"","parse-names":false,"suffix":""},{"dropping-particle":"","family":"Zaman","given":"Mahbub","non-dropping-particle":"","parse-names":false,"suffix":""}],"container-title":"British Accounting Review","id":"ITEM-1","issue":"2","issued":{"date-parts":[["2020","3","1"]]},"publisher":"Academic Press","title":"Climate governance effects on carbon disclosure and performance","type":"article-journal","volume":"52"},"uris":["http://www.mendeley.com/documents/?uuid=c71df26d-d480-3b40-b9c9-2d5e5bd33b21"]},{"id":"ITEM-2","itemData":{"DOI":"10.1111/1467-8551.12613","author":[{"dropping-particle":"","family":"Benlemlih","given":"Mohammed","non-dropping-particle":"","parse-names":false,"suffix":""},{"dropping-particle":"","family":"Arif","given":"Muhammad","non-dropping-particle":"","parse-names":false,"suffix":""},{"dropping-particle":"","family":"Nadeem","given":"Muhammad","non-dropping-particle":"","parse-names":false,"suffix":""}],"container-title":"British Journal of Management","id":"ITEM-2","issued":{"date-parts":[["2022"]]},"page":"1-25","title":"Institutional Ownership and Greenhouse Gas Emissions : A Comparative Study of the UK and the USA","type":"article-journal","volume":"0"},"uris":["http://www.mendeley.com/documents/?uuid=56ddca19-af3d-4a63-9d8b-7a5455b6e2bb"]}],"mendeley":{"formattedCitation":"(Benlemlih et al. 2022; Bui et al. 2020)","manualFormatting":"(Benlemlih et al., 2022; Bui et al., 2020)","plainTextFormattedCitation":"(Benlemlih et al. 2022; Bui et al. 2020)","previouslyFormattedCitation":"(Benlemlih et al. 2022; Bui et al. 2020)"},"properties":{"noteIndex":0},"schema":"https://github.com/citation-style-language/schema/raw/master/csl-citation.json"}</w:instrText>
      </w:r>
      <w:r w:rsidR="005E532E" w:rsidRPr="001B6443">
        <w:rPr>
          <w:rFonts w:ascii="Times New Roman" w:eastAsia="Calibri" w:hAnsi="Times New Roman" w:cs="Times New Roman"/>
          <w:color w:val="000000" w:themeColor="text1"/>
          <w:sz w:val="24"/>
          <w:szCs w:val="24"/>
          <w:lang w:val="en-US"/>
        </w:rPr>
        <w:fldChar w:fldCharType="separate"/>
      </w:r>
      <w:r w:rsidR="005E532E" w:rsidRPr="001B6443">
        <w:rPr>
          <w:rFonts w:ascii="Times New Roman" w:eastAsia="Calibri" w:hAnsi="Times New Roman" w:cs="Times New Roman"/>
          <w:noProof/>
          <w:color w:val="000000" w:themeColor="text1"/>
          <w:sz w:val="24"/>
          <w:szCs w:val="24"/>
          <w:lang w:val="en-US"/>
        </w:rPr>
        <w:t xml:space="preserve">(Benlemlih </w:t>
      </w:r>
      <w:r w:rsidR="005E532E" w:rsidRPr="001B6443">
        <w:rPr>
          <w:rFonts w:ascii="Times New Roman" w:eastAsia="Calibri" w:hAnsi="Times New Roman" w:cs="Times New Roman"/>
          <w:i/>
          <w:iCs/>
          <w:noProof/>
          <w:color w:val="000000" w:themeColor="text1"/>
          <w:sz w:val="24"/>
          <w:szCs w:val="24"/>
          <w:lang w:val="en-US"/>
        </w:rPr>
        <w:t>et al.</w:t>
      </w:r>
      <w:r w:rsidR="005E532E" w:rsidRPr="001B6443">
        <w:rPr>
          <w:rFonts w:ascii="Times New Roman" w:eastAsia="Calibri" w:hAnsi="Times New Roman" w:cs="Times New Roman"/>
          <w:noProof/>
          <w:color w:val="000000" w:themeColor="text1"/>
          <w:sz w:val="24"/>
          <w:szCs w:val="24"/>
          <w:lang w:val="en-US"/>
        </w:rPr>
        <w:t xml:space="preserve">, 2022; Bui </w:t>
      </w:r>
      <w:r w:rsidR="005E532E" w:rsidRPr="001B6443">
        <w:rPr>
          <w:rFonts w:ascii="Times New Roman" w:eastAsia="Calibri" w:hAnsi="Times New Roman" w:cs="Times New Roman"/>
          <w:i/>
          <w:iCs/>
          <w:noProof/>
          <w:color w:val="000000" w:themeColor="text1"/>
          <w:sz w:val="24"/>
          <w:szCs w:val="24"/>
          <w:lang w:val="en-US"/>
        </w:rPr>
        <w:t>et al</w:t>
      </w:r>
      <w:r w:rsidR="005E532E" w:rsidRPr="001B6443">
        <w:rPr>
          <w:rFonts w:ascii="Times New Roman" w:eastAsia="Calibri" w:hAnsi="Times New Roman" w:cs="Times New Roman"/>
          <w:noProof/>
          <w:color w:val="000000" w:themeColor="text1"/>
          <w:sz w:val="24"/>
          <w:szCs w:val="24"/>
          <w:lang w:val="en-US"/>
        </w:rPr>
        <w:t>., 2020)</w:t>
      </w:r>
      <w:r w:rsidR="005E532E" w:rsidRPr="001B6443">
        <w:rPr>
          <w:rFonts w:ascii="Times New Roman" w:eastAsia="Calibri" w:hAnsi="Times New Roman" w:cs="Times New Roman"/>
          <w:color w:val="000000" w:themeColor="text1"/>
          <w:sz w:val="24"/>
          <w:szCs w:val="24"/>
          <w:lang w:val="en-US"/>
        </w:rPr>
        <w:fldChar w:fldCharType="end"/>
      </w:r>
      <w:r w:rsidR="005E532E" w:rsidRPr="001B6443">
        <w:rPr>
          <w:rFonts w:ascii="Times New Roman" w:eastAsia="Calibri" w:hAnsi="Times New Roman" w:cs="Times New Roman"/>
          <w:color w:val="000000" w:themeColor="text1"/>
          <w:sz w:val="24"/>
          <w:szCs w:val="24"/>
          <w:lang w:val="en-US"/>
        </w:rPr>
        <w:t xml:space="preserve"> by showing that</w:t>
      </w:r>
      <w:r w:rsidR="007B51A4" w:rsidRPr="001B6443">
        <w:rPr>
          <w:rFonts w:ascii="Times New Roman" w:eastAsia="Calibri" w:hAnsi="Times New Roman" w:cs="Times New Roman"/>
          <w:color w:val="000000" w:themeColor="text1"/>
          <w:sz w:val="24"/>
          <w:szCs w:val="24"/>
          <w:lang w:val="en-US"/>
        </w:rPr>
        <w:t xml:space="preserve"> the presence of BSCOM</w:t>
      </w:r>
      <w:r w:rsidR="00996769" w:rsidRPr="001B6443">
        <w:rPr>
          <w:rFonts w:ascii="Times New Roman" w:eastAsia="Calibri" w:hAnsi="Times New Roman" w:cs="Times New Roman"/>
          <w:color w:val="000000" w:themeColor="text1"/>
          <w:sz w:val="24"/>
          <w:szCs w:val="24"/>
          <w:lang w:val="en-US"/>
        </w:rPr>
        <w:t xml:space="preserve"> is </w:t>
      </w:r>
      <w:r w:rsidR="007B51A4" w:rsidRPr="001B6443">
        <w:rPr>
          <w:rFonts w:ascii="Times New Roman" w:eastAsia="Calibri" w:hAnsi="Times New Roman" w:cs="Times New Roman"/>
          <w:color w:val="000000" w:themeColor="text1"/>
          <w:sz w:val="24"/>
          <w:szCs w:val="24"/>
          <w:lang w:val="en-US"/>
        </w:rPr>
        <w:t>associated with</w:t>
      </w:r>
      <w:r w:rsidR="00996769" w:rsidRPr="001B6443">
        <w:rPr>
          <w:rFonts w:ascii="Times New Roman" w:eastAsia="Calibri" w:hAnsi="Times New Roman" w:cs="Times New Roman"/>
          <w:color w:val="000000" w:themeColor="text1"/>
          <w:sz w:val="24"/>
          <w:szCs w:val="24"/>
          <w:lang w:val="en-US"/>
        </w:rPr>
        <w:t xml:space="preserve"> higher GHG emissions. </w:t>
      </w:r>
      <w:r w:rsidR="00EC5A9C" w:rsidRPr="001B6443">
        <w:rPr>
          <w:rFonts w:ascii="Times New Roman" w:eastAsia="Calibri" w:hAnsi="Times New Roman" w:cs="Times New Roman"/>
          <w:color w:val="000000" w:themeColor="text1"/>
          <w:sz w:val="24"/>
          <w:szCs w:val="24"/>
          <w:lang w:val="en-US"/>
        </w:rPr>
        <w:t xml:space="preserve">Our results support the </w:t>
      </w:r>
      <w:r w:rsidR="005E4F02" w:rsidRPr="001B6443">
        <w:rPr>
          <w:rFonts w:ascii="Times New Roman" w:eastAsia="Calibri" w:hAnsi="Times New Roman" w:cs="Times New Roman"/>
          <w:color w:val="000000" w:themeColor="text1"/>
          <w:sz w:val="24"/>
          <w:szCs w:val="24"/>
          <w:lang w:val="en-US"/>
        </w:rPr>
        <w:t>symbolic legitimation</w:t>
      </w:r>
      <w:r w:rsidR="00EC5A9C" w:rsidRPr="001B6443">
        <w:rPr>
          <w:rFonts w:ascii="Times New Roman" w:eastAsia="Calibri" w:hAnsi="Times New Roman" w:cs="Times New Roman"/>
          <w:color w:val="000000" w:themeColor="text1"/>
          <w:sz w:val="24"/>
          <w:szCs w:val="24"/>
          <w:lang w:val="en-US"/>
        </w:rPr>
        <w:t xml:space="preserve"> view </w:t>
      </w:r>
      <w:r w:rsidR="0001298C" w:rsidRPr="001B6443">
        <w:rPr>
          <w:rFonts w:ascii="Times New Roman" w:eastAsia="Calibri" w:hAnsi="Times New Roman" w:cs="Times New Roman"/>
          <w:color w:val="000000" w:themeColor="text1"/>
          <w:sz w:val="24"/>
          <w:szCs w:val="24"/>
          <w:lang w:val="en-US"/>
        </w:rPr>
        <w:fldChar w:fldCharType="begin" w:fldLock="1"/>
      </w:r>
      <w:r w:rsidR="0001298C" w:rsidRPr="001B6443">
        <w:rPr>
          <w:rFonts w:ascii="Times New Roman" w:eastAsia="Calibri" w:hAnsi="Times New Roman" w:cs="Times New Roman"/>
          <w:color w:val="000000" w:themeColor="text1"/>
          <w:sz w:val="24"/>
          <w:szCs w:val="24"/>
          <w:lang w:val="en-US"/>
        </w:rPr>
        <w:instrText>ADDIN CSL_CITATION {"citationItems":[{"id":"ITEM-1","itemData":{"DOI":"https://doi.org/10.1002/bse.2700","ISSN":"10990836","abstract":"This study investigates the relationship between environmental management practices (EMPs) and financial performance (FP) and consequently ascertains whether environmental performance (EP) can mediate the EMPs–FP nexus. Distinctly using data envelopment analysis and generalised method of moments techniques to analyse a comprehensive dataset of Nikkei 225 listed firms from 2007 to 2018 (1920 firm-year observations), our findings first suggest that EMPs have a positive effect on FP. Second, the desired EP can be achieved through the adoption of comprehensive EMPs. Third, improved EP has a substantial impact on shaping the EMPs' effect on FP. These findings are consistent with the predictions of resource-based view and institutional theories. The results are robust to controlling for different types of alternative measures and endogeneities. The findings have important implications for academics, investors, managers, policymakers and regulators.","author":[{"dropping-particle":"","family":"Aslam","given":"Shoaib","non-dropping-particle":"","parse-names":false,"suffix":""},{"dropping-particle":"","family":"Elmagrhi","given":"Mohamed H.","non-dropping-particle":"","parse-names":false,"suffix":""},{"dropping-particle":"","family":"Rehman","given":"Ramiz Ur","non-dropping-particle":"","parse-names":false,"suffix":""},{"dropping-particle":"","family":"Ntim","given":"Collins G.","non-dropping-particle":"","parse-names":false,"suffix":""}],"container-title":"Business Strategy and the Environment","id":"ITEM-1","issue":"4","issued":{"date-parts":[["2021"]]},"page":"1655-1673","title":"Environmental management practices and financial performance using data envelopment analysis in Japan: The mediating role of environmental performance","type":"article-journal","volume":"30"},"uris":["http://www.mendeley.com/documents/?uuid=1ad70ec4-53a4-4df3-a301-01eed3b98b5f"]},{"id":"ITEM-2","itemData":{"DOI":"10.1111/1467-8551.12395","ISSN":"14678551","abstract":"We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Management","id":"ITEM-2","issue":"3","issued":{"date-parts":[["2020","7","1"]]},"page":"525-546","publisher":"Blackwell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Value","type":"article-journal","volume":"31"},"uris":["http://www.mendeley.com/documents/?uuid=233c96ce-971f-33e7-ad90-be8611789ad9"]}],"mendeley":{"formattedCitation":"(Aslam et al. 2021; Haque and Ntim 2020)","manualFormatting":"(Aslam et al., 2021; Shevchenko, 2021)","plainTextFormattedCitation":"(Aslam et al. 2021; Haque and Ntim 2020)","previouslyFormattedCitation":"(Aslam et al. 2021; Haque and Ntim 2020)"},"properties":{"noteIndex":0},"schema":"https://github.com/citation-style-language/schema/raw/master/csl-citation.json"}</w:instrText>
      </w:r>
      <w:r w:rsidR="0001298C" w:rsidRPr="001B6443">
        <w:rPr>
          <w:rFonts w:ascii="Times New Roman" w:eastAsia="Calibri" w:hAnsi="Times New Roman" w:cs="Times New Roman"/>
          <w:color w:val="000000" w:themeColor="text1"/>
          <w:sz w:val="24"/>
          <w:szCs w:val="24"/>
          <w:lang w:val="en-US"/>
        </w:rPr>
        <w:fldChar w:fldCharType="separate"/>
      </w:r>
      <w:r w:rsidR="0001298C" w:rsidRPr="001B6443">
        <w:rPr>
          <w:rFonts w:ascii="Times New Roman" w:eastAsia="Calibri" w:hAnsi="Times New Roman" w:cs="Times New Roman"/>
          <w:noProof/>
          <w:color w:val="000000" w:themeColor="text1"/>
          <w:sz w:val="24"/>
          <w:szCs w:val="24"/>
          <w:lang w:val="en-US"/>
        </w:rPr>
        <w:t xml:space="preserve">(Aslam </w:t>
      </w:r>
      <w:r w:rsidR="0001298C" w:rsidRPr="001B6443">
        <w:rPr>
          <w:rFonts w:ascii="Times New Roman" w:eastAsia="Calibri" w:hAnsi="Times New Roman" w:cs="Times New Roman"/>
          <w:i/>
          <w:noProof/>
          <w:color w:val="000000" w:themeColor="text1"/>
          <w:sz w:val="24"/>
          <w:szCs w:val="24"/>
          <w:lang w:val="en-US"/>
        </w:rPr>
        <w:t>et al</w:t>
      </w:r>
      <w:r w:rsidR="0001298C" w:rsidRPr="001B6443">
        <w:rPr>
          <w:rFonts w:ascii="Times New Roman" w:eastAsia="Calibri" w:hAnsi="Times New Roman" w:cs="Times New Roman"/>
          <w:noProof/>
          <w:color w:val="000000" w:themeColor="text1"/>
          <w:sz w:val="24"/>
          <w:szCs w:val="24"/>
          <w:lang w:val="en-US"/>
        </w:rPr>
        <w:t>., 2021; Shevchenko, 2021)</w:t>
      </w:r>
      <w:r w:rsidR="0001298C" w:rsidRPr="001B6443">
        <w:rPr>
          <w:rFonts w:ascii="Times New Roman" w:eastAsia="Calibri" w:hAnsi="Times New Roman" w:cs="Times New Roman"/>
          <w:color w:val="000000" w:themeColor="text1"/>
          <w:sz w:val="24"/>
          <w:szCs w:val="24"/>
          <w:lang w:val="en-US"/>
        </w:rPr>
        <w:fldChar w:fldCharType="end"/>
      </w:r>
      <w:r w:rsidR="0001298C" w:rsidRPr="001B6443">
        <w:rPr>
          <w:rFonts w:ascii="Times New Roman" w:eastAsia="Calibri" w:hAnsi="Times New Roman" w:cs="Times New Roman"/>
          <w:color w:val="000000" w:themeColor="text1"/>
          <w:sz w:val="24"/>
          <w:szCs w:val="24"/>
          <w:lang w:val="en-US"/>
        </w:rPr>
        <w:t xml:space="preserve"> </w:t>
      </w:r>
      <w:r w:rsidR="00EC5A9C" w:rsidRPr="001B6443">
        <w:rPr>
          <w:rFonts w:ascii="Times New Roman" w:eastAsia="Calibri" w:hAnsi="Times New Roman" w:cs="Times New Roman"/>
          <w:color w:val="000000" w:themeColor="text1"/>
          <w:sz w:val="24"/>
          <w:szCs w:val="24"/>
          <w:lang w:val="en-US"/>
        </w:rPr>
        <w:t>in that firms that symbolically engage in PCCIs may use the governance mechanism of BSCOM as an impressi</w:t>
      </w:r>
      <w:r w:rsidR="00E46BDE" w:rsidRPr="001B6443">
        <w:rPr>
          <w:rFonts w:ascii="Times New Roman" w:eastAsia="Calibri" w:hAnsi="Times New Roman" w:cs="Times New Roman"/>
          <w:color w:val="000000" w:themeColor="text1"/>
          <w:sz w:val="24"/>
          <w:szCs w:val="24"/>
          <w:lang w:val="en-US"/>
        </w:rPr>
        <w:t>on management tool</w:t>
      </w:r>
      <w:r w:rsidR="00EC5A9C" w:rsidRPr="001B6443">
        <w:rPr>
          <w:rFonts w:ascii="Times New Roman" w:eastAsia="Calibri" w:hAnsi="Times New Roman" w:cs="Times New Roman"/>
          <w:color w:val="000000" w:themeColor="text1"/>
          <w:sz w:val="24"/>
          <w:szCs w:val="24"/>
          <w:lang w:val="en-US"/>
        </w:rPr>
        <w:t xml:space="preserve"> </w:t>
      </w:r>
      <w:r w:rsidR="00E46BDE" w:rsidRPr="001B6443">
        <w:rPr>
          <w:rFonts w:ascii="Times New Roman" w:eastAsia="Calibri" w:hAnsi="Times New Roman" w:cs="Times New Roman"/>
          <w:color w:val="000000" w:themeColor="text1"/>
          <w:sz w:val="24"/>
          <w:szCs w:val="24"/>
          <w:lang w:val="en-US"/>
        </w:rPr>
        <w:t>for achieving greenwashing purposes to create positive impressions among stakeholder</w:t>
      </w:r>
      <w:r w:rsidR="00D0385A" w:rsidRPr="001B6443">
        <w:rPr>
          <w:rFonts w:ascii="Times New Roman" w:eastAsia="Calibri" w:hAnsi="Times New Roman" w:cs="Times New Roman"/>
          <w:color w:val="000000" w:themeColor="text1"/>
          <w:sz w:val="24"/>
          <w:szCs w:val="24"/>
          <w:lang w:val="en-US"/>
        </w:rPr>
        <w:t xml:space="preserve">s and protect their legitimacy. </w:t>
      </w:r>
      <w:r w:rsidR="007A0136" w:rsidRPr="001B6443">
        <w:rPr>
          <w:rFonts w:ascii="Times New Roman" w:eastAsia="Calibri" w:hAnsi="Times New Roman" w:cs="Times New Roman"/>
          <w:color w:val="000000" w:themeColor="text1"/>
          <w:sz w:val="24"/>
          <w:szCs w:val="24"/>
          <w:lang w:val="en-US"/>
        </w:rPr>
        <w:t>However, PCCIs do not lead to emissions reductions, and the presence of BSCOM seems ineffective at improving outcome-based CCPE and mitigating climate-related risks.</w:t>
      </w:r>
      <w:r w:rsidR="00640D16" w:rsidRPr="001B6443">
        <w:rPr>
          <w:rFonts w:ascii="Times New Roman" w:eastAsia="Calibri" w:hAnsi="Times New Roman" w:cs="Times New Roman"/>
          <w:color w:val="000000" w:themeColor="text1"/>
          <w:sz w:val="24"/>
          <w:szCs w:val="24"/>
          <w:lang w:val="en-US"/>
        </w:rPr>
        <w:t xml:space="preserve"> </w:t>
      </w:r>
      <w:r w:rsidR="008F3D14" w:rsidRPr="001B6443">
        <w:rPr>
          <w:rFonts w:ascii="Times New Roman" w:eastAsia="Calibri" w:hAnsi="Times New Roman" w:cs="Times New Roman"/>
          <w:color w:val="000000" w:themeColor="text1"/>
          <w:sz w:val="24"/>
          <w:szCs w:val="24"/>
          <w:lang w:val="en-US"/>
        </w:rPr>
        <w:t>Our results also reveal that the predicted relationships</w:t>
      </w:r>
      <w:r w:rsidR="00182900" w:rsidRPr="001B6443">
        <w:rPr>
          <w:rFonts w:ascii="Times New Roman" w:eastAsia="Calibri" w:hAnsi="Times New Roman" w:cs="Times New Roman"/>
          <w:color w:val="000000" w:themeColor="text1"/>
          <w:sz w:val="24"/>
          <w:szCs w:val="24"/>
          <w:lang w:val="en-US"/>
        </w:rPr>
        <w:t xml:space="preserve"> vary acro</w:t>
      </w:r>
      <w:r w:rsidR="008242D4" w:rsidRPr="001B6443">
        <w:rPr>
          <w:rFonts w:ascii="Times New Roman" w:eastAsia="Calibri" w:hAnsi="Times New Roman" w:cs="Times New Roman"/>
          <w:color w:val="000000" w:themeColor="text1"/>
          <w:sz w:val="24"/>
          <w:szCs w:val="24"/>
          <w:lang w:val="en-US"/>
        </w:rPr>
        <w:t>ss different county-groups, sector-</w:t>
      </w:r>
      <w:r w:rsidR="00182900" w:rsidRPr="001B6443">
        <w:rPr>
          <w:rFonts w:ascii="Times New Roman" w:eastAsia="Calibri" w:hAnsi="Times New Roman" w:cs="Times New Roman"/>
          <w:color w:val="000000" w:themeColor="text1"/>
          <w:sz w:val="24"/>
          <w:szCs w:val="24"/>
          <w:lang w:val="en-US"/>
        </w:rPr>
        <w:t>groups</w:t>
      </w:r>
      <w:r w:rsidR="008242D4" w:rsidRPr="001B6443">
        <w:rPr>
          <w:rFonts w:ascii="Times New Roman" w:eastAsia="Calibri" w:hAnsi="Times New Roman" w:cs="Times New Roman"/>
          <w:color w:val="000000" w:themeColor="text1"/>
          <w:sz w:val="24"/>
          <w:szCs w:val="24"/>
          <w:lang w:val="en-US"/>
        </w:rPr>
        <w:t>,</w:t>
      </w:r>
      <w:r w:rsidR="008F3D14" w:rsidRPr="001B6443">
        <w:rPr>
          <w:rFonts w:ascii="Times New Roman" w:eastAsia="Calibri" w:hAnsi="Times New Roman" w:cs="Times New Roman"/>
          <w:color w:val="000000" w:themeColor="text1"/>
          <w:sz w:val="24"/>
          <w:szCs w:val="24"/>
          <w:lang w:val="en-US"/>
        </w:rPr>
        <w:t xml:space="preserve"> and periods. </w:t>
      </w:r>
    </w:p>
    <w:p w14:paraId="2530E5D0" w14:textId="77777777" w:rsidR="00335231" w:rsidRPr="001B6443" w:rsidRDefault="00335231" w:rsidP="00EC5A9C">
      <w:pPr>
        <w:spacing w:after="0" w:line="480" w:lineRule="auto"/>
        <w:jc w:val="both"/>
        <w:rPr>
          <w:rFonts w:ascii="Times New Roman" w:eastAsia="Calibri" w:hAnsi="Times New Roman" w:cs="Times New Roman"/>
          <w:bCs/>
          <w:color w:val="000000" w:themeColor="text1"/>
          <w:sz w:val="24"/>
          <w:szCs w:val="24"/>
          <w:lang w:val="en-US"/>
        </w:rPr>
      </w:pPr>
    </w:p>
    <w:p w14:paraId="4B08A811" w14:textId="57925E1A" w:rsidR="00EC5A9C" w:rsidRPr="001B6443" w:rsidRDefault="00EC5A9C" w:rsidP="00EC5A9C">
      <w:pPr>
        <w:spacing w:after="0" w:line="480" w:lineRule="auto"/>
        <w:jc w:val="both"/>
        <w:rPr>
          <w:rFonts w:ascii="Times New Roman" w:eastAsia="Calibri" w:hAnsi="Times New Roman" w:cs="Times New Roman"/>
          <w:bCs/>
          <w:color w:val="000000" w:themeColor="text1"/>
          <w:sz w:val="24"/>
          <w:szCs w:val="24"/>
          <w:lang w:val="en-US"/>
        </w:rPr>
      </w:pPr>
      <w:r w:rsidRPr="001B6443">
        <w:rPr>
          <w:rFonts w:ascii="Times New Roman" w:eastAsia="Calibri" w:hAnsi="Times New Roman" w:cs="Times New Roman"/>
          <w:bCs/>
          <w:color w:val="000000" w:themeColor="text1"/>
          <w:sz w:val="24"/>
          <w:szCs w:val="24"/>
          <w:lang w:val="en-US"/>
        </w:rPr>
        <w:lastRenderedPageBreak/>
        <w:t>Our study offers a number of important practical and policy implicatio</w:t>
      </w:r>
      <w:r w:rsidR="00E46BDE" w:rsidRPr="001B6443">
        <w:rPr>
          <w:rFonts w:ascii="Times New Roman" w:eastAsia="Calibri" w:hAnsi="Times New Roman" w:cs="Times New Roman"/>
          <w:bCs/>
          <w:color w:val="000000" w:themeColor="text1"/>
          <w:sz w:val="24"/>
          <w:szCs w:val="24"/>
          <w:lang w:val="en-US"/>
        </w:rPr>
        <w:t>ns. First, our findings suggest that managers and corporate boards should not neglect the deteriorating effects of excessive carbon emissions on the environment and society that may ultimately harm MV. Further, regulators and institutional investors should be proactive in raising awareness among all stakeholders about the negative consequences of GHG emissions.</w:t>
      </w:r>
      <w:r w:rsidR="00BD51C5" w:rsidRPr="001B6443">
        <w:rPr>
          <w:rFonts w:ascii="Times New Roman" w:eastAsia="Calibri" w:hAnsi="Times New Roman" w:cs="Times New Roman"/>
          <w:bCs/>
          <w:color w:val="000000" w:themeColor="text1"/>
          <w:sz w:val="24"/>
          <w:szCs w:val="24"/>
          <w:lang w:val="en-US"/>
        </w:rPr>
        <w:t xml:space="preserve"> Second, </w:t>
      </w:r>
      <w:r w:rsidR="00891AA5" w:rsidRPr="001B6443">
        <w:rPr>
          <w:rFonts w:ascii="Times New Roman" w:eastAsia="Calibri" w:hAnsi="Times New Roman" w:cs="Times New Roman"/>
          <w:bCs/>
          <w:color w:val="000000" w:themeColor="text1"/>
          <w:sz w:val="24"/>
          <w:szCs w:val="24"/>
          <w:lang w:val="en-US"/>
        </w:rPr>
        <w:t xml:space="preserve">regulators and policymakers </w:t>
      </w:r>
      <w:r w:rsidR="00BD51C5" w:rsidRPr="001B6443">
        <w:rPr>
          <w:rFonts w:ascii="Times New Roman" w:eastAsia="Calibri" w:hAnsi="Times New Roman" w:cs="Times New Roman"/>
          <w:bCs/>
          <w:color w:val="000000" w:themeColor="text1"/>
          <w:sz w:val="24"/>
          <w:szCs w:val="24"/>
          <w:lang w:val="en-US"/>
        </w:rPr>
        <w:t xml:space="preserve">need to develop enforceable policies/guidelines on PCCIs with mandatory carbon-mitigation targets at corporate, national, and global levels. </w:t>
      </w:r>
      <w:r w:rsidR="00891AA5" w:rsidRPr="001B6443">
        <w:rPr>
          <w:rFonts w:ascii="Times New Roman" w:eastAsia="Calibri" w:hAnsi="Times New Roman" w:cs="Times New Roman"/>
          <w:bCs/>
          <w:color w:val="000000" w:themeColor="text1"/>
          <w:sz w:val="24"/>
          <w:szCs w:val="24"/>
          <w:lang w:val="en-US"/>
        </w:rPr>
        <w:t>In addition, they</w:t>
      </w:r>
      <w:r w:rsidRPr="001B6443">
        <w:rPr>
          <w:rFonts w:ascii="Times New Roman" w:eastAsia="Calibri" w:hAnsi="Times New Roman" w:cs="Times New Roman"/>
          <w:bCs/>
          <w:color w:val="000000" w:themeColor="text1"/>
          <w:sz w:val="24"/>
          <w:szCs w:val="24"/>
          <w:lang w:val="en-US"/>
        </w:rPr>
        <w:t xml:space="preserve"> may consider int</w:t>
      </w:r>
      <w:r w:rsidR="00891AA5" w:rsidRPr="001B6443">
        <w:rPr>
          <w:rFonts w:ascii="Times New Roman" w:eastAsia="Calibri" w:hAnsi="Times New Roman" w:cs="Times New Roman"/>
          <w:bCs/>
          <w:color w:val="000000" w:themeColor="text1"/>
          <w:sz w:val="24"/>
          <w:szCs w:val="24"/>
          <w:lang w:val="en-US"/>
        </w:rPr>
        <w:t>roducing new legislation</w:t>
      </w:r>
      <w:r w:rsidRPr="001B6443">
        <w:rPr>
          <w:rFonts w:ascii="Times New Roman" w:eastAsia="Calibri" w:hAnsi="Times New Roman" w:cs="Times New Roman"/>
          <w:bCs/>
          <w:color w:val="000000" w:themeColor="text1"/>
          <w:sz w:val="24"/>
          <w:szCs w:val="24"/>
          <w:lang w:val="en-US"/>
        </w:rPr>
        <w:t xml:space="preserve"> to motivate carbon-emitting firms to appoint BSCOM </w:t>
      </w:r>
      <w:r w:rsidR="00BD51C5" w:rsidRPr="001B6443">
        <w:rPr>
          <w:rFonts w:ascii="Times New Roman" w:eastAsia="Calibri" w:hAnsi="Times New Roman" w:cs="Times New Roman"/>
          <w:bCs/>
          <w:color w:val="000000" w:themeColor="text1"/>
          <w:sz w:val="24"/>
          <w:szCs w:val="24"/>
          <w:lang w:val="en-US"/>
        </w:rPr>
        <w:t xml:space="preserve">exclusively focused on </w:t>
      </w:r>
      <w:r w:rsidRPr="001B6443">
        <w:rPr>
          <w:rFonts w:ascii="Times New Roman" w:eastAsia="Calibri" w:hAnsi="Times New Roman" w:cs="Times New Roman"/>
          <w:bCs/>
          <w:color w:val="000000" w:themeColor="text1"/>
          <w:sz w:val="24"/>
          <w:szCs w:val="24"/>
          <w:lang w:val="en-US"/>
        </w:rPr>
        <w:t xml:space="preserve">climate change </w:t>
      </w:r>
      <w:r w:rsidR="00BD51C5" w:rsidRPr="001B6443">
        <w:rPr>
          <w:rFonts w:ascii="Times New Roman" w:eastAsia="Calibri" w:hAnsi="Times New Roman" w:cs="Times New Roman"/>
          <w:bCs/>
          <w:color w:val="000000" w:themeColor="text1"/>
          <w:sz w:val="24"/>
          <w:szCs w:val="24"/>
          <w:lang w:val="en-US"/>
        </w:rPr>
        <w:t>and sustainability</w:t>
      </w:r>
      <w:r w:rsidRPr="001B6443">
        <w:rPr>
          <w:rFonts w:ascii="Times New Roman" w:eastAsia="Calibri" w:hAnsi="Times New Roman" w:cs="Times New Roman"/>
          <w:bCs/>
          <w:color w:val="000000" w:themeColor="text1"/>
          <w:sz w:val="24"/>
          <w:szCs w:val="24"/>
          <w:lang w:val="en-US"/>
        </w:rPr>
        <w:t>.</w:t>
      </w:r>
      <w:r w:rsidR="00ED525A" w:rsidRPr="001B6443">
        <w:rPr>
          <w:rFonts w:ascii="Times New Roman" w:eastAsia="Calibri" w:hAnsi="Times New Roman" w:cs="Times New Roman"/>
          <w:bCs/>
          <w:color w:val="000000" w:themeColor="text1"/>
          <w:sz w:val="24"/>
          <w:szCs w:val="24"/>
          <w:lang w:val="en-US"/>
        </w:rPr>
        <w:t xml:space="preserve"> </w:t>
      </w:r>
      <w:r w:rsidR="008960A8" w:rsidRPr="001B6443">
        <w:rPr>
          <w:rFonts w:ascii="Times New Roman" w:eastAsia="Calibri" w:hAnsi="Times New Roman" w:cs="Times New Roman"/>
          <w:bCs/>
          <w:color w:val="000000" w:themeColor="text1"/>
          <w:sz w:val="24"/>
          <w:szCs w:val="24"/>
          <w:lang w:val="en-US"/>
        </w:rPr>
        <w:t>Finally</w:t>
      </w:r>
      <w:r w:rsidRPr="001B6443">
        <w:rPr>
          <w:rFonts w:ascii="Times New Roman" w:eastAsia="Calibri" w:hAnsi="Times New Roman" w:cs="Times New Roman"/>
          <w:bCs/>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policymakers and standard-setters ought to develop and issue specific standards for reporting climate change and carbon-related information, especially in the absence of mandatory carbon reporting. For example, reporting firms should obtain external assurance of their climate change disclosures from independent assurance providers, who in turn, should examine and verify whether </w:t>
      </w:r>
      <w:r w:rsidR="009F4764" w:rsidRPr="001B6443">
        <w:rPr>
          <w:rFonts w:ascii="Times New Roman" w:eastAsia="Calibri" w:hAnsi="Times New Roman" w:cs="Times New Roman"/>
          <w:color w:val="000000" w:themeColor="text1"/>
          <w:sz w:val="24"/>
          <w:szCs w:val="24"/>
          <w:lang w:val="en-US"/>
        </w:rPr>
        <w:t>corporate reporting</w:t>
      </w:r>
      <w:r w:rsidRPr="001B6443">
        <w:rPr>
          <w:rFonts w:ascii="Times New Roman" w:eastAsia="Calibri" w:hAnsi="Times New Roman" w:cs="Times New Roman"/>
          <w:color w:val="000000" w:themeColor="text1"/>
          <w:sz w:val="24"/>
          <w:szCs w:val="24"/>
          <w:lang w:val="en-US"/>
        </w:rPr>
        <w:t xml:space="preserve"> reflect</w:t>
      </w:r>
      <w:r w:rsidR="009F4764" w:rsidRPr="001B6443">
        <w:rPr>
          <w:rFonts w:ascii="Times New Roman" w:eastAsia="Calibri" w:hAnsi="Times New Roman" w:cs="Times New Roman"/>
          <w:color w:val="000000" w:themeColor="text1"/>
          <w:sz w:val="24"/>
          <w:szCs w:val="24"/>
          <w:lang w:val="en-US"/>
        </w:rPr>
        <w:t>s</w:t>
      </w:r>
      <w:r w:rsidR="00ED525A" w:rsidRPr="001B6443">
        <w:rPr>
          <w:rFonts w:ascii="Times New Roman" w:eastAsia="Calibri" w:hAnsi="Times New Roman" w:cs="Times New Roman"/>
          <w:color w:val="000000" w:themeColor="text1"/>
          <w:sz w:val="24"/>
          <w:szCs w:val="24"/>
          <w:lang w:val="en-US"/>
        </w:rPr>
        <w:t xml:space="preserve"> </w:t>
      </w:r>
      <w:r w:rsidRPr="001B6443">
        <w:rPr>
          <w:rFonts w:ascii="Times New Roman" w:eastAsia="Calibri" w:hAnsi="Times New Roman" w:cs="Times New Roman"/>
          <w:color w:val="000000" w:themeColor="text1"/>
          <w:sz w:val="24"/>
          <w:szCs w:val="24"/>
          <w:lang w:val="en-US"/>
        </w:rPr>
        <w:t xml:space="preserve">a firm’s commitment to improve </w:t>
      </w:r>
      <w:r w:rsidR="004E151E" w:rsidRPr="001B6443">
        <w:rPr>
          <w:rFonts w:ascii="Times New Roman" w:eastAsia="Calibri" w:hAnsi="Times New Roman" w:cs="Times New Roman"/>
          <w:color w:val="000000" w:themeColor="text1"/>
          <w:sz w:val="24"/>
          <w:szCs w:val="24"/>
          <w:lang w:val="en-US"/>
        </w:rPr>
        <w:t xml:space="preserve">outcome-based </w:t>
      </w:r>
      <w:r w:rsidRPr="001B6443">
        <w:rPr>
          <w:rFonts w:ascii="Times New Roman" w:eastAsia="Calibri" w:hAnsi="Times New Roman" w:cs="Times New Roman"/>
          <w:color w:val="000000" w:themeColor="text1"/>
          <w:sz w:val="24"/>
          <w:szCs w:val="24"/>
          <w:lang w:val="en-US"/>
        </w:rPr>
        <w:t xml:space="preserve">CCPE. </w:t>
      </w:r>
      <w:r w:rsidRPr="001B6443">
        <w:rPr>
          <w:rFonts w:ascii="Times New Roman" w:eastAsia="Calibri" w:hAnsi="Times New Roman" w:cs="Times New Roman"/>
          <w:bCs/>
          <w:color w:val="000000" w:themeColor="text1"/>
          <w:sz w:val="24"/>
          <w:szCs w:val="24"/>
          <w:lang w:val="en-US"/>
        </w:rPr>
        <w:t>Such meas</w:t>
      </w:r>
      <w:r w:rsidR="00E46BDE" w:rsidRPr="001B6443">
        <w:rPr>
          <w:rFonts w:ascii="Times New Roman" w:eastAsia="Calibri" w:hAnsi="Times New Roman" w:cs="Times New Roman"/>
          <w:bCs/>
          <w:color w:val="000000" w:themeColor="text1"/>
          <w:sz w:val="24"/>
          <w:szCs w:val="24"/>
          <w:lang w:val="en-US"/>
        </w:rPr>
        <w:t>ures would prevent symbolic/</w:t>
      </w:r>
      <w:r w:rsidRPr="001B6443">
        <w:rPr>
          <w:rFonts w:ascii="Times New Roman" w:eastAsia="Calibri" w:hAnsi="Times New Roman" w:cs="Times New Roman"/>
          <w:bCs/>
          <w:color w:val="000000" w:themeColor="text1"/>
          <w:sz w:val="24"/>
          <w:szCs w:val="24"/>
          <w:lang w:val="en-US"/>
        </w:rPr>
        <w:t>greenwashing practices and help environmentally sensitive investors</w:t>
      </w:r>
      <w:r w:rsidR="00AE176D" w:rsidRPr="001B6443">
        <w:rPr>
          <w:rFonts w:ascii="Times New Roman" w:eastAsia="Calibri" w:hAnsi="Times New Roman" w:cs="Times New Roman"/>
          <w:bCs/>
          <w:color w:val="000000" w:themeColor="text1"/>
          <w:sz w:val="24"/>
          <w:szCs w:val="24"/>
          <w:lang w:val="en-US"/>
        </w:rPr>
        <w:t xml:space="preserve"> to</w:t>
      </w:r>
      <w:r w:rsidRPr="001B6443">
        <w:rPr>
          <w:rFonts w:ascii="Times New Roman" w:eastAsia="Calibri" w:hAnsi="Times New Roman" w:cs="Times New Roman"/>
          <w:bCs/>
          <w:color w:val="000000" w:themeColor="text1"/>
          <w:sz w:val="24"/>
          <w:szCs w:val="24"/>
          <w:lang w:val="en-US"/>
        </w:rPr>
        <w:t xml:space="preserve"> select eco-friendly projects and make informed investment decisions</w:t>
      </w:r>
      <w:r w:rsidR="00A722D7" w:rsidRPr="001B6443">
        <w:rPr>
          <w:rFonts w:ascii="Times New Roman" w:eastAsia="Calibri" w:hAnsi="Times New Roman" w:cs="Times New Roman"/>
          <w:bCs/>
          <w:color w:val="000000" w:themeColor="text1"/>
          <w:sz w:val="24"/>
          <w:szCs w:val="24"/>
          <w:lang w:val="en-US"/>
        </w:rPr>
        <w:t xml:space="preserve"> </w:t>
      </w:r>
      <w:r w:rsidR="00A722D7" w:rsidRPr="001B6443">
        <w:rPr>
          <w:rFonts w:ascii="Times New Roman" w:eastAsia="Calibri" w:hAnsi="Times New Roman" w:cs="Times New Roman"/>
          <w:bCs/>
          <w:color w:val="000000" w:themeColor="text1"/>
          <w:sz w:val="24"/>
          <w:szCs w:val="24"/>
          <w:lang w:val="en-US"/>
        </w:rPr>
        <w:fldChar w:fldCharType="begin" w:fldLock="1"/>
      </w:r>
      <w:r w:rsidR="0016357D" w:rsidRPr="001B6443">
        <w:rPr>
          <w:rFonts w:ascii="Times New Roman" w:eastAsia="Calibri" w:hAnsi="Times New Roman" w:cs="Times New Roman"/>
          <w:bCs/>
          <w:color w:val="000000" w:themeColor="text1"/>
          <w:sz w:val="24"/>
          <w:szCs w:val="24"/>
          <w:lang w:val="en-US"/>
        </w:rPr>
        <w:instrText>ADDIN CSL_CITATION {"citationItems":[{"id":"ITEM-1","itemData":{"DOI":"10.1002/bse.2695","ISSN":"10990836","abstract":"Recently, there has been increasing demand by stakeholders for firms to demonstrate how they create value within the context of their operating environment. Consequently, a new reporting approach, integrated reporting (IR), was conceptualised with its development linked to the firm's integrated thinking (IT). Yet very little is known about the effects of IT on firms' reporting decisions. Hence, we investigate whether IT influences firms' decision to publish an assured sustainability report. Using an international dataset, we find that IT is positively associated with sustainability reporting assurance. We also find that this association is moderated by the type of legal system such that for firms in code law countries, the IT effects are reduced. Nevertheless, the effects of IT remain strong, indicating that IT is important for reporting decisions regardless of the firm's contextual setting. These findings have implications for policymakers and organisations interested in promoting high-quality sustainability reporting.","author":[{"dropping-particle":"","family":"Baboukardos","given":"Diogenis","non-dropping-particle":"","parse-names":false,"suffix":""},{"dropping-particle":"","family":"Mangena","given":"Musa","non-dropping-particle":"","parse-names":false,"suffix":""},{"dropping-particle":"","family":"Ishola","given":"Abdullahi","non-dropping-particle":"","parse-names":false,"suffix":""}],"container-title":"Business Strategy and the Environment","id":"ITEM-1","issue":"4","issued":{"date-parts":[["2021"]]},"page":"1580-1597","title":"Integrated thinking and sustainability reporting assurance: International evidence","type":"article-journal","volume":"30"},"uris":["http://www.mendeley.com/documents/?uuid=c323cdda-57ad-3c64-833b-bd112cafee77"]},{"id":"ITEM-2","itemData":{"DOI":"10.1002/bse.2843","ISSN":"10990836","abstract":"Concern about climate change has increased the pressure on firms to be accountable for social impact and to report on environmental, social and governance (ESG) performance. Focusing on the view that sustainability-oriented firms are likely to consider wider stakeholder interests and pursue high financial reporting integrity, this paper examines the association between carbon assurance and earnings management. Using a sample of firms listed on the New York Stock Exchange, we find voluntary adoption of carbon assurance (level), carbon disclosure and gender diverse boards are negatively associated with earnings management. Additional tests using different components of carbon assurance (percent and verification) confirm our main results. Our results suggest that firms that voluntarily invest in carbon assurance, carbon disclosure and gender diverse boards are less likely to engage in earnings management and thus have higher reporting integrity. This aligns with the view that firms' ethical concerns translate into higher quality reporting.","author":[{"dropping-particle":"","family":"Bui","given":"Binh","non-dropping-particle":"","parse-names":false,"suffix":""},{"dropping-particle":"","family":"Houqe","given":"Muhammad Nurul","non-dropping-particle":"","parse-names":false,"suffix":""},{"dropping-particle":"","family":"Zaman","given":"Mahbub","non-dropping-particle":"","parse-names":false,"suffix":""}],"container-title":"Business Strategy and the Environment","id":"ITEM-2","issue":"8","issued":{"date-parts":[["2021"]]},"page":"3839-3853","title":"Climate change mitigation: Carbon assurance and reporting integrity","type":"article-journal","volume":"30"},"uris":["http://www.mendeley.com/documents/?uuid=3b52cc30-73d6-3243-a46b-80617f37a6e7"]},{"id":"ITEM-3","itemData":{"DOI":"10.1080/09638180.2016.1273787","ISSN":"14684497","abstract":"Sustainability-related non-financial information is increasingly deemed value relevant. Against this background, two recent trends in non-financial reporting are frequently discussed: integrated reporting and assurance of sustainability information. Using an established framework of information acquisition, evaluation, and weighting, this experimental study investigated how the choice of reporting format interacts with the voluntary assurance of sustainability information. The results from a sample of professional investors underline the important role of assurance in the context of voluntary disclosure and illustrate the relevant interaction with the reporting format. Assurance of sustainability information positively affected professional investors’ evaluation of a firm’s sustainability performance, resulted in a higher weighting of this information, and led to higher investment-related judgments. However, this assurance effect was weaker in the case of integrated reporting compared to separate reporting. We attribute this effect to a cognitive bias in decision-making when assured financial performance and non-assured sustainability performance are presented in the same report.","author":[{"dropping-particle":"","family":"Reimsbach","given":"Daniel","non-dropping-particle":"","parse-names":false,"suffix":""},{"dropping-particle":"","family":"Hahn","given":"Rüdiger","non-dropping-particle":"","parse-names":false,"suffix":""},{"dropping-particle":"","family":"Gürtürk","given":"Anil","non-dropping-particle":"","parse-names":false,"suffix":""}],"container-title":"European Accounting Review","id":"ITEM-3","issue":"3","issued":{"date-parts":[["2018"]]},"page":"559-581","title":"Integrated Reporting and Assurance of Sustainability Information: An Experimental Study on Professional Investors’ Information Processing","type":"article-journal","volume":"27"},"uris":["http://www.mendeley.com/documents/?uuid=976dea3a-fbd7-3517-b813-22c7adc46178"]},{"id":"ITEM-4","itemData":{"DOI":"10.1002/bse.2046","ISSN":"10990836","abstract":"Concerns about the credibility of sustainability reports can be mitigated through assurance. Although audit committee remit encompasses monitoring of sustainability issues, there are potential complementary and substitution issues between governance mechanisms. This paper explores the relationship between audit committees and sustainability reporting assurance using resource dependency theory. We find audit committee characteristics have an impact, additional to that of the board of directors and the existence of sustainability committees, on voluntary sustainability assurance. Our results also show that audit committee independence is associated with use of a Big Four audit firm for sustainability assurance. A negative association between sustainability committees and assurance, however, indicates assurance could be a burden for small firms. Overall, the findings suggest audit committees add credibility and help improve sustainability reporting through their independence, expertise and oversight.","author":[{"dropping-particle":"","family":"Al-Shaer","given":"Habiba","non-dropping-particle":"","parse-names":false,"suffix":""},{"dropping-particle":"","family":"Zaman","given":"Mahbub","non-dropping-particle":"","parse-names":false,"suffix":""}],"container-title":"Business Strategy and the Environment","id":"ITEM-4","issue":"7","issued":{"date-parts":[["2018"]]},"page":"973-986","title":"Credibility of sustainability reports: The contribution of audit committees","type":"article-journal","volume":"27"},"uris":["http://www.mendeley.com/documents/?uuid=78a5ec02-7b1e-3ba7-bb65-20888bd625b3"]}],"mendeley":{"formattedCitation":"(Al-Shaer and Zaman 2018; Baboukardos et al. 2021; Bui et al. 2021; Reimsbach et al. 2018)","manualFormatting":"(Al-Shaer and Zaman, 2018; Baboukardos et al., 2021; Bui et al., 2021; Reimsbach et al., 2018)","plainTextFormattedCitation":"(Al-Shaer and Zaman 2018; Baboukardos et al. 2021; Bui et al. 2021; Reimsbach et al. 2018)","previouslyFormattedCitation":"(Al-Shaer and Zaman 2018; Baboukardos et al. 2021; Bui et al. 2021; Reimsbach et al. 2018)"},"properties":{"noteIndex":0},"schema":"https://github.com/citation-style-language/schema/raw/master/csl-citation.json"}</w:instrText>
      </w:r>
      <w:r w:rsidR="00A722D7" w:rsidRPr="001B6443">
        <w:rPr>
          <w:rFonts w:ascii="Times New Roman" w:eastAsia="Calibri" w:hAnsi="Times New Roman" w:cs="Times New Roman"/>
          <w:bCs/>
          <w:color w:val="000000" w:themeColor="text1"/>
          <w:sz w:val="24"/>
          <w:szCs w:val="24"/>
          <w:lang w:val="en-US"/>
        </w:rPr>
        <w:fldChar w:fldCharType="separate"/>
      </w:r>
      <w:r w:rsidR="00AD4E74" w:rsidRPr="001B6443">
        <w:rPr>
          <w:rFonts w:ascii="Times New Roman" w:eastAsia="Calibri" w:hAnsi="Times New Roman" w:cs="Times New Roman"/>
          <w:bCs/>
          <w:noProof/>
          <w:color w:val="000000" w:themeColor="text1"/>
          <w:sz w:val="24"/>
          <w:szCs w:val="24"/>
          <w:lang w:val="en-US"/>
        </w:rPr>
        <w:t>(Al-Shaer and Zaman</w:t>
      </w:r>
      <w:r w:rsidR="00504AA7" w:rsidRPr="001B6443">
        <w:rPr>
          <w:rFonts w:ascii="Times New Roman" w:eastAsia="Calibri" w:hAnsi="Times New Roman" w:cs="Times New Roman"/>
          <w:bCs/>
          <w:noProof/>
          <w:color w:val="000000" w:themeColor="text1"/>
          <w:sz w:val="24"/>
          <w:szCs w:val="24"/>
          <w:lang w:val="en-US"/>
        </w:rPr>
        <w:t>,</w:t>
      </w:r>
      <w:r w:rsidR="00AD4E74" w:rsidRPr="001B6443">
        <w:rPr>
          <w:rFonts w:ascii="Times New Roman" w:eastAsia="Calibri" w:hAnsi="Times New Roman" w:cs="Times New Roman"/>
          <w:bCs/>
          <w:noProof/>
          <w:color w:val="000000" w:themeColor="text1"/>
          <w:sz w:val="24"/>
          <w:szCs w:val="24"/>
          <w:lang w:val="en-US"/>
        </w:rPr>
        <w:t xml:space="preserve"> 2018; Baboukardos </w:t>
      </w:r>
      <w:r w:rsidR="00AD4E74" w:rsidRPr="001B6443">
        <w:rPr>
          <w:rFonts w:ascii="Times New Roman" w:eastAsia="Calibri" w:hAnsi="Times New Roman" w:cs="Times New Roman"/>
          <w:bCs/>
          <w:i/>
          <w:iCs/>
          <w:noProof/>
          <w:color w:val="000000" w:themeColor="text1"/>
          <w:sz w:val="24"/>
          <w:szCs w:val="24"/>
          <w:lang w:val="en-US"/>
        </w:rPr>
        <w:t>et al.</w:t>
      </w:r>
      <w:r w:rsidR="00504AA7" w:rsidRPr="001B6443">
        <w:rPr>
          <w:rFonts w:ascii="Times New Roman" w:eastAsia="Calibri" w:hAnsi="Times New Roman" w:cs="Times New Roman"/>
          <w:bCs/>
          <w:noProof/>
          <w:color w:val="000000" w:themeColor="text1"/>
          <w:sz w:val="24"/>
          <w:szCs w:val="24"/>
          <w:lang w:val="en-US"/>
        </w:rPr>
        <w:t>,</w:t>
      </w:r>
      <w:r w:rsidR="00AD4E74" w:rsidRPr="001B6443">
        <w:rPr>
          <w:rFonts w:ascii="Times New Roman" w:eastAsia="Calibri" w:hAnsi="Times New Roman" w:cs="Times New Roman"/>
          <w:bCs/>
          <w:noProof/>
          <w:color w:val="000000" w:themeColor="text1"/>
          <w:sz w:val="24"/>
          <w:szCs w:val="24"/>
          <w:lang w:val="en-US"/>
        </w:rPr>
        <w:t xml:space="preserve"> 2021; Bui </w:t>
      </w:r>
      <w:r w:rsidR="00AD4E74" w:rsidRPr="001B6443">
        <w:rPr>
          <w:rFonts w:ascii="Times New Roman" w:eastAsia="Calibri" w:hAnsi="Times New Roman" w:cs="Times New Roman"/>
          <w:bCs/>
          <w:i/>
          <w:iCs/>
          <w:noProof/>
          <w:color w:val="000000" w:themeColor="text1"/>
          <w:sz w:val="24"/>
          <w:szCs w:val="24"/>
          <w:lang w:val="en-US"/>
        </w:rPr>
        <w:t>et al.</w:t>
      </w:r>
      <w:r w:rsidR="00504AA7" w:rsidRPr="001B6443">
        <w:rPr>
          <w:rFonts w:ascii="Times New Roman" w:eastAsia="Calibri" w:hAnsi="Times New Roman" w:cs="Times New Roman"/>
          <w:bCs/>
          <w:i/>
          <w:iCs/>
          <w:noProof/>
          <w:color w:val="000000" w:themeColor="text1"/>
          <w:sz w:val="24"/>
          <w:szCs w:val="24"/>
          <w:lang w:val="en-US"/>
        </w:rPr>
        <w:t>,</w:t>
      </w:r>
      <w:r w:rsidR="00AD4E74" w:rsidRPr="001B6443">
        <w:rPr>
          <w:rFonts w:ascii="Times New Roman" w:eastAsia="Calibri" w:hAnsi="Times New Roman" w:cs="Times New Roman"/>
          <w:bCs/>
          <w:noProof/>
          <w:color w:val="000000" w:themeColor="text1"/>
          <w:sz w:val="24"/>
          <w:szCs w:val="24"/>
          <w:lang w:val="en-US"/>
        </w:rPr>
        <w:t xml:space="preserve"> 2021; Reimsbach </w:t>
      </w:r>
      <w:r w:rsidR="00AD4E74" w:rsidRPr="001B6443">
        <w:rPr>
          <w:rFonts w:ascii="Times New Roman" w:eastAsia="Calibri" w:hAnsi="Times New Roman" w:cs="Times New Roman"/>
          <w:bCs/>
          <w:i/>
          <w:noProof/>
          <w:color w:val="000000" w:themeColor="text1"/>
          <w:sz w:val="24"/>
          <w:szCs w:val="24"/>
          <w:lang w:val="en-US"/>
        </w:rPr>
        <w:t>et al.</w:t>
      </w:r>
      <w:r w:rsidR="00504AA7" w:rsidRPr="001B6443">
        <w:rPr>
          <w:rFonts w:ascii="Times New Roman" w:eastAsia="Calibri" w:hAnsi="Times New Roman" w:cs="Times New Roman"/>
          <w:bCs/>
          <w:noProof/>
          <w:color w:val="000000" w:themeColor="text1"/>
          <w:sz w:val="24"/>
          <w:szCs w:val="24"/>
          <w:lang w:val="en-US"/>
        </w:rPr>
        <w:t>,</w:t>
      </w:r>
      <w:r w:rsidR="00AD4E74" w:rsidRPr="001B6443">
        <w:rPr>
          <w:rFonts w:ascii="Times New Roman" w:eastAsia="Calibri" w:hAnsi="Times New Roman" w:cs="Times New Roman"/>
          <w:bCs/>
          <w:noProof/>
          <w:color w:val="000000" w:themeColor="text1"/>
          <w:sz w:val="24"/>
          <w:szCs w:val="24"/>
          <w:lang w:val="en-US"/>
        </w:rPr>
        <w:t xml:space="preserve"> 2018)</w:t>
      </w:r>
      <w:r w:rsidR="00A722D7" w:rsidRPr="001B6443">
        <w:rPr>
          <w:rFonts w:ascii="Times New Roman" w:eastAsia="Calibri" w:hAnsi="Times New Roman" w:cs="Times New Roman"/>
          <w:bCs/>
          <w:color w:val="000000" w:themeColor="text1"/>
          <w:sz w:val="24"/>
          <w:szCs w:val="24"/>
          <w:lang w:val="en-US"/>
        </w:rPr>
        <w:fldChar w:fldCharType="end"/>
      </w:r>
      <w:r w:rsidR="00A722D7" w:rsidRPr="001B6443">
        <w:rPr>
          <w:rFonts w:ascii="Times New Roman" w:eastAsia="Calibri" w:hAnsi="Times New Roman" w:cs="Times New Roman"/>
          <w:bCs/>
          <w:color w:val="000000" w:themeColor="text1"/>
          <w:sz w:val="24"/>
          <w:szCs w:val="24"/>
          <w:lang w:val="en-US"/>
        </w:rPr>
        <w:t xml:space="preserve">. </w:t>
      </w:r>
    </w:p>
    <w:p w14:paraId="15D99769" w14:textId="77777777" w:rsidR="00335231" w:rsidRPr="001B6443" w:rsidRDefault="00335231" w:rsidP="006E528D">
      <w:pPr>
        <w:spacing w:after="0" w:line="480" w:lineRule="auto"/>
        <w:jc w:val="both"/>
        <w:rPr>
          <w:rFonts w:ascii="Times New Roman" w:eastAsia="Calibri" w:hAnsi="Times New Roman" w:cs="Times New Roman"/>
          <w:bCs/>
          <w:color w:val="000000" w:themeColor="text1"/>
          <w:sz w:val="24"/>
          <w:szCs w:val="24"/>
          <w:lang w:val="en-US"/>
        </w:rPr>
      </w:pPr>
    </w:p>
    <w:p w14:paraId="6188BF80" w14:textId="7152F04C" w:rsidR="00EC5A9C" w:rsidRPr="00AF4487" w:rsidRDefault="00EC5A9C" w:rsidP="006E528D">
      <w:pPr>
        <w:spacing w:after="0" w:line="480" w:lineRule="auto"/>
        <w:jc w:val="both"/>
        <w:rPr>
          <w:rFonts w:ascii="Times New Roman" w:eastAsia="Calibri" w:hAnsi="Times New Roman" w:cs="Times New Roman"/>
          <w:bCs/>
          <w:sz w:val="24"/>
          <w:szCs w:val="24"/>
          <w:lang w:val="en-US"/>
        </w:rPr>
      </w:pPr>
      <w:r w:rsidRPr="001B6443">
        <w:rPr>
          <w:rFonts w:ascii="Times New Roman" w:eastAsia="Calibri" w:hAnsi="Times New Roman" w:cs="Times New Roman"/>
          <w:bCs/>
          <w:color w:val="000000" w:themeColor="text1"/>
          <w:sz w:val="24"/>
          <w:szCs w:val="24"/>
          <w:lang w:val="en-US"/>
        </w:rPr>
        <w:t>Our study has some limitations that should be explicitly addressed by future research. First, our study is based on global companies whose shares are publicly traded in different stock markets. Consequently, the findings may not be generalizable to small and medium sized entities</w:t>
      </w:r>
      <w:r w:rsidR="000366BF" w:rsidRPr="001B6443">
        <w:rPr>
          <w:rFonts w:ascii="Times New Roman" w:eastAsia="Calibri" w:hAnsi="Times New Roman" w:cs="Times New Roman"/>
          <w:bCs/>
          <w:color w:val="000000" w:themeColor="text1"/>
          <w:sz w:val="24"/>
          <w:szCs w:val="24"/>
          <w:lang w:val="en-US"/>
        </w:rPr>
        <w:t xml:space="preserve"> (SMEs)</w:t>
      </w:r>
      <w:r w:rsidRPr="001B6443">
        <w:rPr>
          <w:rFonts w:ascii="Times New Roman" w:eastAsia="Calibri" w:hAnsi="Times New Roman" w:cs="Times New Roman"/>
          <w:bCs/>
          <w:color w:val="000000" w:themeColor="text1"/>
          <w:sz w:val="24"/>
          <w:szCs w:val="24"/>
          <w:lang w:val="en-US"/>
        </w:rPr>
        <w:t>. Hence, future research may provide new insights by examining whether these relat</w:t>
      </w:r>
      <w:r w:rsidR="002271A5" w:rsidRPr="001B6443">
        <w:rPr>
          <w:rFonts w:ascii="Times New Roman" w:eastAsia="Calibri" w:hAnsi="Times New Roman" w:cs="Times New Roman"/>
          <w:bCs/>
          <w:color w:val="000000" w:themeColor="text1"/>
          <w:sz w:val="24"/>
          <w:szCs w:val="24"/>
          <w:lang w:val="en-US"/>
        </w:rPr>
        <w:t xml:space="preserve">ionships hold in </w:t>
      </w:r>
      <w:r w:rsidRPr="001B6443">
        <w:rPr>
          <w:rFonts w:ascii="Times New Roman" w:eastAsia="Calibri" w:hAnsi="Times New Roman" w:cs="Times New Roman"/>
          <w:bCs/>
          <w:color w:val="000000" w:themeColor="text1"/>
          <w:sz w:val="24"/>
          <w:szCs w:val="24"/>
          <w:lang w:val="en-US"/>
        </w:rPr>
        <w:t xml:space="preserve">SMEs and non-publicly traded firms. Second, </w:t>
      </w:r>
      <w:r w:rsidR="00B076AB" w:rsidRPr="001B6443">
        <w:rPr>
          <w:rFonts w:ascii="Times New Roman" w:eastAsia="Calibri" w:hAnsi="Times New Roman" w:cs="Times New Roman"/>
          <w:bCs/>
          <w:color w:val="000000" w:themeColor="text1"/>
          <w:sz w:val="24"/>
          <w:szCs w:val="24"/>
          <w:lang w:val="en-US"/>
        </w:rPr>
        <w:t xml:space="preserve">due to data limitations, </w:t>
      </w:r>
      <w:r w:rsidRPr="001B6443">
        <w:rPr>
          <w:rFonts w:ascii="Times New Roman" w:eastAsia="Calibri" w:hAnsi="Times New Roman" w:cs="Times New Roman"/>
          <w:bCs/>
          <w:color w:val="000000" w:themeColor="text1"/>
          <w:sz w:val="24"/>
          <w:szCs w:val="24"/>
          <w:lang w:val="en-US"/>
        </w:rPr>
        <w:t xml:space="preserve">we </w:t>
      </w:r>
      <w:r w:rsidRPr="001B6443">
        <w:rPr>
          <w:rFonts w:ascii="Times New Roman" w:eastAsia="Calibri" w:hAnsi="Times New Roman" w:cs="Times New Roman"/>
          <w:color w:val="000000" w:themeColor="text1"/>
          <w:sz w:val="24"/>
          <w:lang w:val="en-US"/>
        </w:rPr>
        <w:t xml:space="preserve">capture the existence of BSCOM rather than considering individual characteristics of committee members </w:t>
      </w:r>
      <w:r w:rsidR="00B64E9F" w:rsidRPr="001B6443">
        <w:rPr>
          <w:rFonts w:ascii="Times New Roman" w:eastAsia="Calibri" w:hAnsi="Times New Roman" w:cs="Times New Roman"/>
          <w:color w:val="000000" w:themeColor="text1"/>
          <w:sz w:val="24"/>
          <w:lang w:val="en-US"/>
        </w:rPr>
        <w:t xml:space="preserve">(e.g., age, culture, education, </w:t>
      </w:r>
      <w:r w:rsidRPr="001B6443">
        <w:rPr>
          <w:rFonts w:ascii="Times New Roman" w:eastAsia="Calibri" w:hAnsi="Times New Roman" w:cs="Times New Roman"/>
          <w:color w:val="000000" w:themeColor="text1"/>
          <w:sz w:val="24"/>
          <w:lang w:val="en-US"/>
        </w:rPr>
        <w:t xml:space="preserve">expertise, </w:t>
      </w:r>
      <w:r w:rsidR="00CC4355" w:rsidRPr="001B6443">
        <w:rPr>
          <w:rFonts w:ascii="Times New Roman" w:eastAsia="Calibri" w:hAnsi="Times New Roman" w:cs="Times New Roman"/>
          <w:color w:val="000000" w:themeColor="text1"/>
          <w:sz w:val="24"/>
          <w:lang w:val="en-US"/>
        </w:rPr>
        <w:t xml:space="preserve">gender, independence, </w:t>
      </w:r>
      <w:r w:rsidRPr="001B6443">
        <w:rPr>
          <w:rFonts w:ascii="Times New Roman" w:eastAsia="Calibri" w:hAnsi="Times New Roman" w:cs="Times New Roman"/>
          <w:color w:val="000000" w:themeColor="text1"/>
          <w:sz w:val="24"/>
          <w:lang w:val="en-US"/>
        </w:rPr>
        <w:t xml:space="preserve">religion, and skills). Hence, future research </w:t>
      </w:r>
      <w:r w:rsidR="00B076AB" w:rsidRPr="001B6443">
        <w:rPr>
          <w:rFonts w:ascii="Times New Roman" w:eastAsia="Calibri" w:hAnsi="Times New Roman" w:cs="Times New Roman"/>
          <w:color w:val="000000" w:themeColor="text1"/>
          <w:sz w:val="24"/>
          <w:lang w:val="en-US"/>
        </w:rPr>
        <w:t>may</w:t>
      </w:r>
      <w:r w:rsidRPr="001B6443">
        <w:rPr>
          <w:rFonts w:ascii="Times New Roman" w:eastAsia="Calibri" w:hAnsi="Times New Roman" w:cs="Times New Roman"/>
          <w:color w:val="000000" w:themeColor="text1"/>
          <w:sz w:val="24"/>
          <w:lang w:val="en-US"/>
        </w:rPr>
        <w:t xml:space="preserve"> </w:t>
      </w:r>
      <w:r w:rsidR="00B076AB" w:rsidRPr="001B6443">
        <w:rPr>
          <w:rFonts w:ascii="Times New Roman" w:eastAsia="Calibri" w:hAnsi="Times New Roman" w:cs="Times New Roman"/>
          <w:color w:val="000000" w:themeColor="text1"/>
          <w:sz w:val="24"/>
          <w:lang w:val="en-US"/>
        </w:rPr>
        <w:t xml:space="preserve">offer new insights by </w:t>
      </w:r>
      <w:r w:rsidRPr="001B6443">
        <w:rPr>
          <w:rFonts w:ascii="Times New Roman" w:eastAsia="Calibri" w:hAnsi="Times New Roman" w:cs="Times New Roman"/>
          <w:color w:val="000000" w:themeColor="text1"/>
          <w:sz w:val="24"/>
          <w:lang w:val="en-US"/>
        </w:rPr>
        <w:t>explor</w:t>
      </w:r>
      <w:r w:rsidR="00B076AB" w:rsidRPr="001B6443">
        <w:rPr>
          <w:rFonts w:ascii="Times New Roman" w:eastAsia="Calibri" w:hAnsi="Times New Roman" w:cs="Times New Roman"/>
          <w:color w:val="000000" w:themeColor="text1"/>
          <w:sz w:val="24"/>
          <w:lang w:val="en-US"/>
        </w:rPr>
        <w:t>ing</w:t>
      </w:r>
      <w:r w:rsidRPr="001B6443">
        <w:rPr>
          <w:rFonts w:ascii="Times New Roman" w:eastAsia="Calibri" w:hAnsi="Times New Roman" w:cs="Times New Roman"/>
          <w:color w:val="000000" w:themeColor="text1"/>
          <w:sz w:val="24"/>
          <w:lang w:val="en-US"/>
        </w:rPr>
        <w:t xml:space="preserve"> these objective values of BSCOM that may also influence CCPE, PCCIs, </w:t>
      </w:r>
      <w:r w:rsidRPr="001B6443">
        <w:rPr>
          <w:rFonts w:ascii="Times New Roman" w:eastAsia="Calibri" w:hAnsi="Times New Roman" w:cs="Times New Roman"/>
          <w:color w:val="000000" w:themeColor="text1"/>
          <w:sz w:val="24"/>
          <w:lang w:val="en-US"/>
        </w:rPr>
        <w:lastRenderedPageBreak/>
        <w:t xml:space="preserve">and MV. </w:t>
      </w:r>
      <w:r w:rsidRPr="001B6443">
        <w:rPr>
          <w:rFonts w:ascii="Times New Roman" w:eastAsia="Calibri" w:hAnsi="Times New Roman" w:cs="Times New Roman"/>
          <w:bCs/>
          <w:color w:val="000000" w:themeColor="text1"/>
          <w:sz w:val="24"/>
          <w:szCs w:val="24"/>
          <w:lang w:val="en-US"/>
        </w:rPr>
        <w:t xml:space="preserve">Finally, we analyze data on climate change, carbon emissions, and financial results reported by the sampled firms and do not consider other information that might reflect actual practices and performance. In this regard, future studies might conduct comprehensive case studies and interviews with executives, board members, investors and other stakeholders to provide new insights on climate change. </w:t>
      </w:r>
      <w:r w:rsidR="0054708C" w:rsidRPr="001B6443">
        <w:rPr>
          <w:rFonts w:ascii="Times New Roman" w:eastAsia="Calibri" w:hAnsi="Times New Roman" w:cs="Times New Roman"/>
          <w:bCs/>
          <w:color w:val="000000" w:themeColor="text1"/>
          <w:sz w:val="24"/>
          <w:szCs w:val="24"/>
          <w:lang w:val="en-US"/>
        </w:rPr>
        <w:t>Furthermore</w:t>
      </w:r>
      <w:r w:rsidR="00917BBA" w:rsidRPr="001B6443">
        <w:rPr>
          <w:rFonts w:ascii="Times New Roman" w:eastAsia="Calibri" w:hAnsi="Times New Roman" w:cs="Times New Roman"/>
          <w:bCs/>
          <w:color w:val="000000" w:themeColor="text1"/>
          <w:sz w:val="24"/>
          <w:szCs w:val="24"/>
          <w:lang w:val="en-US"/>
        </w:rPr>
        <w:t xml:space="preserve">, PCCIs may take time </w:t>
      </w:r>
      <w:r w:rsidR="0054708C" w:rsidRPr="001B6443">
        <w:rPr>
          <w:rFonts w:ascii="Times New Roman" w:eastAsia="Calibri" w:hAnsi="Times New Roman" w:cs="Times New Roman"/>
          <w:bCs/>
          <w:color w:val="000000" w:themeColor="text1"/>
          <w:sz w:val="24"/>
          <w:szCs w:val="24"/>
          <w:lang w:val="en-US"/>
        </w:rPr>
        <w:t xml:space="preserve">to </w:t>
      </w:r>
      <w:r w:rsidR="009527AE" w:rsidRPr="001B6443">
        <w:rPr>
          <w:rFonts w:ascii="Times New Roman" w:eastAsia="Calibri" w:hAnsi="Times New Roman" w:cs="Times New Roman"/>
          <w:bCs/>
          <w:color w:val="000000" w:themeColor="text1"/>
          <w:sz w:val="24"/>
          <w:szCs w:val="24"/>
          <w:lang w:val="en-US"/>
        </w:rPr>
        <w:t xml:space="preserve">influence </w:t>
      </w:r>
      <w:r w:rsidR="00917BBA" w:rsidRPr="001B6443">
        <w:rPr>
          <w:rFonts w:ascii="Times New Roman" w:eastAsia="Calibri" w:hAnsi="Times New Roman" w:cs="Times New Roman"/>
          <w:bCs/>
          <w:color w:val="000000" w:themeColor="text1"/>
          <w:sz w:val="24"/>
          <w:szCs w:val="24"/>
          <w:lang w:val="en-US"/>
        </w:rPr>
        <w:t>actual GHG emissions, and therefore,</w:t>
      </w:r>
      <w:r w:rsidR="0054708C" w:rsidRPr="001B6443">
        <w:rPr>
          <w:rFonts w:ascii="Times New Roman" w:eastAsia="Calibri" w:hAnsi="Times New Roman" w:cs="Times New Roman"/>
          <w:bCs/>
          <w:color w:val="000000" w:themeColor="text1"/>
          <w:sz w:val="24"/>
          <w:szCs w:val="24"/>
          <w:lang w:val="en-US"/>
        </w:rPr>
        <w:t xml:space="preserve"> our conclusion of PCCIs may be mere symbolic/greenwashing may not always hold</w:t>
      </w:r>
      <w:r w:rsidR="00215C12" w:rsidRPr="001B6443">
        <w:rPr>
          <w:rFonts w:ascii="Times New Roman" w:eastAsia="Calibri" w:hAnsi="Times New Roman" w:cs="Times New Roman"/>
          <w:bCs/>
          <w:color w:val="000000" w:themeColor="text1"/>
          <w:sz w:val="24"/>
          <w:szCs w:val="24"/>
          <w:lang w:val="en-US"/>
        </w:rPr>
        <w:t>, which as more data becomes available future research can revisit</w:t>
      </w:r>
      <w:r w:rsidR="0054708C" w:rsidRPr="001B6443">
        <w:rPr>
          <w:rFonts w:ascii="Times New Roman" w:eastAsia="Calibri" w:hAnsi="Times New Roman" w:cs="Times New Roman"/>
          <w:bCs/>
          <w:color w:val="000000" w:themeColor="text1"/>
          <w:sz w:val="24"/>
          <w:szCs w:val="24"/>
          <w:lang w:val="en-US"/>
        </w:rPr>
        <w:t xml:space="preserve">. </w:t>
      </w:r>
      <w:r w:rsidR="00917BBA" w:rsidRPr="001B6443">
        <w:rPr>
          <w:rFonts w:ascii="Times New Roman" w:eastAsia="Calibri" w:hAnsi="Times New Roman" w:cs="Times New Roman"/>
          <w:bCs/>
          <w:color w:val="000000" w:themeColor="text1"/>
          <w:sz w:val="24"/>
          <w:szCs w:val="24"/>
          <w:lang w:val="en-US"/>
        </w:rPr>
        <w:t xml:space="preserve"> </w:t>
      </w:r>
    </w:p>
    <w:p w14:paraId="41A3F666" w14:textId="50138A96" w:rsidR="00EC5A9C" w:rsidRPr="00AF4487" w:rsidRDefault="00EC5A9C" w:rsidP="006E528D">
      <w:pPr>
        <w:spacing w:after="0" w:line="480" w:lineRule="auto"/>
        <w:jc w:val="both"/>
        <w:rPr>
          <w:rFonts w:ascii="Times New Roman" w:eastAsia="Calibri" w:hAnsi="Times New Roman" w:cs="Times New Roman"/>
          <w:b/>
          <w:bCs/>
          <w:sz w:val="24"/>
          <w:szCs w:val="24"/>
          <w:lang w:val="en-US"/>
        </w:rPr>
      </w:pPr>
    </w:p>
    <w:p w14:paraId="4A3077E7" w14:textId="77777777" w:rsidR="00EC5A9C" w:rsidRPr="00AF4487" w:rsidRDefault="00EC5A9C" w:rsidP="006E528D">
      <w:pPr>
        <w:spacing w:after="0" w:line="480" w:lineRule="auto"/>
        <w:outlineLvl w:val="0"/>
        <w:rPr>
          <w:rFonts w:ascii="Times New Roman" w:eastAsia="Times New Roman" w:hAnsi="Times New Roman" w:cs="Times New Roman"/>
          <w:b/>
          <w:bCs/>
          <w:kern w:val="36"/>
          <w:sz w:val="24"/>
          <w:szCs w:val="24"/>
          <w:lang w:val="en-US" w:eastAsia="ru-RU"/>
        </w:rPr>
      </w:pPr>
      <w:bookmarkStart w:id="2" w:name="_Hlk89861167"/>
      <w:r w:rsidRPr="00AF4487">
        <w:rPr>
          <w:rFonts w:ascii="Times New Roman" w:eastAsia="Times New Roman" w:hAnsi="Times New Roman" w:cs="Times New Roman"/>
          <w:b/>
          <w:bCs/>
          <w:kern w:val="36"/>
          <w:sz w:val="24"/>
          <w:szCs w:val="24"/>
          <w:lang w:val="en-US" w:eastAsia="ru-RU"/>
        </w:rPr>
        <w:t>References</w:t>
      </w:r>
    </w:p>
    <w:p w14:paraId="0C066BA0" w14:textId="5BCDBA09" w:rsidR="00AF4EC6" w:rsidRPr="008E3FE6" w:rsidRDefault="00EC5A9C"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AF4487">
        <w:rPr>
          <w:rFonts w:ascii="Times New Roman" w:eastAsia="Calibri" w:hAnsi="Times New Roman" w:cs="Times New Roman"/>
          <w:b/>
          <w:bCs/>
          <w:sz w:val="24"/>
          <w:szCs w:val="24"/>
          <w:lang w:val="en-US"/>
        </w:rPr>
        <w:fldChar w:fldCharType="begin" w:fldLock="1"/>
      </w:r>
      <w:r w:rsidRPr="00AF4487">
        <w:rPr>
          <w:rFonts w:ascii="Times New Roman" w:eastAsia="Calibri" w:hAnsi="Times New Roman" w:cs="Times New Roman"/>
          <w:b/>
          <w:bCs/>
          <w:sz w:val="24"/>
          <w:szCs w:val="24"/>
          <w:lang w:val="en-US"/>
        </w:rPr>
        <w:instrText xml:space="preserve">ADDIN Mendeley Bibliography CSL_BIBLIOGRAPHY </w:instrText>
      </w:r>
      <w:r w:rsidRPr="00AF4487">
        <w:rPr>
          <w:rFonts w:ascii="Times New Roman" w:eastAsia="Calibri" w:hAnsi="Times New Roman" w:cs="Times New Roman"/>
          <w:b/>
          <w:bCs/>
          <w:sz w:val="24"/>
          <w:szCs w:val="24"/>
          <w:lang w:val="en-US"/>
        </w:rPr>
        <w:fldChar w:fldCharType="separate"/>
      </w:r>
      <w:r w:rsidR="00AF4EC6" w:rsidRPr="008E3FE6">
        <w:rPr>
          <w:rFonts w:ascii="Times New Roman" w:hAnsi="Times New Roman" w:cs="Times New Roman"/>
          <w:noProof/>
          <w:sz w:val="24"/>
          <w:szCs w:val="24"/>
          <w:lang w:val="en-US"/>
        </w:rPr>
        <w:t xml:space="preserve">Aguilera, R. V., D. E. Rupp, C. A. Williams and J. Ganapathi (2007), ‘Putting the s back in corporate social responsibility: A multilevel theory of social change in organizations’, </w:t>
      </w:r>
      <w:r w:rsidR="00AF4EC6" w:rsidRPr="008E3FE6">
        <w:rPr>
          <w:rFonts w:ascii="Times New Roman" w:hAnsi="Times New Roman" w:cs="Times New Roman"/>
          <w:i/>
          <w:iCs/>
          <w:noProof/>
          <w:sz w:val="24"/>
          <w:szCs w:val="24"/>
          <w:lang w:val="en-US"/>
        </w:rPr>
        <w:t>Academy of Management Review</w:t>
      </w:r>
      <w:r w:rsidR="00AF4EC6" w:rsidRPr="008E3FE6">
        <w:rPr>
          <w:rFonts w:ascii="Times New Roman" w:hAnsi="Times New Roman" w:cs="Times New Roman"/>
          <w:noProof/>
          <w:sz w:val="24"/>
          <w:szCs w:val="24"/>
          <w:lang w:val="en-US"/>
        </w:rPr>
        <w:t xml:space="preserve">, </w:t>
      </w:r>
      <w:r w:rsidR="00AF4EC6" w:rsidRPr="008E3FE6">
        <w:rPr>
          <w:rFonts w:ascii="Times New Roman" w:hAnsi="Times New Roman" w:cs="Times New Roman"/>
          <w:b/>
          <w:bCs/>
          <w:noProof/>
          <w:sz w:val="24"/>
          <w:szCs w:val="24"/>
          <w:lang w:val="en-US"/>
        </w:rPr>
        <w:t>32</w:t>
      </w:r>
      <w:r w:rsidR="00AF4EC6" w:rsidRPr="008E3FE6">
        <w:rPr>
          <w:rFonts w:ascii="Times New Roman" w:hAnsi="Times New Roman" w:cs="Times New Roman"/>
          <w:noProof/>
          <w:sz w:val="24"/>
          <w:szCs w:val="24"/>
          <w:lang w:val="en-US"/>
        </w:rPr>
        <w:t xml:space="preserve"> (3), 836–63.</w:t>
      </w:r>
    </w:p>
    <w:p w14:paraId="6D5B8B2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Al-Shaer, H. and M. Zaman (2018), ‘Credibility of sustainability reports: The contribution of audit committees’,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27</w:t>
      </w:r>
      <w:r w:rsidRPr="008E3FE6">
        <w:rPr>
          <w:rFonts w:ascii="Times New Roman" w:hAnsi="Times New Roman" w:cs="Times New Roman"/>
          <w:noProof/>
          <w:sz w:val="24"/>
          <w:szCs w:val="24"/>
          <w:lang w:val="en-US"/>
        </w:rPr>
        <w:t xml:space="preserve"> (7), 973–86.</w:t>
      </w:r>
    </w:p>
    <w:p w14:paraId="6BF7241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Al-Shaer, H. and M. Zaman (2019), ‘CEO Compensation and Sustainability Reporting Assurance: Evidence from the UK’,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158</w:t>
      </w:r>
      <w:r w:rsidRPr="008E3FE6">
        <w:rPr>
          <w:rFonts w:ascii="Times New Roman" w:hAnsi="Times New Roman" w:cs="Times New Roman"/>
          <w:noProof/>
          <w:sz w:val="24"/>
          <w:szCs w:val="24"/>
          <w:lang w:val="en-US"/>
        </w:rPr>
        <w:t xml:space="preserve"> (1), 233–252.</w:t>
      </w:r>
    </w:p>
    <w:p w14:paraId="032FC7F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Allen, M. L., M. M. C. Allen, D. Cumming and S. Johan (2021), ‘Comparative Capitalisms and Energy Transitions: Renewable Energy in the European Union’,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32</w:t>
      </w:r>
      <w:r w:rsidRPr="008E3FE6">
        <w:rPr>
          <w:rFonts w:ascii="Times New Roman" w:hAnsi="Times New Roman" w:cs="Times New Roman"/>
          <w:noProof/>
          <w:sz w:val="24"/>
          <w:szCs w:val="24"/>
          <w:lang w:val="en-US"/>
        </w:rPr>
        <w:t xml:space="preserve"> (3), 611–29.</w:t>
      </w:r>
    </w:p>
    <w:p w14:paraId="5B1636B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Amran, A., S. P. Lee and S. S. Devi (2014), ‘The influence of governance structure and strategic corporate social responsibility toward sustainability reporting quality’,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23</w:t>
      </w:r>
      <w:r w:rsidRPr="008E3FE6">
        <w:rPr>
          <w:rFonts w:ascii="Times New Roman" w:hAnsi="Times New Roman" w:cs="Times New Roman"/>
          <w:noProof/>
          <w:sz w:val="24"/>
          <w:szCs w:val="24"/>
          <w:lang w:val="en-US"/>
        </w:rPr>
        <w:t xml:space="preserve"> (4), 217–35.</w:t>
      </w:r>
    </w:p>
    <w:p w14:paraId="7E3D5C2C"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Andreou, P. C. and N. M. Kellard (2021), ‘Corporate Environmental Proactivity: Evidence from the European Union’s Emissions Trading System’,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32</w:t>
      </w:r>
      <w:r w:rsidRPr="008E3FE6">
        <w:rPr>
          <w:rFonts w:ascii="Times New Roman" w:hAnsi="Times New Roman" w:cs="Times New Roman"/>
          <w:noProof/>
          <w:sz w:val="24"/>
          <w:szCs w:val="24"/>
          <w:lang w:val="en-US"/>
        </w:rPr>
        <w:t xml:space="preserve"> (3), 630–47.</w:t>
      </w:r>
    </w:p>
    <w:p w14:paraId="1306117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Arellano, M. and S. Bond (1991), ‘Some tests of specification for panel data: Monte Carlo evidence and an application to employment equations’, </w:t>
      </w:r>
      <w:r w:rsidRPr="008E3FE6">
        <w:rPr>
          <w:rFonts w:ascii="Times New Roman" w:hAnsi="Times New Roman" w:cs="Times New Roman"/>
          <w:i/>
          <w:iCs/>
          <w:noProof/>
          <w:sz w:val="24"/>
          <w:szCs w:val="24"/>
          <w:lang w:val="en-US"/>
        </w:rPr>
        <w:t>Review of Economic Studies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58</w:t>
      </w:r>
      <w:r w:rsidRPr="008E3FE6">
        <w:rPr>
          <w:rFonts w:ascii="Times New Roman" w:hAnsi="Times New Roman" w:cs="Times New Roman"/>
          <w:noProof/>
          <w:sz w:val="24"/>
          <w:szCs w:val="24"/>
          <w:lang w:val="en-US"/>
        </w:rPr>
        <w:t>, 277–97.</w:t>
      </w:r>
    </w:p>
    <w:p w14:paraId="6AD84037"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Ashforth, B. E. and B. W. Gibbs (1990), ‘The Double-Edge of Organizational Legitimation’, </w:t>
      </w:r>
      <w:r w:rsidRPr="008E3FE6">
        <w:rPr>
          <w:rFonts w:ascii="Times New Roman" w:hAnsi="Times New Roman" w:cs="Times New Roman"/>
          <w:i/>
          <w:iCs/>
          <w:noProof/>
          <w:sz w:val="24"/>
          <w:szCs w:val="24"/>
          <w:lang w:val="en-US"/>
        </w:rPr>
        <w:t>Organization Science</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w:t>
      </w:r>
      <w:r w:rsidRPr="008E3FE6">
        <w:rPr>
          <w:rFonts w:ascii="Times New Roman" w:hAnsi="Times New Roman" w:cs="Times New Roman"/>
          <w:noProof/>
          <w:sz w:val="24"/>
          <w:szCs w:val="24"/>
          <w:lang w:val="en-US"/>
        </w:rPr>
        <w:t xml:space="preserve"> (2), 177–94.</w:t>
      </w:r>
    </w:p>
    <w:p w14:paraId="05247D3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Aslam, S., M. H. Elmagrhi, R. U. Rehman and C. G. Ntim (2021), ‘Environmental management practices and financial performance using data envelopment analysis in Japan: The mediating role of environmental performance’,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(4), 1655–73.</w:t>
      </w:r>
    </w:p>
    <w:p w14:paraId="63E4449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Atkins, J. and W. Maroun (2018), ‘Integrated extinction accounting and accountability: building an ark’, </w:t>
      </w:r>
      <w:r w:rsidRPr="008E3FE6">
        <w:rPr>
          <w:rFonts w:ascii="Times New Roman" w:hAnsi="Times New Roman" w:cs="Times New Roman"/>
          <w:i/>
          <w:iCs/>
          <w:noProof/>
          <w:sz w:val="24"/>
          <w:szCs w:val="24"/>
          <w:lang w:val="en-US"/>
        </w:rPr>
        <w:t>Accounting, Auditing and Accountability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31</w:t>
      </w:r>
      <w:r w:rsidRPr="008E3FE6">
        <w:rPr>
          <w:rFonts w:ascii="Times New Roman" w:hAnsi="Times New Roman" w:cs="Times New Roman"/>
          <w:noProof/>
          <w:sz w:val="24"/>
          <w:szCs w:val="24"/>
          <w:lang w:val="en-US"/>
        </w:rPr>
        <w:t xml:space="preserve"> (3), 750–86.</w:t>
      </w:r>
    </w:p>
    <w:p w14:paraId="4727B1F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Baboukardos, D. (2017), ‘Market valuation of greenhouse gas emissions under a mandatory reporting regime: Evidence from the UK’, </w:t>
      </w:r>
      <w:r w:rsidRPr="008E3FE6">
        <w:rPr>
          <w:rFonts w:ascii="Times New Roman" w:hAnsi="Times New Roman" w:cs="Times New Roman"/>
          <w:i/>
          <w:iCs/>
          <w:noProof/>
          <w:sz w:val="24"/>
          <w:szCs w:val="24"/>
          <w:lang w:val="en-US"/>
        </w:rPr>
        <w:t>Accounting Forum</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41</w:t>
      </w:r>
      <w:r w:rsidRPr="008E3FE6">
        <w:rPr>
          <w:rFonts w:ascii="Times New Roman" w:hAnsi="Times New Roman" w:cs="Times New Roman"/>
          <w:noProof/>
          <w:sz w:val="24"/>
          <w:szCs w:val="24"/>
          <w:lang w:val="en-US"/>
        </w:rPr>
        <w:t xml:space="preserve"> (3), 221–33.</w:t>
      </w:r>
    </w:p>
    <w:p w14:paraId="58E22BA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Baboukardos, D. (2018), ‘The valuation relevance of environmental performance revisited: The moderating role of environmental provisions’, </w:t>
      </w:r>
      <w:r w:rsidRPr="008E3FE6">
        <w:rPr>
          <w:rFonts w:ascii="Times New Roman" w:hAnsi="Times New Roman" w:cs="Times New Roman"/>
          <w:i/>
          <w:iCs/>
          <w:noProof/>
          <w:sz w:val="24"/>
          <w:szCs w:val="24"/>
          <w:lang w:val="en-US"/>
        </w:rPr>
        <w:t>British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50</w:t>
      </w:r>
      <w:r w:rsidRPr="008E3FE6">
        <w:rPr>
          <w:rFonts w:ascii="Times New Roman" w:hAnsi="Times New Roman" w:cs="Times New Roman"/>
          <w:noProof/>
          <w:sz w:val="24"/>
          <w:szCs w:val="24"/>
          <w:lang w:val="en-US"/>
        </w:rPr>
        <w:t xml:space="preserve"> (1), 32–47.</w:t>
      </w:r>
    </w:p>
    <w:p w14:paraId="77B1ECA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Baboukardos, D., M. Mangena and A. Ishola (2021), ‘Integrated thinking and sustainability reporting assurance: International evidence’,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(4), 1580–97.</w:t>
      </w:r>
    </w:p>
    <w:p w14:paraId="7FD1937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lastRenderedPageBreak/>
        <w:t xml:space="preserve">Backhaus, K. B., B. A. Stone and K. Heiner (2002), ‘Exploringthe Relationship Between Corporate Social Performance and Employer Attractiveness’, </w:t>
      </w:r>
      <w:r w:rsidRPr="008E3FE6">
        <w:rPr>
          <w:rFonts w:ascii="Times New Roman" w:hAnsi="Times New Roman" w:cs="Times New Roman"/>
          <w:i/>
          <w:iCs/>
          <w:noProof/>
          <w:sz w:val="24"/>
          <w:szCs w:val="24"/>
          <w:lang w:val="en-US"/>
        </w:rPr>
        <w:t>Business &amp; Society</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41</w:t>
      </w:r>
      <w:r w:rsidRPr="008E3FE6">
        <w:rPr>
          <w:rFonts w:ascii="Times New Roman" w:hAnsi="Times New Roman" w:cs="Times New Roman"/>
          <w:noProof/>
          <w:sz w:val="24"/>
          <w:szCs w:val="24"/>
          <w:lang w:val="en-US"/>
        </w:rPr>
        <w:t xml:space="preserve"> (3), 292–318.</w:t>
      </w:r>
    </w:p>
    <w:p w14:paraId="26134EB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Backman, C. A., A. Verbeke and R. A. Schulz (2017), ‘The Drivers of Corporate Climate Change Strategies and Public Policy: A New Resource-Based View Perspective’, </w:t>
      </w:r>
      <w:r w:rsidRPr="008E3FE6">
        <w:rPr>
          <w:rFonts w:ascii="Times New Roman" w:hAnsi="Times New Roman" w:cs="Times New Roman"/>
          <w:i/>
          <w:iCs/>
          <w:noProof/>
          <w:sz w:val="24"/>
          <w:szCs w:val="24"/>
          <w:lang w:val="en-US"/>
        </w:rPr>
        <w:t>Business and Society</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56</w:t>
      </w:r>
      <w:r w:rsidRPr="008E3FE6">
        <w:rPr>
          <w:rFonts w:ascii="Times New Roman" w:hAnsi="Times New Roman" w:cs="Times New Roman"/>
          <w:noProof/>
          <w:sz w:val="24"/>
          <w:szCs w:val="24"/>
          <w:lang w:val="en-US"/>
        </w:rPr>
        <w:t xml:space="preserve"> (4), 545–75.</w:t>
      </w:r>
    </w:p>
    <w:p w14:paraId="4DBFA08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Banerjee, S. B. (2003), ‘Who sustains whose development? Sustainable development and the reinvention of nature’, </w:t>
      </w:r>
      <w:r w:rsidRPr="008E3FE6">
        <w:rPr>
          <w:rFonts w:ascii="Times New Roman" w:hAnsi="Times New Roman" w:cs="Times New Roman"/>
          <w:i/>
          <w:iCs/>
          <w:noProof/>
          <w:sz w:val="24"/>
          <w:szCs w:val="24"/>
          <w:lang w:val="en-US"/>
        </w:rPr>
        <w:t>Organization Studies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24</w:t>
      </w:r>
      <w:r w:rsidRPr="008E3FE6">
        <w:rPr>
          <w:rFonts w:ascii="Times New Roman" w:hAnsi="Times New Roman" w:cs="Times New Roman"/>
          <w:noProof/>
          <w:sz w:val="24"/>
          <w:szCs w:val="24"/>
          <w:lang w:val="en-US"/>
        </w:rPr>
        <w:t xml:space="preserve"> (1), 143–80.</w:t>
      </w:r>
    </w:p>
    <w:p w14:paraId="4B7DC03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Bansal, P. and I. Clelland (2004), ‘Talking trash: Legitimacy, impression management, and unsystematic risk in the context of the natural environment’, </w:t>
      </w:r>
      <w:r w:rsidRPr="008E3FE6">
        <w:rPr>
          <w:rFonts w:ascii="Times New Roman" w:hAnsi="Times New Roman" w:cs="Times New Roman"/>
          <w:i/>
          <w:iCs/>
          <w:noProof/>
          <w:sz w:val="24"/>
          <w:szCs w:val="24"/>
          <w:lang w:val="en-US"/>
        </w:rPr>
        <w:t>Academy of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47</w:t>
      </w:r>
      <w:r w:rsidRPr="008E3FE6">
        <w:rPr>
          <w:rFonts w:ascii="Times New Roman" w:hAnsi="Times New Roman" w:cs="Times New Roman"/>
          <w:noProof/>
          <w:sz w:val="24"/>
          <w:szCs w:val="24"/>
          <w:lang w:val="en-US"/>
        </w:rPr>
        <w:t xml:space="preserve"> (1), 93–103.</w:t>
      </w:r>
    </w:p>
    <w:p w14:paraId="3243FD2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Bansal, P. and G. Kistruck (2006), ‘Seeing is (not) believing: Managing the impressions of the firm’s commitment to the natural environment’,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67</w:t>
      </w:r>
      <w:r w:rsidRPr="008E3FE6">
        <w:rPr>
          <w:rFonts w:ascii="Times New Roman" w:hAnsi="Times New Roman" w:cs="Times New Roman"/>
          <w:noProof/>
          <w:sz w:val="24"/>
          <w:szCs w:val="24"/>
          <w:lang w:val="en-US"/>
        </w:rPr>
        <w:t xml:space="preserve"> (2), 165–80.</w:t>
      </w:r>
    </w:p>
    <w:p w14:paraId="7552E48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Barney, J. (1991), ‘Firm Resources and Sustained Competitive Advantage’, </w:t>
      </w:r>
      <w:r w:rsidRPr="008E3FE6">
        <w:rPr>
          <w:rFonts w:ascii="Times New Roman" w:hAnsi="Times New Roman" w:cs="Times New Roman"/>
          <w:i/>
          <w:iCs/>
          <w:noProof/>
          <w:sz w:val="24"/>
          <w:szCs w:val="24"/>
          <w:lang w:val="en-US"/>
        </w:rPr>
        <w:t>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17</w:t>
      </w:r>
      <w:r w:rsidRPr="008E3FE6">
        <w:rPr>
          <w:rFonts w:ascii="Times New Roman" w:hAnsi="Times New Roman" w:cs="Times New Roman"/>
          <w:noProof/>
          <w:sz w:val="24"/>
          <w:szCs w:val="24"/>
          <w:lang w:val="en-US"/>
        </w:rPr>
        <w:t xml:space="preserve"> (1), 99–120.</w:t>
      </w:r>
    </w:p>
    <w:p w14:paraId="0817085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Benlemlih, M., M. Arif and M. Nadeem (2022), ‘Institutional Ownership and Greenhouse Gas Emissions : A Comparative Study of the UK and the USA’,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0</w:t>
      </w:r>
      <w:r w:rsidRPr="008E3FE6">
        <w:rPr>
          <w:rFonts w:ascii="Times New Roman" w:hAnsi="Times New Roman" w:cs="Times New Roman"/>
          <w:noProof/>
          <w:sz w:val="24"/>
          <w:szCs w:val="24"/>
          <w:lang w:val="en-US"/>
        </w:rPr>
        <w:t>, 1–25.</w:t>
      </w:r>
    </w:p>
    <w:p w14:paraId="76A687C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Berrone, P., A. Fosfuri and L. Gelabert (2017), ‘Does Greenwashing Pay Off? Understanding the Relationship Between Environmental Actions and Environmental Legitimacy’,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144</w:t>
      </w:r>
      <w:r w:rsidRPr="008E3FE6">
        <w:rPr>
          <w:rFonts w:ascii="Times New Roman" w:hAnsi="Times New Roman" w:cs="Times New Roman"/>
          <w:noProof/>
          <w:sz w:val="24"/>
          <w:szCs w:val="24"/>
          <w:lang w:val="en-US"/>
        </w:rPr>
        <w:t xml:space="preserve"> (2), 363–79.</w:t>
      </w:r>
    </w:p>
    <w:p w14:paraId="6DB2D4C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Berrone, P. and L. R. Gomez-Mejia (2009), ‘Environmental performance and executive compensation: An integrated agency-institutional perspective’, </w:t>
      </w:r>
      <w:r w:rsidRPr="008E3FE6">
        <w:rPr>
          <w:rFonts w:ascii="Times New Roman" w:hAnsi="Times New Roman" w:cs="Times New Roman"/>
          <w:i/>
          <w:iCs/>
          <w:noProof/>
          <w:sz w:val="24"/>
          <w:szCs w:val="24"/>
          <w:lang w:val="en-US"/>
        </w:rPr>
        <w:t>Academy of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52</w:t>
      </w:r>
      <w:r w:rsidRPr="008E3FE6">
        <w:rPr>
          <w:rFonts w:ascii="Times New Roman" w:hAnsi="Times New Roman" w:cs="Times New Roman"/>
          <w:noProof/>
          <w:sz w:val="24"/>
          <w:szCs w:val="24"/>
          <w:lang w:val="en-US"/>
        </w:rPr>
        <w:t xml:space="preserve"> (1), 103–26.</w:t>
      </w:r>
    </w:p>
    <w:p w14:paraId="00998BDF"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Bianchini, R. and A. Croce (2022), ‘The Role of Environmental Policies in Promoting Venture Capital Investments in Cleantech Companies’, </w:t>
      </w:r>
      <w:r w:rsidRPr="008E3FE6">
        <w:rPr>
          <w:rFonts w:ascii="Times New Roman" w:hAnsi="Times New Roman" w:cs="Times New Roman"/>
          <w:i/>
          <w:iCs/>
          <w:noProof/>
          <w:sz w:val="24"/>
          <w:szCs w:val="24"/>
          <w:lang w:val="en-US"/>
        </w:rPr>
        <w:t>Review of Corporate Finance</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w:t>
      </w:r>
      <w:r w:rsidRPr="008E3FE6">
        <w:rPr>
          <w:rFonts w:ascii="Times New Roman" w:hAnsi="Times New Roman" w:cs="Times New Roman"/>
          <w:noProof/>
          <w:sz w:val="24"/>
          <w:szCs w:val="24"/>
          <w:lang w:val="en-US"/>
        </w:rPr>
        <w:t>.</w:t>
      </w:r>
    </w:p>
    <w:p w14:paraId="1D9798B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Blundell, R. and S. Bond (1998), ‘Initial conditions and moment restrictions in dynamic panel data models’, </w:t>
      </w:r>
      <w:r w:rsidRPr="008E3FE6">
        <w:rPr>
          <w:rFonts w:ascii="Times New Roman" w:hAnsi="Times New Roman" w:cs="Times New Roman"/>
          <w:i/>
          <w:iCs/>
          <w:noProof/>
          <w:sz w:val="24"/>
          <w:szCs w:val="24"/>
          <w:lang w:val="en-US"/>
        </w:rPr>
        <w:t>Journal of Econometrics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87</w:t>
      </w:r>
      <w:r w:rsidRPr="008E3FE6">
        <w:rPr>
          <w:rFonts w:ascii="Times New Roman" w:hAnsi="Times New Roman" w:cs="Times New Roman"/>
          <w:noProof/>
          <w:sz w:val="24"/>
          <w:szCs w:val="24"/>
          <w:lang w:val="en-US"/>
        </w:rPr>
        <w:t xml:space="preserve"> (1), 115–43.</w:t>
      </w:r>
    </w:p>
    <w:p w14:paraId="5BC99E5C"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Boiral, O. (2016), ‘Accounting for the Unaccountable: Biodiversity Reporting and Impression Management’,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135</w:t>
      </w:r>
      <w:r w:rsidRPr="008E3FE6">
        <w:rPr>
          <w:rFonts w:ascii="Times New Roman" w:hAnsi="Times New Roman" w:cs="Times New Roman"/>
          <w:noProof/>
          <w:sz w:val="24"/>
          <w:szCs w:val="24"/>
          <w:lang w:val="en-US"/>
        </w:rPr>
        <w:t xml:space="preserve"> (4), 751–68.</w:t>
      </w:r>
    </w:p>
    <w:p w14:paraId="60CD0F8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Brammer, S. and A. Millington (2008), ‘Does it pay to be different? An analysis of the relationship between corporate social and financial performance’, </w:t>
      </w:r>
      <w:r w:rsidRPr="008E3FE6">
        <w:rPr>
          <w:rFonts w:ascii="Times New Roman" w:hAnsi="Times New Roman" w:cs="Times New Roman"/>
          <w:i/>
          <w:iCs/>
          <w:noProof/>
          <w:sz w:val="24"/>
          <w:szCs w:val="24"/>
          <w:lang w:val="en-US"/>
        </w:rPr>
        <w:t>Strategic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29</w:t>
      </w:r>
      <w:r w:rsidRPr="008E3FE6">
        <w:rPr>
          <w:rFonts w:ascii="Times New Roman" w:hAnsi="Times New Roman" w:cs="Times New Roman"/>
          <w:noProof/>
          <w:sz w:val="24"/>
          <w:szCs w:val="24"/>
          <w:lang w:val="en-US"/>
        </w:rPr>
        <w:t xml:space="preserve"> (12), 1325–43.</w:t>
      </w:r>
    </w:p>
    <w:p w14:paraId="35D9264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Bui, B., M. N. Houqe and M. Zaman (2020), ‘Climate governance effects on carbon disclosure and performance’, </w:t>
      </w:r>
      <w:r w:rsidRPr="008E3FE6">
        <w:rPr>
          <w:rFonts w:ascii="Times New Roman" w:hAnsi="Times New Roman" w:cs="Times New Roman"/>
          <w:i/>
          <w:iCs/>
          <w:noProof/>
          <w:sz w:val="24"/>
          <w:szCs w:val="24"/>
          <w:lang w:val="en-US"/>
        </w:rPr>
        <w:t>British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52</w:t>
      </w:r>
      <w:r w:rsidRPr="008E3FE6">
        <w:rPr>
          <w:rFonts w:ascii="Times New Roman" w:hAnsi="Times New Roman" w:cs="Times New Roman"/>
          <w:noProof/>
          <w:sz w:val="24"/>
          <w:szCs w:val="24"/>
          <w:lang w:val="en-US"/>
        </w:rPr>
        <w:t xml:space="preserve"> (2), accessed at https://doi.org/10.1016/j.bar.2019.100880.</w:t>
      </w:r>
    </w:p>
    <w:p w14:paraId="669D434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Bui, B., M. N. Houqe and M. Zaman (2021), ‘Climate change mitigation: Carbon assurance and reporting integrity’,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(8), 3839–53.</w:t>
      </w:r>
    </w:p>
    <w:p w14:paraId="3A2B1FC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Burke, J. J., R. Hoitash and U. Hoitash (2019), ‘The Heterogeneity of Board-Level Sustainability Committees and Corporate Social Performance’,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154</w:t>
      </w:r>
      <w:r w:rsidRPr="008E3FE6">
        <w:rPr>
          <w:rFonts w:ascii="Times New Roman" w:hAnsi="Times New Roman" w:cs="Times New Roman"/>
          <w:noProof/>
          <w:sz w:val="24"/>
          <w:szCs w:val="24"/>
          <w:lang w:val="en-US"/>
        </w:rPr>
        <w:t xml:space="preserve"> (4), 1161–86.</w:t>
      </w:r>
    </w:p>
    <w:p w14:paraId="236F3AD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Busch, T. and V. H. Hoffmann (2011), ‘How hot is your bottom line? linking carbon and financial performance’, </w:t>
      </w:r>
      <w:r w:rsidRPr="008E3FE6">
        <w:rPr>
          <w:rFonts w:ascii="Times New Roman" w:hAnsi="Times New Roman" w:cs="Times New Roman"/>
          <w:i/>
          <w:iCs/>
          <w:noProof/>
          <w:sz w:val="24"/>
          <w:szCs w:val="24"/>
          <w:lang w:val="en-US"/>
        </w:rPr>
        <w:t>Business and Society</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50</w:t>
      </w:r>
      <w:r w:rsidRPr="008E3FE6">
        <w:rPr>
          <w:rFonts w:ascii="Times New Roman" w:hAnsi="Times New Roman" w:cs="Times New Roman"/>
          <w:noProof/>
          <w:sz w:val="24"/>
          <w:szCs w:val="24"/>
          <w:lang w:val="en-US"/>
        </w:rPr>
        <w:t xml:space="preserve"> (2), 233–65.</w:t>
      </w:r>
    </w:p>
    <w:p w14:paraId="7D2FFA67"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Chatterjee, S., A. Hadi and B. Price (2000), </w:t>
      </w:r>
      <w:r w:rsidRPr="008E3FE6">
        <w:rPr>
          <w:rFonts w:ascii="Times New Roman" w:hAnsi="Times New Roman" w:cs="Times New Roman"/>
          <w:i/>
          <w:iCs/>
          <w:noProof/>
          <w:sz w:val="24"/>
          <w:szCs w:val="24"/>
          <w:lang w:val="en-US"/>
        </w:rPr>
        <w:t>Regression Analysis by Example</w:t>
      </w:r>
      <w:r w:rsidRPr="008E3FE6">
        <w:rPr>
          <w:rFonts w:ascii="Times New Roman" w:hAnsi="Times New Roman" w:cs="Times New Roman"/>
          <w:noProof/>
          <w:sz w:val="24"/>
          <w:szCs w:val="24"/>
          <w:lang w:val="en-US"/>
        </w:rPr>
        <w:t>, third edit, New York: John Wiley and Sons, Inc.</w:t>
      </w:r>
    </w:p>
    <w:p w14:paraId="34A62E2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Choi, B. and L. Luo (2021), ‘Does the market value greenhouse gas emissions? Evidence from multi-country firm data’, </w:t>
      </w:r>
      <w:r w:rsidRPr="008E3FE6">
        <w:rPr>
          <w:rFonts w:ascii="Times New Roman" w:hAnsi="Times New Roman" w:cs="Times New Roman"/>
          <w:i/>
          <w:iCs/>
          <w:noProof/>
          <w:sz w:val="24"/>
          <w:szCs w:val="24"/>
          <w:lang w:val="en-US"/>
        </w:rPr>
        <w:t>British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53</w:t>
      </w:r>
      <w:r w:rsidRPr="008E3FE6">
        <w:rPr>
          <w:rFonts w:ascii="Times New Roman" w:hAnsi="Times New Roman" w:cs="Times New Roman"/>
          <w:noProof/>
          <w:sz w:val="24"/>
          <w:szCs w:val="24"/>
          <w:lang w:val="en-US"/>
        </w:rPr>
        <w:t xml:space="preserve"> (1), 100909.</w:t>
      </w:r>
    </w:p>
    <w:p w14:paraId="6644E42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Clarkson, P. M., Y. Li, M. Pinnuck and G. D. Richardson (2015), ‘The Valuation Relevance of Greenhouse Gas Emissions under the European Union Carbon Emissions Trading Scheme’, </w:t>
      </w:r>
      <w:r w:rsidRPr="008E3FE6">
        <w:rPr>
          <w:rFonts w:ascii="Times New Roman" w:hAnsi="Times New Roman" w:cs="Times New Roman"/>
          <w:i/>
          <w:iCs/>
          <w:noProof/>
          <w:sz w:val="24"/>
          <w:szCs w:val="24"/>
          <w:lang w:val="en-US"/>
        </w:rPr>
        <w:t>European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24</w:t>
      </w:r>
      <w:r w:rsidRPr="008E3FE6">
        <w:rPr>
          <w:rFonts w:ascii="Times New Roman" w:hAnsi="Times New Roman" w:cs="Times New Roman"/>
          <w:noProof/>
          <w:sz w:val="24"/>
          <w:szCs w:val="24"/>
          <w:lang w:val="en-US"/>
        </w:rPr>
        <w:t xml:space="preserve"> (3), 551–80.</w:t>
      </w:r>
    </w:p>
    <w:p w14:paraId="7BF0CA0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Climate Change Committee (2021), </w:t>
      </w:r>
      <w:r w:rsidRPr="008E3FE6">
        <w:rPr>
          <w:rFonts w:ascii="Times New Roman" w:hAnsi="Times New Roman" w:cs="Times New Roman"/>
          <w:i/>
          <w:iCs/>
          <w:noProof/>
          <w:sz w:val="24"/>
          <w:szCs w:val="24"/>
          <w:lang w:val="en-US"/>
        </w:rPr>
        <w:t>COP26 : Key Outcomes and next Steps for the UK</w:t>
      </w:r>
      <w:r w:rsidRPr="008E3FE6">
        <w:rPr>
          <w:rFonts w:ascii="Times New Roman" w:hAnsi="Times New Roman" w:cs="Times New Roman"/>
          <w:noProof/>
          <w:sz w:val="24"/>
          <w:szCs w:val="24"/>
          <w:lang w:val="en-US"/>
        </w:rPr>
        <w:t xml:space="preserve">, London, </w:t>
      </w:r>
      <w:r w:rsidRPr="008E3FE6">
        <w:rPr>
          <w:rFonts w:ascii="Times New Roman" w:hAnsi="Times New Roman" w:cs="Times New Roman"/>
          <w:noProof/>
          <w:sz w:val="24"/>
          <w:szCs w:val="24"/>
          <w:lang w:val="en-US"/>
        </w:rPr>
        <w:lastRenderedPageBreak/>
        <w:t>accessed at https://www.theccc.org.uk/publication/cop26-key-outcomes-and-next-steps-for-the-uk/.</w:t>
      </w:r>
    </w:p>
    <w:p w14:paraId="5F82B0E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Crossley, R. M., M. H. Elmagrhi and C. G. Ntim (2021), ‘Sustainability and legitimacy theory: The case of sustainable social and environmental practices of small and medium‐sized enterprises’,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1–23.</w:t>
      </w:r>
    </w:p>
    <w:p w14:paraId="33C86ED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Cumming, D., C. Girardone and M. Śliwa (2021), ‘Corporate Governance in Extreme Institutional Environments’,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32</w:t>
      </w:r>
      <w:r w:rsidRPr="008E3FE6">
        <w:rPr>
          <w:rFonts w:ascii="Times New Roman" w:hAnsi="Times New Roman" w:cs="Times New Roman"/>
          <w:noProof/>
          <w:sz w:val="24"/>
          <w:szCs w:val="24"/>
          <w:lang w:val="en-US"/>
        </w:rPr>
        <w:t xml:space="preserve"> (4), 919–46.</w:t>
      </w:r>
    </w:p>
    <w:p w14:paraId="2B513CC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Dahlmann, F., L. Branicki and S. Brammer (2019), ‘Managing Carbon Aspirations: The Influence of Corporate Climate Change Targets on Environmental Performance’,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158</w:t>
      </w:r>
      <w:r w:rsidRPr="008E3FE6">
        <w:rPr>
          <w:rFonts w:ascii="Times New Roman" w:hAnsi="Times New Roman" w:cs="Times New Roman"/>
          <w:noProof/>
          <w:sz w:val="24"/>
          <w:szCs w:val="24"/>
          <w:lang w:val="en-US"/>
        </w:rPr>
        <w:t xml:space="preserve"> (1), 1–24.</w:t>
      </w:r>
    </w:p>
    <w:p w14:paraId="6695256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Dauvergne, P. and J. Lister (2013), </w:t>
      </w:r>
      <w:r w:rsidRPr="008E3FE6">
        <w:rPr>
          <w:rFonts w:ascii="Times New Roman" w:hAnsi="Times New Roman" w:cs="Times New Roman"/>
          <w:i/>
          <w:iCs/>
          <w:noProof/>
          <w:sz w:val="24"/>
          <w:szCs w:val="24"/>
          <w:lang w:val="en-US"/>
        </w:rPr>
        <w:t>Eco-Business: A Big-Brand Takeover of Sustainability</w:t>
      </w:r>
      <w:r w:rsidRPr="008E3FE6">
        <w:rPr>
          <w:rFonts w:ascii="Times New Roman" w:hAnsi="Times New Roman" w:cs="Times New Roman"/>
          <w:noProof/>
          <w:sz w:val="24"/>
          <w:szCs w:val="24"/>
          <w:lang w:val="en-US"/>
        </w:rPr>
        <w:t>, Cambridge, MA: MIT Press.</w:t>
      </w:r>
    </w:p>
    <w:p w14:paraId="02C910C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Deegan, C. (2002), ‘The legitimising effect of social and environmental disclosures – a theoretical foundation’, </w:t>
      </w:r>
      <w:r w:rsidRPr="008E3FE6">
        <w:rPr>
          <w:rFonts w:ascii="Times New Roman" w:hAnsi="Times New Roman" w:cs="Times New Roman"/>
          <w:i/>
          <w:iCs/>
          <w:noProof/>
          <w:sz w:val="24"/>
          <w:szCs w:val="24"/>
          <w:lang w:val="en-US"/>
        </w:rPr>
        <w:t>Accounting, Auditing &amp; Accountability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15</w:t>
      </w:r>
      <w:r w:rsidRPr="008E3FE6">
        <w:rPr>
          <w:rFonts w:ascii="Times New Roman" w:hAnsi="Times New Roman" w:cs="Times New Roman"/>
          <w:noProof/>
          <w:sz w:val="24"/>
          <w:szCs w:val="24"/>
          <w:lang w:val="en-US"/>
        </w:rPr>
        <w:t xml:space="preserve"> (3), 282–311.</w:t>
      </w:r>
    </w:p>
    <w:p w14:paraId="7696524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Delmas, M. A., N. Nairn-Birch and J. Lim (2015), ‘Dynamics of Environmental and Financial Performance: The Case of Greenhouse Gas Emissions’, </w:t>
      </w:r>
      <w:r w:rsidRPr="008E3FE6">
        <w:rPr>
          <w:rFonts w:ascii="Times New Roman" w:hAnsi="Times New Roman" w:cs="Times New Roman"/>
          <w:i/>
          <w:iCs/>
          <w:noProof/>
          <w:sz w:val="24"/>
          <w:szCs w:val="24"/>
          <w:lang w:val="en-US"/>
        </w:rPr>
        <w:t>Organization and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28</w:t>
      </w:r>
      <w:r w:rsidRPr="008E3FE6">
        <w:rPr>
          <w:rFonts w:ascii="Times New Roman" w:hAnsi="Times New Roman" w:cs="Times New Roman"/>
          <w:noProof/>
          <w:sz w:val="24"/>
          <w:szCs w:val="24"/>
          <w:lang w:val="en-US"/>
        </w:rPr>
        <w:t xml:space="preserve"> (4), 374–93.</w:t>
      </w:r>
    </w:p>
    <w:p w14:paraId="7FDF446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Dixon-Fowler, H. R., A. E. Ellstrand and J. L. Johnson (2017), ‘The Role of Board Environmental Committees in Corporate Environmental Performance’,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140</w:t>
      </w:r>
      <w:r w:rsidRPr="008E3FE6">
        <w:rPr>
          <w:rFonts w:ascii="Times New Roman" w:hAnsi="Times New Roman" w:cs="Times New Roman"/>
          <w:noProof/>
          <w:sz w:val="24"/>
          <w:szCs w:val="24"/>
          <w:lang w:val="en-US"/>
        </w:rPr>
        <w:t xml:space="preserve"> (3), 423–38.</w:t>
      </w:r>
    </w:p>
    <w:p w14:paraId="3350602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Downar, B., J. Ernstberger, S. Reichelstein, S. Schwenen and A. Zaklan (2021), ‘The impact of carbon disclosure mandates on emissions and financial operating performance’, </w:t>
      </w:r>
      <w:r w:rsidRPr="008E3FE6">
        <w:rPr>
          <w:rFonts w:ascii="Times New Roman" w:hAnsi="Times New Roman" w:cs="Times New Roman"/>
          <w:i/>
          <w:iCs/>
          <w:noProof/>
          <w:sz w:val="24"/>
          <w:szCs w:val="24"/>
          <w:lang w:val="en-US"/>
        </w:rPr>
        <w:t>Review of Accounting Studies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26</w:t>
      </w:r>
      <w:r w:rsidRPr="008E3FE6">
        <w:rPr>
          <w:rFonts w:ascii="Times New Roman" w:hAnsi="Times New Roman" w:cs="Times New Roman"/>
          <w:noProof/>
          <w:sz w:val="24"/>
          <w:szCs w:val="24"/>
          <w:lang w:val="en-US"/>
        </w:rPr>
        <w:t xml:space="preserve"> (3), 1137–1175.</w:t>
      </w:r>
    </w:p>
    <w:p w14:paraId="2D85F40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Du, S., C. B. Bhattacharya and S. Sen (2007), ‘Reaping relational rewards from corporate social responsibility: The role of competitive positioning’, </w:t>
      </w:r>
      <w:r w:rsidRPr="008E3FE6">
        <w:rPr>
          <w:rFonts w:ascii="Times New Roman" w:hAnsi="Times New Roman" w:cs="Times New Roman"/>
          <w:i/>
          <w:iCs/>
          <w:noProof/>
          <w:sz w:val="24"/>
          <w:szCs w:val="24"/>
          <w:lang w:val="en-US"/>
        </w:rPr>
        <w:t>International Journal of Research in Marketing</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24</w:t>
      </w:r>
      <w:r w:rsidRPr="008E3FE6">
        <w:rPr>
          <w:rFonts w:ascii="Times New Roman" w:hAnsi="Times New Roman" w:cs="Times New Roman"/>
          <w:noProof/>
          <w:sz w:val="24"/>
          <w:szCs w:val="24"/>
          <w:lang w:val="en-US"/>
        </w:rPr>
        <w:t xml:space="preserve"> (3), 224–41.</w:t>
      </w:r>
    </w:p>
    <w:p w14:paraId="06EEFF3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Dumay, J., J. Guthrie and F. Farneti (2010), ‘GRI sustainability reporting guidelines for public and third sector organizations: A critical review’, </w:t>
      </w:r>
      <w:r w:rsidRPr="008E3FE6">
        <w:rPr>
          <w:rFonts w:ascii="Times New Roman" w:hAnsi="Times New Roman" w:cs="Times New Roman"/>
          <w:i/>
          <w:iCs/>
          <w:noProof/>
          <w:sz w:val="24"/>
          <w:szCs w:val="24"/>
          <w:lang w:val="en-US"/>
        </w:rPr>
        <w:t>Public Management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12</w:t>
      </w:r>
      <w:r w:rsidRPr="008E3FE6">
        <w:rPr>
          <w:rFonts w:ascii="Times New Roman" w:hAnsi="Times New Roman" w:cs="Times New Roman"/>
          <w:noProof/>
          <w:sz w:val="24"/>
          <w:szCs w:val="24"/>
          <w:lang w:val="en-US"/>
        </w:rPr>
        <w:t xml:space="preserve"> (4), 531–48.</w:t>
      </w:r>
    </w:p>
    <w:p w14:paraId="19C2B36F"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Eleftheriadis, I. M. and E. G. Anagnostopoulou (2015), ‘Relationship between Corporate Climate Change Disclosures and Firm Factors’,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24</w:t>
      </w:r>
      <w:r w:rsidRPr="008E3FE6">
        <w:rPr>
          <w:rFonts w:ascii="Times New Roman" w:hAnsi="Times New Roman" w:cs="Times New Roman"/>
          <w:noProof/>
          <w:sz w:val="24"/>
          <w:szCs w:val="24"/>
          <w:lang w:val="en-US"/>
        </w:rPr>
        <w:t xml:space="preserve"> (8), 780–9.</w:t>
      </w:r>
    </w:p>
    <w:p w14:paraId="5D6A6EDB"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European Commission (2015), ‘EU ETS Handbook’.</w:t>
      </w:r>
    </w:p>
    <w:p w14:paraId="572BB6F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Faria, J. R., G. Tindall and S. Terjesen (2022), ‘The Green Tobin’s q: theory and evidence’, </w:t>
      </w:r>
      <w:r w:rsidRPr="008E3FE6">
        <w:rPr>
          <w:rFonts w:ascii="Times New Roman" w:hAnsi="Times New Roman" w:cs="Times New Roman"/>
          <w:i/>
          <w:iCs/>
          <w:noProof/>
          <w:sz w:val="24"/>
          <w:szCs w:val="24"/>
          <w:lang w:val="en-US"/>
        </w:rPr>
        <w:t>Energy Economics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110</w:t>
      </w:r>
      <w:r w:rsidRPr="008E3FE6">
        <w:rPr>
          <w:rFonts w:ascii="Times New Roman" w:hAnsi="Times New Roman" w:cs="Times New Roman"/>
          <w:noProof/>
          <w:sz w:val="24"/>
          <w:szCs w:val="24"/>
          <w:lang w:val="en-US"/>
        </w:rPr>
        <w:t>, 106033.</w:t>
      </w:r>
    </w:p>
    <w:p w14:paraId="4317727B"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Freeman, R. E. (1984), ‘Strategic Management: A Stakeholder Approach’.</w:t>
      </w:r>
    </w:p>
    <w:p w14:paraId="758FB47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Gaganis, C., P. Papadimitri, F. Pasiouras and A. Ventouri (2021), ‘Informal Institutions and Corporate Reputational Exposure: The Role of Public Environmental Perceptions’,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accessed at https://doi.org/10.1111/1467-8551.12461.</w:t>
      </w:r>
    </w:p>
    <w:p w14:paraId="250B4CF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García-Sánchez, I. M., N. Hussain and J. Martínez-Ferrero (2019), ‘An empirical analysis of the complementarities and substitutions between effects of ceo ability and corporate governance on socially responsible performance’, </w:t>
      </w:r>
      <w:r w:rsidRPr="008E3FE6">
        <w:rPr>
          <w:rFonts w:ascii="Times New Roman" w:hAnsi="Times New Roman" w:cs="Times New Roman"/>
          <w:i/>
          <w:iCs/>
          <w:noProof/>
          <w:sz w:val="24"/>
          <w:szCs w:val="24"/>
          <w:lang w:val="en-US"/>
        </w:rPr>
        <w:t>Journal of Cleaner Production</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215</w:t>
      </w:r>
      <w:r w:rsidRPr="008E3FE6">
        <w:rPr>
          <w:rFonts w:ascii="Times New Roman" w:hAnsi="Times New Roman" w:cs="Times New Roman"/>
          <w:noProof/>
          <w:sz w:val="24"/>
          <w:szCs w:val="24"/>
          <w:lang w:val="en-US"/>
        </w:rPr>
        <w:t>, 1288–300.</w:t>
      </w:r>
    </w:p>
    <w:p w14:paraId="3D95673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Giannarakis, G., E. Zafeiriou and N. Sariannidis (2017), ‘The Impact of Carbon Performance on Climate Change Disclosure’,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26</w:t>
      </w:r>
      <w:r w:rsidRPr="008E3FE6">
        <w:rPr>
          <w:rFonts w:ascii="Times New Roman" w:hAnsi="Times New Roman" w:cs="Times New Roman"/>
          <w:noProof/>
          <w:sz w:val="24"/>
          <w:szCs w:val="24"/>
          <w:lang w:val="en-US"/>
        </w:rPr>
        <w:t xml:space="preserve"> (8), 1078–94.</w:t>
      </w:r>
    </w:p>
    <w:p w14:paraId="27A68D7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Gills, B. and J. Morgan (2020), ‘Global Climate Emergency: after COP24, climate science, urgency, and the threat to humanity’, </w:t>
      </w:r>
      <w:r w:rsidRPr="008E3FE6">
        <w:rPr>
          <w:rFonts w:ascii="Times New Roman" w:hAnsi="Times New Roman" w:cs="Times New Roman"/>
          <w:i/>
          <w:iCs/>
          <w:noProof/>
          <w:sz w:val="24"/>
          <w:szCs w:val="24"/>
          <w:lang w:val="en-US"/>
        </w:rPr>
        <w:t>Globalizations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17</w:t>
      </w:r>
      <w:r w:rsidRPr="008E3FE6">
        <w:rPr>
          <w:rFonts w:ascii="Times New Roman" w:hAnsi="Times New Roman" w:cs="Times New Roman"/>
          <w:noProof/>
          <w:sz w:val="24"/>
          <w:szCs w:val="24"/>
          <w:lang w:val="en-US"/>
        </w:rPr>
        <w:t xml:space="preserve"> (6), 885–902.</w:t>
      </w:r>
    </w:p>
    <w:p w14:paraId="3B8ED7B1"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Goworek, H., C. Land, G. Burt, M. Zundel, M. Saren, M. Parker and B. Lambe (2018), ‘Scaling Sustainability: Regulation and Resilience in Managerial Responses to Climate Change’,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29</w:t>
      </w:r>
      <w:r w:rsidRPr="008E3FE6">
        <w:rPr>
          <w:rFonts w:ascii="Times New Roman" w:hAnsi="Times New Roman" w:cs="Times New Roman"/>
          <w:noProof/>
          <w:sz w:val="24"/>
          <w:szCs w:val="24"/>
          <w:lang w:val="en-US"/>
        </w:rPr>
        <w:t xml:space="preserve"> (2), 209–19.</w:t>
      </w:r>
    </w:p>
    <w:p w14:paraId="71F56EA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Gujarati, D. N. (2004), </w:t>
      </w:r>
      <w:r w:rsidRPr="008E3FE6">
        <w:rPr>
          <w:rFonts w:ascii="Times New Roman" w:hAnsi="Times New Roman" w:cs="Times New Roman"/>
          <w:i/>
          <w:iCs/>
          <w:noProof/>
          <w:sz w:val="24"/>
          <w:szCs w:val="24"/>
          <w:lang w:val="en-US"/>
        </w:rPr>
        <w:t>Basic Econometrics</w:t>
      </w:r>
      <w:r w:rsidRPr="008E3FE6">
        <w:rPr>
          <w:rFonts w:ascii="Times New Roman" w:hAnsi="Times New Roman" w:cs="Times New Roman"/>
          <w:noProof/>
          <w:sz w:val="24"/>
          <w:szCs w:val="24"/>
          <w:lang w:val="en-US"/>
        </w:rPr>
        <w:t>, 4th Editio, New York: The McGraw-Hill Companies.</w:t>
      </w:r>
    </w:p>
    <w:p w14:paraId="6FA1DB5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Gupta, K., D. Crilly and T. Greckhamer (2020), ‘Stakeholder engagement strategies, national </w:t>
      </w:r>
      <w:r w:rsidRPr="008E3FE6">
        <w:rPr>
          <w:rFonts w:ascii="Times New Roman" w:hAnsi="Times New Roman" w:cs="Times New Roman"/>
          <w:noProof/>
          <w:sz w:val="24"/>
          <w:szCs w:val="24"/>
          <w:lang w:val="en-US"/>
        </w:rPr>
        <w:lastRenderedPageBreak/>
        <w:t xml:space="preserve">institutions, and firm performance: A configurational perspective’, </w:t>
      </w:r>
      <w:r w:rsidRPr="008E3FE6">
        <w:rPr>
          <w:rFonts w:ascii="Times New Roman" w:hAnsi="Times New Roman" w:cs="Times New Roman"/>
          <w:i/>
          <w:iCs/>
          <w:noProof/>
          <w:sz w:val="24"/>
          <w:szCs w:val="24"/>
          <w:lang w:val="en-US"/>
        </w:rPr>
        <w:t>Strategic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41</w:t>
      </w:r>
      <w:r w:rsidRPr="008E3FE6">
        <w:rPr>
          <w:rFonts w:ascii="Times New Roman" w:hAnsi="Times New Roman" w:cs="Times New Roman"/>
          <w:noProof/>
          <w:sz w:val="24"/>
          <w:szCs w:val="24"/>
          <w:lang w:val="en-US"/>
        </w:rPr>
        <w:t xml:space="preserve"> (10), 1869–900.</w:t>
      </w:r>
    </w:p>
    <w:p w14:paraId="2F68BC7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Haque, F. (2017), ‘The effects of board characteristics and sustainable compensation policy on carbon performance of UK firms’, </w:t>
      </w:r>
      <w:r w:rsidRPr="008E3FE6">
        <w:rPr>
          <w:rFonts w:ascii="Times New Roman" w:hAnsi="Times New Roman" w:cs="Times New Roman"/>
          <w:i/>
          <w:iCs/>
          <w:noProof/>
          <w:sz w:val="24"/>
          <w:szCs w:val="24"/>
          <w:lang w:val="en-US"/>
        </w:rPr>
        <w:t>British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49</w:t>
      </w:r>
      <w:r w:rsidRPr="008E3FE6">
        <w:rPr>
          <w:rFonts w:ascii="Times New Roman" w:hAnsi="Times New Roman" w:cs="Times New Roman"/>
          <w:noProof/>
          <w:sz w:val="24"/>
          <w:szCs w:val="24"/>
          <w:lang w:val="en-US"/>
        </w:rPr>
        <w:t xml:space="preserve"> (3), 347–64.</w:t>
      </w:r>
    </w:p>
    <w:p w14:paraId="6013516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Haque, F. and C. G. Ntim (2018), ‘Environmental Policy, Sustainable Development, Governance Mechanisms and Environmental Performance’,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27</w:t>
      </w:r>
      <w:r w:rsidRPr="008E3FE6">
        <w:rPr>
          <w:rFonts w:ascii="Times New Roman" w:hAnsi="Times New Roman" w:cs="Times New Roman"/>
          <w:noProof/>
          <w:sz w:val="24"/>
          <w:szCs w:val="24"/>
          <w:lang w:val="en-US"/>
        </w:rPr>
        <w:t xml:space="preserve"> (3), 415–35.</w:t>
      </w:r>
    </w:p>
    <w:p w14:paraId="60261E3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Haque, F. and C. G. Ntim (2020), ‘Executive Compensation, Sustainable Compensation Policy, Carbon Performance and Market Value’,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31</w:t>
      </w:r>
      <w:r w:rsidRPr="008E3FE6">
        <w:rPr>
          <w:rFonts w:ascii="Times New Roman" w:hAnsi="Times New Roman" w:cs="Times New Roman"/>
          <w:noProof/>
          <w:sz w:val="24"/>
          <w:szCs w:val="24"/>
          <w:lang w:val="en-US"/>
        </w:rPr>
        <w:t xml:space="preserve"> (3), 525–46.</w:t>
      </w:r>
    </w:p>
    <w:p w14:paraId="31627A0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Harjoto, M., I. Laksmana and R. Lee (2015), ‘Board Diversity and Corporate Social Responsibility’,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132</w:t>
      </w:r>
      <w:r w:rsidRPr="008E3FE6">
        <w:rPr>
          <w:rFonts w:ascii="Times New Roman" w:hAnsi="Times New Roman" w:cs="Times New Roman"/>
          <w:noProof/>
          <w:sz w:val="24"/>
          <w:szCs w:val="24"/>
          <w:lang w:val="en-US"/>
        </w:rPr>
        <w:t xml:space="preserve"> (4), 641–60.</w:t>
      </w:r>
    </w:p>
    <w:p w14:paraId="29F11C8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Hart, S. L. (1995), ‘A Natural-Resource-Based View of the Firm’, </w:t>
      </w:r>
      <w:r w:rsidRPr="008E3FE6">
        <w:rPr>
          <w:rFonts w:ascii="Times New Roman" w:hAnsi="Times New Roman" w:cs="Times New Roman"/>
          <w:i/>
          <w:iCs/>
          <w:noProof/>
          <w:sz w:val="24"/>
          <w:szCs w:val="24"/>
          <w:lang w:val="en-US"/>
        </w:rPr>
        <w:t>Academy of Management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20</w:t>
      </w:r>
      <w:r w:rsidRPr="008E3FE6">
        <w:rPr>
          <w:rFonts w:ascii="Times New Roman" w:hAnsi="Times New Roman" w:cs="Times New Roman"/>
          <w:noProof/>
          <w:sz w:val="24"/>
          <w:szCs w:val="24"/>
          <w:lang w:val="en-US"/>
        </w:rPr>
        <w:t xml:space="preserve"> (4), 986–1014.</w:t>
      </w:r>
    </w:p>
    <w:p w14:paraId="21E0AF7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Hart, S. L. and G. Dowell (2011), ‘A natural-resource-based view of the firm: Fifteen years after’, </w:t>
      </w:r>
      <w:r w:rsidRPr="008E3FE6">
        <w:rPr>
          <w:rFonts w:ascii="Times New Roman" w:hAnsi="Times New Roman" w:cs="Times New Roman"/>
          <w:i/>
          <w:iCs/>
          <w:noProof/>
          <w:sz w:val="24"/>
          <w:szCs w:val="24"/>
          <w:lang w:val="en-US"/>
        </w:rPr>
        <w:t>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37</w:t>
      </w:r>
      <w:r w:rsidRPr="008E3FE6">
        <w:rPr>
          <w:rFonts w:ascii="Times New Roman" w:hAnsi="Times New Roman" w:cs="Times New Roman"/>
          <w:noProof/>
          <w:sz w:val="24"/>
          <w:szCs w:val="24"/>
          <w:lang w:val="en-US"/>
        </w:rPr>
        <w:t xml:space="preserve"> (5), 1464–79.</w:t>
      </w:r>
    </w:p>
    <w:p w14:paraId="43B8B0E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He, R., L. Luo, A. Shamsuddin and Q. Tang (2021), ‘The Value Relevance of Corporate Investment in Carbon Abatement: The Influence of National Climate Policy’, </w:t>
      </w:r>
      <w:r w:rsidRPr="008E3FE6">
        <w:rPr>
          <w:rFonts w:ascii="Times New Roman" w:hAnsi="Times New Roman" w:cs="Times New Roman"/>
          <w:i/>
          <w:iCs/>
          <w:noProof/>
          <w:sz w:val="24"/>
          <w:szCs w:val="24"/>
          <w:lang w:val="en-US"/>
        </w:rPr>
        <w:t>European Accounting Review</w:t>
      </w:r>
      <w:r w:rsidRPr="008E3FE6">
        <w:rPr>
          <w:rFonts w:ascii="Times New Roman" w:hAnsi="Times New Roman" w:cs="Times New Roman"/>
          <w:noProof/>
          <w:sz w:val="24"/>
          <w:szCs w:val="24"/>
          <w:lang w:val="en-US"/>
        </w:rPr>
        <w:t>, accessed at https://doi.org/10.1080/09638180.2021.1916979.</w:t>
      </w:r>
    </w:p>
    <w:p w14:paraId="1F66DEF1"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Helfaya, A. and T. Moussa (2017), ‘Do Board’s Corporate Social Responsibility Strategy and Orientation Influence Environmental Sustainability Disclosure? UK Evidence’,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26</w:t>
      </w:r>
      <w:r w:rsidRPr="008E3FE6">
        <w:rPr>
          <w:rFonts w:ascii="Times New Roman" w:hAnsi="Times New Roman" w:cs="Times New Roman"/>
          <w:noProof/>
          <w:sz w:val="24"/>
          <w:szCs w:val="24"/>
          <w:lang w:val="en-US"/>
        </w:rPr>
        <w:t xml:space="preserve"> (8), 1061–77.</w:t>
      </w:r>
    </w:p>
    <w:p w14:paraId="48837B4C"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Jacobs, B. W., V. R. Singhal and R. Subramanian (2010), ‘An empirical investigation of environmental performance and the market value of the firm’, </w:t>
      </w:r>
      <w:r w:rsidRPr="008E3FE6">
        <w:rPr>
          <w:rFonts w:ascii="Times New Roman" w:hAnsi="Times New Roman" w:cs="Times New Roman"/>
          <w:i/>
          <w:iCs/>
          <w:noProof/>
          <w:sz w:val="24"/>
          <w:szCs w:val="24"/>
          <w:lang w:val="en-US"/>
        </w:rPr>
        <w:t>Journal of Operations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28</w:t>
      </w:r>
      <w:r w:rsidRPr="008E3FE6">
        <w:rPr>
          <w:rFonts w:ascii="Times New Roman" w:hAnsi="Times New Roman" w:cs="Times New Roman"/>
          <w:noProof/>
          <w:sz w:val="24"/>
          <w:szCs w:val="24"/>
          <w:lang w:val="en-US"/>
        </w:rPr>
        <w:t xml:space="preserve"> (5), 430–41.</w:t>
      </w:r>
    </w:p>
    <w:p w14:paraId="771DF1D7"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Jiang, Y., L. Luo, J. F. Xu and X. R. Shao (2021), ‘The value relevance of corporate voluntary carbon disclosure: Evidence from the United States and BRIC countries’, </w:t>
      </w:r>
      <w:r w:rsidRPr="008E3FE6">
        <w:rPr>
          <w:rFonts w:ascii="Times New Roman" w:hAnsi="Times New Roman" w:cs="Times New Roman"/>
          <w:i/>
          <w:iCs/>
          <w:noProof/>
          <w:sz w:val="24"/>
          <w:szCs w:val="24"/>
          <w:lang w:val="en-US"/>
        </w:rPr>
        <w:t>Journal of Contemporary Accounting and Economics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17</w:t>
      </w:r>
      <w:r w:rsidRPr="008E3FE6">
        <w:rPr>
          <w:rFonts w:ascii="Times New Roman" w:hAnsi="Times New Roman" w:cs="Times New Roman"/>
          <w:noProof/>
          <w:sz w:val="24"/>
          <w:szCs w:val="24"/>
          <w:lang w:val="en-US"/>
        </w:rPr>
        <w:t xml:space="preserve"> (3), accessed at https://doi.org/10.1016/j.jcae.2021.100279.</w:t>
      </w:r>
    </w:p>
    <w:p w14:paraId="52D3C02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Kassinis, G. and N. Vafeas (2002), ‘Corporate boards and outside stakeholders as determinants of environmental litigation’, </w:t>
      </w:r>
      <w:r w:rsidRPr="008E3FE6">
        <w:rPr>
          <w:rFonts w:ascii="Times New Roman" w:hAnsi="Times New Roman" w:cs="Times New Roman"/>
          <w:i/>
          <w:iCs/>
          <w:noProof/>
          <w:sz w:val="24"/>
          <w:szCs w:val="24"/>
          <w:lang w:val="en-US"/>
        </w:rPr>
        <w:t>Strategic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23</w:t>
      </w:r>
      <w:r w:rsidRPr="008E3FE6">
        <w:rPr>
          <w:rFonts w:ascii="Times New Roman" w:hAnsi="Times New Roman" w:cs="Times New Roman"/>
          <w:noProof/>
          <w:sz w:val="24"/>
          <w:szCs w:val="24"/>
          <w:lang w:val="en-US"/>
        </w:rPr>
        <w:t xml:space="preserve"> (5), 399–415.</w:t>
      </w:r>
    </w:p>
    <w:p w14:paraId="207EE272"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Kaufmann, D., A. Kraay and M. Mastruzzi (2011), ‘The worldwide governance indicators: Methodology and analytical issues’, </w:t>
      </w:r>
      <w:r w:rsidRPr="008E3FE6">
        <w:rPr>
          <w:rFonts w:ascii="Times New Roman" w:hAnsi="Times New Roman" w:cs="Times New Roman"/>
          <w:i/>
          <w:iCs/>
          <w:noProof/>
          <w:sz w:val="24"/>
          <w:szCs w:val="24"/>
          <w:lang w:val="en-US"/>
        </w:rPr>
        <w:t>Hague Journal on the Rule of Law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w:t>
      </w:r>
      <w:r w:rsidRPr="008E3FE6">
        <w:rPr>
          <w:rFonts w:ascii="Times New Roman" w:hAnsi="Times New Roman" w:cs="Times New Roman"/>
          <w:noProof/>
          <w:sz w:val="24"/>
          <w:szCs w:val="24"/>
          <w:lang w:val="en-US"/>
        </w:rPr>
        <w:t xml:space="preserve"> (2), 220–46.</w:t>
      </w:r>
    </w:p>
    <w:p w14:paraId="3EC2003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Kılıç, M., A. Uyar, C. Kuzey and A. S. Karaman (2021), ‘Drivers and consequences of sustainability committee existence? Evidence from the hospitality and tourism industry’, </w:t>
      </w:r>
      <w:r w:rsidRPr="008E3FE6">
        <w:rPr>
          <w:rFonts w:ascii="Times New Roman" w:hAnsi="Times New Roman" w:cs="Times New Roman"/>
          <w:i/>
          <w:iCs/>
          <w:noProof/>
          <w:sz w:val="24"/>
          <w:szCs w:val="24"/>
          <w:lang w:val="en-US"/>
        </w:rPr>
        <w:t>International Journal of Hospitality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92</w:t>
      </w:r>
      <w:r w:rsidRPr="008E3FE6">
        <w:rPr>
          <w:rFonts w:ascii="Times New Roman" w:hAnsi="Times New Roman" w:cs="Times New Roman"/>
          <w:noProof/>
          <w:sz w:val="24"/>
          <w:szCs w:val="24"/>
          <w:lang w:val="en-US"/>
        </w:rPr>
        <w:t>, accessed at https://doi.org/10.1016/j.ijhm.2020.102753.</w:t>
      </w:r>
    </w:p>
    <w:p w14:paraId="338E03EF"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Kolk, A., J. Lindeque and D. van den Buuse (2014), ‘Regionalization Strategies of European Union Electric Utilities’,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25</w:t>
      </w:r>
      <w:r w:rsidRPr="008E3FE6">
        <w:rPr>
          <w:rFonts w:ascii="Times New Roman" w:hAnsi="Times New Roman" w:cs="Times New Roman"/>
          <w:noProof/>
          <w:sz w:val="24"/>
          <w:szCs w:val="24"/>
          <w:lang w:val="en-US"/>
        </w:rPr>
        <w:t>, 77–99.</w:t>
      </w:r>
    </w:p>
    <w:p w14:paraId="6A39C12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Lee, S. Y. (2012), ‘Corporate carbon strategies in responding to climate change’,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21</w:t>
      </w:r>
      <w:r w:rsidRPr="008E3FE6">
        <w:rPr>
          <w:rFonts w:ascii="Times New Roman" w:hAnsi="Times New Roman" w:cs="Times New Roman"/>
          <w:noProof/>
          <w:sz w:val="24"/>
          <w:szCs w:val="24"/>
          <w:lang w:val="en-US"/>
        </w:rPr>
        <w:t xml:space="preserve"> (1), 33–48.</w:t>
      </w:r>
    </w:p>
    <w:p w14:paraId="44B3495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Lewandowski, S. (2017), ‘Corporate Carbon and Financial Performance: The Role of Emission Reductions’,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26</w:t>
      </w:r>
      <w:r w:rsidRPr="008E3FE6">
        <w:rPr>
          <w:rFonts w:ascii="Times New Roman" w:hAnsi="Times New Roman" w:cs="Times New Roman"/>
          <w:noProof/>
          <w:sz w:val="24"/>
          <w:szCs w:val="24"/>
          <w:lang w:val="en-US"/>
        </w:rPr>
        <w:t xml:space="preserve"> (8), 1196–211.</w:t>
      </w:r>
    </w:p>
    <w:p w14:paraId="2D11381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Liu, J., D. Zhang, J. Cai and J. Davenport (2021), ‘Legal Systems, National Governance and Renewable Energy Investment: Evidence from Around the World’,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32</w:t>
      </w:r>
      <w:r w:rsidRPr="008E3FE6">
        <w:rPr>
          <w:rFonts w:ascii="Times New Roman" w:hAnsi="Times New Roman" w:cs="Times New Roman"/>
          <w:noProof/>
          <w:sz w:val="24"/>
          <w:szCs w:val="24"/>
          <w:lang w:val="en-US"/>
        </w:rPr>
        <w:t xml:space="preserve"> (3), 579–610.</w:t>
      </w:r>
    </w:p>
    <w:p w14:paraId="08A2A281"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Luo, L. and Q. Tang (2021), ‘Corporate governance and carbon performance: role of carbon strategy and awareness of climate risk’, </w:t>
      </w:r>
      <w:r w:rsidRPr="008E3FE6">
        <w:rPr>
          <w:rFonts w:ascii="Times New Roman" w:hAnsi="Times New Roman" w:cs="Times New Roman"/>
          <w:i/>
          <w:iCs/>
          <w:noProof/>
          <w:sz w:val="24"/>
          <w:szCs w:val="24"/>
          <w:lang w:val="en-US"/>
        </w:rPr>
        <w:t>Accounting and Finance</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61</w:t>
      </w:r>
      <w:r w:rsidRPr="008E3FE6">
        <w:rPr>
          <w:rFonts w:ascii="Times New Roman" w:hAnsi="Times New Roman" w:cs="Times New Roman"/>
          <w:noProof/>
          <w:sz w:val="24"/>
          <w:szCs w:val="24"/>
          <w:lang w:val="en-US"/>
        </w:rPr>
        <w:t xml:space="preserve"> (2), 2891–934.</w:t>
      </w:r>
    </w:p>
    <w:p w14:paraId="6240ECE7"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Lyon, T., Y. Lu, X. Shi and Q. Yin (2013), ‘How do investors respond to Green Company Awards in China?’, </w:t>
      </w:r>
      <w:r w:rsidRPr="008E3FE6">
        <w:rPr>
          <w:rFonts w:ascii="Times New Roman" w:hAnsi="Times New Roman" w:cs="Times New Roman"/>
          <w:i/>
          <w:iCs/>
          <w:noProof/>
          <w:sz w:val="24"/>
          <w:szCs w:val="24"/>
          <w:lang w:val="en-US"/>
        </w:rPr>
        <w:t>Ecological Economics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94</w:t>
      </w:r>
      <w:r w:rsidRPr="008E3FE6">
        <w:rPr>
          <w:rFonts w:ascii="Times New Roman" w:hAnsi="Times New Roman" w:cs="Times New Roman"/>
          <w:noProof/>
          <w:sz w:val="24"/>
          <w:szCs w:val="24"/>
          <w:lang w:val="en-US"/>
        </w:rPr>
        <w:t>, 1–8.</w:t>
      </w:r>
    </w:p>
    <w:p w14:paraId="6FCD430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lastRenderedPageBreak/>
        <w:t xml:space="preserve">Maas, K. and S. Rosendaal (2016), ‘Sustainability Targets in Executive Remuneration: Targets, Time Frame, Country and Sector Specification’,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25</w:t>
      </w:r>
      <w:r w:rsidRPr="008E3FE6">
        <w:rPr>
          <w:rFonts w:ascii="Times New Roman" w:hAnsi="Times New Roman" w:cs="Times New Roman"/>
          <w:noProof/>
          <w:sz w:val="24"/>
          <w:szCs w:val="24"/>
          <w:lang w:val="en-US"/>
        </w:rPr>
        <w:t xml:space="preserve"> (6), 390–401.</w:t>
      </w:r>
    </w:p>
    <w:p w14:paraId="3091D0C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Mackenzie, C. (2007), ‘Boards, incentives and corporate social responsibility: The case for a change of emphasis’, </w:t>
      </w:r>
      <w:r w:rsidRPr="008E3FE6">
        <w:rPr>
          <w:rFonts w:ascii="Times New Roman" w:hAnsi="Times New Roman" w:cs="Times New Roman"/>
          <w:i/>
          <w:iCs/>
          <w:noProof/>
          <w:sz w:val="24"/>
          <w:szCs w:val="24"/>
          <w:lang w:val="en-US"/>
        </w:rPr>
        <w:t>Corporate Governance: An International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15</w:t>
      </w:r>
      <w:r w:rsidRPr="008E3FE6">
        <w:rPr>
          <w:rFonts w:ascii="Times New Roman" w:hAnsi="Times New Roman" w:cs="Times New Roman"/>
          <w:noProof/>
          <w:sz w:val="24"/>
          <w:szCs w:val="24"/>
          <w:lang w:val="en-US"/>
        </w:rPr>
        <w:t xml:space="preserve"> (5), 935–43.</w:t>
      </w:r>
    </w:p>
    <w:p w14:paraId="6502CC0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Marin, G. and F. Vona (2021), ‘The impact of energy prices on socioeconomic and environmental performance: Evidence from French manufacturing establishments, 1997–2015’, </w:t>
      </w:r>
      <w:r w:rsidRPr="008E3FE6">
        <w:rPr>
          <w:rFonts w:ascii="Times New Roman" w:hAnsi="Times New Roman" w:cs="Times New Roman"/>
          <w:i/>
          <w:iCs/>
          <w:noProof/>
          <w:sz w:val="24"/>
          <w:szCs w:val="24"/>
          <w:lang w:val="en-US"/>
        </w:rPr>
        <w:t>European Economic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135</w:t>
      </w:r>
      <w:r w:rsidRPr="008E3FE6">
        <w:rPr>
          <w:rFonts w:ascii="Times New Roman" w:hAnsi="Times New Roman" w:cs="Times New Roman"/>
          <w:noProof/>
          <w:sz w:val="24"/>
          <w:szCs w:val="24"/>
          <w:lang w:val="en-US"/>
        </w:rPr>
        <w:t>, 103739.</w:t>
      </w:r>
    </w:p>
    <w:p w14:paraId="375A777F"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Martínez-García, I., S. Terjesen and S. Gómez-Ansón (2022), ‘Board Gender Diversity Codes, Quotas and Threats of Supranational Legislation: Impact on Director Characteristics and Corporate Outcomes’,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33</w:t>
      </w:r>
      <w:r w:rsidRPr="008E3FE6">
        <w:rPr>
          <w:rFonts w:ascii="Times New Roman" w:hAnsi="Times New Roman" w:cs="Times New Roman"/>
          <w:noProof/>
          <w:sz w:val="24"/>
          <w:szCs w:val="24"/>
          <w:lang w:val="en-US"/>
        </w:rPr>
        <w:t xml:space="preserve"> (2), 753–83.</w:t>
      </w:r>
    </w:p>
    <w:p w14:paraId="24A7112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Matsumura, E. M., R. Prakash and S. C. Vera-Muñoz (2014), ‘Firm-value effects of carbon emissions and carbon disclosures’, </w:t>
      </w:r>
      <w:r w:rsidRPr="008E3FE6">
        <w:rPr>
          <w:rFonts w:ascii="Times New Roman" w:hAnsi="Times New Roman" w:cs="Times New Roman"/>
          <w:i/>
          <w:iCs/>
          <w:noProof/>
          <w:sz w:val="24"/>
          <w:szCs w:val="24"/>
          <w:lang w:val="en-US"/>
        </w:rPr>
        <w:t>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89</w:t>
      </w:r>
      <w:r w:rsidRPr="008E3FE6">
        <w:rPr>
          <w:rFonts w:ascii="Times New Roman" w:hAnsi="Times New Roman" w:cs="Times New Roman"/>
          <w:noProof/>
          <w:sz w:val="24"/>
          <w:szCs w:val="24"/>
          <w:lang w:val="en-US"/>
        </w:rPr>
        <w:t xml:space="preserve"> (2), 695–724.</w:t>
      </w:r>
    </w:p>
    <w:p w14:paraId="384948E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Meyer, J. W. and B. Rowan (1977), ‘Institutionalized Organizations: Formal Structure as Myth and Ceremony’, </w:t>
      </w:r>
      <w:r w:rsidRPr="008E3FE6">
        <w:rPr>
          <w:rFonts w:ascii="Times New Roman" w:hAnsi="Times New Roman" w:cs="Times New Roman"/>
          <w:i/>
          <w:iCs/>
          <w:noProof/>
          <w:sz w:val="24"/>
          <w:szCs w:val="24"/>
          <w:lang w:val="en-US"/>
        </w:rPr>
        <w:t>American Journal of Sociology</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83</w:t>
      </w:r>
      <w:r w:rsidRPr="008E3FE6">
        <w:rPr>
          <w:rFonts w:ascii="Times New Roman" w:hAnsi="Times New Roman" w:cs="Times New Roman"/>
          <w:noProof/>
          <w:sz w:val="24"/>
          <w:szCs w:val="24"/>
          <w:lang w:val="en-US"/>
        </w:rPr>
        <w:t xml:space="preserve"> (2), 340–63.</w:t>
      </w:r>
    </w:p>
    <w:p w14:paraId="6E7F847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Michelon, G. and A. Parbonetti (2012), ‘The effect of corporate governance on sustainability disclosure’, </w:t>
      </w:r>
      <w:r w:rsidRPr="008E3FE6">
        <w:rPr>
          <w:rFonts w:ascii="Times New Roman" w:hAnsi="Times New Roman" w:cs="Times New Roman"/>
          <w:i/>
          <w:iCs/>
          <w:noProof/>
          <w:sz w:val="24"/>
          <w:szCs w:val="24"/>
          <w:lang w:val="en-US"/>
        </w:rPr>
        <w:t>Journal of Management and Governance</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16</w:t>
      </w:r>
      <w:r w:rsidRPr="008E3FE6">
        <w:rPr>
          <w:rFonts w:ascii="Times New Roman" w:hAnsi="Times New Roman" w:cs="Times New Roman"/>
          <w:noProof/>
          <w:sz w:val="24"/>
          <w:szCs w:val="24"/>
          <w:lang w:val="en-US"/>
        </w:rPr>
        <w:t xml:space="preserve"> (3), 477–509.</w:t>
      </w:r>
    </w:p>
    <w:p w14:paraId="2D089C7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Misani, N. and S. Pogutz (2015), ‘Unraveling the effects of environmental outcomes and processes on financial performance: A non-linear approach’, </w:t>
      </w:r>
      <w:r w:rsidRPr="008E3FE6">
        <w:rPr>
          <w:rFonts w:ascii="Times New Roman" w:hAnsi="Times New Roman" w:cs="Times New Roman"/>
          <w:i/>
          <w:iCs/>
          <w:noProof/>
          <w:sz w:val="24"/>
          <w:szCs w:val="24"/>
          <w:lang w:val="en-US"/>
        </w:rPr>
        <w:t>Ecological Economics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109</w:t>
      </w:r>
      <w:r w:rsidRPr="008E3FE6">
        <w:rPr>
          <w:rFonts w:ascii="Times New Roman" w:hAnsi="Times New Roman" w:cs="Times New Roman"/>
          <w:noProof/>
          <w:sz w:val="24"/>
          <w:szCs w:val="24"/>
          <w:lang w:val="en-US"/>
        </w:rPr>
        <w:t>, 150–60.</w:t>
      </w:r>
    </w:p>
    <w:p w14:paraId="3E66A0A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Moussa, T., A. Allam, S. Elbanna and A. Bani-Mustafa (2020), ‘Can board environmental orientation improve U.S. firms’ carbon performance? The mediating role of carbon strategy’,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29</w:t>
      </w:r>
      <w:r w:rsidRPr="008E3FE6">
        <w:rPr>
          <w:rFonts w:ascii="Times New Roman" w:hAnsi="Times New Roman" w:cs="Times New Roman"/>
          <w:noProof/>
          <w:sz w:val="24"/>
          <w:szCs w:val="24"/>
          <w:lang w:val="en-US"/>
        </w:rPr>
        <w:t xml:space="preserve"> (1), 72–86.</w:t>
      </w:r>
    </w:p>
    <w:p w14:paraId="022DD4F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Ntim, C. G. and T. Soobaroyen (2013), ‘Corporate governance and performance in socially responsible corporations: New empirical insights from a neo-institutional framework’, </w:t>
      </w:r>
      <w:r w:rsidRPr="008E3FE6">
        <w:rPr>
          <w:rFonts w:ascii="Times New Roman" w:hAnsi="Times New Roman" w:cs="Times New Roman"/>
          <w:i/>
          <w:iCs/>
          <w:noProof/>
          <w:sz w:val="24"/>
          <w:szCs w:val="24"/>
          <w:lang w:val="en-US"/>
        </w:rPr>
        <w:t>Corporate Governance: An International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21</w:t>
      </w:r>
      <w:r w:rsidRPr="008E3FE6">
        <w:rPr>
          <w:rFonts w:ascii="Times New Roman" w:hAnsi="Times New Roman" w:cs="Times New Roman"/>
          <w:noProof/>
          <w:sz w:val="24"/>
          <w:szCs w:val="24"/>
          <w:lang w:val="en-US"/>
        </w:rPr>
        <w:t xml:space="preserve"> (5), 468–94.</w:t>
      </w:r>
    </w:p>
    <w:p w14:paraId="3350380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Oberndorfer, U., P. Schmidt, M. Wagner and A. Ziegler (2013), ‘Does the stock market value the inclusion in a sustainability stock index? An event study analysis for German firms’, </w:t>
      </w:r>
      <w:r w:rsidRPr="008E3FE6">
        <w:rPr>
          <w:rFonts w:ascii="Times New Roman" w:hAnsi="Times New Roman" w:cs="Times New Roman"/>
          <w:i/>
          <w:iCs/>
          <w:noProof/>
          <w:sz w:val="24"/>
          <w:szCs w:val="24"/>
          <w:lang w:val="en-US"/>
        </w:rPr>
        <w:t>Journal of Environmental Economics and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66</w:t>
      </w:r>
      <w:r w:rsidRPr="008E3FE6">
        <w:rPr>
          <w:rFonts w:ascii="Times New Roman" w:hAnsi="Times New Roman" w:cs="Times New Roman"/>
          <w:noProof/>
          <w:sz w:val="24"/>
          <w:szCs w:val="24"/>
          <w:lang w:val="en-US"/>
        </w:rPr>
        <w:t xml:space="preserve"> (3), 497–509.</w:t>
      </w:r>
    </w:p>
    <w:p w14:paraId="27829A7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Oliver, C. (1991), ‘Strategic responses to institutional processes’, </w:t>
      </w:r>
      <w:r w:rsidRPr="008E3FE6">
        <w:rPr>
          <w:rFonts w:ascii="Times New Roman" w:hAnsi="Times New Roman" w:cs="Times New Roman"/>
          <w:i/>
          <w:iCs/>
          <w:noProof/>
          <w:sz w:val="24"/>
          <w:szCs w:val="24"/>
          <w:lang w:val="en-US"/>
        </w:rPr>
        <w:t>The Academy of Management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16</w:t>
      </w:r>
      <w:r w:rsidRPr="008E3FE6">
        <w:rPr>
          <w:rFonts w:ascii="Times New Roman" w:hAnsi="Times New Roman" w:cs="Times New Roman"/>
          <w:noProof/>
          <w:sz w:val="24"/>
          <w:szCs w:val="24"/>
          <w:lang w:val="en-US"/>
        </w:rPr>
        <w:t xml:space="preserve"> (1), 145–79.</w:t>
      </w:r>
    </w:p>
    <w:p w14:paraId="586CDF5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Olivier, J. G. J. and J. A. H. W. Peters (2020), ‘Trends in Global CO2 and Total Greenhouse Gas Emissions: Report 2019’, vol. 2020, The Hague, accessed at https://www.pbl.nl/sites/default/files/downloads/pbl-2020-trends-in-global-co2-and-total-greenhouse-gas-emissions-2019-report_4068.pdf.</w:t>
      </w:r>
    </w:p>
    <w:p w14:paraId="63C0B5B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Orazalin, N. (2020), ‘Do board sustainability committees contribute to corporate environmental and social performance? The mediating role of corporate social responsibility strategy’,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29</w:t>
      </w:r>
      <w:r w:rsidRPr="008E3FE6">
        <w:rPr>
          <w:rFonts w:ascii="Times New Roman" w:hAnsi="Times New Roman" w:cs="Times New Roman"/>
          <w:noProof/>
          <w:sz w:val="24"/>
          <w:szCs w:val="24"/>
          <w:lang w:val="en-US"/>
        </w:rPr>
        <w:t xml:space="preserve"> (1), 140–53.</w:t>
      </w:r>
    </w:p>
    <w:p w14:paraId="7309092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Orazalin, N. and M. Mahmood (2021), ‘Toward sustainable development: Board characteristics, country governance quality, and environmental performance’,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(8), 3569–88.</w:t>
      </w:r>
    </w:p>
    <w:p w14:paraId="3CB0C97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Peters, G. F. and A. M. Romi (2014), ‘Does the Voluntary Adoption of Corporate Governance Mechanisms Improve Environmental Risk Disclosures? Evidence from Greenhouse Gas Emission Accounting’,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125</w:t>
      </w:r>
      <w:r w:rsidRPr="008E3FE6">
        <w:rPr>
          <w:rFonts w:ascii="Times New Roman" w:hAnsi="Times New Roman" w:cs="Times New Roman"/>
          <w:noProof/>
          <w:sz w:val="24"/>
          <w:szCs w:val="24"/>
          <w:lang w:val="en-US"/>
        </w:rPr>
        <w:t xml:space="preserve"> (4), 637–66.</w:t>
      </w:r>
    </w:p>
    <w:p w14:paraId="652D281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Pfeffer, J. and G. R. Salancik (1978), ‘The External Control of Organizations: A Resource Dependence Approach’.</w:t>
      </w:r>
    </w:p>
    <w:p w14:paraId="106859CB"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Phan, T. N. and K. Baird (2015), ‘The comprehensiveness of environmental management systems: The influence of institutional pressures and the impact on environmental performance’, </w:t>
      </w:r>
      <w:r w:rsidRPr="008E3FE6">
        <w:rPr>
          <w:rFonts w:ascii="Times New Roman" w:hAnsi="Times New Roman" w:cs="Times New Roman"/>
          <w:i/>
          <w:iCs/>
          <w:noProof/>
          <w:sz w:val="24"/>
          <w:szCs w:val="24"/>
          <w:lang w:val="en-US"/>
        </w:rPr>
        <w:t>Journal of Environmental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160</w:t>
      </w:r>
      <w:r w:rsidRPr="008E3FE6">
        <w:rPr>
          <w:rFonts w:ascii="Times New Roman" w:hAnsi="Times New Roman" w:cs="Times New Roman"/>
          <w:noProof/>
          <w:sz w:val="24"/>
          <w:szCs w:val="24"/>
          <w:lang w:val="en-US"/>
        </w:rPr>
        <w:t>, 45–56.</w:t>
      </w:r>
    </w:p>
    <w:p w14:paraId="0E498D4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Porter, M. E. (1980), ‘Competitive strategy: Techniques for analyzing industries and competitors’, </w:t>
      </w:r>
      <w:r w:rsidRPr="008E3FE6">
        <w:rPr>
          <w:rFonts w:ascii="Times New Roman" w:hAnsi="Times New Roman" w:cs="Times New Roman"/>
          <w:noProof/>
          <w:sz w:val="24"/>
          <w:szCs w:val="24"/>
          <w:lang w:val="en-US"/>
        </w:rPr>
        <w:lastRenderedPageBreak/>
        <w:t>New York: The Free Press.</w:t>
      </w:r>
    </w:p>
    <w:p w14:paraId="36BC952F"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Radu, C. and S. Maram (2020), ‘The value relevance of reported carbon emissions’, </w:t>
      </w:r>
      <w:r w:rsidRPr="008E3FE6">
        <w:rPr>
          <w:rFonts w:ascii="Times New Roman" w:hAnsi="Times New Roman" w:cs="Times New Roman"/>
          <w:i/>
          <w:iCs/>
          <w:noProof/>
          <w:sz w:val="24"/>
          <w:szCs w:val="24"/>
          <w:lang w:val="en-US"/>
        </w:rPr>
        <w:t>Journal of Management and Governance</w:t>
      </w:r>
      <w:r w:rsidRPr="008E3FE6">
        <w:rPr>
          <w:rFonts w:ascii="Times New Roman" w:hAnsi="Times New Roman" w:cs="Times New Roman"/>
          <w:noProof/>
          <w:sz w:val="24"/>
          <w:szCs w:val="24"/>
          <w:lang w:val="en-US"/>
        </w:rPr>
        <w:t>, accessed at https://doi.org/10.1007/s10997-020-09547-5.</w:t>
      </w:r>
    </w:p>
    <w:p w14:paraId="7BB40A1B"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Reid, E. M. and M. W. Toffel (2009), ‘Responding to public and private politics: Corporate disclosure of climate change strategies’, </w:t>
      </w:r>
      <w:r w:rsidRPr="008E3FE6">
        <w:rPr>
          <w:rFonts w:ascii="Times New Roman" w:hAnsi="Times New Roman" w:cs="Times New Roman"/>
          <w:i/>
          <w:iCs/>
          <w:noProof/>
          <w:sz w:val="24"/>
          <w:szCs w:val="24"/>
          <w:lang w:val="en-US"/>
        </w:rPr>
        <w:t>Strategic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(11), 1157–78.</w:t>
      </w:r>
    </w:p>
    <w:p w14:paraId="44F4AC7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Reimsbach, D., R. Hahn and A. Gürtürk (2018), ‘Integrated Reporting and Assurance of Sustainability Information: An Experimental Study on Professional Investors’ Information Processing’, </w:t>
      </w:r>
      <w:r w:rsidRPr="008E3FE6">
        <w:rPr>
          <w:rFonts w:ascii="Times New Roman" w:hAnsi="Times New Roman" w:cs="Times New Roman"/>
          <w:i/>
          <w:iCs/>
          <w:noProof/>
          <w:sz w:val="24"/>
          <w:szCs w:val="24"/>
          <w:lang w:val="en-US"/>
        </w:rPr>
        <w:t>European Accounting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27</w:t>
      </w:r>
      <w:r w:rsidRPr="008E3FE6">
        <w:rPr>
          <w:rFonts w:ascii="Times New Roman" w:hAnsi="Times New Roman" w:cs="Times New Roman"/>
          <w:noProof/>
          <w:sz w:val="24"/>
          <w:szCs w:val="24"/>
          <w:lang w:val="en-US"/>
        </w:rPr>
        <w:t xml:space="preserve"> (3), 559–81.</w:t>
      </w:r>
    </w:p>
    <w:p w14:paraId="79881DA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Rind, A. A., S. Akbar, S. Boubaker, S. Lajili-Jarjir and S. Mollah (2021), ‘The Role of Peer Effects in Corporate Employee Welfare Policies’,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1–23.</w:t>
      </w:r>
    </w:p>
    <w:p w14:paraId="75E5744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Rodrigue, M., M. Magnan and C. H. Cho (2013), ‘Is Environmental Governance Substantive or Symbolic? An Empirical Investigation’,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114</w:t>
      </w:r>
      <w:r w:rsidRPr="008E3FE6">
        <w:rPr>
          <w:rFonts w:ascii="Times New Roman" w:hAnsi="Times New Roman" w:cs="Times New Roman"/>
          <w:noProof/>
          <w:sz w:val="24"/>
          <w:szCs w:val="24"/>
          <w:lang w:val="en-US"/>
        </w:rPr>
        <w:t xml:space="preserve"> (1), 107–29.</w:t>
      </w:r>
    </w:p>
    <w:p w14:paraId="7EAA395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Shaukat, A., Y. Qiu and G. Trojanowski (2016), ‘Board Attributes, Corporate Social Responsibility Strategy, and Corporate Environmental and Social Performance’,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135</w:t>
      </w:r>
      <w:r w:rsidRPr="008E3FE6">
        <w:rPr>
          <w:rFonts w:ascii="Times New Roman" w:hAnsi="Times New Roman" w:cs="Times New Roman"/>
          <w:noProof/>
          <w:sz w:val="24"/>
          <w:szCs w:val="24"/>
          <w:lang w:val="en-US"/>
        </w:rPr>
        <w:t xml:space="preserve"> (3), 569–85.</w:t>
      </w:r>
    </w:p>
    <w:p w14:paraId="6366499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Shevchenko, A. (2021), ‘Do financial penalties for environmental violations facilitate improvements in corporate environmental performance? An empirical investigation’,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(4), 1723–34.</w:t>
      </w:r>
    </w:p>
    <w:p w14:paraId="6623273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Siddique, M. A., M. Akhtaruzzaman, A. Rashid and H. Hammami (2021), ‘Carbon disclosure, carbon performance and financial performance: International evidence’, </w:t>
      </w:r>
      <w:r w:rsidRPr="008E3FE6">
        <w:rPr>
          <w:rFonts w:ascii="Times New Roman" w:hAnsi="Times New Roman" w:cs="Times New Roman"/>
          <w:i/>
          <w:iCs/>
          <w:noProof/>
          <w:sz w:val="24"/>
          <w:szCs w:val="24"/>
          <w:lang w:val="en-US"/>
        </w:rPr>
        <w:t>International Review of Financial Analysis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75</w:t>
      </w:r>
      <w:r w:rsidRPr="008E3FE6">
        <w:rPr>
          <w:rFonts w:ascii="Times New Roman" w:hAnsi="Times New Roman" w:cs="Times New Roman"/>
          <w:noProof/>
          <w:sz w:val="24"/>
          <w:szCs w:val="24"/>
          <w:lang w:val="en-US"/>
        </w:rPr>
        <w:t>, 101734.</w:t>
      </w:r>
    </w:p>
    <w:p w14:paraId="6DA42346"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Singh, S., N. Tabassum, T. K. Darwish and G. Batsakis (2018), ‘Corporate Governance and Tobin’s Q as a Measure of Organizational Performance’, </w:t>
      </w:r>
      <w:r w:rsidRPr="008E3FE6">
        <w:rPr>
          <w:rFonts w:ascii="Times New Roman" w:hAnsi="Times New Roman" w:cs="Times New Roman"/>
          <w:i/>
          <w:iCs/>
          <w:noProof/>
          <w:sz w:val="24"/>
          <w:szCs w:val="24"/>
          <w:lang w:val="en-US"/>
        </w:rPr>
        <w:t>British Journal of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29</w:t>
      </w:r>
      <w:r w:rsidRPr="008E3FE6">
        <w:rPr>
          <w:rFonts w:ascii="Times New Roman" w:hAnsi="Times New Roman" w:cs="Times New Roman"/>
          <w:noProof/>
          <w:sz w:val="24"/>
          <w:szCs w:val="24"/>
          <w:lang w:val="en-US"/>
        </w:rPr>
        <w:t xml:space="preserve"> (1), 171–90.</w:t>
      </w:r>
    </w:p>
    <w:p w14:paraId="4CEA1A68"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Spira, L. F. and R. Bender (2004), ‘Compare and contrast: Perspectives on board committees’, </w:t>
      </w:r>
      <w:r w:rsidRPr="008E3FE6">
        <w:rPr>
          <w:rFonts w:ascii="Times New Roman" w:hAnsi="Times New Roman" w:cs="Times New Roman"/>
          <w:i/>
          <w:iCs/>
          <w:noProof/>
          <w:sz w:val="24"/>
          <w:szCs w:val="24"/>
          <w:lang w:val="en-US"/>
        </w:rPr>
        <w:t>Corporate Governance: An International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12</w:t>
      </w:r>
      <w:r w:rsidRPr="008E3FE6">
        <w:rPr>
          <w:rFonts w:ascii="Times New Roman" w:hAnsi="Times New Roman" w:cs="Times New Roman"/>
          <w:noProof/>
          <w:sz w:val="24"/>
          <w:szCs w:val="24"/>
          <w:lang w:val="en-US"/>
        </w:rPr>
        <w:t xml:space="preserve"> (4), 489–99.</w:t>
      </w:r>
    </w:p>
    <w:p w14:paraId="4C03E9DD"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Suchman, M. C. (1995), ‘Managing Legitimacy: Strategic and Institutional Approaches’, </w:t>
      </w:r>
      <w:r w:rsidRPr="008E3FE6">
        <w:rPr>
          <w:rFonts w:ascii="Times New Roman" w:hAnsi="Times New Roman" w:cs="Times New Roman"/>
          <w:i/>
          <w:iCs/>
          <w:noProof/>
          <w:sz w:val="24"/>
          <w:szCs w:val="24"/>
          <w:lang w:val="en-US"/>
        </w:rPr>
        <w:t>Academy of Management Review</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20</w:t>
      </w:r>
      <w:r w:rsidRPr="008E3FE6">
        <w:rPr>
          <w:rFonts w:ascii="Times New Roman" w:hAnsi="Times New Roman" w:cs="Times New Roman"/>
          <w:noProof/>
          <w:sz w:val="24"/>
          <w:szCs w:val="24"/>
          <w:lang w:val="en-US"/>
        </w:rPr>
        <w:t xml:space="preserve"> (3), 571–610.</w:t>
      </w:r>
    </w:p>
    <w:p w14:paraId="4D2F943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Sullivan, R. and A. Gouldson (2017), ‘The Governance of Corporate Responses to Climate Change: An International Comparison’,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26</w:t>
      </w:r>
      <w:r w:rsidRPr="008E3FE6">
        <w:rPr>
          <w:rFonts w:ascii="Times New Roman" w:hAnsi="Times New Roman" w:cs="Times New Roman"/>
          <w:noProof/>
          <w:sz w:val="24"/>
          <w:szCs w:val="24"/>
          <w:lang w:val="en-US"/>
        </w:rPr>
        <w:t xml:space="preserve"> (4), 413–25.</w:t>
      </w:r>
    </w:p>
    <w:p w14:paraId="355595B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Sun, Y., Y. Yang, N. Huang and X. Zou (2020), ‘The impacts of climate change risks on financial performance of mining industry: Evidence from listed companies in China’, </w:t>
      </w:r>
      <w:r w:rsidRPr="008E3FE6">
        <w:rPr>
          <w:rFonts w:ascii="Times New Roman" w:hAnsi="Times New Roman" w:cs="Times New Roman"/>
          <w:i/>
          <w:iCs/>
          <w:noProof/>
          <w:sz w:val="24"/>
          <w:szCs w:val="24"/>
          <w:lang w:val="en-US"/>
        </w:rPr>
        <w:t>Resources Policy</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69</w:t>
      </w:r>
      <w:r w:rsidRPr="008E3FE6">
        <w:rPr>
          <w:rFonts w:ascii="Times New Roman" w:hAnsi="Times New Roman" w:cs="Times New Roman"/>
          <w:noProof/>
          <w:sz w:val="24"/>
          <w:szCs w:val="24"/>
          <w:lang w:val="en-US"/>
        </w:rPr>
        <w:t>, accessed at https://doi.org/10.1016/j.resourpol.2020.101828.</w:t>
      </w:r>
    </w:p>
    <w:p w14:paraId="2F5C5203"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Talbot, D. and O. Boiral (2018), ‘GHG reporting and impression management: An assessment of sustainability reports from the energy sector’, </w:t>
      </w:r>
      <w:r w:rsidRPr="008E3FE6">
        <w:rPr>
          <w:rFonts w:ascii="Times New Roman" w:hAnsi="Times New Roman" w:cs="Times New Roman"/>
          <w:i/>
          <w:iCs/>
          <w:noProof/>
          <w:sz w:val="24"/>
          <w:szCs w:val="24"/>
          <w:lang w:val="en-US"/>
        </w:rPr>
        <w:t>Journal of Business Ethics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147</w:t>
      </w:r>
      <w:r w:rsidRPr="008E3FE6">
        <w:rPr>
          <w:rFonts w:ascii="Times New Roman" w:hAnsi="Times New Roman" w:cs="Times New Roman"/>
          <w:noProof/>
          <w:sz w:val="24"/>
          <w:szCs w:val="24"/>
          <w:lang w:val="en-US"/>
        </w:rPr>
        <w:t xml:space="preserve"> (2), 367–83.</w:t>
      </w:r>
    </w:p>
    <w:p w14:paraId="03C3051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Tuesta, N. Y., C. C. Soler and R. V. Feliu (2021), ‘Carbon management accounting and financial performance: Evidence from the European Union emission trading system’, </w:t>
      </w:r>
      <w:r w:rsidRPr="008E3FE6">
        <w:rPr>
          <w:rFonts w:ascii="Times New Roman" w:hAnsi="Times New Roman" w:cs="Times New Roman"/>
          <w:i/>
          <w:iCs/>
          <w:noProof/>
          <w:sz w:val="24"/>
          <w:szCs w:val="24"/>
          <w:lang w:val="en-US"/>
        </w:rPr>
        <w:t>Business Strategy and the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30</w:t>
      </w:r>
      <w:r w:rsidRPr="008E3FE6">
        <w:rPr>
          <w:rFonts w:ascii="Times New Roman" w:hAnsi="Times New Roman" w:cs="Times New Roman"/>
          <w:noProof/>
          <w:sz w:val="24"/>
          <w:szCs w:val="24"/>
          <w:lang w:val="en-US"/>
        </w:rPr>
        <w:t xml:space="preserve"> (2), 1270–82.</w:t>
      </w:r>
    </w:p>
    <w:p w14:paraId="6BA758E9"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United Nations (2015), ‘Adoption of the Paris Agreement’, vol. 21932, p. 32.</w:t>
      </w:r>
    </w:p>
    <w:p w14:paraId="0E0AD1C4"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United Nations Environment Programme (2019), ‘Emissions Gap Report 2019’.</w:t>
      </w:r>
    </w:p>
    <w:p w14:paraId="501E0E1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Van der Byl, C. A. and N. Slawinski (2015), ‘Embracing Tensions in Corporate Sustainability: A Review of Research From Win-Wins and Trade-Offs to Paradoxes and Beyond’, </w:t>
      </w:r>
      <w:r w:rsidRPr="008E3FE6">
        <w:rPr>
          <w:rFonts w:ascii="Times New Roman" w:hAnsi="Times New Roman" w:cs="Times New Roman"/>
          <w:i/>
          <w:iCs/>
          <w:noProof/>
          <w:sz w:val="24"/>
          <w:szCs w:val="24"/>
          <w:lang w:val="en-US"/>
        </w:rPr>
        <w:t>Organization and Environment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28</w:t>
      </w:r>
      <w:r w:rsidRPr="008E3FE6">
        <w:rPr>
          <w:rFonts w:ascii="Times New Roman" w:hAnsi="Times New Roman" w:cs="Times New Roman"/>
          <w:noProof/>
          <w:sz w:val="24"/>
          <w:szCs w:val="24"/>
          <w:lang w:val="en-US"/>
        </w:rPr>
        <w:t xml:space="preserve"> (1), 54–79.</w:t>
      </w:r>
    </w:p>
    <w:p w14:paraId="2C0E6F0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Walls, J. L., P. Berrone and P. H. Phan (2012), ‘Corporate governance and environmental performance: Is there really a link?’, </w:t>
      </w:r>
      <w:r w:rsidRPr="008E3FE6">
        <w:rPr>
          <w:rFonts w:ascii="Times New Roman" w:hAnsi="Times New Roman" w:cs="Times New Roman"/>
          <w:i/>
          <w:iCs/>
          <w:noProof/>
          <w:sz w:val="24"/>
          <w:szCs w:val="24"/>
          <w:lang w:val="en-US"/>
        </w:rPr>
        <w:t>Strategic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33</w:t>
      </w:r>
      <w:r w:rsidRPr="008E3FE6">
        <w:rPr>
          <w:rFonts w:ascii="Times New Roman" w:hAnsi="Times New Roman" w:cs="Times New Roman"/>
          <w:noProof/>
          <w:sz w:val="24"/>
          <w:szCs w:val="24"/>
          <w:lang w:val="en-US"/>
        </w:rPr>
        <w:t xml:space="preserve"> (8), 885–913.</w:t>
      </w:r>
    </w:p>
    <w:p w14:paraId="40C72D8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Weber, T. A. and K. Neuhoff (2010), ‘Carbon markets and technological innovation’, </w:t>
      </w:r>
      <w:r w:rsidRPr="008E3FE6">
        <w:rPr>
          <w:rFonts w:ascii="Times New Roman" w:hAnsi="Times New Roman" w:cs="Times New Roman"/>
          <w:i/>
          <w:iCs/>
          <w:noProof/>
          <w:sz w:val="24"/>
          <w:szCs w:val="24"/>
          <w:lang w:val="en-US"/>
        </w:rPr>
        <w:t>Journal of Environmental Economics and Management</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60</w:t>
      </w:r>
      <w:r w:rsidRPr="008E3FE6">
        <w:rPr>
          <w:rFonts w:ascii="Times New Roman" w:hAnsi="Times New Roman" w:cs="Times New Roman"/>
          <w:noProof/>
          <w:sz w:val="24"/>
          <w:szCs w:val="24"/>
          <w:lang w:val="en-US"/>
        </w:rPr>
        <w:t xml:space="preserve"> (2), 115–32.</w:t>
      </w:r>
    </w:p>
    <w:p w14:paraId="342950EE"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Wintoki, M. B., J. S. Linck and J. M. Netter (2012), ‘Endogeneity and the dynamics of internal corporate governance’, </w:t>
      </w:r>
      <w:r w:rsidRPr="008E3FE6">
        <w:rPr>
          <w:rFonts w:ascii="Times New Roman" w:hAnsi="Times New Roman" w:cs="Times New Roman"/>
          <w:i/>
          <w:iCs/>
          <w:noProof/>
          <w:sz w:val="24"/>
          <w:szCs w:val="24"/>
          <w:lang w:val="en-US"/>
        </w:rPr>
        <w:t>Journal of Financial Economics</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105</w:t>
      </w:r>
      <w:r w:rsidRPr="008E3FE6">
        <w:rPr>
          <w:rFonts w:ascii="Times New Roman" w:hAnsi="Times New Roman" w:cs="Times New Roman"/>
          <w:noProof/>
          <w:sz w:val="24"/>
          <w:szCs w:val="24"/>
          <w:lang w:val="en-US"/>
        </w:rPr>
        <w:t xml:space="preserve"> (3), 581–606.</w:t>
      </w:r>
    </w:p>
    <w:p w14:paraId="3012949A"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lastRenderedPageBreak/>
        <w:t>World Bank (2020), ‘The World Bank Open Data’, accessed 18 February 2020 at https://data.worldbank.org/.</w:t>
      </w:r>
    </w:p>
    <w:p w14:paraId="53DB9F20"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Wright, C. and D. Nyberg (2017), ‘An inconvenient truth: How organizations translate climate change into business as usual’, </w:t>
      </w:r>
      <w:r w:rsidRPr="008E3FE6">
        <w:rPr>
          <w:rFonts w:ascii="Times New Roman" w:hAnsi="Times New Roman" w:cs="Times New Roman"/>
          <w:i/>
          <w:iCs/>
          <w:noProof/>
          <w:sz w:val="24"/>
          <w:szCs w:val="24"/>
          <w:lang w:val="en-US"/>
        </w:rPr>
        <w:t>Academy of Management Journal</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60</w:t>
      </w:r>
      <w:r w:rsidRPr="008E3FE6">
        <w:rPr>
          <w:rFonts w:ascii="Times New Roman" w:hAnsi="Times New Roman" w:cs="Times New Roman"/>
          <w:noProof/>
          <w:sz w:val="24"/>
          <w:szCs w:val="24"/>
          <w:lang w:val="en-US"/>
        </w:rPr>
        <w:t xml:space="preserve"> (5), 1633–61.</w:t>
      </w:r>
    </w:p>
    <w:p w14:paraId="2B747DE5"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8E3FE6">
        <w:rPr>
          <w:rFonts w:ascii="Times New Roman" w:hAnsi="Times New Roman" w:cs="Times New Roman"/>
          <w:noProof/>
          <w:sz w:val="24"/>
          <w:szCs w:val="24"/>
          <w:lang w:val="en-US"/>
        </w:rPr>
        <w:t xml:space="preserve">Ye, D., J. Deng, Y. Liu, S. H. Szewczyk and X. Chen (2019), ‘Does board gender diversity increase dividend payouts? Analysis of global evidence’, </w:t>
      </w:r>
      <w:r w:rsidRPr="008E3FE6">
        <w:rPr>
          <w:rFonts w:ascii="Times New Roman" w:hAnsi="Times New Roman" w:cs="Times New Roman"/>
          <w:i/>
          <w:iCs/>
          <w:noProof/>
          <w:sz w:val="24"/>
          <w:szCs w:val="24"/>
          <w:lang w:val="en-US"/>
        </w:rPr>
        <w:t>Journal of Corporate Finance</w:t>
      </w:r>
      <w:r w:rsidRPr="008E3FE6">
        <w:rPr>
          <w:rFonts w:ascii="Times New Roman" w:hAnsi="Times New Roman" w:cs="Times New Roman"/>
          <w:noProof/>
          <w:sz w:val="24"/>
          <w:szCs w:val="24"/>
          <w:lang w:val="en-US"/>
        </w:rPr>
        <w:t xml:space="preserve">, </w:t>
      </w:r>
      <w:r w:rsidRPr="008E3FE6">
        <w:rPr>
          <w:rFonts w:ascii="Times New Roman" w:hAnsi="Times New Roman" w:cs="Times New Roman"/>
          <w:b/>
          <w:bCs/>
          <w:noProof/>
          <w:sz w:val="24"/>
          <w:szCs w:val="24"/>
          <w:lang w:val="en-US"/>
        </w:rPr>
        <w:t>58</w:t>
      </w:r>
      <w:r w:rsidRPr="008E3FE6">
        <w:rPr>
          <w:rFonts w:ascii="Times New Roman" w:hAnsi="Times New Roman" w:cs="Times New Roman"/>
          <w:noProof/>
          <w:sz w:val="24"/>
          <w:szCs w:val="24"/>
          <w:lang w:val="en-US"/>
        </w:rPr>
        <w:t>, 1–26.</w:t>
      </w:r>
    </w:p>
    <w:p w14:paraId="2F0E89EB" w14:textId="77777777" w:rsidR="00AF4EC6" w:rsidRPr="008E3FE6" w:rsidRDefault="00AF4EC6" w:rsidP="00AF4EC6">
      <w:pPr>
        <w:widowControl w:val="0"/>
        <w:autoSpaceDE w:val="0"/>
        <w:autoSpaceDN w:val="0"/>
        <w:adjustRightInd w:val="0"/>
        <w:spacing w:after="0" w:line="240" w:lineRule="auto"/>
        <w:ind w:left="480" w:hanging="480"/>
        <w:rPr>
          <w:rFonts w:ascii="Times New Roman" w:hAnsi="Times New Roman" w:cs="Times New Roman"/>
          <w:noProof/>
          <w:sz w:val="24"/>
          <w:lang w:val="en-US"/>
        </w:rPr>
      </w:pPr>
      <w:r w:rsidRPr="008E3FE6">
        <w:rPr>
          <w:rFonts w:ascii="Times New Roman" w:hAnsi="Times New Roman" w:cs="Times New Roman"/>
          <w:noProof/>
          <w:sz w:val="24"/>
          <w:szCs w:val="24"/>
          <w:lang w:val="en-US"/>
        </w:rPr>
        <w:t xml:space="preserve">Zaman, R., N. Atawnah, M. Haseeb, M. Nadeem and S. Irfan (2021), ‘Does corporate eco-innovation affect stock price crash risk?’, </w:t>
      </w:r>
      <w:r w:rsidRPr="008E3FE6">
        <w:rPr>
          <w:rFonts w:ascii="Times New Roman" w:hAnsi="Times New Roman" w:cs="Times New Roman"/>
          <w:i/>
          <w:iCs/>
          <w:noProof/>
          <w:sz w:val="24"/>
          <w:szCs w:val="24"/>
          <w:lang w:val="en-US"/>
        </w:rPr>
        <w:t>British Accounting Review</w:t>
      </w:r>
      <w:r w:rsidRPr="008E3FE6">
        <w:rPr>
          <w:rFonts w:ascii="Times New Roman" w:hAnsi="Times New Roman" w:cs="Times New Roman"/>
          <w:noProof/>
          <w:sz w:val="24"/>
          <w:szCs w:val="24"/>
          <w:lang w:val="en-US"/>
        </w:rPr>
        <w:t>, accessed at https://doi.org/10.1016/j.bar.2021.101031.</w:t>
      </w:r>
    </w:p>
    <w:p w14:paraId="0B71BC7B" w14:textId="7371E65C" w:rsidR="00EC5A9C" w:rsidRPr="00AF4487" w:rsidRDefault="00EC5A9C" w:rsidP="00EC5A9C">
      <w:pPr>
        <w:spacing w:after="0" w:line="240" w:lineRule="auto"/>
        <w:jc w:val="both"/>
        <w:rPr>
          <w:rFonts w:ascii="Times New Roman" w:eastAsia="Calibri" w:hAnsi="Times New Roman" w:cs="Times New Roman"/>
          <w:b/>
          <w:bCs/>
          <w:sz w:val="24"/>
          <w:szCs w:val="24"/>
          <w:lang w:val="en-US"/>
        </w:rPr>
      </w:pPr>
      <w:r w:rsidRPr="00AF4487">
        <w:rPr>
          <w:rFonts w:ascii="Times New Roman" w:eastAsia="Calibri" w:hAnsi="Times New Roman" w:cs="Times New Roman"/>
          <w:b/>
          <w:bCs/>
          <w:sz w:val="24"/>
          <w:szCs w:val="24"/>
          <w:lang w:val="en-US"/>
        </w:rPr>
        <w:fldChar w:fldCharType="end"/>
      </w:r>
      <w:bookmarkEnd w:id="2"/>
    </w:p>
    <w:p w14:paraId="29347CE8" w14:textId="748C3118" w:rsidR="008848E0" w:rsidRPr="00AF4487" w:rsidRDefault="008848E0" w:rsidP="00EC5A9C">
      <w:pPr>
        <w:spacing w:after="0" w:line="240" w:lineRule="auto"/>
        <w:jc w:val="both"/>
        <w:rPr>
          <w:rFonts w:ascii="Times New Roman" w:eastAsia="Calibri" w:hAnsi="Times New Roman" w:cs="Times New Roman"/>
          <w:b/>
          <w:bCs/>
          <w:sz w:val="24"/>
          <w:szCs w:val="24"/>
          <w:lang w:val="en-US"/>
        </w:rPr>
      </w:pPr>
    </w:p>
    <w:p w14:paraId="41446985" w14:textId="7890DA45"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681289CB" w14:textId="2A3D0CFC"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0327EA08" w14:textId="2D49D726"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04CFA706" w14:textId="2D474FF9"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23D3BF2D" w14:textId="0D59F246"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4EB02180" w14:textId="5601FC92" w:rsidR="00EC3CEC" w:rsidRPr="00AF4487" w:rsidRDefault="00EC3CEC" w:rsidP="00EC5A9C">
      <w:pPr>
        <w:spacing w:after="0" w:line="240" w:lineRule="auto"/>
        <w:jc w:val="both"/>
        <w:rPr>
          <w:rFonts w:ascii="Times New Roman" w:eastAsia="Calibri" w:hAnsi="Times New Roman" w:cs="Times New Roman"/>
          <w:b/>
          <w:bCs/>
          <w:sz w:val="24"/>
          <w:szCs w:val="24"/>
          <w:lang w:val="en-US"/>
        </w:rPr>
      </w:pPr>
    </w:p>
    <w:p w14:paraId="25435B69" w14:textId="1839683D" w:rsidR="00EC3CEC" w:rsidRDefault="00EC3CEC" w:rsidP="00EC5A9C">
      <w:pPr>
        <w:spacing w:after="0" w:line="240" w:lineRule="auto"/>
        <w:jc w:val="both"/>
        <w:rPr>
          <w:rFonts w:ascii="Times New Roman" w:eastAsia="Calibri" w:hAnsi="Times New Roman" w:cs="Times New Roman"/>
          <w:b/>
          <w:bCs/>
          <w:sz w:val="24"/>
          <w:szCs w:val="24"/>
          <w:lang w:val="en-US"/>
        </w:rPr>
      </w:pPr>
    </w:p>
    <w:p w14:paraId="6D60A0FB" w14:textId="2F0CBF8F" w:rsidR="00984E59" w:rsidRDefault="00984E59" w:rsidP="00EC5A9C">
      <w:pPr>
        <w:spacing w:after="0" w:line="240" w:lineRule="auto"/>
        <w:jc w:val="both"/>
        <w:rPr>
          <w:rFonts w:ascii="Times New Roman" w:eastAsia="Calibri" w:hAnsi="Times New Roman" w:cs="Times New Roman"/>
          <w:b/>
          <w:bCs/>
          <w:sz w:val="24"/>
          <w:szCs w:val="24"/>
          <w:lang w:val="en-US"/>
        </w:rPr>
      </w:pPr>
    </w:p>
    <w:p w14:paraId="171DACE4" w14:textId="687E556E" w:rsidR="00984E59" w:rsidRDefault="00984E59" w:rsidP="00EC5A9C">
      <w:pPr>
        <w:spacing w:after="0" w:line="240" w:lineRule="auto"/>
        <w:jc w:val="both"/>
        <w:rPr>
          <w:rFonts w:ascii="Times New Roman" w:eastAsia="Calibri" w:hAnsi="Times New Roman" w:cs="Times New Roman"/>
          <w:b/>
          <w:bCs/>
          <w:sz w:val="24"/>
          <w:szCs w:val="24"/>
          <w:lang w:val="en-US"/>
        </w:rPr>
      </w:pPr>
    </w:p>
    <w:p w14:paraId="51A05C6A" w14:textId="1006273A" w:rsidR="00984E59" w:rsidRDefault="00984E59" w:rsidP="00EC5A9C">
      <w:pPr>
        <w:spacing w:after="0" w:line="240" w:lineRule="auto"/>
        <w:jc w:val="both"/>
        <w:rPr>
          <w:rFonts w:ascii="Times New Roman" w:eastAsia="Calibri" w:hAnsi="Times New Roman" w:cs="Times New Roman"/>
          <w:b/>
          <w:bCs/>
          <w:sz w:val="24"/>
          <w:szCs w:val="24"/>
          <w:lang w:val="en-US"/>
        </w:rPr>
      </w:pPr>
    </w:p>
    <w:p w14:paraId="571B91F1" w14:textId="57BABB64" w:rsidR="00984E59" w:rsidRDefault="00984E59" w:rsidP="00EC5A9C">
      <w:pPr>
        <w:spacing w:after="0" w:line="240" w:lineRule="auto"/>
        <w:jc w:val="both"/>
        <w:rPr>
          <w:rFonts w:ascii="Times New Roman" w:eastAsia="Calibri" w:hAnsi="Times New Roman" w:cs="Times New Roman"/>
          <w:b/>
          <w:bCs/>
          <w:sz w:val="24"/>
          <w:szCs w:val="24"/>
          <w:lang w:val="en-US"/>
        </w:rPr>
      </w:pPr>
    </w:p>
    <w:p w14:paraId="31B3DA4C" w14:textId="0B224D75" w:rsidR="00984E59" w:rsidRDefault="00984E59" w:rsidP="00EC5A9C">
      <w:pPr>
        <w:spacing w:after="0" w:line="240" w:lineRule="auto"/>
        <w:jc w:val="both"/>
        <w:rPr>
          <w:rFonts w:ascii="Times New Roman" w:eastAsia="Calibri" w:hAnsi="Times New Roman" w:cs="Times New Roman"/>
          <w:b/>
          <w:bCs/>
          <w:sz w:val="24"/>
          <w:szCs w:val="24"/>
          <w:lang w:val="en-US"/>
        </w:rPr>
      </w:pPr>
    </w:p>
    <w:p w14:paraId="3E023E6C" w14:textId="7721828F" w:rsidR="003271A8" w:rsidRDefault="003271A8" w:rsidP="00EC5A9C">
      <w:pPr>
        <w:spacing w:after="0" w:line="240" w:lineRule="auto"/>
        <w:jc w:val="both"/>
        <w:rPr>
          <w:rFonts w:ascii="Times New Roman" w:eastAsia="Calibri" w:hAnsi="Times New Roman" w:cs="Times New Roman"/>
          <w:b/>
          <w:bCs/>
          <w:sz w:val="24"/>
          <w:szCs w:val="24"/>
          <w:lang w:val="en-US"/>
        </w:rPr>
      </w:pPr>
    </w:p>
    <w:p w14:paraId="5B9A932C" w14:textId="540CD620" w:rsidR="003271A8" w:rsidRDefault="003271A8" w:rsidP="00EC5A9C">
      <w:pPr>
        <w:spacing w:after="0" w:line="240" w:lineRule="auto"/>
        <w:jc w:val="both"/>
        <w:rPr>
          <w:rFonts w:ascii="Times New Roman" w:eastAsia="Calibri" w:hAnsi="Times New Roman" w:cs="Times New Roman"/>
          <w:b/>
          <w:bCs/>
          <w:sz w:val="24"/>
          <w:szCs w:val="24"/>
          <w:lang w:val="en-US"/>
        </w:rPr>
      </w:pPr>
    </w:p>
    <w:p w14:paraId="0B7F6CFC" w14:textId="3284AD7B" w:rsidR="003271A8" w:rsidRDefault="003271A8" w:rsidP="00EC5A9C">
      <w:pPr>
        <w:spacing w:after="0" w:line="240" w:lineRule="auto"/>
        <w:jc w:val="both"/>
        <w:rPr>
          <w:rFonts w:ascii="Times New Roman" w:eastAsia="Calibri" w:hAnsi="Times New Roman" w:cs="Times New Roman"/>
          <w:b/>
          <w:bCs/>
          <w:sz w:val="24"/>
          <w:szCs w:val="24"/>
          <w:lang w:val="en-US"/>
        </w:rPr>
      </w:pPr>
    </w:p>
    <w:p w14:paraId="2700086C" w14:textId="474FEEAD" w:rsidR="003271A8" w:rsidRDefault="003271A8" w:rsidP="00EC5A9C">
      <w:pPr>
        <w:spacing w:after="0" w:line="240" w:lineRule="auto"/>
        <w:jc w:val="both"/>
        <w:rPr>
          <w:rFonts w:ascii="Times New Roman" w:eastAsia="Calibri" w:hAnsi="Times New Roman" w:cs="Times New Roman"/>
          <w:b/>
          <w:bCs/>
          <w:sz w:val="24"/>
          <w:szCs w:val="24"/>
          <w:lang w:val="en-US"/>
        </w:rPr>
      </w:pPr>
    </w:p>
    <w:p w14:paraId="60843BB6" w14:textId="4BF39F4A" w:rsidR="003271A8" w:rsidRDefault="003271A8" w:rsidP="00EC5A9C">
      <w:pPr>
        <w:spacing w:after="0" w:line="240" w:lineRule="auto"/>
        <w:jc w:val="both"/>
        <w:rPr>
          <w:rFonts w:ascii="Times New Roman" w:eastAsia="Calibri" w:hAnsi="Times New Roman" w:cs="Times New Roman"/>
          <w:b/>
          <w:bCs/>
          <w:sz w:val="24"/>
          <w:szCs w:val="24"/>
          <w:lang w:val="en-US"/>
        </w:rPr>
      </w:pPr>
    </w:p>
    <w:p w14:paraId="5C32C27B" w14:textId="225BD867" w:rsidR="003271A8" w:rsidRDefault="003271A8" w:rsidP="00EC5A9C">
      <w:pPr>
        <w:spacing w:after="0" w:line="240" w:lineRule="auto"/>
        <w:jc w:val="both"/>
        <w:rPr>
          <w:rFonts w:ascii="Times New Roman" w:eastAsia="Calibri" w:hAnsi="Times New Roman" w:cs="Times New Roman"/>
          <w:b/>
          <w:bCs/>
          <w:sz w:val="24"/>
          <w:szCs w:val="24"/>
          <w:lang w:val="en-US"/>
        </w:rPr>
      </w:pPr>
    </w:p>
    <w:p w14:paraId="3889BA97" w14:textId="16C7FE29" w:rsidR="003271A8" w:rsidRDefault="003271A8" w:rsidP="00EC5A9C">
      <w:pPr>
        <w:spacing w:after="0" w:line="240" w:lineRule="auto"/>
        <w:jc w:val="both"/>
        <w:rPr>
          <w:rFonts w:ascii="Times New Roman" w:eastAsia="Calibri" w:hAnsi="Times New Roman" w:cs="Times New Roman"/>
          <w:b/>
          <w:bCs/>
          <w:sz w:val="24"/>
          <w:szCs w:val="24"/>
          <w:lang w:val="en-US"/>
        </w:rPr>
      </w:pPr>
    </w:p>
    <w:p w14:paraId="116E336E" w14:textId="4BB7AFD8" w:rsidR="003271A8" w:rsidRDefault="003271A8" w:rsidP="00EC5A9C">
      <w:pPr>
        <w:spacing w:after="0" w:line="240" w:lineRule="auto"/>
        <w:jc w:val="both"/>
        <w:rPr>
          <w:rFonts w:ascii="Times New Roman" w:eastAsia="Calibri" w:hAnsi="Times New Roman" w:cs="Times New Roman"/>
          <w:b/>
          <w:bCs/>
          <w:sz w:val="24"/>
          <w:szCs w:val="24"/>
          <w:lang w:val="en-US"/>
        </w:rPr>
      </w:pPr>
    </w:p>
    <w:p w14:paraId="60E1C3BD" w14:textId="501F146F" w:rsidR="003271A8" w:rsidRDefault="003271A8" w:rsidP="00EC5A9C">
      <w:pPr>
        <w:spacing w:after="0" w:line="240" w:lineRule="auto"/>
        <w:jc w:val="both"/>
        <w:rPr>
          <w:rFonts w:ascii="Times New Roman" w:eastAsia="Calibri" w:hAnsi="Times New Roman" w:cs="Times New Roman"/>
          <w:b/>
          <w:bCs/>
          <w:sz w:val="24"/>
          <w:szCs w:val="24"/>
          <w:lang w:val="en-US"/>
        </w:rPr>
      </w:pPr>
    </w:p>
    <w:p w14:paraId="535FB9F1" w14:textId="1A6D47AB" w:rsidR="003271A8" w:rsidRDefault="003271A8" w:rsidP="00EC5A9C">
      <w:pPr>
        <w:spacing w:after="0" w:line="240" w:lineRule="auto"/>
        <w:jc w:val="both"/>
        <w:rPr>
          <w:rFonts w:ascii="Times New Roman" w:eastAsia="Calibri" w:hAnsi="Times New Roman" w:cs="Times New Roman"/>
          <w:b/>
          <w:bCs/>
          <w:sz w:val="24"/>
          <w:szCs w:val="24"/>
          <w:lang w:val="en-US"/>
        </w:rPr>
      </w:pPr>
    </w:p>
    <w:p w14:paraId="6D631AEC" w14:textId="0E0CCB98" w:rsidR="003271A8" w:rsidRDefault="003271A8" w:rsidP="00EC5A9C">
      <w:pPr>
        <w:spacing w:after="0" w:line="240" w:lineRule="auto"/>
        <w:jc w:val="both"/>
        <w:rPr>
          <w:rFonts w:ascii="Times New Roman" w:eastAsia="Calibri" w:hAnsi="Times New Roman" w:cs="Times New Roman"/>
          <w:b/>
          <w:bCs/>
          <w:sz w:val="24"/>
          <w:szCs w:val="24"/>
          <w:lang w:val="en-US"/>
        </w:rPr>
      </w:pPr>
    </w:p>
    <w:p w14:paraId="1BEB4370" w14:textId="2B86E286" w:rsidR="003271A8" w:rsidRDefault="003271A8" w:rsidP="00EC5A9C">
      <w:pPr>
        <w:spacing w:after="0" w:line="240" w:lineRule="auto"/>
        <w:jc w:val="both"/>
        <w:rPr>
          <w:rFonts w:ascii="Times New Roman" w:eastAsia="Calibri" w:hAnsi="Times New Roman" w:cs="Times New Roman"/>
          <w:b/>
          <w:bCs/>
          <w:sz w:val="24"/>
          <w:szCs w:val="24"/>
          <w:lang w:val="en-US"/>
        </w:rPr>
      </w:pPr>
    </w:p>
    <w:p w14:paraId="70AD096A" w14:textId="394F2670" w:rsidR="003271A8" w:rsidRDefault="003271A8" w:rsidP="00EC5A9C">
      <w:pPr>
        <w:spacing w:after="0" w:line="240" w:lineRule="auto"/>
        <w:jc w:val="both"/>
        <w:rPr>
          <w:rFonts w:ascii="Times New Roman" w:eastAsia="Calibri" w:hAnsi="Times New Roman" w:cs="Times New Roman"/>
          <w:b/>
          <w:bCs/>
          <w:sz w:val="24"/>
          <w:szCs w:val="24"/>
          <w:lang w:val="en-US"/>
        </w:rPr>
      </w:pPr>
    </w:p>
    <w:p w14:paraId="2C826524" w14:textId="216ED060" w:rsidR="003271A8" w:rsidRDefault="003271A8" w:rsidP="00EC5A9C">
      <w:pPr>
        <w:spacing w:after="0" w:line="240" w:lineRule="auto"/>
        <w:jc w:val="both"/>
        <w:rPr>
          <w:rFonts w:ascii="Times New Roman" w:eastAsia="Calibri" w:hAnsi="Times New Roman" w:cs="Times New Roman"/>
          <w:b/>
          <w:bCs/>
          <w:sz w:val="24"/>
          <w:szCs w:val="24"/>
          <w:lang w:val="en-US"/>
        </w:rPr>
      </w:pPr>
    </w:p>
    <w:p w14:paraId="333CB27D" w14:textId="3A98476B" w:rsidR="003271A8" w:rsidRDefault="003271A8" w:rsidP="00EC5A9C">
      <w:pPr>
        <w:spacing w:after="0" w:line="240" w:lineRule="auto"/>
        <w:jc w:val="both"/>
        <w:rPr>
          <w:rFonts w:ascii="Times New Roman" w:eastAsia="Calibri" w:hAnsi="Times New Roman" w:cs="Times New Roman"/>
          <w:b/>
          <w:bCs/>
          <w:sz w:val="24"/>
          <w:szCs w:val="24"/>
          <w:lang w:val="en-US"/>
        </w:rPr>
      </w:pPr>
    </w:p>
    <w:p w14:paraId="7EF89DD2" w14:textId="22CB8C35" w:rsidR="003271A8" w:rsidRDefault="003271A8" w:rsidP="00EC5A9C">
      <w:pPr>
        <w:spacing w:after="0" w:line="240" w:lineRule="auto"/>
        <w:jc w:val="both"/>
        <w:rPr>
          <w:rFonts w:ascii="Times New Roman" w:eastAsia="Calibri" w:hAnsi="Times New Roman" w:cs="Times New Roman"/>
          <w:b/>
          <w:bCs/>
          <w:sz w:val="24"/>
          <w:szCs w:val="24"/>
          <w:lang w:val="en-US"/>
        </w:rPr>
      </w:pPr>
    </w:p>
    <w:p w14:paraId="75CE9E19" w14:textId="129424EA" w:rsidR="003271A8" w:rsidRDefault="003271A8" w:rsidP="00EC5A9C">
      <w:pPr>
        <w:spacing w:after="0" w:line="240" w:lineRule="auto"/>
        <w:jc w:val="both"/>
        <w:rPr>
          <w:rFonts w:ascii="Times New Roman" w:eastAsia="Calibri" w:hAnsi="Times New Roman" w:cs="Times New Roman"/>
          <w:b/>
          <w:bCs/>
          <w:sz w:val="24"/>
          <w:szCs w:val="24"/>
          <w:lang w:val="en-US"/>
        </w:rPr>
      </w:pPr>
    </w:p>
    <w:p w14:paraId="5858D3FD" w14:textId="62C9667A" w:rsidR="003271A8" w:rsidRDefault="003271A8" w:rsidP="00EC5A9C">
      <w:pPr>
        <w:spacing w:after="0" w:line="240" w:lineRule="auto"/>
        <w:jc w:val="both"/>
        <w:rPr>
          <w:rFonts w:ascii="Times New Roman" w:eastAsia="Calibri" w:hAnsi="Times New Roman" w:cs="Times New Roman"/>
          <w:b/>
          <w:bCs/>
          <w:sz w:val="24"/>
          <w:szCs w:val="24"/>
          <w:lang w:val="en-US"/>
        </w:rPr>
      </w:pPr>
    </w:p>
    <w:p w14:paraId="636D40CB" w14:textId="715B89DA" w:rsidR="003271A8" w:rsidRDefault="003271A8" w:rsidP="00EC5A9C">
      <w:pPr>
        <w:spacing w:after="0" w:line="240" w:lineRule="auto"/>
        <w:jc w:val="both"/>
        <w:rPr>
          <w:rFonts w:ascii="Times New Roman" w:eastAsia="Calibri" w:hAnsi="Times New Roman" w:cs="Times New Roman"/>
          <w:b/>
          <w:bCs/>
          <w:sz w:val="24"/>
          <w:szCs w:val="24"/>
          <w:lang w:val="en-US"/>
        </w:rPr>
      </w:pPr>
    </w:p>
    <w:p w14:paraId="5FC475CA" w14:textId="0EE7C17E" w:rsidR="003271A8" w:rsidRDefault="003271A8" w:rsidP="00EC5A9C">
      <w:pPr>
        <w:spacing w:after="0" w:line="240" w:lineRule="auto"/>
        <w:jc w:val="both"/>
        <w:rPr>
          <w:rFonts w:ascii="Times New Roman" w:eastAsia="Calibri" w:hAnsi="Times New Roman" w:cs="Times New Roman"/>
          <w:b/>
          <w:bCs/>
          <w:sz w:val="24"/>
          <w:szCs w:val="24"/>
          <w:lang w:val="en-US"/>
        </w:rPr>
      </w:pPr>
    </w:p>
    <w:p w14:paraId="6BF6C2F5" w14:textId="74A21614" w:rsidR="003271A8" w:rsidRDefault="003271A8" w:rsidP="00EC5A9C">
      <w:pPr>
        <w:spacing w:after="0" w:line="240" w:lineRule="auto"/>
        <w:jc w:val="both"/>
        <w:rPr>
          <w:rFonts w:ascii="Times New Roman" w:eastAsia="Calibri" w:hAnsi="Times New Roman" w:cs="Times New Roman"/>
          <w:b/>
          <w:bCs/>
          <w:sz w:val="24"/>
          <w:szCs w:val="24"/>
          <w:lang w:val="en-US"/>
        </w:rPr>
      </w:pPr>
    </w:p>
    <w:p w14:paraId="0935FED2" w14:textId="777D7402" w:rsidR="003271A8" w:rsidRDefault="003271A8" w:rsidP="00EC5A9C">
      <w:pPr>
        <w:spacing w:after="0" w:line="240" w:lineRule="auto"/>
        <w:jc w:val="both"/>
        <w:rPr>
          <w:rFonts w:ascii="Times New Roman" w:eastAsia="Calibri" w:hAnsi="Times New Roman" w:cs="Times New Roman"/>
          <w:b/>
          <w:bCs/>
          <w:sz w:val="24"/>
          <w:szCs w:val="24"/>
          <w:lang w:val="en-US"/>
        </w:rPr>
      </w:pPr>
    </w:p>
    <w:p w14:paraId="22D879FF" w14:textId="65CCFC7B" w:rsidR="003271A8" w:rsidRDefault="003271A8" w:rsidP="00EC5A9C">
      <w:pPr>
        <w:spacing w:after="0" w:line="240" w:lineRule="auto"/>
        <w:jc w:val="both"/>
        <w:rPr>
          <w:rFonts w:ascii="Times New Roman" w:eastAsia="Calibri" w:hAnsi="Times New Roman" w:cs="Times New Roman"/>
          <w:b/>
          <w:bCs/>
          <w:sz w:val="24"/>
          <w:szCs w:val="24"/>
          <w:lang w:val="en-US"/>
        </w:rPr>
      </w:pPr>
    </w:p>
    <w:p w14:paraId="03FEFA84" w14:textId="67DD48C8" w:rsidR="003271A8" w:rsidRDefault="003271A8" w:rsidP="00EC5A9C">
      <w:pPr>
        <w:spacing w:after="0" w:line="240" w:lineRule="auto"/>
        <w:jc w:val="both"/>
        <w:rPr>
          <w:rFonts w:ascii="Times New Roman" w:eastAsia="Calibri" w:hAnsi="Times New Roman" w:cs="Times New Roman"/>
          <w:b/>
          <w:bCs/>
          <w:sz w:val="24"/>
          <w:szCs w:val="24"/>
          <w:lang w:val="en-US"/>
        </w:rPr>
      </w:pPr>
    </w:p>
    <w:p w14:paraId="2F3E0EA7" w14:textId="7AC4E904" w:rsidR="003271A8" w:rsidRDefault="003271A8" w:rsidP="00EC5A9C">
      <w:pPr>
        <w:spacing w:after="0" w:line="240" w:lineRule="auto"/>
        <w:jc w:val="both"/>
        <w:rPr>
          <w:rFonts w:ascii="Times New Roman" w:eastAsia="Calibri" w:hAnsi="Times New Roman" w:cs="Times New Roman"/>
          <w:b/>
          <w:bCs/>
          <w:sz w:val="24"/>
          <w:szCs w:val="24"/>
          <w:lang w:val="en-US"/>
        </w:rPr>
      </w:pPr>
    </w:p>
    <w:p w14:paraId="6F2C422D" w14:textId="0FF39EC7" w:rsidR="003271A8" w:rsidRDefault="003271A8" w:rsidP="00EC5A9C">
      <w:pPr>
        <w:spacing w:after="0" w:line="240" w:lineRule="auto"/>
        <w:jc w:val="both"/>
        <w:rPr>
          <w:rFonts w:ascii="Times New Roman" w:eastAsia="Calibri" w:hAnsi="Times New Roman" w:cs="Times New Roman"/>
          <w:b/>
          <w:bCs/>
          <w:sz w:val="24"/>
          <w:szCs w:val="24"/>
          <w:lang w:val="en-US"/>
        </w:rPr>
      </w:pPr>
    </w:p>
    <w:p w14:paraId="101EF776" w14:textId="77777777" w:rsidR="003271A8" w:rsidRDefault="003271A8" w:rsidP="00EC5A9C">
      <w:pPr>
        <w:spacing w:after="0" w:line="240" w:lineRule="auto"/>
        <w:jc w:val="both"/>
        <w:rPr>
          <w:rFonts w:ascii="Times New Roman" w:eastAsia="Calibri" w:hAnsi="Times New Roman" w:cs="Times New Roman"/>
          <w:b/>
          <w:bCs/>
          <w:sz w:val="24"/>
          <w:szCs w:val="24"/>
          <w:lang w:val="en-US"/>
        </w:rPr>
      </w:pPr>
    </w:p>
    <w:p w14:paraId="0030BFCF" w14:textId="693B069E" w:rsidR="00984E59" w:rsidRDefault="00984E59" w:rsidP="00EC5A9C">
      <w:pPr>
        <w:spacing w:after="0" w:line="240" w:lineRule="auto"/>
        <w:jc w:val="both"/>
        <w:rPr>
          <w:rFonts w:ascii="Times New Roman" w:eastAsia="Calibri" w:hAnsi="Times New Roman" w:cs="Times New Roman"/>
          <w:b/>
          <w:bCs/>
          <w:sz w:val="24"/>
          <w:szCs w:val="24"/>
          <w:lang w:val="en-US"/>
        </w:rPr>
      </w:pPr>
    </w:p>
    <w:p w14:paraId="1879D1DD" w14:textId="1474D3D2" w:rsidR="00984E59" w:rsidRDefault="00984E59" w:rsidP="00EC5A9C">
      <w:pPr>
        <w:spacing w:after="0" w:line="240" w:lineRule="auto"/>
        <w:jc w:val="both"/>
        <w:rPr>
          <w:rFonts w:ascii="Times New Roman" w:eastAsia="Calibri" w:hAnsi="Times New Roman" w:cs="Times New Roman"/>
          <w:b/>
          <w:bCs/>
          <w:sz w:val="24"/>
          <w:szCs w:val="24"/>
          <w:lang w:val="en-US"/>
        </w:rPr>
      </w:pPr>
    </w:p>
    <w:p w14:paraId="60EECC2B" w14:textId="77777777" w:rsidR="00984E59" w:rsidRDefault="00984E59" w:rsidP="00EC5A9C">
      <w:pPr>
        <w:spacing w:after="0" w:line="240" w:lineRule="auto"/>
        <w:jc w:val="both"/>
        <w:rPr>
          <w:rFonts w:ascii="Times New Roman" w:eastAsia="Calibri" w:hAnsi="Times New Roman" w:cs="Times New Roman"/>
          <w:b/>
          <w:bCs/>
          <w:sz w:val="24"/>
          <w:szCs w:val="24"/>
          <w:lang w:val="en-US"/>
        </w:rPr>
      </w:pPr>
    </w:p>
    <w:p w14:paraId="15AA0985" w14:textId="373BF46E" w:rsidR="002D3A83" w:rsidRDefault="002D3A83" w:rsidP="00EC5A9C">
      <w:pPr>
        <w:spacing w:after="0" w:line="240" w:lineRule="auto"/>
        <w:jc w:val="both"/>
        <w:rPr>
          <w:rFonts w:ascii="Times New Roman" w:eastAsia="Calibri" w:hAnsi="Times New Roman" w:cs="Times New Roman"/>
          <w:b/>
          <w:bCs/>
          <w:sz w:val="24"/>
          <w:szCs w:val="24"/>
          <w:lang w:val="en-US"/>
        </w:rPr>
      </w:pPr>
    </w:p>
    <w:p w14:paraId="121CFF63" w14:textId="77777777" w:rsidR="002D3A83" w:rsidRPr="00AF4487" w:rsidRDefault="002D3A83" w:rsidP="00EC5A9C">
      <w:pPr>
        <w:spacing w:after="0" w:line="240" w:lineRule="auto"/>
        <w:jc w:val="both"/>
        <w:rPr>
          <w:rFonts w:ascii="Times New Roman" w:eastAsia="Calibri" w:hAnsi="Times New Roman" w:cs="Times New Roman"/>
          <w:b/>
          <w:bCs/>
          <w:sz w:val="24"/>
          <w:szCs w:val="24"/>
          <w:lang w:val="en-US"/>
        </w:rPr>
      </w:pPr>
    </w:p>
    <w:p w14:paraId="54166E8A" w14:textId="7B9B81CA" w:rsidR="00EC3CEC" w:rsidRPr="00AF4487" w:rsidRDefault="00EC3CEC" w:rsidP="00EC5A9C">
      <w:pPr>
        <w:spacing w:after="0" w:line="240" w:lineRule="auto"/>
        <w:jc w:val="both"/>
        <w:rPr>
          <w:rFonts w:ascii="Times New Roman" w:eastAsia="Calibri" w:hAnsi="Times New Roman" w:cs="Times New Roman"/>
          <w:b/>
          <w:bCs/>
          <w:sz w:val="24"/>
          <w:szCs w:val="24"/>
          <w:lang w:val="en-US"/>
        </w:rPr>
      </w:pPr>
      <w:bookmarkStart w:id="3" w:name="_Hlk122773725"/>
    </w:p>
    <w:bookmarkStart w:id="4" w:name="_Hlk89858723"/>
    <w:p w14:paraId="692BFB67"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2336" behindDoc="0" locked="0" layoutInCell="1" allowOverlap="1" wp14:anchorId="286D0C76" wp14:editId="7A83C0D0">
                <wp:simplePos x="0" y="0"/>
                <wp:positionH relativeFrom="column">
                  <wp:posOffset>2234565</wp:posOffset>
                </wp:positionH>
                <wp:positionV relativeFrom="paragraph">
                  <wp:posOffset>6350</wp:posOffset>
                </wp:positionV>
                <wp:extent cx="1609725" cy="7239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609725" cy="723900"/>
                        </a:xfrm>
                        <a:prstGeom prst="roundRect">
                          <a:avLst/>
                        </a:prstGeom>
                        <a:solidFill>
                          <a:sysClr val="window" lastClr="FFFFFF"/>
                        </a:solidFill>
                        <a:ln w="25400" cap="flat" cmpd="sng" algn="ctr">
                          <a:solidFill>
                            <a:sysClr val="windowText" lastClr="000000"/>
                          </a:solidFill>
                          <a:prstDash val="solid"/>
                          <a:miter lim="800000"/>
                        </a:ln>
                        <a:effectLst/>
                      </wps:spPr>
                      <wps:txbx>
                        <w:txbxContent>
                          <w:p w14:paraId="117DB494" w14:textId="77777777" w:rsidR="00295B36" w:rsidRPr="00CB3499" w:rsidRDefault="00295B36" w:rsidP="00EC5A9C">
                            <w:pPr>
                              <w:jc w:val="center"/>
                              <w:rPr>
                                <w:rFonts w:ascii="Times New Roman" w:hAnsi="Times New Roman" w:cs="Times New Roman"/>
                                <w:sz w:val="24"/>
                                <w:szCs w:val="24"/>
                              </w:rPr>
                            </w:pPr>
                            <w:r>
                              <w:rPr>
                                <w:rFonts w:ascii="Times New Roman" w:hAnsi="Times New Roman" w:cs="Times New Roman"/>
                                <w:sz w:val="24"/>
                                <w:szCs w:val="24"/>
                                <w:lang w:val="en-US"/>
                              </w:rPr>
                              <w:t xml:space="preserve">Board sustainability committee  </w:t>
                            </w:r>
                            <w:r w:rsidRPr="00CB3499">
                              <w:rPr>
                                <w:rFonts w:ascii="Times New Roman" w:hAnsi="Times New Roman" w:cs="Times New Roman"/>
                                <w:sz w:val="24"/>
                                <w:szCs w:val="24"/>
                              </w:rPr>
                              <w:t xml:space="preserve"> (BSCOM)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D0C76" id="Rounded Rectangle 15" o:spid="_x0000_s1026" style="position:absolute;left:0;text-align:left;margin-left:175.95pt;margin-top:.5pt;width:126.7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" fillcolor="window" strokecolor="windowText" strokeweight="2pt">
                <v:stroke joinstyle="miter"/>
                <v:textbox>
                  <w:txbxContent>
                    <w:p w14:paraId="117DB494" w14:textId="77777777" w:rsidR="00295B36" w:rsidRPr="00CB3499" w:rsidRDefault="00295B36" w:rsidP="00EC5A9C">
                      <w:pPr>
                        <w:jc w:val="center"/>
                        <w:rPr>
                          <w:rFonts w:ascii="Times New Roman" w:hAnsi="Times New Roman" w:cs="Times New Roman"/>
                          <w:sz w:val="24"/>
                          <w:szCs w:val="24"/>
                        </w:rPr>
                      </w:pPr>
                      <w:r>
                        <w:rPr>
                          <w:rFonts w:ascii="Times New Roman" w:hAnsi="Times New Roman" w:cs="Times New Roman"/>
                          <w:sz w:val="24"/>
                          <w:szCs w:val="24"/>
                          <w:lang w:val="en-US"/>
                        </w:rPr>
                        <w:t xml:space="preserve">Board sustainability committee  </w:t>
                      </w:r>
                      <w:r w:rsidRPr="00CB3499">
                        <w:rPr>
                          <w:rFonts w:ascii="Times New Roman" w:hAnsi="Times New Roman" w:cs="Times New Roman"/>
                          <w:sz w:val="24"/>
                          <w:szCs w:val="24"/>
                        </w:rPr>
                        <w:t xml:space="preserve"> (BSCOM)</w:t>
                      </w:r>
                    </w:p>
                  </w:txbxContent>
                </v:textbox>
              </v:roundrect>
            </w:pict>
          </mc:Fallback>
        </mc:AlternateContent>
      </w:r>
    </w:p>
    <w:p w14:paraId="5758A01E"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p>
    <w:p w14:paraId="7E0388D8"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p>
    <w:p w14:paraId="68A5C086"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p>
    <w:p w14:paraId="39D7D0D6"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8480" behindDoc="0" locked="0" layoutInCell="1" allowOverlap="1" wp14:anchorId="2B88E360" wp14:editId="3D879E6F">
                <wp:simplePos x="0" y="0"/>
                <wp:positionH relativeFrom="column">
                  <wp:posOffset>3253740</wp:posOffset>
                </wp:positionH>
                <wp:positionV relativeFrom="paragraph">
                  <wp:posOffset>28575</wp:posOffset>
                </wp:positionV>
                <wp:extent cx="1009650" cy="1857375"/>
                <wp:effectExtent l="19050" t="19050" r="57150" b="47625"/>
                <wp:wrapNone/>
                <wp:docPr id="26" name="Straight Arrow Connector 26"/>
                <wp:cNvGraphicFramePr/>
                <a:graphic xmlns:a="http://schemas.openxmlformats.org/drawingml/2006/main">
                  <a:graphicData uri="http://schemas.microsoft.com/office/word/2010/wordprocessingShape">
                    <wps:wsp>
                      <wps:cNvCnPr/>
                      <wps:spPr>
                        <a:xfrm>
                          <a:off x="0" y="0"/>
                          <a:ext cx="1009650" cy="1857375"/>
                        </a:xfrm>
                        <a:prstGeom prst="straightConnector1">
                          <a:avLst/>
                        </a:prstGeom>
                        <a:noFill/>
                        <a:ln w="317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7571A73" id="_x0000_t32" coordsize="21600,21600" o:spt="32" o:oned="t" path="m,l21600,21600e" filled="f">
                <v:path arrowok="t" fillok="f" o:connecttype="none"/>
                <o:lock v:ext="edit" shapetype="t"/>
              </v:shapetype>
              <v:shape id="Straight Arrow Connector 26" o:spid="_x0000_s1026" type="#_x0000_t32" style="position:absolute;margin-left:256.2pt;margin-top:2.25pt;width:79.5pt;height:14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" strokecolor="windowText" strokeweight="2.5pt">
                <v:stroke dashstyle="3 1" endarrow="block" joinstyle="miter"/>
              </v:shape>
            </w:pict>
          </mc:Fallback>
        </mc:AlternateContent>
      </w: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7456" behindDoc="0" locked="0" layoutInCell="1" allowOverlap="1" wp14:anchorId="16D5E9E2" wp14:editId="277A499C">
                <wp:simplePos x="0" y="0"/>
                <wp:positionH relativeFrom="column">
                  <wp:posOffset>1891664</wp:posOffset>
                </wp:positionH>
                <wp:positionV relativeFrom="paragraph">
                  <wp:posOffset>28575</wp:posOffset>
                </wp:positionV>
                <wp:extent cx="904875" cy="1857375"/>
                <wp:effectExtent l="38100" t="19050" r="28575" b="47625"/>
                <wp:wrapNone/>
                <wp:docPr id="25" name="Straight Arrow Connector 25"/>
                <wp:cNvGraphicFramePr/>
                <a:graphic xmlns:a="http://schemas.openxmlformats.org/drawingml/2006/main">
                  <a:graphicData uri="http://schemas.microsoft.com/office/word/2010/wordprocessingShape">
                    <wps:wsp>
                      <wps:cNvCnPr/>
                      <wps:spPr>
                        <a:xfrm flipH="1">
                          <a:off x="0" y="0"/>
                          <a:ext cx="904875" cy="1857375"/>
                        </a:xfrm>
                        <a:prstGeom prst="straightConnector1">
                          <a:avLst/>
                        </a:prstGeom>
                        <a:noFill/>
                        <a:ln w="31750" cap="flat" cmpd="sng" algn="ctr">
                          <a:solidFill>
                            <a:sysClr val="windowText" lastClr="000000"/>
                          </a:solidFill>
                          <a:prstDash val="sys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4CAEF5" id="Straight Arrow Connector 25" o:spid="_x0000_s1026" type="#_x0000_t32" style="position:absolute;margin-left:148.95pt;margin-top:2.25pt;width:71.25pt;height:146.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" strokecolor="windowText" strokeweight="2.5pt">
                <v:stroke dashstyle="3 1" endarrow="block" joinstyle="miter"/>
              </v:shape>
            </w:pict>
          </mc:Fallback>
        </mc:AlternateContent>
      </w: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6432" behindDoc="0" locked="0" layoutInCell="1" allowOverlap="1" wp14:anchorId="1966BC97" wp14:editId="155DBB4F">
                <wp:simplePos x="0" y="0"/>
                <wp:positionH relativeFrom="column">
                  <wp:posOffset>3034665</wp:posOffset>
                </wp:positionH>
                <wp:positionV relativeFrom="paragraph">
                  <wp:posOffset>28575</wp:posOffset>
                </wp:positionV>
                <wp:extent cx="9525" cy="904875"/>
                <wp:effectExtent l="95250" t="19050" r="66675" b="47625"/>
                <wp:wrapNone/>
                <wp:docPr id="24" name="Straight Arrow Connector 24"/>
                <wp:cNvGraphicFramePr/>
                <a:graphic xmlns:a="http://schemas.openxmlformats.org/drawingml/2006/main">
                  <a:graphicData uri="http://schemas.microsoft.com/office/word/2010/wordprocessingShape">
                    <wps:wsp>
                      <wps:cNvCnPr/>
                      <wps:spPr>
                        <a:xfrm>
                          <a:off x="0" y="0"/>
                          <a:ext cx="9525" cy="904875"/>
                        </a:xfrm>
                        <a:prstGeom prst="straightConnector1">
                          <a:avLst/>
                        </a:prstGeom>
                        <a:noFill/>
                        <a:ln w="31750" cap="flat" cmpd="sng" algn="ctr">
                          <a:solidFill>
                            <a:sysClr val="windowText" lastClr="000000"/>
                          </a:solidFill>
                          <a:prstDash val="sysDash"/>
                          <a:miter lim="800000"/>
                          <a:tailEnd type="triangle"/>
                        </a:ln>
                        <a:effectLst/>
                      </wps:spPr>
                      <wps:bodyPr/>
                    </wps:wsp>
                  </a:graphicData>
                </a:graphic>
              </wp:anchor>
            </w:drawing>
          </mc:Choice>
          <mc:Fallback>
            <w:pict>
              <v:shape w14:anchorId="27622767" id="Straight Arrow Connector 24" o:spid="_x0000_s1026" type="#_x0000_t32" style="position:absolute;margin-left:238.95pt;margin-top:2.25pt;width:.75pt;height:71.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" strokecolor="windowText" strokeweight="2.5pt">
                <v:stroke dashstyle="3 1" endarrow="block" joinstyle="miter"/>
              </v:shape>
            </w:pict>
          </mc:Fallback>
        </mc:AlternateContent>
      </w:r>
      <w:r w:rsidRPr="00AF4487">
        <w:rPr>
          <w:rFonts w:ascii="Times New Roman" w:eastAsia="Calibri" w:hAnsi="Times New Roman" w:cs="Times New Roman"/>
          <w:i/>
          <w:sz w:val="24"/>
          <w:szCs w:val="24"/>
          <w:lang w:val="en-US"/>
        </w:rPr>
        <w:t xml:space="preserve">                                                                                                                        </w:t>
      </w:r>
    </w:p>
    <w:p w14:paraId="27737AC2"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sz w:val="24"/>
          <w:szCs w:val="24"/>
          <w:lang w:val="en-US"/>
        </w:rPr>
        <w:t xml:space="preserve">                                                                                 H4</w:t>
      </w:r>
    </w:p>
    <w:p w14:paraId="1439363A"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sz w:val="24"/>
          <w:szCs w:val="24"/>
          <w:lang w:val="en-US"/>
        </w:rPr>
        <w:t xml:space="preserve">                                                          </w:t>
      </w:r>
    </w:p>
    <w:p w14:paraId="71E20910"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0288" behindDoc="0" locked="0" layoutInCell="1" allowOverlap="1" wp14:anchorId="47E77FFE" wp14:editId="17261941">
                <wp:simplePos x="0" y="0"/>
                <wp:positionH relativeFrom="column">
                  <wp:posOffset>215265</wp:posOffset>
                </wp:positionH>
                <wp:positionV relativeFrom="paragraph">
                  <wp:posOffset>7620</wp:posOffset>
                </wp:positionV>
                <wp:extent cx="1514475" cy="8572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514475" cy="857250"/>
                        </a:xfrm>
                        <a:prstGeom prst="roundRect">
                          <a:avLst/>
                        </a:prstGeom>
                        <a:solidFill>
                          <a:sysClr val="window" lastClr="FFFFFF"/>
                        </a:solidFill>
                        <a:ln w="25400" cap="flat" cmpd="sng" algn="ctr">
                          <a:solidFill>
                            <a:sysClr val="windowText" lastClr="000000"/>
                          </a:solidFill>
                          <a:prstDash val="solid"/>
                          <a:miter lim="800000"/>
                        </a:ln>
                        <a:effectLst/>
                      </wps:spPr>
                      <wps:txbx>
                        <w:txbxContent>
                          <w:p w14:paraId="7CDD493D" w14:textId="77777777" w:rsidR="00295B36" w:rsidRPr="002D3A83" w:rsidRDefault="00295B36" w:rsidP="00EC5A9C">
                            <w:pPr>
                              <w:jc w:val="center"/>
                              <w:rPr>
                                <w:rFonts w:ascii="Times New Roman" w:hAnsi="Times New Roman" w:cs="Times New Roman"/>
                                <w:sz w:val="24"/>
                                <w:lang w:val="en-US"/>
                              </w:rPr>
                            </w:pPr>
                            <w:r w:rsidRPr="002D3A83">
                              <w:rPr>
                                <w:rFonts w:ascii="Times New Roman" w:hAnsi="Times New Roman" w:cs="Times New Roman"/>
                                <w:sz w:val="24"/>
                                <w:lang w:val="en-US"/>
                              </w:rPr>
                              <w:t>Corporate carbon performance by emissions (CCPE)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77FFE" id="Rounded Rectangle 2" o:spid="_x0000_s1027" style="position:absolute;left:0;text-align:left;margin-left:16.95pt;margin-top:.6pt;width:119.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" fillcolor="window" strokecolor="windowText" strokeweight="2pt">
                <v:stroke joinstyle="miter"/>
                <v:textbox>
                  <w:txbxContent>
                    <w:p w14:paraId="7CDD493D" w14:textId="77777777" w:rsidR="00295B36" w:rsidRPr="002D3A83" w:rsidRDefault="00295B36" w:rsidP="00EC5A9C">
                      <w:pPr>
                        <w:jc w:val="center"/>
                        <w:rPr>
                          <w:rFonts w:ascii="Times New Roman" w:hAnsi="Times New Roman" w:cs="Times New Roman"/>
                          <w:sz w:val="24"/>
                          <w:lang w:val="en-US"/>
                        </w:rPr>
                      </w:pPr>
                      <w:r w:rsidRPr="002D3A83">
                        <w:rPr>
                          <w:rFonts w:ascii="Times New Roman" w:hAnsi="Times New Roman" w:cs="Times New Roman"/>
                          <w:sz w:val="24"/>
                          <w:lang w:val="en-US"/>
                        </w:rPr>
                        <w:t>Corporate carbon performance by emissions (CCPE)</w:t>
                      </w:r>
                    </w:p>
                  </w:txbxContent>
                </v:textbox>
              </v:roundrect>
            </w:pict>
          </mc:Fallback>
        </mc:AlternateContent>
      </w: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61312" behindDoc="0" locked="0" layoutInCell="1" allowOverlap="1" wp14:anchorId="2BA38E42" wp14:editId="3C9543EE">
                <wp:simplePos x="0" y="0"/>
                <wp:positionH relativeFrom="column">
                  <wp:posOffset>4371975</wp:posOffset>
                </wp:positionH>
                <wp:positionV relativeFrom="paragraph">
                  <wp:posOffset>8890</wp:posOffset>
                </wp:positionV>
                <wp:extent cx="1514475" cy="8572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1514475" cy="857250"/>
                        </a:xfrm>
                        <a:prstGeom prst="roundRect">
                          <a:avLst/>
                        </a:prstGeom>
                        <a:solidFill>
                          <a:sysClr val="window" lastClr="FFFFFF"/>
                        </a:solidFill>
                        <a:ln w="25400" cap="flat" cmpd="sng" algn="ctr">
                          <a:solidFill>
                            <a:sysClr val="windowText" lastClr="000000"/>
                          </a:solidFill>
                          <a:prstDash val="solid"/>
                          <a:miter lim="800000"/>
                        </a:ln>
                        <a:effectLst/>
                      </wps:spPr>
                      <wps:txbx>
                        <w:txbxContent>
                          <w:p w14:paraId="1BD91E42" w14:textId="77777777" w:rsidR="00295B36" w:rsidRPr="002D3A83" w:rsidRDefault="00295B36" w:rsidP="00EC5A9C">
                            <w:pPr>
                              <w:jc w:val="center"/>
                              <w:rPr>
                                <w:rFonts w:ascii="Times New Roman" w:hAnsi="Times New Roman" w:cs="Times New Roman"/>
                                <w:sz w:val="24"/>
                                <w:lang w:val="en-US"/>
                              </w:rPr>
                            </w:pPr>
                            <w:r w:rsidRPr="002D3A83">
                              <w:rPr>
                                <w:rFonts w:ascii="Times New Roman" w:hAnsi="Times New Roman" w:cs="Times New Roman"/>
                                <w:sz w:val="24"/>
                                <w:lang w:val="en-US"/>
                              </w:rPr>
                              <w:t>Process-based climate change initiatives (PCCIs)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38E42" id="Rounded Rectangle 14" o:spid="_x0000_s1028" style="position:absolute;left:0;text-align:left;margin-left:344.25pt;margin-top:.7pt;width:119.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" fillcolor="window" strokecolor="windowText" strokeweight="2pt">
                <v:stroke joinstyle="miter"/>
                <v:textbox>
                  <w:txbxContent>
                    <w:p w14:paraId="1BD91E42" w14:textId="77777777" w:rsidR="00295B36" w:rsidRPr="002D3A83" w:rsidRDefault="00295B36" w:rsidP="00EC5A9C">
                      <w:pPr>
                        <w:jc w:val="center"/>
                        <w:rPr>
                          <w:rFonts w:ascii="Times New Roman" w:hAnsi="Times New Roman" w:cs="Times New Roman"/>
                          <w:sz w:val="24"/>
                          <w:lang w:val="en-US"/>
                        </w:rPr>
                      </w:pPr>
                      <w:r w:rsidRPr="002D3A83">
                        <w:rPr>
                          <w:rFonts w:ascii="Times New Roman" w:hAnsi="Times New Roman" w:cs="Times New Roman"/>
                          <w:sz w:val="24"/>
                          <w:lang w:val="en-US"/>
                        </w:rPr>
                        <w:t>Process-based climate change initiatives (PCCIs)</w:t>
                      </w:r>
                    </w:p>
                  </w:txbxContent>
                </v:textbox>
              </v:roundrect>
            </w:pict>
          </mc:Fallback>
        </mc:AlternateContent>
      </w:r>
      <w:r w:rsidRPr="00AF4487">
        <w:rPr>
          <w:rFonts w:ascii="Times New Roman" w:eastAsia="Calibri" w:hAnsi="Times New Roman" w:cs="Times New Roman"/>
          <w:i/>
          <w:sz w:val="24"/>
          <w:szCs w:val="24"/>
          <w:lang w:val="en-US"/>
        </w:rPr>
        <w:t xml:space="preserve">                                                         H2a                                H2b</w:t>
      </w:r>
    </w:p>
    <w:p w14:paraId="07829B49"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sz w:val="24"/>
          <w:szCs w:val="24"/>
          <w:lang w:val="en-US"/>
        </w:rPr>
        <w:t xml:space="preserve">                                                      </w:t>
      </w:r>
    </w:p>
    <w:p w14:paraId="388BE55C" w14:textId="6C79E7B9" w:rsidR="00EC5A9C" w:rsidRPr="00AF4487" w:rsidRDefault="00461751"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71552" behindDoc="0" locked="0" layoutInCell="1" allowOverlap="1" wp14:anchorId="1BBB8A69" wp14:editId="1E86317E">
                <wp:simplePos x="0" y="0"/>
                <wp:positionH relativeFrom="column">
                  <wp:posOffset>1730403</wp:posOffset>
                </wp:positionH>
                <wp:positionV relativeFrom="paragraph">
                  <wp:posOffset>54582</wp:posOffset>
                </wp:positionV>
                <wp:extent cx="2644057" cy="0"/>
                <wp:effectExtent l="0" t="95250" r="0" b="95250"/>
                <wp:wrapNone/>
                <wp:docPr id="3" name="Straight Arrow Connector 3"/>
                <wp:cNvGraphicFramePr/>
                <a:graphic xmlns:a="http://schemas.openxmlformats.org/drawingml/2006/main">
                  <a:graphicData uri="http://schemas.microsoft.com/office/word/2010/wordprocessingShape">
                    <wps:wsp>
                      <wps:cNvCnPr/>
                      <wps:spPr>
                        <a:xfrm flipH="1">
                          <a:off x="0" y="0"/>
                          <a:ext cx="2644057"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D3454B" id="_x0000_t32" coordsize="21600,21600" o:spt="32" o:oned="t" path="m,l21600,21600e" filled="f">
                <v:path arrowok="t" fillok="f" o:connecttype="none"/>
                <o:lock v:ext="edit" shapetype="t"/>
              </v:shapetype>
              <v:shape id="Straight Arrow Connector 3" o:spid="_x0000_s1026" type="#_x0000_t32" style="position:absolute;margin-left:136.25pt;margin-top:4.3pt;width:208.2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" strokecolor="black [3213]" strokeweight="2.5pt">
                <v:stroke endarrow="block" joinstyle="miter"/>
              </v:shape>
            </w:pict>
          </mc:Fallback>
        </mc:AlternateContent>
      </w:r>
    </w:p>
    <w:p w14:paraId="69EAC9D8"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i/>
          <w:sz w:val="24"/>
          <w:szCs w:val="24"/>
          <w:lang w:val="en-US"/>
        </w:rPr>
        <w:t xml:space="preserve">                                                                                     H3               </w:t>
      </w:r>
    </w:p>
    <w:p w14:paraId="6F4E51FC" w14:textId="03F8C803" w:rsidR="00EC5A9C" w:rsidRPr="00AF4487" w:rsidRDefault="00461751" w:rsidP="00EC5A9C">
      <w:pPr>
        <w:spacing w:after="0" w:line="240" w:lineRule="auto"/>
        <w:jc w:val="both"/>
        <w:rPr>
          <w:rFonts w:ascii="Times New Roman" w:eastAsia="Calibri" w:hAnsi="Times New Roman" w:cs="Times New Roman"/>
          <w:sz w:val="24"/>
          <w:szCs w:val="24"/>
          <w:lang w:val="en-US"/>
        </w:rPr>
      </w:pPr>
      <w:r w:rsidRPr="00AF4487">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54A3BBB2" wp14:editId="1E1D1109">
                <wp:simplePos x="0" y="0"/>
                <wp:positionH relativeFrom="column">
                  <wp:posOffset>3847217</wp:posOffset>
                </wp:positionH>
                <wp:positionV relativeFrom="paragraph">
                  <wp:posOffset>170180</wp:posOffset>
                </wp:positionV>
                <wp:extent cx="1247775" cy="781050"/>
                <wp:effectExtent l="38100" t="19050" r="28575" b="38100"/>
                <wp:wrapNone/>
                <wp:docPr id="21" name="Straight Arrow Connector 21"/>
                <wp:cNvGraphicFramePr/>
                <a:graphic xmlns:a="http://schemas.openxmlformats.org/drawingml/2006/main">
                  <a:graphicData uri="http://schemas.microsoft.com/office/word/2010/wordprocessingShape">
                    <wps:wsp>
                      <wps:cNvCnPr/>
                      <wps:spPr>
                        <a:xfrm flipH="1">
                          <a:off x="0" y="0"/>
                          <a:ext cx="1247775" cy="781050"/>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F93CEA" id="Straight Arrow Connector 21" o:spid="_x0000_s1026" type="#_x0000_t32" style="position:absolute;margin-left:302.95pt;margin-top:13.4pt;width:98.25pt;height:6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" strokecolor="windowText" strokeweight="2.5pt">
                <v:stroke endarrow="block" joinstyle="miter"/>
              </v:shape>
            </w:pict>
          </mc:Fallback>
        </mc:AlternateContent>
      </w:r>
    </w:p>
    <w:p w14:paraId="2AAC2DAE" w14:textId="7A1DBE61" w:rsidR="00EC5A9C" w:rsidRPr="00AF4487" w:rsidRDefault="00461751" w:rsidP="00EC5A9C">
      <w:pPr>
        <w:spacing w:after="0" w:line="240" w:lineRule="auto"/>
        <w:jc w:val="both"/>
        <w:rPr>
          <w:rFonts w:ascii="Times New Roman" w:eastAsia="Calibri" w:hAnsi="Times New Roman" w:cs="Times New Roman"/>
          <w:i/>
          <w:sz w:val="24"/>
          <w:szCs w:val="24"/>
          <w:lang w:val="en-US"/>
        </w:rPr>
      </w:pPr>
      <w:r w:rsidRPr="00AF4487">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186A154" wp14:editId="2000337C">
                <wp:simplePos x="0" y="0"/>
                <wp:positionH relativeFrom="column">
                  <wp:posOffset>1033780</wp:posOffset>
                </wp:positionH>
                <wp:positionV relativeFrom="paragraph">
                  <wp:posOffset>5715</wp:posOffset>
                </wp:positionV>
                <wp:extent cx="1266825" cy="771525"/>
                <wp:effectExtent l="19050" t="19050" r="66675" b="47625"/>
                <wp:wrapNone/>
                <wp:docPr id="19" name="Straight Arrow Connector 19"/>
                <wp:cNvGraphicFramePr/>
                <a:graphic xmlns:a="http://schemas.openxmlformats.org/drawingml/2006/main">
                  <a:graphicData uri="http://schemas.microsoft.com/office/word/2010/wordprocessingShape">
                    <wps:wsp>
                      <wps:cNvCnPr/>
                      <wps:spPr>
                        <a:xfrm>
                          <a:off x="0" y="0"/>
                          <a:ext cx="1266825" cy="771525"/>
                        </a:xfrm>
                        <a:prstGeom prst="straightConnector1">
                          <a:avLst/>
                        </a:prstGeom>
                        <a:noFill/>
                        <a:ln w="31750" cap="flat" cmpd="sng" algn="ctr">
                          <a:solidFill>
                            <a:sysClr val="windowText" lastClr="000000"/>
                          </a:solidFill>
                          <a:prstDash val="solid"/>
                          <a:miter lim="800000"/>
                          <a:headEnd w="lg" len="sm"/>
                          <a:tailEnd type="triangle"/>
                        </a:ln>
                        <a:effectLst/>
                      </wps:spPr>
                      <wps:bodyPr/>
                    </wps:wsp>
                  </a:graphicData>
                </a:graphic>
              </wp:anchor>
            </w:drawing>
          </mc:Choice>
          <mc:Fallback>
            <w:pict>
              <v:shape w14:anchorId="7A6E7BAE" id="Straight Arrow Connector 19" o:spid="_x0000_s1026" type="#_x0000_t32" style="position:absolute;margin-left:81.4pt;margin-top:.45pt;width:99.75pt;height:6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" strokecolor="windowText" strokeweight="2.5pt">
                <v:stroke startarrowwidth="wide" startarrowlength="short" endarrow="block" joinstyle="miter"/>
              </v:shape>
            </w:pict>
          </mc:Fallback>
        </mc:AlternateContent>
      </w:r>
    </w:p>
    <w:p w14:paraId="2A612CE0" w14:textId="77777777" w:rsidR="00EC5A9C" w:rsidRPr="00AF4487" w:rsidRDefault="00EC5A9C" w:rsidP="00EC5A9C">
      <w:pPr>
        <w:spacing w:after="0" w:line="240" w:lineRule="auto"/>
        <w:jc w:val="both"/>
        <w:rPr>
          <w:rFonts w:ascii="Times New Roman" w:eastAsia="Calibri" w:hAnsi="Times New Roman" w:cs="Times New Roman"/>
          <w:i/>
          <w:sz w:val="24"/>
          <w:szCs w:val="24"/>
          <w:lang w:val="en-US"/>
        </w:rPr>
      </w:pPr>
    </w:p>
    <w:p w14:paraId="6D035DD8" w14:textId="77777777" w:rsidR="00EC5A9C" w:rsidRPr="00AF4487" w:rsidRDefault="00EC5A9C" w:rsidP="00EC5A9C">
      <w:pPr>
        <w:spacing w:after="0" w:line="240" w:lineRule="auto"/>
        <w:jc w:val="both"/>
        <w:rPr>
          <w:rFonts w:ascii="Times New Roman" w:eastAsia="Calibri" w:hAnsi="Times New Roman" w:cs="Times New Roman"/>
          <w:i/>
          <w:sz w:val="28"/>
          <w:szCs w:val="24"/>
          <w:lang w:val="en-US"/>
        </w:rPr>
      </w:pPr>
      <w:r w:rsidRPr="00AF4487">
        <w:rPr>
          <w:rFonts w:ascii="Times New Roman" w:eastAsia="Calibri" w:hAnsi="Times New Roman" w:cs="Times New Roman"/>
          <w:i/>
          <w:sz w:val="28"/>
          <w:szCs w:val="24"/>
          <w:lang w:val="en-US"/>
        </w:rPr>
        <w:t xml:space="preserve">                               </w:t>
      </w:r>
      <w:r w:rsidRPr="00AF4487">
        <w:rPr>
          <w:rFonts w:ascii="Times New Roman" w:eastAsia="Calibri" w:hAnsi="Times New Roman" w:cs="Times New Roman"/>
          <w:i/>
          <w:sz w:val="24"/>
          <w:szCs w:val="24"/>
          <w:lang w:val="en-US"/>
        </w:rPr>
        <w:t xml:space="preserve">H1a  </w:t>
      </w:r>
      <w:r w:rsidRPr="00AF4487">
        <w:rPr>
          <w:rFonts w:ascii="Times New Roman" w:eastAsia="Calibri" w:hAnsi="Times New Roman" w:cs="Times New Roman"/>
          <w:i/>
          <w:sz w:val="28"/>
          <w:szCs w:val="24"/>
          <w:lang w:val="en-US"/>
        </w:rPr>
        <w:t xml:space="preserve">                                                                </w:t>
      </w:r>
      <w:r w:rsidRPr="00AF4487">
        <w:rPr>
          <w:rFonts w:ascii="Times New Roman" w:eastAsia="Calibri" w:hAnsi="Times New Roman" w:cs="Times New Roman"/>
          <w:i/>
          <w:sz w:val="24"/>
          <w:szCs w:val="24"/>
          <w:lang w:val="en-US"/>
        </w:rPr>
        <w:t>H1b</w:t>
      </w:r>
    </w:p>
    <w:p w14:paraId="35342AD2" w14:textId="77777777" w:rsidR="00EC5A9C" w:rsidRPr="00AF4487" w:rsidRDefault="00EC5A9C" w:rsidP="00EC5A9C">
      <w:pPr>
        <w:spacing w:after="0" w:line="240" w:lineRule="auto"/>
        <w:jc w:val="both"/>
        <w:rPr>
          <w:rFonts w:ascii="Times New Roman" w:eastAsia="Calibri" w:hAnsi="Times New Roman" w:cs="Times New Roman"/>
          <w:i/>
          <w:sz w:val="28"/>
          <w:szCs w:val="24"/>
          <w:lang w:val="en-US"/>
        </w:rPr>
      </w:pPr>
      <w:r w:rsidRPr="00AF4487">
        <w:rPr>
          <w:rFonts w:ascii="Times New Roman" w:eastAsia="Calibri" w:hAnsi="Times New Roman" w:cs="Times New Roman"/>
          <w:i/>
          <w:noProof/>
          <w:sz w:val="24"/>
          <w:szCs w:val="24"/>
          <w:lang w:eastAsia="ru-RU"/>
        </w:rPr>
        <mc:AlternateContent>
          <mc:Choice Requires="wps">
            <w:drawing>
              <wp:anchor distT="0" distB="0" distL="114300" distR="114300" simplePos="0" relativeHeight="251659264" behindDoc="0" locked="0" layoutInCell="1" allowOverlap="1" wp14:anchorId="1F9258DB" wp14:editId="4C6785BA">
                <wp:simplePos x="0" y="0"/>
                <wp:positionH relativeFrom="margin">
                  <wp:posOffset>2148840</wp:posOffset>
                </wp:positionH>
                <wp:positionV relativeFrom="paragraph">
                  <wp:posOffset>43180</wp:posOffset>
                </wp:positionV>
                <wp:extent cx="1828800" cy="771525"/>
                <wp:effectExtent l="0" t="0" r="19050" b="28575"/>
                <wp:wrapNone/>
                <wp:docPr id="1" name="Oval 1"/>
                <wp:cNvGraphicFramePr/>
                <a:graphic xmlns:a="http://schemas.openxmlformats.org/drawingml/2006/main">
                  <a:graphicData uri="http://schemas.microsoft.com/office/word/2010/wordprocessingShape">
                    <wps:wsp>
                      <wps:cNvSpPr/>
                      <wps:spPr>
                        <a:xfrm>
                          <a:off x="0" y="0"/>
                          <a:ext cx="1828800" cy="771525"/>
                        </a:xfrm>
                        <a:prstGeom prst="ellipse">
                          <a:avLst/>
                        </a:prstGeom>
                        <a:solidFill>
                          <a:sysClr val="window" lastClr="FFFFFF"/>
                        </a:solidFill>
                        <a:ln w="25400" cap="flat" cmpd="sng" algn="ctr">
                          <a:solidFill>
                            <a:sysClr val="windowText" lastClr="000000"/>
                          </a:solidFill>
                          <a:prstDash val="solid"/>
                          <a:miter lim="800000"/>
                        </a:ln>
                        <a:effectLst/>
                      </wps:spPr>
                      <wps:txbx>
                        <w:txbxContent>
                          <w:p w14:paraId="590DA948" w14:textId="77777777" w:rsidR="00295B36" w:rsidRPr="00CB3499" w:rsidRDefault="00295B36" w:rsidP="00EC5A9C">
                            <w:pPr>
                              <w:spacing w:after="0"/>
                              <w:jc w:val="center"/>
                              <w:rPr>
                                <w:rFonts w:ascii="Times New Roman" w:hAnsi="Times New Roman" w:cs="Times New Roman"/>
                                <w:sz w:val="24"/>
                              </w:rPr>
                            </w:pPr>
                            <w:r>
                              <w:rPr>
                                <w:rFonts w:ascii="Times New Roman" w:hAnsi="Times New Roman" w:cs="Times New Roman"/>
                                <w:sz w:val="24"/>
                                <w:lang w:val="en-US"/>
                              </w:rPr>
                              <w:t>Market value</w:t>
                            </w:r>
                          </w:p>
                          <w:p w14:paraId="7C242683" w14:textId="77777777" w:rsidR="00295B36" w:rsidRPr="00CB3499" w:rsidRDefault="00295B36" w:rsidP="00EC5A9C">
                            <w:pPr>
                              <w:spacing w:after="0"/>
                              <w:jc w:val="center"/>
                              <w:rPr>
                                <w:rFonts w:ascii="Times New Roman" w:hAnsi="Times New Roman" w:cs="Times New Roman"/>
                                <w:sz w:val="24"/>
                              </w:rPr>
                            </w:pPr>
                            <w:r w:rsidRPr="00CB3499">
                              <w:rPr>
                                <w:rFonts w:ascii="Times New Roman" w:hAnsi="Times New Roman" w:cs="Times New Roman"/>
                                <w:sz w:val="24"/>
                              </w:rPr>
                              <w:t>(MV)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258DB" id="Oval 1" o:spid="_x0000_s1029" style="position:absolute;left:0;text-align:left;margin-left:169.2pt;margin-top:3.4pt;width:2in;height:6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" fillcolor="window" strokecolor="windowText" strokeweight="2pt">
                <v:stroke joinstyle="miter"/>
                <v:textbox>
                  <w:txbxContent>
                    <w:p w14:paraId="590DA948" w14:textId="77777777" w:rsidR="00295B36" w:rsidRPr="00CB3499" w:rsidRDefault="00295B36" w:rsidP="00EC5A9C">
                      <w:pPr>
                        <w:spacing w:after="0"/>
                        <w:jc w:val="center"/>
                        <w:rPr>
                          <w:rFonts w:ascii="Times New Roman" w:hAnsi="Times New Roman" w:cs="Times New Roman"/>
                          <w:sz w:val="24"/>
                        </w:rPr>
                      </w:pPr>
                      <w:r>
                        <w:rPr>
                          <w:rFonts w:ascii="Times New Roman" w:hAnsi="Times New Roman" w:cs="Times New Roman"/>
                          <w:sz w:val="24"/>
                          <w:lang w:val="en-US"/>
                        </w:rPr>
                        <w:t>Market value</w:t>
                      </w:r>
                    </w:p>
                    <w:p w14:paraId="7C242683" w14:textId="77777777" w:rsidR="00295B36" w:rsidRPr="00CB3499" w:rsidRDefault="00295B36" w:rsidP="00EC5A9C">
                      <w:pPr>
                        <w:spacing w:after="0"/>
                        <w:jc w:val="center"/>
                        <w:rPr>
                          <w:rFonts w:ascii="Times New Roman" w:hAnsi="Times New Roman" w:cs="Times New Roman"/>
                          <w:sz w:val="24"/>
                        </w:rPr>
                      </w:pPr>
                      <w:r w:rsidRPr="00CB3499">
                        <w:rPr>
                          <w:rFonts w:ascii="Times New Roman" w:hAnsi="Times New Roman" w:cs="Times New Roman"/>
                          <w:sz w:val="24"/>
                        </w:rPr>
                        <w:t>(MV)</w:t>
                      </w:r>
                    </w:p>
                  </w:txbxContent>
                </v:textbox>
                <w10:wrap anchorx="margin"/>
              </v:oval>
            </w:pict>
          </mc:Fallback>
        </mc:AlternateContent>
      </w:r>
    </w:p>
    <w:p w14:paraId="2D5B7DCD" w14:textId="77777777" w:rsidR="00EC5A9C" w:rsidRPr="00AF4487" w:rsidRDefault="00EC5A9C" w:rsidP="00EC5A9C">
      <w:pPr>
        <w:spacing w:after="0" w:line="240" w:lineRule="auto"/>
        <w:jc w:val="both"/>
        <w:rPr>
          <w:rFonts w:ascii="Times New Roman" w:eastAsia="Calibri" w:hAnsi="Times New Roman" w:cs="Times New Roman"/>
          <w:i/>
          <w:sz w:val="28"/>
          <w:szCs w:val="24"/>
          <w:lang w:val="en-US"/>
        </w:rPr>
      </w:pPr>
    </w:p>
    <w:p w14:paraId="29F5EE33" w14:textId="77777777" w:rsidR="00EC5A9C" w:rsidRPr="00AF4487" w:rsidRDefault="00EC5A9C" w:rsidP="00EC5A9C">
      <w:pPr>
        <w:spacing w:after="0" w:line="240" w:lineRule="auto"/>
        <w:jc w:val="both"/>
        <w:rPr>
          <w:rFonts w:ascii="Times New Roman" w:eastAsia="Calibri" w:hAnsi="Times New Roman" w:cs="Times New Roman"/>
          <w:i/>
          <w:sz w:val="28"/>
          <w:szCs w:val="24"/>
          <w:lang w:val="en-US"/>
        </w:rPr>
      </w:pPr>
    </w:p>
    <w:p w14:paraId="5ABFF45D" w14:textId="77777777" w:rsidR="00EC5A9C" w:rsidRPr="00AF4487" w:rsidRDefault="00EC5A9C" w:rsidP="00EC5A9C">
      <w:pPr>
        <w:spacing w:after="0" w:line="240" w:lineRule="auto"/>
        <w:jc w:val="both"/>
        <w:rPr>
          <w:rFonts w:ascii="Times New Roman" w:eastAsia="Calibri" w:hAnsi="Times New Roman" w:cs="Times New Roman"/>
          <w:i/>
          <w:sz w:val="28"/>
          <w:szCs w:val="24"/>
          <w:lang w:val="en-US"/>
        </w:rPr>
      </w:pPr>
    </w:p>
    <w:p w14:paraId="110E8BD3" w14:textId="77777777" w:rsidR="00EC5A9C" w:rsidRPr="00AF4487" w:rsidRDefault="00EC5A9C" w:rsidP="00EC5A9C">
      <w:pPr>
        <w:spacing w:after="0" w:line="240" w:lineRule="auto"/>
        <w:jc w:val="center"/>
        <w:rPr>
          <w:rFonts w:ascii="Times New Roman" w:eastAsia="Calibri" w:hAnsi="Times New Roman" w:cs="Times New Roman"/>
          <w:sz w:val="28"/>
          <w:szCs w:val="24"/>
          <w:lang w:val="en-US"/>
        </w:rPr>
      </w:pPr>
      <w:r w:rsidRPr="00AF4487">
        <w:rPr>
          <w:rFonts w:ascii="Times New Roman" w:eastAsia="Calibri" w:hAnsi="Times New Roman" w:cs="Times New Roman"/>
          <w:i/>
          <w:noProof/>
          <w:sz w:val="28"/>
          <w:szCs w:val="24"/>
          <w:lang w:eastAsia="ru-RU"/>
        </w:rPr>
        <mc:AlternateContent>
          <mc:Choice Requires="wps">
            <w:drawing>
              <wp:anchor distT="0" distB="0" distL="114300" distR="114300" simplePos="0" relativeHeight="251669504" behindDoc="0" locked="0" layoutInCell="1" allowOverlap="1" wp14:anchorId="3A8204F1" wp14:editId="29045942">
                <wp:simplePos x="0" y="0"/>
                <wp:positionH relativeFrom="column">
                  <wp:posOffset>3186430</wp:posOffset>
                </wp:positionH>
                <wp:positionV relativeFrom="paragraph">
                  <wp:posOffset>102235</wp:posOffset>
                </wp:positionV>
                <wp:extent cx="962025"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a:off x="0" y="0"/>
                          <a:ext cx="962025" cy="0"/>
                        </a:xfrm>
                        <a:prstGeom prst="straightConnector1">
                          <a:avLst/>
                        </a:prstGeom>
                        <a:noFill/>
                        <a:ln w="28575" cap="flat" cmpd="sng" algn="ctr">
                          <a:solidFill>
                            <a:sysClr val="windowText" lastClr="000000"/>
                          </a:solidFill>
                          <a:prstDash val="sysDash"/>
                          <a:miter lim="800000"/>
                          <a:tailEnd type="triangle"/>
                        </a:ln>
                        <a:effectLst/>
                      </wps:spPr>
                      <wps:bodyPr/>
                    </wps:wsp>
                  </a:graphicData>
                </a:graphic>
              </wp:anchor>
            </w:drawing>
          </mc:Choice>
          <mc:Fallback>
            <w:pict>
              <v:shape w14:anchorId="7EBB3F9D" id="Straight Arrow Connector 31" o:spid="_x0000_s1026" type="#_x0000_t32" style="position:absolute;margin-left:250.9pt;margin-top:8.05pt;width:75.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" strokecolor="windowText" strokeweight="2.25pt">
                <v:stroke dashstyle="3 1" endarrow="block" joinstyle="miter"/>
              </v:shape>
            </w:pict>
          </mc:Fallback>
        </mc:AlternateContent>
      </w:r>
      <w:r w:rsidRPr="00AF4487">
        <w:rPr>
          <w:rFonts w:ascii="Times New Roman" w:eastAsia="Calibri" w:hAnsi="Times New Roman" w:cs="Times New Roman"/>
          <w:i/>
          <w:noProof/>
          <w:sz w:val="28"/>
          <w:szCs w:val="24"/>
          <w:lang w:eastAsia="ru-RU"/>
        </w:rPr>
        <mc:AlternateContent>
          <mc:Choice Requires="wps">
            <w:drawing>
              <wp:anchor distT="0" distB="0" distL="114300" distR="114300" simplePos="0" relativeHeight="251670528" behindDoc="0" locked="0" layoutInCell="1" allowOverlap="1" wp14:anchorId="26E10C4C" wp14:editId="22A198DA">
                <wp:simplePos x="0" y="0"/>
                <wp:positionH relativeFrom="column">
                  <wp:posOffset>333375</wp:posOffset>
                </wp:positionH>
                <wp:positionV relativeFrom="paragraph">
                  <wp:posOffset>104775</wp:posOffset>
                </wp:positionV>
                <wp:extent cx="962025" cy="0"/>
                <wp:effectExtent l="0" t="95250" r="0" b="95250"/>
                <wp:wrapNone/>
                <wp:docPr id="32" name="Straight Arrow Connector 32"/>
                <wp:cNvGraphicFramePr/>
                <a:graphic xmlns:a="http://schemas.openxmlformats.org/drawingml/2006/main">
                  <a:graphicData uri="http://schemas.microsoft.com/office/word/2010/wordprocessingShape">
                    <wps:wsp>
                      <wps:cNvCnPr/>
                      <wps:spPr>
                        <a:xfrm>
                          <a:off x="0" y="0"/>
                          <a:ext cx="962025" cy="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26D623E0" id="Straight Arrow Connector 32" o:spid="_x0000_s1026" type="#_x0000_t32" style="position:absolute;margin-left:26.25pt;margin-top:8.25pt;width:75.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" strokecolor="windowText" strokeweight="2.25pt">
                <v:stroke endarrow="block" joinstyle="miter"/>
              </v:shape>
            </w:pict>
          </mc:Fallback>
        </mc:AlternateContent>
      </w:r>
      <w:r w:rsidRPr="00AF4487">
        <w:rPr>
          <w:rFonts w:ascii="Times New Roman" w:eastAsia="Calibri" w:hAnsi="Times New Roman" w:cs="Times New Roman"/>
          <w:sz w:val="24"/>
          <w:szCs w:val="24"/>
          <w:lang w:val="en-US"/>
        </w:rPr>
        <w:t xml:space="preserve">              Direct effects                         </w:t>
      </w:r>
      <w:r w:rsidRPr="00AF4487">
        <w:rPr>
          <w:rFonts w:ascii="Times New Roman" w:eastAsia="Calibri" w:hAnsi="Times New Roman" w:cs="Times New Roman"/>
          <w:i/>
          <w:sz w:val="28"/>
          <w:szCs w:val="24"/>
          <w:lang w:val="en-US"/>
        </w:rPr>
        <w:t xml:space="preserve">                        </w:t>
      </w:r>
      <w:r w:rsidRPr="00AF4487">
        <w:rPr>
          <w:rFonts w:ascii="Times New Roman" w:eastAsia="Calibri" w:hAnsi="Times New Roman" w:cs="Times New Roman"/>
          <w:sz w:val="24"/>
          <w:szCs w:val="24"/>
          <w:lang w:val="en-US"/>
        </w:rPr>
        <w:t>Moderating effects</w:t>
      </w:r>
    </w:p>
    <w:p w14:paraId="7616D0AD" w14:textId="77777777" w:rsidR="00EC5A9C" w:rsidRPr="00AF4487" w:rsidRDefault="00EC5A9C" w:rsidP="00EC5A9C">
      <w:pPr>
        <w:tabs>
          <w:tab w:val="left" w:pos="5970"/>
        </w:tabs>
        <w:spacing w:after="0" w:line="240" w:lineRule="auto"/>
        <w:jc w:val="both"/>
        <w:rPr>
          <w:rFonts w:ascii="Times New Roman" w:eastAsia="Calibri" w:hAnsi="Times New Roman" w:cs="Times New Roman"/>
          <w:sz w:val="28"/>
          <w:szCs w:val="24"/>
          <w:lang w:val="en-US"/>
        </w:rPr>
      </w:pPr>
      <w:r w:rsidRPr="00AF4487">
        <w:rPr>
          <w:rFonts w:ascii="Times New Roman" w:eastAsia="Calibri" w:hAnsi="Times New Roman" w:cs="Times New Roman"/>
          <w:sz w:val="24"/>
          <w:szCs w:val="24"/>
          <w:lang w:val="en-US"/>
        </w:rPr>
        <w:t xml:space="preserve">                                                 </w:t>
      </w:r>
      <w:r w:rsidRPr="00AF4487">
        <w:rPr>
          <w:rFonts w:ascii="Times New Roman" w:eastAsia="Calibri" w:hAnsi="Times New Roman" w:cs="Times New Roman"/>
          <w:sz w:val="24"/>
          <w:szCs w:val="24"/>
          <w:lang w:val="en-US"/>
        </w:rPr>
        <w:tab/>
      </w:r>
    </w:p>
    <w:p w14:paraId="6450716F" w14:textId="77777777" w:rsidR="00EC5A9C" w:rsidRPr="00AF4487" w:rsidRDefault="00EC5A9C" w:rsidP="00EC5A9C">
      <w:pPr>
        <w:spacing w:after="0" w:line="240" w:lineRule="auto"/>
        <w:jc w:val="both"/>
        <w:rPr>
          <w:rFonts w:ascii="Times New Roman" w:eastAsia="Calibri" w:hAnsi="Times New Roman" w:cs="Times New Roman"/>
          <w:b/>
          <w:sz w:val="24"/>
          <w:szCs w:val="24"/>
          <w:lang w:val="en-US"/>
        </w:rPr>
      </w:pPr>
      <w:r w:rsidRPr="00AF4487">
        <w:rPr>
          <w:rFonts w:ascii="Times New Roman" w:eastAsia="Calibri" w:hAnsi="Times New Roman" w:cs="Times New Roman"/>
          <w:b/>
          <w:sz w:val="24"/>
          <w:szCs w:val="24"/>
          <w:lang w:val="en-US"/>
        </w:rPr>
        <w:t>Figure 1. The conceptual framework</w:t>
      </w:r>
    </w:p>
    <w:p w14:paraId="7D1CA170" w14:textId="77777777" w:rsidR="00EC5A9C" w:rsidRPr="00AF4487" w:rsidRDefault="00EC5A9C" w:rsidP="00EC5A9C">
      <w:pPr>
        <w:spacing w:after="0" w:line="240" w:lineRule="auto"/>
        <w:ind w:firstLine="709"/>
        <w:jc w:val="both"/>
        <w:rPr>
          <w:rFonts w:ascii="Times New Roman" w:eastAsia="Calibri" w:hAnsi="Times New Roman" w:cs="Times New Roman"/>
          <w:sz w:val="24"/>
          <w:szCs w:val="24"/>
          <w:lang w:val="en-US"/>
        </w:rPr>
      </w:pPr>
    </w:p>
    <w:p w14:paraId="4E6A380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5BF4459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451DFAD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C64FB81" w14:textId="54B99E12" w:rsidR="00C40E2B" w:rsidRPr="00AF4487" w:rsidRDefault="00C40E2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6FF20B2D" w14:textId="20E4527C"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723D17EA" w14:textId="2CCB670B"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123CCE5E" w14:textId="79EFF4BA"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58C7132" w14:textId="77DF34BF"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48F77C52" w14:textId="59693638"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451F9C8" w14:textId="47E835AA"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25F8397" w14:textId="1548009D"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64C48D3" w14:textId="37928C90"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C2735D9" w14:textId="57498EE3"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BFB7820" w14:textId="393C3F6A"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57598C8A" w14:textId="21716B78"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17348C33" w14:textId="55F33D71"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6F890BBD" w14:textId="77943CE1"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CF0813F" w14:textId="019B0AF5"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4000DE8" w14:textId="012239E7"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19140FE0" w14:textId="31B1C202"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B6C81D9" w14:textId="5CBE215F"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0513148E" w14:textId="4808334C"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7DA4CEC9" w14:textId="369DEF9A"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63FDC714" w14:textId="77777777" w:rsidR="0098739B" w:rsidRPr="00AF4487" w:rsidRDefault="0098739B"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6957D512" w14:textId="2131BE79"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r w:rsidRPr="00AF4487">
        <w:rPr>
          <w:rFonts w:ascii="Times New Roman" w:eastAsia="Times New Roman" w:hAnsi="Times New Roman" w:cs="Times New Roman"/>
          <w:b/>
          <w:sz w:val="24"/>
          <w:lang w:val="en-US" w:eastAsia="ru-RU"/>
        </w:rPr>
        <w:t xml:space="preserve">Figure 2. Year - wise distribution of carbon emissions in </w:t>
      </w:r>
      <w:proofErr w:type="spellStart"/>
      <w:r w:rsidRPr="00AF4487">
        <w:rPr>
          <w:rFonts w:ascii="Times New Roman" w:eastAsia="Times New Roman" w:hAnsi="Times New Roman" w:cs="Times New Roman"/>
          <w:b/>
          <w:sz w:val="24"/>
          <w:lang w:val="en-US" w:eastAsia="ru-RU"/>
        </w:rPr>
        <w:t>tonnes</w:t>
      </w:r>
      <w:proofErr w:type="spellEnd"/>
      <w:r w:rsidRPr="00AF4487">
        <w:rPr>
          <w:rFonts w:ascii="Times New Roman" w:eastAsia="Times New Roman" w:hAnsi="Times New Roman" w:cs="Times New Roman"/>
          <w:b/>
          <w:sz w:val="24"/>
          <w:lang w:val="en-US" w:eastAsia="ru-RU"/>
        </w:rPr>
        <w:t xml:space="preserve"> (in millions)</w:t>
      </w:r>
    </w:p>
    <w:p w14:paraId="699600B5"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AA61E02" w14:textId="77777777" w:rsidR="00EC5A9C" w:rsidRPr="00AF4487" w:rsidRDefault="00EC5A9C" w:rsidP="00EC5A9C">
      <w:pPr>
        <w:widowControl w:val="0"/>
        <w:autoSpaceDE w:val="0"/>
        <w:autoSpaceDN w:val="0"/>
        <w:adjustRightInd w:val="0"/>
        <w:spacing w:after="0" w:line="240" w:lineRule="auto"/>
        <w:jc w:val="center"/>
        <w:rPr>
          <w:rFonts w:ascii="Times New Roman" w:eastAsia="Times New Roman" w:hAnsi="Times New Roman" w:cs="Times New Roman"/>
          <w:b/>
          <w:sz w:val="24"/>
          <w:lang w:val="en-US" w:eastAsia="ru-RU"/>
        </w:rPr>
      </w:pPr>
      <w:r w:rsidRPr="00AF4487">
        <w:rPr>
          <w:rFonts w:ascii="Times New Roman" w:eastAsia="Times New Roman" w:hAnsi="Times New Roman" w:cs="Times New Roman"/>
          <w:b/>
          <w:noProof/>
          <w:sz w:val="24"/>
          <w:lang w:eastAsia="ru-RU"/>
        </w:rPr>
        <w:drawing>
          <wp:inline distT="0" distB="0" distL="0" distR="0" wp14:anchorId="2C71A37C" wp14:editId="1E99A00B">
            <wp:extent cx="5029200" cy="365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1DA0F0B"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4"/>
          <w:lang w:val="en-US" w:eastAsia="ru-RU"/>
        </w:rPr>
      </w:pPr>
      <w:r w:rsidRPr="00AF4487">
        <w:rPr>
          <w:rFonts w:ascii="Times New Roman" w:eastAsia="Times New Roman" w:hAnsi="Times New Roman" w:cs="Times New Roman"/>
          <w:lang w:val="en-US" w:eastAsia="ru-RU"/>
        </w:rPr>
        <w:t>Source: authors’ own calculation based on data obtained from the Refinitiv database</w:t>
      </w:r>
    </w:p>
    <w:p w14:paraId="757FC41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41921E1D"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r w:rsidRPr="00AF4487">
        <w:rPr>
          <w:rFonts w:ascii="Times New Roman" w:eastAsia="Times New Roman" w:hAnsi="Times New Roman" w:cs="Times New Roman"/>
          <w:b/>
          <w:sz w:val="24"/>
          <w:lang w:val="en-US" w:eastAsia="ru-RU"/>
        </w:rPr>
        <w:t>Figure 3. Year - wise distribution of climate change initiatives</w:t>
      </w:r>
    </w:p>
    <w:p w14:paraId="1D9A194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4"/>
          <w:lang w:val="en-US" w:eastAsia="ru-RU"/>
        </w:rPr>
      </w:pPr>
    </w:p>
    <w:p w14:paraId="3BC86AFF" w14:textId="77777777" w:rsidR="00EC5A9C" w:rsidRPr="00AF4487" w:rsidRDefault="00EC5A9C" w:rsidP="00EC5A9C">
      <w:pPr>
        <w:widowControl w:val="0"/>
        <w:autoSpaceDE w:val="0"/>
        <w:autoSpaceDN w:val="0"/>
        <w:adjustRightInd w:val="0"/>
        <w:spacing w:after="0" w:line="240" w:lineRule="auto"/>
        <w:jc w:val="center"/>
        <w:rPr>
          <w:rFonts w:ascii="Times New Roman" w:eastAsia="Times New Roman" w:hAnsi="Times New Roman" w:cs="Times New Roman"/>
          <w:b/>
          <w:sz w:val="24"/>
          <w:lang w:val="en-US" w:eastAsia="ru-RU"/>
        </w:rPr>
      </w:pPr>
      <w:r w:rsidRPr="00AF4487">
        <w:rPr>
          <w:rFonts w:ascii="Times New Roman" w:eastAsia="Times New Roman" w:hAnsi="Times New Roman" w:cs="Times New Roman"/>
          <w:b/>
          <w:noProof/>
          <w:sz w:val="24"/>
          <w:lang w:eastAsia="ru-RU"/>
        </w:rPr>
        <w:lastRenderedPageBreak/>
        <w:drawing>
          <wp:inline distT="0" distB="0" distL="0" distR="0" wp14:anchorId="069D913A" wp14:editId="65D91FA1">
            <wp:extent cx="50292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12BD86F1"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lang w:val="en-US" w:eastAsia="ru-RU"/>
        </w:rPr>
      </w:pPr>
      <w:r w:rsidRPr="00AF4487">
        <w:rPr>
          <w:rFonts w:ascii="Times New Roman" w:eastAsia="Times New Roman" w:hAnsi="Times New Roman" w:cs="Times New Roman"/>
          <w:lang w:val="en-US" w:eastAsia="ru-RU"/>
        </w:rPr>
        <w:t>Source: authors’ own calculation based on data obtained from the Refinitiv database</w:t>
      </w:r>
    </w:p>
    <w:p w14:paraId="6606E6CD" w14:textId="77777777" w:rsidR="00974F0C" w:rsidRDefault="00974F0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0BEE77E9" w14:textId="6E5FA341"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r w:rsidRPr="00AF4487">
        <w:rPr>
          <w:rFonts w:ascii="Times New Roman" w:eastAsia="Times New Roman" w:hAnsi="Times New Roman" w:cs="Times New Roman"/>
          <w:i/>
          <w:lang w:val="en-US" w:eastAsia="ru-RU"/>
        </w:rPr>
        <w:t>Table 1. Sample selection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2033"/>
      </w:tblGrid>
      <w:tr w:rsidR="001E776C" w:rsidRPr="00AF4487" w14:paraId="32866B7A" w14:textId="77777777" w:rsidTr="006F2B36">
        <w:tc>
          <w:tcPr>
            <w:tcW w:w="3951" w:type="pct"/>
            <w:tcBorders>
              <w:top w:val="single" w:sz="12" w:space="0" w:color="auto"/>
              <w:bottom w:val="single" w:sz="8" w:space="0" w:color="auto"/>
            </w:tcBorders>
          </w:tcPr>
          <w:p w14:paraId="567AED80" w14:textId="77777777" w:rsidR="00EC5A9C" w:rsidRPr="00AF4487" w:rsidRDefault="00EC5A9C" w:rsidP="00EC5A9C">
            <w:pPr>
              <w:widowControl w:val="0"/>
              <w:autoSpaceDE w:val="0"/>
              <w:autoSpaceDN w:val="0"/>
              <w:adjustRightInd w:val="0"/>
              <w:rPr>
                <w:rFonts w:ascii="Times New Roman" w:eastAsia="Times New Roman" w:hAnsi="Times New Roman" w:cs="Times New Roman"/>
                <w:b/>
                <w:sz w:val="20"/>
                <w:szCs w:val="20"/>
                <w:lang w:val="en-US" w:eastAsia="ru-RU"/>
              </w:rPr>
            </w:pPr>
          </w:p>
        </w:tc>
        <w:tc>
          <w:tcPr>
            <w:tcW w:w="1049" w:type="pct"/>
            <w:tcBorders>
              <w:top w:val="single" w:sz="12" w:space="0" w:color="auto"/>
              <w:bottom w:val="single" w:sz="8" w:space="0" w:color="auto"/>
            </w:tcBorders>
          </w:tcPr>
          <w:p w14:paraId="44F628C2"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No</w:t>
            </w:r>
            <w:r w:rsidR="00172319" w:rsidRPr="00AF4487">
              <w:rPr>
                <w:rFonts w:ascii="Times New Roman" w:eastAsia="Times New Roman" w:hAnsi="Times New Roman" w:cs="Times New Roman"/>
                <w:b/>
                <w:sz w:val="20"/>
                <w:szCs w:val="20"/>
                <w:lang w:val="en-US" w:eastAsia="ru-RU"/>
              </w:rPr>
              <w:t>.</w:t>
            </w:r>
            <w:r w:rsidRPr="00AF4487">
              <w:rPr>
                <w:rFonts w:ascii="Times New Roman" w:eastAsia="Times New Roman" w:hAnsi="Times New Roman" w:cs="Times New Roman"/>
                <w:b/>
                <w:sz w:val="20"/>
                <w:szCs w:val="20"/>
                <w:lang w:val="en-US" w:eastAsia="ru-RU"/>
              </w:rPr>
              <w:t xml:space="preserve"> of observations</w:t>
            </w:r>
          </w:p>
        </w:tc>
      </w:tr>
      <w:tr w:rsidR="001E776C" w:rsidRPr="00AF4487" w14:paraId="0342D142" w14:textId="77777777" w:rsidTr="006F2B36">
        <w:tc>
          <w:tcPr>
            <w:tcW w:w="3951" w:type="pct"/>
            <w:tcBorders>
              <w:top w:val="single" w:sz="8" w:space="0" w:color="auto"/>
            </w:tcBorders>
          </w:tcPr>
          <w:p w14:paraId="69D5E85B" w14:textId="77777777" w:rsidR="00EC5A9C" w:rsidRPr="00AF4487" w:rsidRDefault="00EC5A9C" w:rsidP="00EC5A9C">
            <w:pPr>
              <w:widowControl w:val="0"/>
              <w:autoSpaceDE w:val="0"/>
              <w:autoSpaceDN w:val="0"/>
              <w:adjustRightInd w:val="0"/>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All firm-year observations based on the availability of carbon data in the ASSET4 ESG</w:t>
            </w:r>
          </w:p>
        </w:tc>
        <w:tc>
          <w:tcPr>
            <w:tcW w:w="1049" w:type="pct"/>
            <w:tcBorders>
              <w:top w:val="single" w:sz="8" w:space="0" w:color="auto"/>
            </w:tcBorders>
          </w:tcPr>
          <w:p w14:paraId="4E3FDE5F"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20,591</w:t>
            </w:r>
          </w:p>
        </w:tc>
      </w:tr>
      <w:tr w:rsidR="001E776C" w:rsidRPr="00AF4487" w14:paraId="17FAB8EF" w14:textId="77777777" w:rsidTr="006F2B36">
        <w:tc>
          <w:tcPr>
            <w:tcW w:w="3951" w:type="pct"/>
          </w:tcPr>
          <w:p w14:paraId="35629649" w14:textId="77777777" w:rsidR="00EC5A9C" w:rsidRPr="00AF4487" w:rsidRDefault="00EC5A9C" w:rsidP="00EC5A9C">
            <w:pPr>
              <w:widowControl w:val="0"/>
              <w:autoSpaceDE w:val="0"/>
              <w:autoSpaceDN w:val="0"/>
              <w:adjustRightInd w:val="0"/>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 xml:space="preserve">Less: observations with insufficient data on PCCIs </w:t>
            </w:r>
          </w:p>
        </w:tc>
        <w:tc>
          <w:tcPr>
            <w:tcW w:w="1049" w:type="pct"/>
          </w:tcPr>
          <w:p w14:paraId="222C490A"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5,127</w:t>
            </w:r>
          </w:p>
        </w:tc>
      </w:tr>
      <w:tr w:rsidR="001E776C" w:rsidRPr="00AF4487" w14:paraId="61442660" w14:textId="77777777" w:rsidTr="006F2B36">
        <w:tc>
          <w:tcPr>
            <w:tcW w:w="3951" w:type="pct"/>
          </w:tcPr>
          <w:p w14:paraId="08957A6D" w14:textId="77777777" w:rsidR="00EC5A9C" w:rsidRPr="00AF4487" w:rsidRDefault="00EC5A9C" w:rsidP="00EC5A9C">
            <w:pPr>
              <w:widowControl w:val="0"/>
              <w:autoSpaceDE w:val="0"/>
              <w:autoSpaceDN w:val="0"/>
              <w:adjustRightInd w:val="0"/>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Less: observations with insufficient data on CG</w:t>
            </w:r>
          </w:p>
        </w:tc>
        <w:tc>
          <w:tcPr>
            <w:tcW w:w="1049" w:type="pct"/>
          </w:tcPr>
          <w:p w14:paraId="698653A7"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3,688</w:t>
            </w:r>
          </w:p>
        </w:tc>
      </w:tr>
      <w:tr w:rsidR="001E776C" w:rsidRPr="00AF4487" w14:paraId="795604AD" w14:textId="77777777" w:rsidTr="006F2B36">
        <w:tc>
          <w:tcPr>
            <w:tcW w:w="3951" w:type="pct"/>
            <w:tcBorders>
              <w:bottom w:val="single" w:sz="8" w:space="0" w:color="auto"/>
            </w:tcBorders>
          </w:tcPr>
          <w:p w14:paraId="0E81229F" w14:textId="77777777" w:rsidR="00EC5A9C" w:rsidRPr="00AF4487" w:rsidRDefault="00EC5A9C" w:rsidP="00EC5A9C">
            <w:pPr>
              <w:widowControl w:val="0"/>
              <w:autoSpaceDE w:val="0"/>
              <w:autoSpaceDN w:val="0"/>
              <w:adjustRightInd w:val="0"/>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Less: observations with insufficient financial data</w:t>
            </w:r>
          </w:p>
        </w:tc>
        <w:tc>
          <w:tcPr>
            <w:tcW w:w="1049" w:type="pct"/>
            <w:tcBorders>
              <w:bottom w:val="single" w:sz="8" w:space="0" w:color="auto"/>
            </w:tcBorders>
          </w:tcPr>
          <w:p w14:paraId="0B19D6E7"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sz w:val="20"/>
                <w:szCs w:val="20"/>
                <w:lang w:val="en-US" w:eastAsia="ru-RU"/>
              </w:rPr>
            </w:pPr>
            <w:r w:rsidRPr="00AF4487">
              <w:rPr>
                <w:rFonts w:ascii="Times New Roman" w:eastAsia="Calibri" w:hAnsi="Times New Roman" w:cs="Times New Roman"/>
                <w:sz w:val="20"/>
                <w:szCs w:val="20"/>
                <w:lang w:val="en-US"/>
              </w:rPr>
              <w:t>3,368</w:t>
            </w:r>
          </w:p>
        </w:tc>
      </w:tr>
      <w:tr w:rsidR="00EC5A9C" w:rsidRPr="00AF4487" w14:paraId="05838387" w14:textId="77777777" w:rsidTr="006F2B36">
        <w:tc>
          <w:tcPr>
            <w:tcW w:w="3951" w:type="pct"/>
            <w:tcBorders>
              <w:top w:val="single" w:sz="8" w:space="0" w:color="auto"/>
              <w:bottom w:val="single" w:sz="12" w:space="0" w:color="auto"/>
            </w:tcBorders>
          </w:tcPr>
          <w:p w14:paraId="73FE59DB" w14:textId="77777777" w:rsidR="00EC5A9C" w:rsidRPr="00AF4487" w:rsidRDefault="00EC5A9C" w:rsidP="00EC5A9C">
            <w:pPr>
              <w:widowControl w:val="0"/>
              <w:autoSpaceDE w:val="0"/>
              <w:autoSpaceDN w:val="0"/>
              <w:adjustRightInd w:val="0"/>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 xml:space="preserve">Final sample </w:t>
            </w:r>
          </w:p>
        </w:tc>
        <w:tc>
          <w:tcPr>
            <w:tcW w:w="1049" w:type="pct"/>
            <w:tcBorders>
              <w:top w:val="single" w:sz="8" w:space="0" w:color="auto"/>
              <w:bottom w:val="single" w:sz="12" w:space="0" w:color="auto"/>
            </w:tcBorders>
          </w:tcPr>
          <w:p w14:paraId="7FCA0DE2" w14:textId="77777777" w:rsidR="00EC5A9C" w:rsidRPr="00AF4487" w:rsidRDefault="00EC5A9C" w:rsidP="00EC5A9C">
            <w:pPr>
              <w:widowControl w:val="0"/>
              <w:autoSpaceDE w:val="0"/>
              <w:autoSpaceDN w:val="0"/>
              <w:adjustRightInd w:val="0"/>
              <w:jc w:val="right"/>
              <w:rPr>
                <w:rFonts w:ascii="Times New Roman" w:eastAsia="Times New Roman" w:hAnsi="Times New Roman" w:cs="Times New Roman"/>
                <w:b/>
                <w:sz w:val="20"/>
                <w:szCs w:val="20"/>
                <w:lang w:val="en-US" w:eastAsia="ru-RU"/>
              </w:rPr>
            </w:pPr>
            <w:r w:rsidRPr="00AF4487">
              <w:rPr>
                <w:rFonts w:ascii="Times New Roman" w:eastAsia="Calibri" w:hAnsi="Times New Roman" w:cs="Times New Roman"/>
                <w:b/>
                <w:sz w:val="20"/>
                <w:szCs w:val="20"/>
                <w:lang w:val="en-US"/>
              </w:rPr>
              <w:t>8,408</w:t>
            </w:r>
          </w:p>
        </w:tc>
      </w:tr>
    </w:tbl>
    <w:p w14:paraId="21597F3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4"/>
          <w:lang w:val="en-US" w:eastAsia="ru-RU"/>
        </w:rPr>
      </w:pPr>
    </w:p>
    <w:p w14:paraId="01729BDB"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24D1D47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20D16E2B"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1D7C33C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40DB852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408F937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5F1985F0"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71342120"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77E7B9C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0FCE78D6"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7EFE5B1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7EFA82A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6B72810D"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22CDC7D6"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4B7816D0"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590FFAA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550F0738"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3C94DE8A" w14:textId="19114BA6"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478FD33B" w14:textId="73A7538D" w:rsidR="00C40E2B" w:rsidRPr="00AF4487" w:rsidRDefault="00C40E2B"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362A1CE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08A3189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lang w:val="en-US" w:eastAsia="ru-RU"/>
        </w:rPr>
      </w:pPr>
    </w:p>
    <w:p w14:paraId="213DA8E1" w14:textId="44EBB91C"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i/>
          <w:szCs w:val="24"/>
          <w:lang w:val="en-US" w:eastAsia="ru-RU"/>
        </w:rPr>
      </w:pPr>
      <w:r w:rsidRPr="00AF4487">
        <w:rPr>
          <w:rFonts w:ascii="Times New Roman" w:eastAsia="Times New Roman" w:hAnsi="Times New Roman" w:cs="Times New Roman"/>
          <w:i/>
          <w:lang w:val="en-US" w:eastAsia="ru-RU"/>
        </w:rPr>
        <w:t xml:space="preserve">Table 2. Sample distribution by country and sector </w:t>
      </w:r>
    </w:p>
    <w:tbl>
      <w:tblPr>
        <w:tblW w:w="5000" w:type="pct"/>
        <w:tblLook w:val="0000" w:firstRow="0" w:lastRow="0" w:firstColumn="0" w:lastColumn="0" w:noHBand="0" w:noVBand="0"/>
      </w:tblPr>
      <w:tblGrid>
        <w:gridCol w:w="3163"/>
        <w:gridCol w:w="548"/>
        <w:gridCol w:w="1083"/>
        <w:gridCol w:w="1632"/>
        <w:gridCol w:w="60"/>
        <w:gridCol w:w="1572"/>
        <w:gridCol w:w="515"/>
        <w:gridCol w:w="1116"/>
      </w:tblGrid>
      <w:tr w:rsidR="001E776C" w:rsidRPr="00AF4487" w14:paraId="731BD9E1" w14:textId="77777777" w:rsidTr="006F2B36">
        <w:tc>
          <w:tcPr>
            <w:tcW w:w="1632" w:type="pct"/>
            <w:tcBorders>
              <w:top w:val="single" w:sz="12" w:space="0" w:color="auto"/>
              <w:left w:val="nil"/>
              <w:bottom w:val="single" w:sz="12" w:space="0" w:color="auto"/>
              <w:right w:val="nil"/>
            </w:tcBorders>
          </w:tcPr>
          <w:p w14:paraId="55847C0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Country</w:t>
            </w:r>
          </w:p>
        </w:tc>
        <w:tc>
          <w:tcPr>
            <w:tcW w:w="842" w:type="pct"/>
            <w:gridSpan w:val="2"/>
            <w:tcBorders>
              <w:top w:val="single" w:sz="12" w:space="0" w:color="auto"/>
              <w:left w:val="nil"/>
              <w:bottom w:val="single" w:sz="12" w:space="0" w:color="auto"/>
              <w:right w:val="nil"/>
            </w:tcBorders>
          </w:tcPr>
          <w:p w14:paraId="5698076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Firms</w:t>
            </w:r>
          </w:p>
        </w:tc>
        <w:tc>
          <w:tcPr>
            <w:tcW w:w="842" w:type="pct"/>
            <w:tcBorders>
              <w:top w:val="single" w:sz="12" w:space="0" w:color="auto"/>
              <w:left w:val="nil"/>
              <w:bottom w:val="single" w:sz="12" w:space="0" w:color="auto"/>
              <w:right w:val="nil"/>
            </w:tcBorders>
          </w:tcPr>
          <w:p w14:paraId="21606D2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Obs.</w:t>
            </w:r>
          </w:p>
        </w:tc>
        <w:tc>
          <w:tcPr>
            <w:tcW w:w="842" w:type="pct"/>
            <w:gridSpan w:val="2"/>
            <w:tcBorders>
              <w:top w:val="single" w:sz="12" w:space="0" w:color="auto"/>
              <w:left w:val="nil"/>
              <w:bottom w:val="single" w:sz="12" w:space="0" w:color="auto"/>
              <w:right w:val="nil"/>
            </w:tcBorders>
          </w:tcPr>
          <w:p w14:paraId="0B486B9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Percent (%)</w:t>
            </w:r>
          </w:p>
        </w:tc>
        <w:tc>
          <w:tcPr>
            <w:tcW w:w="842" w:type="pct"/>
            <w:gridSpan w:val="2"/>
            <w:tcBorders>
              <w:top w:val="single" w:sz="12" w:space="0" w:color="auto"/>
              <w:left w:val="nil"/>
              <w:bottom w:val="single" w:sz="12" w:space="0" w:color="auto"/>
              <w:right w:val="nil"/>
            </w:tcBorders>
          </w:tcPr>
          <w:p w14:paraId="7454C52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Cum. (%)</w:t>
            </w:r>
          </w:p>
        </w:tc>
      </w:tr>
      <w:tr w:rsidR="001E776C" w:rsidRPr="008E3FE6" w14:paraId="69816E07" w14:textId="77777777" w:rsidTr="006F2B36">
        <w:tc>
          <w:tcPr>
            <w:tcW w:w="4158" w:type="pct"/>
            <w:gridSpan w:val="6"/>
            <w:tcBorders>
              <w:top w:val="single" w:sz="12" w:space="0" w:color="auto"/>
              <w:left w:val="nil"/>
              <w:right w:val="nil"/>
            </w:tcBorders>
          </w:tcPr>
          <w:p w14:paraId="0E828AD9"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i/>
                <w:sz w:val="20"/>
                <w:szCs w:val="20"/>
                <w:lang w:val="en-US" w:eastAsia="ru-RU"/>
              </w:rPr>
              <w:t>Panel A: Sample distribution by country</w:t>
            </w:r>
          </w:p>
        </w:tc>
        <w:tc>
          <w:tcPr>
            <w:tcW w:w="842" w:type="pct"/>
            <w:gridSpan w:val="2"/>
            <w:tcBorders>
              <w:top w:val="single" w:sz="12" w:space="0" w:color="auto"/>
              <w:left w:val="nil"/>
              <w:right w:val="nil"/>
            </w:tcBorders>
          </w:tcPr>
          <w:p w14:paraId="41154EE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r>
      <w:tr w:rsidR="001E776C" w:rsidRPr="00AF4487" w14:paraId="7306B476" w14:textId="77777777" w:rsidTr="006F2B36">
        <w:tc>
          <w:tcPr>
            <w:tcW w:w="1632" w:type="pct"/>
            <w:tcBorders>
              <w:left w:val="nil"/>
              <w:bottom w:val="nil"/>
              <w:right w:val="nil"/>
            </w:tcBorders>
          </w:tcPr>
          <w:p w14:paraId="2566E886"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Australia</w:t>
            </w:r>
          </w:p>
        </w:tc>
        <w:tc>
          <w:tcPr>
            <w:tcW w:w="842" w:type="pct"/>
            <w:gridSpan w:val="2"/>
            <w:tcBorders>
              <w:left w:val="nil"/>
              <w:bottom w:val="nil"/>
              <w:right w:val="nil"/>
            </w:tcBorders>
          </w:tcPr>
          <w:p w14:paraId="77F3185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w:t>
            </w:r>
          </w:p>
        </w:tc>
        <w:tc>
          <w:tcPr>
            <w:tcW w:w="842" w:type="pct"/>
            <w:tcBorders>
              <w:left w:val="nil"/>
              <w:bottom w:val="nil"/>
              <w:right w:val="nil"/>
            </w:tcBorders>
          </w:tcPr>
          <w:p w14:paraId="43F8F21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380</w:t>
            </w:r>
          </w:p>
        </w:tc>
        <w:tc>
          <w:tcPr>
            <w:tcW w:w="842" w:type="pct"/>
            <w:gridSpan w:val="2"/>
            <w:tcBorders>
              <w:left w:val="nil"/>
              <w:bottom w:val="nil"/>
              <w:right w:val="nil"/>
            </w:tcBorders>
          </w:tcPr>
          <w:p w14:paraId="406CDA7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4.52</w:t>
            </w:r>
          </w:p>
        </w:tc>
        <w:tc>
          <w:tcPr>
            <w:tcW w:w="842" w:type="pct"/>
            <w:gridSpan w:val="2"/>
            <w:tcBorders>
              <w:left w:val="nil"/>
              <w:bottom w:val="nil"/>
              <w:right w:val="nil"/>
            </w:tcBorders>
          </w:tcPr>
          <w:p w14:paraId="2B04D25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4.52</w:t>
            </w:r>
          </w:p>
        </w:tc>
      </w:tr>
      <w:tr w:rsidR="001E776C" w:rsidRPr="00AF4487" w14:paraId="40A78E95" w14:textId="77777777" w:rsidTr="006F2B36">
        <w:tc>
          <w:tcPr>
            <w:tcW w:w="1632" w:type="pct"/>
            <w:tcBorders>
              <w:top w:val="nil"/>
              <w:left w:val="nil"/>
              <w:bottom w:val="nil"/>
              <w:right w:val="nil"/>
            </w:tcBorders>
          </w:tcPr>
          <w:p w14:paraId="6346170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Austria</w:t>
            </w:r>
          </w:p>
        </w:tc>
        <w:tc>
          <w:tcPr>
            <w:tcW w:w="842" w:type="pct"/>
            <w:gridSpan w:val="2"/>
            <w:tcBorders>
              <w:top w:val="nil"/>
              <w:left w:val="nil"/>
              <w:bottom w:val="nil"/>
              <w:right w:val="nil"/>
            </w:tcBorders>
          </w:tcPr>
          <w:p w14:paraId="12EEC45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6CEFBC3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28</w:t>
            </w:r>
          </w:p>
        </w:tc>
        <w:tc>
          <w:tcPr>
            <w:tcW w:w="842" w:type="pct"/>
            <w:gridSpan w:val="2"/>
            <w:tcBorders>
              <w:top w:val="nil"/>
              <w:left w:val="nil"/>
              <w:bottom w:val="nil"/>
              <w:right w:val="nil"/>
            </w:tcBorders>
          </w:tcPr>
          <w:p w14:paraId="441445B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0.33</w:t>
            </w:r>
          </w:p>
        </w:tc>
        <w:tc>
          <w:tcPr>
            <w:tcW w:w="842" w:type="pct"/>
            <w:gridSpan w:val="2"/>
            <w:tcBorders>
              <w:top w:val="nil"/>
              <w:left w:val="nil"/>
              <w:bottom w:val="nil"/>
              <w:right w:val="nil"/>
            </w:tcBorders>
          </w:tcPr>
          <w:p w14:paraId="58C2B50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4.85</w:t>
            </w:r>
          </w:p>
        </w:tc>
      </w:tr>
      <w:tr w:rsidR="001E776C" w:rsidRPr="00AF4487" w14:paraId="24E02E19" w14:textId="77777777" w:rsidTr="006F2B36">
        <w:tc>
          <w:tcPr>
            <w:tcW w:w="1632" w:type="pct"/>
            <w:tcBorders>
              <w:top w:val="nil"/>
              <w:left w:val="nil"/>
              <w:bottom w:val="nil"/>
              <w:right w:val="nil"/>
            </w:tcBorders>
          </w:tcPr>
          <w:p w14:paraId="7715B71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Belgium</w:t>
            </w:r>
          </w:p>
        </w:tc>
        <w:tc>
          <w:tcPr>
            <w:tcW w:w="842" w:type="pct"/>
            <w:gridSpan w:val="2"/>
            <w:tcBorders>
              <w:top w:val="nil"/>
              <w:left w:val="nil"/>
              <w:bottom w:val="nil"/>
              <w:right w:val="nil"/>
            </w:tcBorders>
          </w:tcPr>
          <w:p w14:paraId="171D690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w:t>
            </w:r>
          </w:p>
        </w:tc>
        <w:tc>
          <w:tcPr>
            <w:tcW w:w="842" w:type="pct"/>
            <w:tcBorders>
              <w:top w:val="nil"/>
              <w:left w:val="nil"/>
              <w:bottom w:val="nil"/>
              <w:right w:val="nil"/>
            </w:tcBorders>
          </w:tcPr>
          <w:p w14:paraId="5E525D8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98</w:t>
            </w:r>
          </w:p>
        </w:tc>
        <w:tc>
          <w:tcPr>
            <w:tcW w:w="842" w:type="pct"/>
            <w:gridSpan w:val="2"/>
            <w:tcBorders>
              <w:top w:val="nil"/>
              <w:left w:val="nil"/>
              <w:bottom w:val="nil"/>
              <w:right w:val="nil"/>
            </w:tcBorders>
          </w:tcPr>
          <w:p w14:paraId="18DBAC5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1.17</w:t>
            </w:r>
          </w:p>
        </w:tc>
        <w:tc>
          <w:tcPr>
            <w:tcW w:w="842" w:type="pct"/>
            <w:gridSpan w:val="2"/>
            <w:tcBorders>
              <w:top w:val="nil"/>
              <w:left w:val="nil"/>
              <w:bottom w:val="nil"/>
              <w:right w:val="nil"/>
            </w:tcBorders>
          </w:tcPr>
          <w:p w14:paraId="3E6E347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6.02</w:t>
            </w:r>
          </w:p>
        </w:tc>
      </w:tr>
      <w:tr w:rsidR="001E776C" w:rsidRPr="00AF4487" w14:paraId="6C360493" w14:textId="77777777" w:rsidTr="006F2B36">
        <w:tc>
          <w:tcPr>
            <w:tcW w:w="1632" w:type="pct"/>
            <w:tcBorders>
              <w:top w:val="nil"/>
              <w:left w:val="nil"/>
              <w:bottom w:val="nil"/>
              <w:right w:val="nil"/>
            </w:tcBorders>
          </w:tcPr>
          <w:p w14:paraId="47553FA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Brazil</w:t>
            </w:r>
          </w:p>
        </w:tc>
        <w:tc>
          <w:tcPr>
            <w:tcW w:w="842" w:type="pct"/>
            <w:gridSpan w:val="2"/>
            <w:tcBorders>
              <w:top w:val="nil"/>
              <w:left w:val="nil"/>
              <w:bottom w:val="nil"/>
              <w:right w:val="nil"/>
            </w:tcBorders>
          </w:tcPr>
          <w:p w14:paraId="2C771FC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w:t>
            </w:r>
          </w:p>
        </w:tc>
        <w:tc>
          <w:tcPr>
            <w:tcW w:w="842" w:type="pct"/>
            <w:tcBorders>
              <w:top w:val="nil"/>
              <w:left w:val="nil"/>
              <w:bottom w:val="nil"/>
              <w:right w:val="nil"/>
            </w:tcBorders>
          </w:tcPr>
          <w:p w14:paraId="710B5E7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82</w:t>
            </w:r>
          </w:p>
        </w:tc>
        <w:tc>
          <w:tcPr>
            <w:tcW w:w="842" w:type="pct"/>
            <w:gridSpan w:val="2"/>
            <w:tcBorders>
              <w:top w:val="nil"/>
              <w:left w:val="nil"/>
              <w:bottom w:val="nil"/>
              <w:right w:val="nil"/>
            </w:tcBorders>
          </w:tcPr>
          <w:p w14:paraId="5C343CD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0.98</w:t>
            </w:r>
          </w:p>
        </w:tc>
        <w:tc>
          <w:tcPr>
            <w:tcW w:w="842" w:type="pct"/>
            <w:gridSpan w:val="2"/>
            <w:tcBorders>
              <w:top w:val="nil"/>
              <w:left w:val="nil"/>
              <w:bottom w:val="nil"/>
              <w:right w:val="nil"/>
            </w:tcBorders>
          </w:tcPr>
          <w:p w14:paraId="5B0F121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6.99</w:t>
            </w:r>
          </w:p>
        </w:tc>
      </w:tr>
      <w:tr w:rsidR="001E776C" w:rsidRPr="00AF4487" w14:paraId="2E77C433" w14:textId="77777777" w:rsidTr="006F2B36">
        <w:tc>
          <w:tcPr>
            <w:tcW w:w="1632" w:type="pct"/>
            <w:tcBorders>
              <w:top w:val="nil"/>
              <w:left w:val="nil"/>
              <w:bottom w:val="nil"/>
              <w:right w:val="nil"/>
            </w:tcBorders>
          </w:tcPr>
          <w:p w14:paraId="6F5A5DC8"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Canada</w:t>
            </w:r>
          </w:p>
        </w:tc>
        <w:tc>
          <w:tcPr>
            <w:tcW w:w="842" w:type="pct"/>
            <w:gridSpan w:val="2"/>
            <w:tcBorders>
              <w:top w:val="nil"/>
              <w:left w:val="nil"/>
              <w:bottom w:val="nil"/>
              <w:right w:val="nil"/>
            </w:tcBorders>
          </w:tcPr>
          <w:p w14:paraId="78CCAE8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w:t>
            </w:r>
          </w:p>
        </w:tc>
        <w:tc>
          <w:tcPr>
            <w:tcW w:w="842" w:type="pct"/>
            <w:tcBorders>
              <w:top w:val="nil"/>
              <w:left w:val="nil"/>
              <w:bottom w:val="nil"/>
              <w:right w:val="nil"/>
            </w:tcBorders>
          </w:tcPr>
          <w:p w14:paraId="5F50480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373</w:t>
            </w:r>
          </w:p>
        </w:tc>
        <w:tc>
          <w:tcPr>
            <w:tcW w:w="842" w:type="pct"/>
            <w:gridSpan w:val="2"/>
            <w:tcBorders>
              <w:top w:val="nil"/>
              <w:left w:val="nil"/>
              <w:bottom w:val="nil"/>
              <w:right w:val="nil"/>
            </w:tcBorders>
          </w:tcPr>
          <w:p w14:paraId="25E856C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4.44</w:t>
            </w:r>
          </w:p>
        </w:tc>
        <w:tc>
          <w:tcPr>
            <w:tcW w:w="842" w:type="pct"/>
            <w:gridSpan w:val="2"/>
            <w:tcBorders>
              <w:top w:val="nil"/>
              <w:left w:val="nil"/>
              <w:bottom w:val="nil"/>
              <w:right w:val="nil"/>
            </w:tcBorders>
          </w:tcPr>
          <w:p w14:paraId="5D555A5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11.43</w:t>
            </w:r>
          </w:p>
        </w:tc>
      </w:tr>
      <w:tr w:rsidR="001E776C" w:rsidRPr="00AF4487" w14:paraId="5DBBA0E8" w14:textId="77777777" w:rsidTr="006F2B36">
        <w:tc>
          <w:tcPr>
            <w:tcW w:w="1632" w:type="pct"/>
            <w:tcBorders>
              <w:top w:val="nil"/>
              <w:left w:val="nil"/>
              <w:bottom w:val="nil"/>
              <w:right w:val="nil"/>
            </w:tcBorders>
          </w:tcPr>
          <w:p w14:paraId="43AEB76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China</w:t>
            </w:r>
          </w:p>
        </w:tc>
        <w:tc>
          <w:tcPr>
            <w:tcW w:w="842" w:type="pct"/>
            <w:gridSpan w:val="2"/>
            <w:tcBorders>
              <w:top w:val="nil"/>
              <w:left w:val="nil"/>
              <w:bottom w:val="nil"/>
              <w:right w:val="nil"/>
            </w:tcBorders>
          </w:tcPr>
          <w:p w14:paraId="20BE292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w:t>
            </w:r>
          </w:p>
        </w:tc>
        <w:tc>
          <w:tcPr>
            <w:tcW w:w="842" w:type="pct"/>
            <w:tcBorders>
              <w:top w:val="nil"/>
              <w:left w:val="nil"/>
              <w:bottom w:val="nil"/>
              <w:right w:val="nil"/>
            </w:tcBorders>
          </w:tcPr>
          <w:p w14:paraId="3A3DB55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39</w:t>
            </w:r>
          </w:p>
        </w:tc>
        <w:tc>
          <w:tcPr>
            <w:tcW w:w="842" w:type="pct"/>
            <w:gridSpan w:val="2"/>
            <w:tcBorders>
              <w:top w:val="nil"/>
              <w:left w:val="nil"/>
              <w:bottom w:val="nil"/>
              <w:right w:val="nil"/>
            </w:tcBorders>
          </w:tcPr>
          <w:p w14:paraId="6C63250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0.46</w:t>
            </w:r>
          </w:p>
        </w:tc>
        <w:tc>
          <w:tcPr>
            <w:tcW w:w="842" w:type="pct"/>
            <w:gridSpan w:val="2"/>
            <w:tcBorders>
              <w:top w:val="nil"/>
              <w:left w:val="nil"/>
              <w:bottom w:val="nil"/>
              <w:right w:val="nil"/>
            </w:tcBorders>
          </w:tcPr>
          <w:p w14:paraId="32901D2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11.89</w:t>
            </w:r>
          </w:p>
        </w:tc>
      </w:tr>
      <w:tr w:rsidR="001E776C" w:rsidRPr="00AF4487" w14:paraId="4FC539EF" w14:textId="77777777" w:rsidTr="006F2B36">
        <w:tc>
          <w:tcPr>
            <w:tcW w:w="1632" w:type="pct"/>
            <w:tcBorders>
              <w:top w:val="nil"/>
              <w:left w:val="nil"/>
              <w:bottom w:val="nil"/>
              <w:right w:val="nil"/>
            </w:tcBorders>
          </w:tcPr>
          <w:p w14:paraId="0218DD85"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Denmark</w:t>
            </w:r>
          </w:p>
        </w:tc>
        <w:tc>
          <w:tcPr>
            <w:tcW w:w="842" w:type="pct"/>
            <w:gridSpan w:val="2"/>
            <w:tcBorders>
              <w:top w:val="nil"/>
              <w:left w:val="nil"/>
              <w:bottom w:val="nil"/>
              <w:right w:val="nil"/>
            </w:tcBorders>
          </w:tcPr>
          <w:p w14:paraId="0EF6E6C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w:t>
            </w:r>
          </w:p>
        </w:tc>
        <w:tc>
          <w:tcPr>
            <w:tcW w:w="842" w:type="pct"/>
            <w:tcBorders>
              <w:top w:val="nil"/>
              <w:left w:val="nil"/>
              <w:bottom w:val="nil"/>
              <w:right w:val="nil"/>
            </w:tcBorders>
          </w:tcPr>
          <w:p w14:paraId="30FF066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151</w:t>
            </w:r>
          </w:p>
        </w:tc>
        <w:tc>
          <w:tcPr>
            <w:tcW w:w="842" w:type="pct"/>
            <w:gridSpan w:val="2"/>
            <w:tcBorders>
              <w:top w:val="nil"/>
              <w:left w:val="nil"/>
              <w:bottom w:val="nil"/>
              <w:right w:val="nil"/>
            </w:tcBorders>
          </w:tcPr>
          <w:p w14:paraId="42A5862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1.80</w:t>
            </w:r>
          </w:p>
        </w:tc>
        <w:tc>
          <w:tcPr>
            <w:tcW w:w="842" w:type="pct"/>
            <w:gridSpan w:val="2"/>
            <w:tcBorders>
              <w:top w:val="nil"/>
              <w:left w:val="nil"/>
              <w:bottom w:val="nil"/>
              <w:right w:val="nil"/>
            </w:tcBorders>
          </w:tcPr>
          <w:p w14:paraId="6318F6E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13.69</w:t>
            </w:r>
          </w:p>
        </w:tc>
      </w:tr>
      <w:tr w:rsidR="001E776C" w:rsidRPr="00AF4487" w14:paraId="47298097" w14:textId="77777777" w:rsidTr="006F2B36">
        <w:tc>
          <w:tcPr>
            <w:tcW w:w="1632" w:type="pct"/>
            <w:tcBorders>
              <w:top w:val="nil"/>
              <w:left w:val="nil"/>
              <w:bottom w:val="nil"/>
              <w:right w:val="nil"/>
            </w:tcBorders>
          </w:tcPr>
          <w:p w14:paraId="5C4C783D"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Finland</w:t>
            </w:r>
          </w:p>
        </w:tc>
        <w:tc>
          <w:tcPr>
            <w:tcW w:w="842" w:type="pct"/>
            <w:gridSpan w:val="2"/>
            <w:tcBorders>
              <w:top w:val="nil"/>
              <w:left w:val="nil"/>
              <w:bottom w:val="nil"/>
              <w:right w:val="nil"/>
            </w:tcBorders>
          </w:tcPr>
          <w:p w14:paraId="7CADA40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9</w:t>
            </w:r>
          </w:p>
        </w:tc>
        <w:tc>
          <w:tcPr>
            <w:tcW w:w="842" w:type="pct"/>
            <w:tcBorders>
              <w:top w:val="nil"/>
              <w:left w:val="nil"/>
              <w:bottom w:val="nil"/>
              <w:right w:val="nil"/>
            </w:tcBorders>
          </w:tcPr>
          <w:p w14:paraId="2C79D77D"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132</w:t>
            </w:r>
          </w:p>
        </w:tc>
        <w:tc>
          <w:tcPr>
            <w:tcW w:w="842" w:type="pct"/>
            <w:gridSpan w:val="2"/>
            <w:tcBorders>
              <w:top w:val="nil"/>
              <w:left w:val="nil"/>
              <w:bottom w:val="nil"/>
              <w:right w:val="nil"/>
            </w:tcBorders>
          </w:tcPr>
          <w:p w14:paraId="594CAC8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1.57</w:t>
            </w:r>
          </w:p>
        </w:tc>
        <w:tc>
          <w:tcPr>
            <w:tcW w:w="842" w:type="pct"/>
            <w:gridSpan w:val="2"/>
            <w:tcBorders>
              <w:top w:val="nil"/>
              <w:left w:val="nil"/>
              <w:bottom w:val="nil"/>
              <w:right w:val="nil"/>
            </w:tcBorders>
          </w:tcPr>
          <w:p w14:paraId="6D829F6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15.26</w:t>
            </w:r>
          </w:p>
        </w:tc>
      </w:tr>
      <w:tr w:rsidR="001E776C" w:rsidRPr="00AF4487" w14:paraId="587CFDB0" w14:textId="77777777" w:rsidTr="006F2B36">
        <w:tc>
          <w:tcPr>
            <w:tcW w:w="1632" w:type="pct"/>
            <w:tcBorders>
              <w:top w:val="nil"/>
              <w:left w:val="nil"/>
              <w:bottom w:val="nil"/>
              <w:right w:val="nil"/>
            </w:tcBorders>
          </w:tcPr>
          <w:p w14:paraId="1E3702C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France</w:t>
            </w:r>
          </w:p>
        </w:tc>
        <w:tc>
          <w:tcPr>
            <w:tcW w:w="842" w:type="pct"/>
            <w:gridSpan w:val="2"/>
            <w:tcBorders>
              <w:top w:val="nil"/>
              <w:left w:val="nil"/>
              <w:bottom w:val="nil"/>
              <w:right w:val="nil"/>
            </w:tcBorders>
          </w:tcPr>
          <w:p w14:paraId="3F72C25E"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26</w:t>
            </w:r>
          </w:p>
        </w:tc>
        <w:tc>
          <w:tcPr>
            <w:tcW w:w="842" w:type="pct"/>
            <w:tcBorders>
              <w:top w:val="nil"/>
              <w:left w:val="nil"/>
              <w:bottom w:val="nil"/>
              <w:right w:val="nil"/>
            </w:tcBorders>
          </w:tcPr>
          <w:p w14:paraId="309778D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392</w:t>
            </w:r>
          </w:p>
        </w:tc>
        <w:tc>
          <w:tcPr>
            <w:tcW w:w="842" w:type="pct"/>
            <w:gridSpan w:val="2"/>
            <w:tcBorders>
              <w:top w:val="nil"/>
              <w:left w:val="nil"/>
              <w:bottom w:val="nil"/>
              <w:right w:val="nil"/>
            </w:tcBorders>
          </w:tcPr>
          <w:p w14:paraId="3E0306F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4.66</w:t>
            </w:r>
          </w:p>
        </w:tc>
        <w:tc>
          <w:tcPr>
            <w:tcW w:w="842" w:type="pct"/>
            <w:gridSpan w:val="2"/>
            <w:tcBorders>
              <w:top w:val="nil"/>
              <w:left w:val="nil"/>
              <w:bottom w:val="nil"/>
              <w:right w:val="nil"/>
            </w:tcBorders>
          </w:tcPr>
          <w:p w14:paraId="152F73D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19.92</w:t>
            </w:r>
          </w:p>
        </w:tc>
      </w:tr>
      <w:tr w:rsidR="001E776C" w:rsidRPr="00AF4487" w14:paraId="6B9A7357" w14:textId="77777777" w:rsidTr="006F2B36">
        <w:tc>
          <w:tcPr>
            <w:tcW w:w="1632" w:type="pct"/>
            <w:tcBorders>
              <w:top w:val="nil"/>
              <w:left w:val="nil"/>
              <w:bottom w:val="nil"/>
              <w:right w:val="nil"/>
            </w:tcBorders>
          </w:tcPr>
          <w:p w14:paraId="4E1D344F"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Germany</w:t>
            </w:r>
          </w:p>
        </w:tc>
        <w:tc>
          <w:tcPr>
            <w:tcW w:w="842" w:type="pct"/>
            <w:gridSpan w:val="2"/>
            <w:tcBorders>
              <w:top w:val="nil"/>
              <w:left w:val="nil"/>
              <w:bottom w:val="nil"/>
              <w:right w:val="nil"/>
            </w:tcBorders>
          </w:tcPr>
          <w:p w14:paraId="516C9FB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26</w:t>
            </w:r>
          </w:p>
        </w:tc>
        <w:tc>
          <w:tcPr>
            <w:tcW w:w="842" w:type="pct"/>
            <w:tcBorders>
              <w:top w:val="nil"/>
              <w:left w:val="nil"/>
              <w:bottom w:val="nil"/>
              <w:right w:val="nil"/>
            </w:tcBorders>
          </w:tcPr>
          <w:p w14:paraId="4F37908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309</w:t>
            </w:r>
          </w:p>
        </w:tc>
        <w:tc>
          <w:tcPr>
            <w:tcW w:w="842" w:type="pct"/>
            <w:gridSpan w:val="2"/>
            <w:tcBorders>
              <w:top w:val="nil"/>
              <w:left w:val="nil"/>
              <w:bottom w:val="nil"/>
              <w:right w:val="nil"/>
            </w:tcBorders>
          </w:tcPr>
          <w:p w14:paraId="21B0B0F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3.68</w:t>
            </w:r>
          </w:p>
        </w:tc>
        <w:tc>
          <w:tcPr>
            <w:tcW w:w="842" w:type="pct"/>
            <w:gridSpan w:val="2"/>
            <w:tcBorders>
              <w:top w:val="nil"/>
              <w:left w:val="nil"/>
              <w:bottom w:val="nil"/>
              <w:right w:val="nil"/>
            </w:tcBorders>
          </w:tcPr>
          <w:p w14:paraId="1280A08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23.60</w:t>
            </w:r>
          </w:p>
        </w:tc>
      </w:tr>
      <w:tr w:rsidR="001E776C" w:rsidRPr="00AF4487" w14:paraId="029EDABA" w14:textId="77777777" w:rsidTr="006F2B36">
        <w:tc>
          <w:tcPr>
            <w:tcW w:w="1632" w:type="pct"/>
            <w:tcBorders>
              <w:top w:val="nil"/>
              <w:left w:val="nil"/>
              <w:bottom w:val="nil"/>
              <w:right w:val="nil"/>
            </w:tcBorders>
          </w:tcPr>
          <w:p w14:paraId="1F47C1D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Greece</w:t>
            </w:r>
          </w:p>
        </w:tc>
        <w:tc>
          <w:tcPr>
            <w:tcW w:w="842" w:type="pct"/>
            <w:gridSpan w:val="2"/>
            <w:tcBorders>
              <w:top w:val="nil"/>
              <w:left w:val="nil"/>
              <w:bottom w:val="nil"/>
              <w:right w:val="nil"/>
            </w:tcBorders>
          </w:tcPr>
          <w:p w14:paraId="1EE380D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w:t>
            </w:r>
          </w:p>
        </w:tc>
        <w:tc>
          <w:tcPr>
            <w:tcW w:w="842" w:type="pct"/>
            <w:tcBorders>
              <w:top w:val="nil"/>
              <w:left w:val="nil"/>
              <w:bottom w:val="nil"/>
              <w:right w:val="nil"/>
            </w:tcBorders>
          </w:tcPr>
          <w:p w14:paraId="18D1782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44</w:t>
            </w:r>
          </w:p>
        </w:tc>
        <w:tc>
          <w:tcPr>
            <w:tcW w:w="842" w:type="pct"/>
            <w:gridSpan w:val="2"/>
            <w:tcBorders>
              <w:top w:val="nil"/>
              <w:left w:val="nil"/>
              <w:bottom w:val="nil"/>
              <w:right w:val="nil"/>
            </w:tcBorders>
          </w:tcPr>
          <w:p w14:paraId="36FAC8F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0.52</w:t>
            </w:r>
          </w:p>
        </w:tc>
        <w:tc>
          <w:tcPr>
            <w:tcW w:w="842" w:type="pct"/>
            <w:gridSpan w:val="2"/>
            <w:tcBorders>
              <w:top w:val="nil"/>
              <w:left w:val="nil"/>
              <w:bottom w:val="nil"/>
              <w:right w:val="nil"/>
            </w:tcBorders>
          </w:tcPr>
          <w:p w14:paraId="4DFD1F1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24.12</w:t>
            </w:r>
          </w:p>
        </w:tc>
      </w:tr>
      <w:tr w:rsidR="001E776C" w:rsidRPr="00AF4487" w14:paraId="0320D7F7" w14:textId="77777777" w:rsidTr="006F2B36">
        <w:tc>
          <w:tcPr>
            <w:tcW w:w="1632" w:type="pct"/>
            <w:tcBorders>
              <w:top w:val="nil"/>
              <w:left w:val="nil"/>
              <w:bottom w:val="nil"/>
              <w:right w:val="nil"/>
            </w:tcBorders>
          </w:tcPr>
          <w:p w14:paraId="2339C07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Hong Kong</w:t>
            </w:r>
          </w:p>
        </w:tc>
        <w:tc>
          <w:tcPr>
            <w:tcW w:w="842" w:type="pct"/>
            <w:gridSpan w:val="2"/>
            <w:tcBorders>
              <w:top w:val="nil"/>
              <w:left w:val="nil"/>
              <w:bottom w:val="nil"/>
              <w:right w:val="nil"/>
            </w:tcBorders>
          </w:tcPr>
          <w:p w14:paraId="7999D6E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w:t>
            </w:r>
          </w:p>
        </w:tc>
        <w:tc>
          <w:tcPr>
            <w:tcW w:w="842" w:type="pct"/>
            <w:tcBorders>
              <w:top w:val="nil"/>
              <w:left w:val="nil"/>
              <w:bottom w:val="nil"/>
              <w:right w:val="nil"/>
            </w:tcBorders>
          </w:tcPr>
          <w:p w14:paraId="1DD6FAF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80</w:t>
            </w:r>
          </w:p>
        </w:tc>
        <w:tc>
          <w:tcPr>
            <w:tcW w:w="842" w:type="pct"/>
            <w:gridSpan w:val="2"/>
            <w:tcBorders>
              <w:top w:val="nil"/>
              <w:left w:val="nil"/>
              <w:bottom w:val="nil"/>
              <w:right w:val="nil"/>
            </w:tcBorders>
          </w:tcPr>
          <w:p w14:paraId="5B66D0D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0.95</w:t>
            </w:r>
          </w:p>
        </w:tc>
        <w:tc>
          <w:tcPr>
            <w:tcW w:w="842" w:type="pct"/>
            <w:gridSpan w:val="2"/>
            <w:tcBorders>
              <w:top w:val="nil"/>
              <w:left w:val="nil"/>
              <w:bottom w:val="nil"/>
              <w:right w:val="nil"/>
            </w:tcBorders>
          </w:tcPr>
          <w:p w14:paraId="12668C4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25.07</w:t>
            </w:r>
          </w:p>
        </w:tc>
      </w:tr>
      <w:tr w:rsidR="001E776C" w:rsidRPr="00AF4487" w14:paraId="696D859E" w14:textId="77777777" w:rsidTr="006F2B36">
        <w:tc>
          <w:tcPr>
            <w:tcW w:w="1632" w:type="pct"/>
            <w:tcBorders>
              <w:top w:val="nil"/>
              <w:left w:val="nil"/>
              <w:bottom w:val="nil"/>
              <w:right w:val="nil"/>
            </w:tcBorders>
          </w:tcPr>
          <w:p w14:paraId="1E09D37B"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Hungary</w:t>
            </w:r>
          </w:p>
        </w:tc>
        <w:tc>
          <w:tcPr>
            <w:tcW w:w="842" w:type="pct"/>
            <w:gridSpan w:val="2"/>
            <w:tcBorders>
              <w:top w:val="nil"/>
              <w:left w:val="nil"/>
              <w:bottom w:val="nil"/>
              <w:right w:val="nil"/>
            </w:tcBorders>
          </w:tcPr>
          <w:p w14:paraId="7A02EAB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w:t>
            </w:r>
          </w:p>
        </w:tc>
        <w:tc>
          <w:tcPr>
            <w:tcW w:w="842" w:type="pct"/>
            <w:tcBorders>
              <w:top w:val="nil"/>
              <w:left w:val="nil"/>
              <w:bottom w:val="nil"/>
              <w:right w:val="nil"/>
            </w:tcBorders>
          </w:tcPr>
          <w:p w14:paraId="5CF3D8A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12</w:t>
            </w:r>
          </w:p>
        </w:tc>
        <w:tc>
          <w:tcPr>
            <w:tcW w:w="842" w:type="pct"/>
            <w:gridSpan w:val="2"/>
            <w:tcBorders>
              <w:top w:val="nil"/>
              <w:left w:val="nil"/>
              <w:bottom w:val="nil"/>
              <w:right w:val="nil"/>
            </w:tcBorders>
          </w:tcPr>
          <w:p w14:paraId="11CA8A7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0.14</w:t>
            </w:r>
          </w:p>
        </w:tc>
        <w:tc>
          <w:tcPr>
            <w:tcW w:w="842" w:type="pct"/>
            <w:gridSpan w:val="2"/>
            <w:tcBorders>
              <w:top w:val="nil"/>
              <w:left w:val="nil"/>
              <w:bottom w:val="nil"/>
              <w:right w:val="nil"/>
            </w:tcBorders>
          </w:tcPr>
          <w:p w14:paraId="222E688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25.21</w:t>
            </w:r>
          </w:p>
        </w:tc>
      </w:tr>
      <w:tr w:rsidR="001E776C" w:rsidRPr="00AF4487" w14:paraId="7EE09626" w14:textId="77777777" w:rsidTr="006F2B36">
        <w:tc>
          <w:tcPr>
            <w:tcW w:w="1632" w:type="pct"/>
            <w:tcBorders>
              <w:top w:val="nil"/>
              <w:left w:val="nil"/>
              <w:bottom w:val="nil"/>
              <w:right w:val="nil"/>
            </w:tcBorders>
          </w:tcPr>
          <w:p w14:paraId="29ABF889"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India</w:t>
            </w:r>
          </w:p>
        </w:tc>
        <w:tc>
          <w:tcPr>
            <w:tcW w:w="842" w:type="pct"/>
            <w:gridSpan w:val="2"/>
            <w:tcBorders>
              <w:top w:val="nil"/>
              <w:left w:val="nil"/>
              <w:bottom w:val="nil"/>
              <w:right w:val="nil"/>
            </w:tcBorders>
          </w:tcPr>
          <w:p w14:paraId="456A561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w:t>
            </w:r>
          </w:p>
        </w:tc>
        <w:tc>
          <w:tcPr>
            <w:tcW w:w="842" w:type="pct"/>
            <w:tcBorders>
              <w:top w:val="nil"/>
              <w:left w:val="nil"/>
              <w:bottom w:val="nil"/>
              <w:right w:val="nil"/>
            </w:tcBorders>
          </w:tcPr>
          <w:p w14:paraId="1B75A4A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59</w:t>
            </w:r>
          </w:p>
        </w:tc>
        <w:tc>
          <w:tcPr>
            <w:tcW w:w="842" w:type="pct"/>
            <w:gridSpan w:val="2"/>
            <w:tcBorders>
              <w:top w:val="nil"/>
              <w:left w:val="nil"/>
              <w:bottom w:val="nil"/>
              <w:right w:val="nil"/>
            </w:tcBorders>
          </w:tcPr>
          <w:p w14:paraId="0B3A243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0.70</w:t>
            </w:r>
          </w:p>
        </w:tc>
        <w:tc>
          <w:tcPr>
            <w:tcW w:w="842" w:type="pct"/>
            <w:gridSpan w:val="2"/>
            <w:tcBorders>
              <w:top w:val="nil"/>
              <w:left w:val="nil"/>
              <w:bottom w:val="nil"/>
              <w:right w:val="nil"/>
            </w:tcBorders>
          </w:tcPr>
          <w:p w14:paraId="508AFB8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25.92</w:t>
            </w:r>
          </w:p>
        </w:tc>
      </w:tr>
      <w:tr w:rsidR="001E776C" w:rsidRPr="00AF4487" w14:paraId="0A4B72EA" w14:textId="77777777" w:rsidTr="006F2B36">
        <w:tc>
          <w:tcPr>
            <w:tcW w:w="1632" w:type="pct"/>
            <w:tcBorders>
              <w:top w:val="nil"/>
              <w:left w:val="nil"/>
              <w:bottom w:val="nil"/>
              <w:right w:val="nil"/>
            </w:tcBorders>
          </w:tcPr>
          <w:p w14:paraId="08ED38C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Ireland</w:t>
            </w:r>
          </w:p>
        </w:tc>
        <w:tc>
          <w:tcPr>
            <w:tcW w:w="842" w:type="pct"/>
            <w:gridSpan w:val="2"/>
            <w:tcBorders>
              <w:top w:val="nil"/>
              <w:left w:val="nil"/>
              <w:bottom w:val="nil"/>
              <w:right w:val="nil"/>
            </w:tcBorders>
          </w:tcPr>
          <w:p w14:paraId="0FA7DF4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w:t>
            </w:r>
          </w:p>
        </w:tc>
        <w:tc>
          <w:tcPr>
            <w:tcW w:w="842" w:type="pct"/>
            <w:tcBorders>
              <w:top w:val="nil"/>
              <w:left w:val="nil"/>
              <w:bottom w:val="nil"/>
              <w:right w:val="nil"/>
            </w:tcBorders>
          </w:tcPr>
          <w:p w14:paraId="362D1DA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98</w:t>
            </w:r>
          </w:p>
        </w:tc>
        <w:tc>
          <w:tcPr>
            <w:tcW w:w="842" w:type="pct"/>
            <w:gridSpan w:val="2"/>
            <w:tcBorders>
              <w:top w:val="nil"/>
              <w:left w:val="nil"/>
              <w:bottom w:val="nil"/>
              <w:right w:val="nil"/>
            </w:tcBorders>
          </w:tcPr>
          <w:p w14:paraId="7BD7635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1.17</w:t>
            </w:r>
          </w:p>
        </w:tc>
        <w:tc>
          <w:tcPr>
            <w:tcW w:w="842" w:type="pct"/>
            <w:gridSpan w:val="2"/>
            <w:tcBorders>
              <w:top w:val="nil"/>
              <w:left w:val="nil"/>
              <w:bottom w:val="nil"/>
              <w:right w:val="nil"/>
            </w:tcBorders>
          </w:tcPr>
          <w:p w14:paraId="110BBC8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27.08</w:t>
            </w:r>
          </w:p>
        </w:tc>
      </w:tr>
      <w:tr w:rsidR="001E776C" w:rsidRPr="00AF4487" w14:paraId="2FFA33C3" w14:textId="77777777" w:rsidTr="006F2B36">
        <w:tc>
          <w:tcPr>
            <w:tcW w:w="1632" w:type="pct"/>
            <w:tcBorders>
              <w:top w:val="nil"/>
              <w:left w:val="nil"/>
              <w:bottom w:val="nil"/>
              <w:right w:val="nil"/>
            </w:tcBorders>
          </w:tcPr>
          <w:p w14:paraId="0B842A8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Italy</w:t>
            </w:r>
          </w:p>
        </w:tc>
        <w:tc>
          <w:tcPr>
            <w:tcW w:w="842" w:type="pct"/>
            <w:gridSpan w:val="2"/>
            <w:tcBorders>
              <w:top w:val="nil"/>
              <w:left w:val="nil"/>
              <w:bottom w:val="nil"/>
              <w:right w:val="nil"/>
            </w:tcBorders>
          </w:tcPr>
          <w:p w14:paraId="685FC39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12</w:t>
            </w:r>
          </w:p>
        </w:tc>
        <w:tc>
          <w:tcPr>
            <w:tcW w:w="842" w:type="pct"/>
            <w:tcBorders>
              <w:top w:val="nil"/>
              <w:left w:val="nil"/>
              <w:bottom w:val="nil"/>
              <w:right w:val="nil"/>
            </w:tcBorders>
          </w:tcPr>
          <w:p w14:paraId="3CDEAC0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173</w:t>
            </w:r>
          </w:p>
        </w:tc>
        <w:tc>
          <w:tcPr>
            <w:tcW w:w="842" w:type="pct"/>
            <w:gridSpan w:val="2"/>
            <w:tcBorders>
              <w:top w:val="nil"/>
              <w:left w:val="nil"/>
              <w:bottom w:val="nil"/>
              <w:right w:val="nil"/>
            </w:tcBorders>
          </w:tcPr>
          <w:p w14:paraId="457A694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2.06</w:t>
            </w:r>
          </w:p>
        </w:tc>
        <w:tc>
          <w:tcPr>
            <w:tcW w:w="842" w:type="pct"/>
            <w:gridSpan w:val="2"/>
            <w:tcBorders>
              <w:top w:val="nil"/>
              <w:left w:val="nil"/>
              <w:bottom w:val="nil"/>
              <w:right w:val="nil"/>
            </w:tcBorders>
          </w:tcPr>
          <w:p w14:paraId="04258F6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29.14</w:t>
            </w:r>
          </w:p>
        </w:tc>
      </w:tr>
      <w:tr w:rsidR="001E776C" w:rsidRPr="00AF4487" w14:paraId="3679E975" w14:textId="77777777" w:rsidTr="006F2B36">
        <w:tc>
          <w:tcPr>
            <w:tcW w:w="1632" w:type="pct"/>
            <w:tcBorders>
              <w:top w:val="nil"/>
              <w:left w:val="nil"/>
              <w:bottom w:val="nil"/>
              <w:right w:val="nil"/>
            </w:tcBorders>
          </w:tcPr>
          <w:p w14:paraId="2CA08A2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Japan</w:t>
            </w:r>
          </w:p>
        </w:tc>
        <w:tc>
          <w:tcPr>
            <w:tcW w:w="842" w:type="pct"/>
            <w:gridSpan w:val="2"/>
            <w:tcBorders>
              <w:top w:val="nil"/>
              <w:left w:val="nil"/>
              <w:bottom w:val="nil"/>
              <w:right w:val="nil"/>
            </w:tcBorders>
          </w:tcPr>
          <w:p w14:paraId="25E174A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146</w:t>
            </w:r>
          </w:p>
        </w:tc>
        <w:tc>
          <w:tcPr>
            <w:tcW w:w="842" w:type="pct"/>
            <w:tcBorders>
              <w:top w:val="nil"/>
              <w:left w:val="nil"/>
              <w:bottom w:val="nil"/>
              <w:right w:val="nil"/>
            </w:tcBorders>
          </w:tcPr>
          <w:p w14:paraId="55450D1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1760</w:t>
            </w:r>
          </w:p>
        </w:tc>
        <w:tc>
          <w:tcPr>
            <w:tcW w:w="842" w:type="pct"/>
            <w:gridSpan w:val="2"/>
            <w:tcBorders>
              <w:top w:val="nil"/>
              <w:left w:val="nil"/>
              <w:bottom w:val="nil"/>
              <w:right w:val="nil"/>
            </w:tcBorders>
          </w:tcPr>
          <w:p w14:paraId="5515520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20.93</w:t>
            </w:r>
          </w:p>
        </w:tc>
        <w:tc>
          <w:tcPr>
            <w:tcW w:w="842" w:type="pct"/>
            <w:gridSpan w:val="2"/>
            <w:tcBorders>
              <w:top w:val="nil"/>
              <w:left w:val="nil"/>
              <w:bottom w:val="nil"/>
              <w:right w:val="nil"/>
            </w:tcBorders>
          </w:tcPr>
          <w:p w14:paraId="2DF8A25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50.07</w:t>
            </w:r>
          </w:p>
        </w:tc>
      </w:tr>
      <w:tr w:rsidR="001E776C" w:rsidRPr="00AF4487" w14:paraId="6F9DE31A" w14:textId="77777777" w:rsidTr="006F2B36">
        <w:tc>
          <w:tcPr>
            <w:tcW w:w="1632" w:type="pct"/>
            <w:tcBorders>
              <w:top w:val="nil"/>
              <w:left w:val="nil"/>
              <w:bottom w:val="nil"/>
              <w:right w:val="nil"/>
            </w:tcBorders>
          </w:tcPr>
          <w:p w14:paraId="7DFE0A4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Luxembourg</w:t>
            </w:r>
          </w:p>
        </w:tc>
        <w:tc>
          <w:tcPr>
            <w:tcW w:w="842" w:type="pct"/>
            <w:gridSpan w:val="2"/>
            <w:tcBorders>
              <w:top w:val="nil"/>
              <w:left w:val="nil"/>
              <w:bottom w:val="nil"/>
              <w:right w:val="nil"/>
            </w:tcBorders>
          </w:tcPr>
          <w:p w14:paraId="15DCA79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4D166AC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31</w:t>
            </w:r>
          </w:p>
        </w:tc>
        <w:tc>
          <w:tcPr>
            <w:tcW w:w="842" w:type="pct"/>
            <w:gridSpan w:val="2"/>
            <w:tcBorders>
              <w:top w:val="nil"/>
              <w:left w:val="nil"/>
              <w:bottom w:val="nil"/>
              <w:right w:val="nil"/>
            </w:tcBorders>
          </w:tcPr>
          <w:p w14:paraId="700B381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0.37</w:t>
            </w:r>
          </w:p>
        </w:tc>
        <w:tc>
          <w:tcPr>
            <w:tcW w:w="842" w:type="pct"/>
            <w:gridSpan w:val="2"/>
            <w:tcBorders>
              <w:top w:val="nil"/>
              <w:left w:val="nil"/>
              <w:bottom w:val="nil"/>
              <w:right w:val="nil"/>
            </w:tcBorders>
          </w:tcPr>
          <w:p w14:paraId="7973EED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50.44</w:t>
            </w:r>
          </w:p>
        </w:tc>
      </w:tr>
      <w:tr w:rsidR="001E776C" w:rsidRPr="00AF4487" w14:paraId="4ABD8921" w14:textId="77777777" w:rsidTr="006F2B36">
        <w:tc>
          <w:tcPr>
            <w:tcW w:w="1632" w:type="pct"/>
            <w:tcBorders>
              <w:top w:val="nil"/>
              <w:left w:val="nil"/>
              <w:bottom w:val="nil"/>
              <w:right w:val="nil"/>
            </w:tcBorders>
          </w:tcPr>
          <w:p w14:paraId="171E3D2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Malaysia</w:t>
            </w:r>
          </w:p>
        </w:tc>
        <w:tc>
          <w:tcPr>
            <w:tcW w:w="842" w:type="pct"/>
            <w:gridSpan w:val="2"/>
            <w:tcBorders>
              <w:top w:val="nil"/>
              <w:left w:val="nil"/>
              <w:bottom w:val="nil"/>
              <w:right w:val="nil"/>
            </w:tcBorders>
          </w:tcPr>
          <w:p w14:paraId="7E1DD45D"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w:t>
            </w:r>
          </w:p>
        </w:tc>
        <w:tc>
          <w:tcPr>
            <w:tcW w:w="842" w:type="pct"/>
            <w:tcBorders>
              <w:top w:val="nil"/>
              <w:left w:val="nil"/>
              <w:bottom w:val="nil"/>
              <w:right w:val="nil"/>
            </w:tcBorders>
          </w:tcPr>
          <w:p w14:paraId="5968FF0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12</w:t>
            </w:r>
          </w:p>
        </w:tc>
        <w:tc>
          <w:tcPr>
            <w:tcW w:w="842" w:type="pct"/>
            <w:gridSpan w:val="2"/>
            <w:tcBorders>
              <w:top w:val="nil"/>
              <w:left w:val="nil"/>
              <w:bottom w:val="nil"/>
              <w:right w:val="nil"/>
            </w:tcBorders>
          </w:tcPr>
          <w:p w14:paraId="2C0B8FB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0.14</w:t>
            </w:r>
          </w:p>
        </w:tc>
        <w:tc>
          <w:tcPr>
            <w:tcW w:w="842" w:type="pct"/>
            <w:gridSpan w:val="2"/>
            <w:tcBorders>
              <w:top w:val="nil"/>
              <w:left w:val="nil"/>
              <w:bottom w:val="nil"/>
              <w:right w:val="nil"/>
            </w:tcBorders>
          </w:tcPr>
          <w:p w14:paraId="5295753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50.58</w:t>
            </w:r>
          </w:p>
        </w:tc>
      </w:tr>
      <w:tr w:rsidR="001E776C" w:rsidRPr="00AF4487" w14:paraId="3DCAE4B1" w14:textId="77777777" w:rsidTr="006F2B36">
        <w:tc>
          <w:tcPr>
            <w:tcW w:w="1632" w:type="pct"/>
            <w:tcBorders>
              <w:top w:val="nil"/>
              <w:left w:val="nil"/>
              <w:bottom w:val="nil"/>
              <w:right w:val="nil"/>
            </w:tcBorders>
          </w:tcPr>
          <w:p w14:paraId="644296E5"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Mexico</w:t>
            </w:r>
          </w:p>
        </w:tc>
        <w:tc>
          <w:tcPr>
            <w:tcW w:w="842" w:type="pct"/>
            <w:gridSpan w:val="2"/>
            <w:tcBorders>
              <w:top w:val="nil"/>
              <w:left w:val="nil"/>
              <w:bottom w:val="nil"/>
              <w:right w:val="nil"/>
            </w:tcBorders>
          </w:tcPr>
          <w:p w14:paraId="69A3BC3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w:t>
            </w:r>
          </w:p>
        </w:tc>
        <w:tc>
          <w:tcPr>
            <w:tcW w:w="842" w:type="pct"/>
            <w:tcBorders>
              <w:top w:val="nil"/>
              <w:left w:val="nil"/>
              <w:bottom w:val="nil"/>
              <w:right w:val="nil"/>
            </w:tcBorders>
          </w:tcPr>
          <w:p w14:paraId="4978487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53</w:t>
            </w:r>
          </w:p>
        </w:tc>
        <w:tc>
          <w:tcPr>
            <w:tcW w:w="842" w:type="pct"/>
            <w:gridSpan w:val="2"/>
            <w:tcBorders>
              <w:top w:val="nil"/>
              <w:left w:val="nil"/>
              <w:bottom w:val="nil"/>
              <w:right w:val="nil"/>
            </w:tcBorders>
          </w:tcPr>
          <w:p w14:paraId="2681102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0.63</w:t>
            </w:r>
          </w:p>
        </w:tc>
        <w:tc>
          <w:tcPr>
            <w:tcW w:w="842" w:type="pct"/>
            <w:gridSpan w:val="2"/>
            <w:tcBorders>
              <w:top w:val="nil"/>
              <w:left w:val="nil"/>
              <w:bottom w:val="nil"/>
              <w:right w:val="nil"/>
            </w:tcBorders>
          </w:tcPr>
          <w:p w14:paraId="4055FCA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51.21</w:t>
            </w:r>
          </w:p>
        </w:tc>
      </w:tr>
      <w:tr w:rsidR="001E776C" w:rsidRPr="00AF4487" w14:paraId="524F38B0" w14:textId="77777777" w:rsidTr="006F2B36">
        <w:tc>
          <w:tcPr>
            <w:tcW w:w="1632" w:type="pct"/>
            <w:tcBorders>
              <w:top w:val="nil"/>
              <w:left w:val="nil"/>
              <w:bottom w:val="nil"/>
              <w:right w:val="nil"/>
            </w:tcBorders>
          </w:tcPr>
          <w:p w14:paraId="2BB43976"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Netherlands</w:t>
            </w:r>
          </w:p>
        </w:tc>
        <w:tc>
          <w:tcPr>
            <w:tcW w:w="842" w:type="pct"/>
            <w:gridSpan w:val="2"/>
            <w:tcBorders>
              <w:top w:val="nil"/>
              <w:left w:val="nil"/>
              <w:bottom w:val="nil"/>
              <w:right w:val="nil"/>
            </w:tcBorders>
          </w:tcPr>
          <w:p w14:paraId="3C0D319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13</w:t>
            </w:r>
          </w:p>
        </w:tc>
        <w:tc>
          <w:tcPr>
            <w:tcW w:w="842" w:type="pct"/>
            <w:tcBorders>
              <w:top w:val="nil"/>
              <w:left w:val="nil"/>
              <w:bottom w:val="nil"/>
              <w:right w:val="nil"/>
            </w:tcBorders>
          </w:tcPr>
          <w:p w14:paraId="61336F6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211</w:t>
            </w:r>
          </w:p>
        </w:tc>
        <w:tc>
          <w:tcPr>
            <w:tcW w:w="842" w:type="pct"/>
            <w:gridSpan w:val="2"/>
            <w:tcBorders>
              <w:top w:val="nil"/>
              <w:left w:val="nil"/>
              <w:bottom w:val="nil"/>
              <w:right w:val="nil"/>
            </w:tcBorders>
          </w:tcPr>
          <w:p w14:paraId="0D449EB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2.51</w:t>
            </w:r>
          </w:p>
        </w:tc>
        <w:tc>
          <w:tcPr>
            <w:tcW w:w="842" w:type="pct"/>
            <w:gridSpan w:val="2"/>
            <w:tcBorders>
              <w:top w:val="nil"/>
              <w:left w:val="nil"/>
              <w:bottom w:val="nil"/>
              <w:right w:val="nil"/>
            </w:tcBorders>
          </w:tcPr>
          <w:p w14:paraId="1C89174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53.72</w:t>
            </w:r>
          </w:p>
        </w:tc>
      </w:tr>
      <w:tr w:rsidR="001E776C" w:rsidRPr="00AF4487" w14:paraId="479E1614" w14:textId="77777777" w:rsidTr="006F2B36">
        <w:tc>
          <w:tcPr>
            <w:tcW w:w="1632" w:type="pct"/>
            <w:tcBorders>
              <w:top w:val="nil"/>
              <w:left w:val="nil"/>
              <w:bottom w:val="nil"/>
              <w:right w:val="nil"/>
            </w:tcBorders>
          </w:tcPr>
          <w:p w14:paraId="443EAABA"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Norway</w:t>
            </w:r>
          </w:p>
        </w:tc>
        <w:tc>
          <w:tcPr>
            <w:tcW w:w="842" w:type="pct"/>
            <w:gridSpan w:val="2"/>
            <w:tcBorders>
              <w:top w:val="nil"/>
              <w:left w:val="nil"/>
              <w:bottom w:val="nil"/>
              <w:right w:val="nil"/>
            </w:tcBorders>
          </w:tcPr>
          <w:p w14:paraId="332885E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w:t>
            </w:r>
          </w:p>
        </w:tc>
        <w:tc>
          <w:tcPr>
            <w:tcW w:w="842" w:type="pct"/>
            <w:tcBorders>
              <w:top w:val="nil"/>
              <w:left w:val="nil"/>
              <w:bottom w:val="nil"/>
              <w:right w:val="nil"/>
            </w:tcBorders>
          </w:tcPr>
          <w:p w14:paraId="34A5AAB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88</w:t>
            </w:r>
          </w:p>
        </w:tc>
        <w:tc>
          <w:tcPr>
            <w:tcW w:w="842" w:type="pct"/>
            <w:gridSpan w:val="2"/>
            <w:tcBorders>
              <w:top w:val="nil"/>
              <w:left w:val="nil"/>
              <w:bottom w:val="nil"/>
              <w:right w:val="nil"/>
            </w:tcBorders>
          </w:tcPr>
          <w:p w14:paraId="5292E00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1.05</w:t>
            </w:r>
          </w:p>
        </w:tc>
        <w:tc>
          <w:tcPr>
            <w:tcW w:w="842" w:type="pct"/>
            <w:gridSpan w:val="2"/>
            <w:tcBorders>
              <w:top w:val="nil"/>
              <w:left w:val="nil"/>
              <w:bottom w:val="nil"/>
              <w:right w:val="nil"/>
            </w:tcBorders>
          </w:tcPr>
          <w:p w14:paraId="67A8890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54.77</w:t>
            </w:r>
          </w:p>
        </w:tc>
      </w:tr>
      <w:tr w:rsidR="001E776C" w:rsidRPr="00AF4487" w14:paraId="0ACF40C4" w14:textId="77777777" w:rsidTr="006F2B36">
        <w:tc>
          <w:tcPr>
            <w:tcW w:w="1632" w:type="pct"/>
            <w:tcBorders>
              <w:top w:val="nil"/>
              <w:left w:val="nil"/>
              <w:bottom w:val="nil"/>
              <w:right w:val="nil"/>
            </w:tcBorders>
          </w:tcPr>
          <w:p w14:paraId="16C1E81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Portugal</w:t>
            </w:r>
          </w:p>
        </w:tc>
        <w:tc>
          <w:tcPr>
            <w:tcW w:w="842" w:type="pct"/>
            <w:gridSpan w:val="2"/>
            <w:tcBorders>
              <w:top w:val="nil"/>
              <w:left w:val="nil"/>
              <w:bottom w:val="nil"/>
              <w:right w:val="nil"/>
            </w:tcBorders>
          </w:tcPr>
          <w:p w14:paraId="27F27B2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1C6A454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29</w:t>
            </w:r>
          </w:p>
        </w:tc>
        <w:tc>
          <w:tcPr>
            <w:tcW w:w="842" w:type="pct"/>
            <w:gridSpan w:val="2"/>
            <w:tcBorders>
              <w:top w:val="nil"/>
              <w:left w:val="nil"/>
              <w:bottom w:val="nil"/>
              <w:right w:val="nil"/>
            </w:tcBorders>
          </w:tcPr>
          <w:p w14:paraId="33EFA52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0.34</w:t>
            </w:r>
          </w:p>
        </w:tc>
        <w:tc>
          <w:tcPr>
            <w:tcW w:w="842" w:type="pct"/>
            <w:gridSpan w:val="2"/>
            <w:tcBorders>
              <w:top w:val="nil"/>
              <w:left w:val="nil"/>
              <w:bottom w:val="nil"/>
              <w:right w:val="nil"/>
            </w:tcBorders>
          </w:tcPr>
          <w:p w14:paraId="0B9FC18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55.11</w:t>
            </w:r>
          </w:p>
        </w:tc>
      </w:tr>
      <w:tr w:rsidR="001E776C" w:rsidRPr="00AF4487" w14:paraId="16D1C9EE" w14:textId="77777777" w:rsidTr="006F2B36">
        <w:tc>
          <w:tcPr>
            <w:tcW w:w="1632" w:type="pct"/>
            <w:tcBorders>
              <w:top w:val="nil"/>
              <w:left w:val="nil"/>
              <w:bottom w:val="nil"/>
              <w:right w:val="nil"/>
            </w:tcBorders>
          </w:tcPr>
          <w:p w14:paraId="4BF45CF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Russia</w:t>
            </w:r>
          </w:p>
        </w:tc>
        <w:tc>
          <w:tcPr>
            <w:tcW w:w="842" w:type="pct"/>
            <w:gridSpan w:val="2"/>
            <w:tcBorders>
              <w:top w:val="nil"/>
              <w:left w:val="nil"/>
              <w:bottom w:val="nil"/>
              <w:right w:val="nil"/>
            </w:tcBorders>
          </w:tcPr>
          <w:p w14:paraId="789E7D2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7334988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22</w:t>
            </w:r>
          </w:p>
        </w:tc>
        <w:tc>
          <w:tcPr>
            <w:tcW w:w="842" w:type="pct"/>
            <w:gridSpan w:val="2"/>
            <w:tcBorders>
              <w:top w:val="nil"/>
              <w:left w:val="nil"/>
              <w:bottom w:val="nil"/>
              <w:right w:val="nil"/>
            </w:tcBorders>
          </w:tcPr>
          <w:p w14:paraId="43CBB4ED"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0.26</w:t>
            </w:r>
          </w:p>
        </w:tc>
        <w:tc>
          <w:tcPr>
            <w:tcW w:w="842" w:type="pct"/>
            <w:gridSpan w:val="2"/>
            <w:tcBorders>
              <w:top w:val="nil"/>
              <w:left w:val="nil"/>
              <w:bottom w:val="nil"/>
              <w:right w:val="nil"/>
            </w:tcBorders>
          </w:tcPr>
          <w:p w14:paraId="78E8D21E"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55.38</w:t>
            </w:r>
          </w:p>
        </w:tc>
      </w:tr>
      <w:tr w:rsidR="001E776C" w:rsidRPr="00AF4487" w14:paraId="552DFD30" w14:textId="77777777" w:rsidTr="006F2B36">
        <w:tc>
          <w:tcPr>
            <w:tcW w:w="1632" w:type="pct"/>
            <w:tcBorders>
              <w:top w:val="nil"/>
              <w:left w:val="nil"/>
              <w:bottom w:val="nil"/>
              <w:right w:val="nil"/>
            </w:tcBorders>
          </w:tcPr>
          <w:p w14:paraId="093C5AD9"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Saudi Arabia</w:t>
            </w:r>
          </w:p>
        </w:tc>
        <w:tc>
          <w:tcPr>
            <w:tcW w:w="842" w:type="pct"/>
            <w:gridSpan w:val="2"/>
            <w:tcBorders>
              <w:top w:val="nil"/>
              <w:left w:val="nil"/>
              <w:bottom w:val="nil"/>
              <w:right w:val="nil"/>
            </w:tcBorders>
          </w:tcPr>
          <w:p w14:paraId="6B75F0D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w:t>
            </w:r>
          </w:p>
        </w:tc>
        <w:tc>
          <w:tcPr>
            <w:tcW w:w="842" w:type="pct"/>
            <w:tcBorders>
              <w:top w:val="nil"/>
              <w:left w:val="nil"/>
              <w:bottom w:val="nil"/>
              <w:right w:val="nil"/>
            </w:tcBorders>
          </w:tcPr>
          <w:p w14:paraId="26A4BF1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w:t>
            </w:r>
          </w:p>
        </w:tc>
        <w:tc>
          <w:tcPr>
            <w:tcW w:w="842" w:type="pct"/>
            <w:gridSpan w:val="2"/>
            <w:tcBorders>
              <w:top w:val="nil"/>
              <w:left w:val="nil"/>
              <w:bottom w:val="nil"/>
              <w:right w:val="nil"/>
            </w:tcBorders>
          </w:tcPr>
          <w:p w14:paraId="1944D47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0.12</w:t>
            </w:r>
          </w:p>
        </w:tc>
        <w:tc>
          <w:tcPr>
            <w:tcW w:w="842" w:type="pct"/>
            <w:gridSpan w:val="2"/>
            <w:tcBorders>
              <w:top w:val="nil"/>
              <w:left w:val="nil"/>
              <w:bottom w:val="nil"/>
              <w:right w:val="nil"/>
            </w:tcBorders>
          </w:tcPr>
          <w:p w14:paraId="0097A8A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55.49</w:t>
            </w:r>
          </w:p>
        </w:tc>
      </w:tr>
      <w:tr w:rsidR="001E776C" w:rsidRPr="00AF4487" w14:paraId="59B4B753" w14:textId="77777777" w:rsidTr="006F2B36">
        <w:tc>
          <w:tcPr>
            <w:tcW w:w="1632" w:type="pct"/>
            <w:tcBorders>
              <w:top w:val="nil"/>
              <w:left w:val="nil"/>
              <w:bottom w:val="nil"/>
              <w:right w:val="nil"/>
            </w:tcBorders>
          </w:tcPr>
          <w:p w14:paraId="6056F13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Singapore</w:t>
            </w:r>
          </w:p>
        </w:tc>
        <w:tc>
          <w:tcPr>
            <w:tcW w:w="842" w:type="pct"/>
            <w:gridSpan w:val="2"/>
            <w:tcBorders>
              <w:top w:val="nil"/>
              <w:left w:val="nil"/>
              <w:bottom w:val="nil"/>
              <w:right w:val="nil"/>
            </w:tcBorders>
          </w:tcPr>
          <w:p w14:paraId="02704A3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28DC9A5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31</w:t>
            </w:r>
          </w:p>
        </w:tc>
        <w:tc>
          <w:tcPr>
            <w:tcW w:w="842" w:type="pct"/>
            <w:gridSpan w:val="2"/>
            <w:tcBorders>
              <w:top w:val="nil"/>
              <w:left w:val="nil"/>
              <w:bottom w:val="nil"/>
              <w:right w:val="nil"/>
            </w:tcBorders>
          </w:tcPr>
          <w:p w14:paraId="3218E9F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0.37</w:t>
            </w:r>
          </w:p>
        </w:tc>
        <w:tc>
          <w:tcPr>
            <w:tcW w:w="842" w:type="pct"/>
            <w:gridSpan w:val="2"/>
            <w:tcBorders>
              <w:top w:val="nil"/>
              <w:left w:val="nil"/>
              <w:bottom w:val="nil"/>
              <w:right w:val="nil"/>
            </w:tcBorders>
          </w:tcPr>
          <w:p w14:paraId="00D3D59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55.86</w:t>
            </w:r>
          </w:p>
        </w:tc>
      </w:tr>
      <w:tr w:rsidR="001E776C" w:rsidRPr="00AF4487" w14:paraId="1C67F965" w14:textId="77777777" w:rsidTr="006F2B36">
        <w:tc>
          <w:tcPr>
            <w:tcW w:w="1632" w:type="pct"/>
            <w:tcBorders>
              <w:top w:val="nil"/>
              <w:left w:val="nil"/>
              <w:bottom w:val="nil"/>
              <w:right w:val="nil"/>
            </w:tcBorders>
          </w:tcPr>
          <w:p w14:paraId="04E9C5F8"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South Africa</w:t>
            </w:r>
          </w:p>
        </w:tc>
        <w:tc>
          <w:tcPr>
            <w:tcW w:w="842" w:type="pct"/>
            <w:gridSpan w:val="2"/>
            <w:tcBorders>
              <w:top w:val="nil"/>
              <w:left w:val="nil"/>
              <w:bottom w:val="nil"/>
              <w:right w:val="nil"/>
            </w:tcBorders>
          </w:tcPr>
          <w:p w14:paraId="175C7FB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w:t>
            </w:r>
          </w:p>
        </w:tc>
        <w:tc>
          <w:tcPr>
            <w:tcW w:w="842" w:type="pct"/>
            <w:tcBorders>
              <w:top w:val="nil"/>
              <w:left w:val="nil"/>
              <w:bottom w:val="nil"/>
              <w:right w:val="nil"/>
            </w:tcBorders>
          </w:tcPr>
          <w:p w14:paraId="529CEB1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83</w:t>
            </w:r>
          </w:p>
        </w:tc>
        <w:tc>
          <w:tcPr>
            <w:tcW w:w="842" w:type="pct"/>
            <w:gridSpan w:val="2"/>
            <w:tcBorders>
              <w:top w:val="nil"/>
              <w:left w:val="nil"/>
              <w:bottom w:val="nil"/>
              <w:right w:val="nil"/>
            </w:tcBorders>
          </w:tcPr>
          <w:p w14:paraId="68F3E07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0.99</w:t>
            </w:r>
          </w:p>
        </w:tc>
        <w:tc>
          <w:tcPr>
            <w:tcW w:w="842" w:type="pct"/>
            <w:gridSpan w:val="2"/>
            <w:tcBorders>
              <w:top w:val="nil"/>
              <w:left w:val="nil"/>
              <w:bottom w:val="nil"/>
              <w:right w:val="nil"/>
            </w:tcBorders>
          </w:tcPr>
          <w:p w14:paraId="6EF732E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56.85</w:t>
            </w:r>
          </w:p>
        </w:tc>
      </w:tr>
      <w:tr w:rsidR="001E776C" w:rsidRPr="00AF4487" w14:paraId="32664305" w14:textId="77777777" w:rsidTr="006F2B36">
        <w:tc>
          <w:tcPr>
            <w:tcW w:w="1632" w:type="pct"/>
            <w:tcBorders>
              <w:top w:val="nil"/>
              <w:left w:val="nil"/>
              <w:bottom w:val="nil"/>
              <w:right w:val="nil"/>
            </w:tcBorders>
          </w:tcPr>
          <w:p w14:paraId="5BD763BE"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South Korea</w:t>
            </w:r>
          </w:p>
        </w:tc>
        <w:tc>
          <w:tcPr>
            <w:tcW w:w="842" w:type="pct"/>
            <w:gridSpan w:val="2"/>
            <w:tcBorders>
              <w:top w:val="nil"/>
              <w:left w:val="nil"/>
              <w:bottom w:val="nil"/>
              <w:right w:val="nil"/>
            </w:tcBorders>
          </w:tcPr>
          <w:p w14:paraId="711A57D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13</w:t>
            </w:r>
          </w:p>
        </w:tc>
        <w:tc>
          <w:tcPr>
            <w:tcW w:w="842" w:type="pct"/>
            <w:tcBorders>
              <w:top w:val="nil"/>
              <w:left w:val="nil"/>
              <w:bottom w:val="nil"/>
              <w:right w:val="nil"/>
            </w:tcBorders>
          </w:tcPr>
          <w:p w14:paraId="1AA9FCC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150</w:t>
            </w:r>
          </w:p>
        </w:tc>
        <w:tc>
          <w:tcPr>
            <w:tcW w:w="842" w:type="pct"/>
            <w:gridSpan w:val="2"/>
            <w:tcBorders>
              <w:top w:val="nil"/>
              <w:left w:val="nil"/>
              <w:bottom w:val="nil"/>
              <w:right w:val="nil"/>
            </w:tcBorders>
          </w:tcPr>
          <w:p w14:paraId="06530E0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1.78</w:t>
            </w:r>
          </w:p>
        </w:tc>
        <w:tc>
          <w:tcPr>
            <w:tcW w:w="842" w:type="pct"/>
            <w:gridSpan w:val="2"/>
            <w:tcBorders>
              <w:top w:val="nil"/>
              <w:left w:val="nil"/>
              <w:bottom w:val="nil"/>
              <w:right w:val="nil"/>
            </w:tcBorders>
          </w:tcPr>
          <w:p w14:paraId="3B4DCAB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58.63</w:t>
            </w:r>
          </w:p>
        </w:tc>
      </w:tr>
      <w:tr w:rsidR="001E776C" w:rsidRPr="00AF4487" w14:paraId="459F4794" w14:textId="77777777" w:rsidTr="006F2B36">
        <w:tc>
          <w:tcPr>
            <w:tcW w:w="1632" w:type="pct"/>
            <w:tcBorders>
              <w:top w:val="nil"/>
              <w:left w:val="nil"/>
              <w:bottom w:val="nil"/>
              <w:right w:val="nil"/>
            </w:tcBorders>
          </w:tcPr>
          <w:p w14:paraId="1825D250"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Spain</w:t>
            </w:r>
          </w:p>
        </w:tc>
        <w:tc>
          <w:tcPr>
            <w:tcW w:w="842" w:type="pct"/>
            <w:gridSpan w:val="2"/>
            <w:tcBorders>
              <w:top w:val="nil"/>
              <w:left w:val="nil"/>
              <w:bottom w:val="nil"/>
              <w:right w:val="nil"/>
            </w:tcBorders>
          </w:tcPr>
          <w:p w14:paraId="7E02031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14</w:t>
            </w:r>
          </w:p>
        </w:tc>
        <w:tc>
          <w:tcPr>
            <w:tcW w:w="842" w:type="pct"/>
            <w:tcBorders>
              <w:top w:val="nil"/>
              <w:left w:val="nil"/>
              <w:bottom w:val="nil"/>
              <w:right w:val="nil"/>
            </w:tcBorders>
          </w:tcPr>
          <w:p w14:paraId="2E3D031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210</w:t>
            </w:r>
          </w:p>
        </w:tc>
        <w:tc>
          <w:tcPr>
            <w:tcW w:w="842" w:type="pct"/>
            <w:gridSpan w:val="2"/>
            <w:tcBorders>
              <w:top w:val="nil"/>
              <w:left w:val="nil"/>
              <w:bottom w:val="nil"/>
              <w:right w:val="nil"/>
            </w:tcBorders>
          </w:tcPr>
          <w:p w14:paraId="75AB4CC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2.50</w:t>
            </w:r>
          </w:p>
        </w:tc>
        <w:tc>
          <w:tcPr>
            <w:tcW w:w="842" w:type="pct"/>
            <w:gridSpan w:val="2"/>
            <w:tcBorders>
              <w:top w:val="nil"/>
              <w:left w:val="nil"/>
              <w:bottom w:val="nil"/>
              <w:right w:val="nil"/>
            </w:tcBorders>
          </w:tcPr>
          <w:p w14:paraId="47ACA76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61.13</w:t>
            </w:r>
          </w:p>
        </w:tc>
      </w:tr>
      <w:tr w:rsidR="001E776C" w:rsidRPr="00AF4487" w14:paraId="3F3B2E73" w14:textId="77777777" w:rsidTr="006F2B36">
        <w:tc>
          <w:tcPr>
            <w:tcW w:w="1632" w:type="pct"/>
            <w:tcBorders>
              <w:top w:val="nil"/>
              <w:left w:val="nil"/>
              <w:bottom w:val="nil"/>
              <w:right w:val="nil"/>
            </w:tcBorders>
          </w:tcPr>
          <w:p w14:paraId="0A89C9D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Sweden</w:t>
            </w:r>
          </w:p>
        </w:tc>
        <w:tc>
          <w:tcPr>
            <w:tcW w:w="842" w:type="pct"/>
            <w:gridSpan w:val="2"/>
            <w:tcBorders>
              <w:top w:val="nil"/>
              <w:left w:val="nil"/>
              <w:bottom w:val="nil"/>
              <w:right w:val="nil"/>
            </w:tcBorders>
          </w:tcPr>
          <w:p w14:paraId="6311051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20</w:t>
            </w:r>
          </w:p>
        </w:tc>
        <w:tc>
          <w:tcPr>
            <w:tcW w:w="842" w:type="pct"/>
            <w:tcBorders>
              <w:top w:val="nil"/>
              <w:left w:val="nil"/>
              <w:bottom w:val="nil"/>
              <w:right w:val="nil"/>
            </w:tcBorders>
          </w:tcPr>
          <w:p w14:paraId="1EFDF25E"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272</w:t>
            </w:r>
          </w:p>
        </w:tc>
        <w:tc>
          <w:tcPr>
            <w:tcW w:w="842" w:type="pct"/>
            <w:gridSpan w:val="2"/>
            <w:tcBorders>
              <w:top w:val="nil"/>
              <w:left w:val="nil"/>
              <w:bottom w:val="nil"/>
              <w:right w:val="nil"/>
            </w:tcBorders>
          </w:tcPr>
          <w:p w14:paraId="0F47C8E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3.24</w:t>
            </w:r>
          </w:p>
        </w:tc>
        <w:tc>
          <w:tcPr>
            <w:tcW w:w="842" w:type="pct"/>
            <w:gridSpan w:val="2"/>
            <w:tcBorders>
              <w:top w:val="nil"/>
              <w:left w:val="nil"/>
              <w:bottom w:val="nil"/>
              <w:right w:val="nil"/>
            </w:tcBorders>
          </w:tcPr>
          <w:p w14:paraId="4FF32E1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64.37</w:t>
            </w:r>
          </w:p>
        </w:tc>
      </w:tr>
      <w:tr w:rsidR="001E776C" w:rsidRPr="00AF4487" w14:paraId="6360AAA1" w14:textId="77777777" w:rsidTr="006F2B36">
        <w:tc>
          <w:tcPr>
            <w:tcW w:w="1632" w:type="pct"/>
            <w:tcBorders>
              <w:top w:val="nil"/>
              <w:left w:val="nil"/>
              <w:bottom w:val="nil"/>
              <w:right w:val="nil"/>
            </w:tcBorders>
          </w:tcPr>
          <w:p w14:paraId="5C71B74F"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Switzerland</w:t>
            </w:r>
          </w:p>
        </w:tc>
        <w:tc>
          <w:tcPr>
            <w:tcW w:w="842" w:type="pct"/>
            <w:gridSpan w:val="2"/>
            <w:tcBorders>
              <w:top w:val="nil"/>
              <w:left w:val="nil"/>
              <w:bottom w:val="nil"/>
              <w:right w:val="nil"/>
            </w:tcBorders>
          </w:tcPr>
          <w:p w14:paraId="1192411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w:t>
            </w:r>
          </w:p>
        </w:tc>
        <w:tc>
          <w:tcPr>
            <w:tcW w:w="842" w:type="pct"/>
            <w:tcBorders>
              <w:top w:val="nil"/>
              <w:left w:val="nil"/>
              <w:bottom w:val="nil"/>
              <w:right w:val="nil"/>
            </w:tcBorders>
          </w:tcPr>
          <w:p w14:paraId="32D8F98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234</w:t>
            </w:r>
          </w:p>
        </w:tc>
        <w:tc>
          <w:tcPr>
            <w:tcW w:w="842" w:type="pct"/>
            <w:gridSpan w:val="2"/>
            <w:tcBorders>
              <w:top w:val="nil"/>
              <w:left w:val="nil"/>
              <w:bottom w:val="nil"/>
              <w:right w:val="nil"/>
            </w:tcBorders>
          </w:tcPr>
          <w:p w14:paraId="48EABEB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2.78</w:t>
            </w:r>
          </w:p>
        </w:tc>
        <w:tc>
          <w:tcPr>
            <w:tcW w:w="842" w:type="pct"/>
            <w:gridSpan w:val="2"/>
            <w:tcBorders>
              <w:top w:val="nil"/>
              <w:left w:val="nil"/>
              <w:bottom w:val="nil"/>
              <w:right w:val="nil"/>
            </w:tcBorders>
          </w:tcPr>
          <w:p w14:paraId="70A41FB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67.15</w:t>
            </w:r>
          </w:p>
        </w:tc>
      </w:tr>
      <w:tr w:rsidR="001E776C" w:rsidRPr="00AF4487" w14:paraId="3305891D" w14:textId="77777777" w:rsidTr="006F2B36">
        <w:tc>
          <w:tcPr>
            <w:tcW w:w="1632" w:type="pct"/>
            <w:tcBorders>
              <w:top w:val="nil"/>
              <w:left w:val="nil"/>
              <w:bottom w:val="nil"/>
              <w:right w:val="nil"/>
            </w:tcBorders>
          </w:tcPr>
          <w:p w14:paraId="0E7EE0E5"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Thailand</w:t>
            </w:r>
          </w:p>
        </w:tc>
        <w:tc>
          <w:tcPr>
            <w:tcW w:w="842" w:type="pct"/>
            <w:gridSpan w:val="2"/>
            <w:tcBorders>
              <w:top w:val="nil"/>
              <w:left w:val="nil"/>
              <w:bottom w:val="nil"/>
              <w:right w:val="nil"/>
            </w:tcBorders>
          </w:tcPr>
          <w:p w14:paraId="3486751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2546497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24</w:t>
            </w:r>
          </w:p>
        </w:tc>
        <w:tc>
          <w:tcPr>
            <w:tcW w:w="842" w:type="pct"/>
            <w:gridSpan w:val="2"/>
            <w:tcBorders>
              <w:top w:val="nil"/>
              <w:left w:val="nil"/>
              <w:bottom w:val="nil"/>
              <w:right w:val="nil"/>
            </w:tcBorders>
          </w:tcPr>
          <w:p w14:paraId="147D6C32"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0.29</w:t>
            </w:r>
          </w:p>
        </w:tc>
        <w:tc>
          <w:tcPr>
            <w:tcW w:w="842" w:type="pct"/>
            <w:gridSpan w:val="2"/>
            <w:tcBorders>
              <w:top w:val="nil"/>
              <w:left w:val="nil"/>
              <w:bottom w:val="nil"/>
              <w:right w:val="nil"/>
            </w:tcBorders>
          </w:tcPr>
          <w:p w14:paraId="2AAC675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67.44</w:t>
            </w:r>
          </w:p>
        </w:tc>
      </w:tr>
      <w:tr w:rsidR="001E776C" w:rsidRPr="00AF4487" w14:paraId="04C60A52" w14:textId="77777777" w:rsidTr="006F2B36">
        <w:tc>
          <w:tcPr>
            <w:tcW w:w="1632" w:type="pct"/>
            <w:tcBorders>
              <w:top w:val="nil"/>
              <w:left w:val="nil"/>
              <w:bottom w:val="nil"/>
              <w:right w:val="nil"/>
            </w:tcBorders>
          </w:tcPr>
          <w:p w14:paraId="7669F7D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Turkey</w:t>
            </w:r>
          </w:p>
        </w:tc>
        <w:tc>
          <w:tcPr>
            <w:tcW w:w="842" w:type="pct"/>
            <w:gridSpan w:val="2"/>
            <w:tcBorders>
              <w:top w:val="nil"/>
              <w:left w:val="nil"/>
              <w:bottom w:val="nil"/>
              <w:right w:val="nil"/>
            </w:tcBorders>
          </w:tcPr>
          <w:p w14:paraId="5A552EC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w:t>
            </w:r>
          </w:p>
        </w:tc>
        <w:tc>
          <w:tcPr>
            <w:tcW w:w="842" w:type="pct"/>
            <w:tcBorders>
              <w:top w:val="nil"/>
              <w:left w:val="nil"/>
              <w:bottom w:val="nil"/>
              <w:right w:val="nil"/>
            </w:tcBorders>
          </w:tcPr>
          <w:p w14:paraId="10F0229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20</w:t>
            </w:r>
          </w:p>
        </w:tc>
        <w:tc>
          <w:tcPr>
            <w:tcW w:w="842" w:type="pct"/>
            <w:gridSpan w:val="2"/>
            <w:tcBorders>
              <w:top w:val="nil"/>
              <w:left w:val="nil"/>
              <w:bottom w:val="nil"/>
              <w:right w:val="nil"/>
            </w:tcBorders>
          </w:tcPr>
          <w:p w14:paraId="676BF1B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0.24</w:t>
            </w:r>
          </w:p>
        </w:tc>
        <w:tc>
          <w:tcPr>
            <w:tcW w:w="842" w:type="pct"/>
            <w:gridSpan w:val="2"/>
            <w:tcBorders>
              <w:top w:val="nil"/>
              <w:left w:val="nil"/>
              <w:bottom w:val="nil"/>
              <w:right w:val="nil"/>
            </w:tcBorders>
          </w:tcPr>
          <w:p w14:paraId="3323F04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67.67</w:t>
            </w:r>
          </w:p>
        </w:tc>
      </w:tr>
      <w:tr w:rsidR="001E776C" w:rsidRPr="00AF4487" w14:paraId="48A33322" w14:textId="77777777" w:rsidTr="006F2B36">
        <w:tc>
          <w:tcPr>
            <w:tcW w:w="1632" w:type="pct"/>
            <w:tcBorders>
              <w:top w:val="nil"/>
              <w:left w:val="nil"/>
              <w:bottom w:val="nil"/>
              <w:right w:val="nil"/>
            </w:tcBorders>
          </w:tcPr>
          <w:p w14:paraId="3C86B18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United Kingdom</w:t>
            </w:r>
          </w:p>
        </w:tc>
        <w:tc>
          <w:tcPr>
            <w:tcW w:w="842" w:type="pct"/>
            <w:gridSpan w:val="2"/>
            <w:tcBorders>
              <w:top w:val="nil"/>
              <w:left w:val="nil"/>
              <w:bottom w:val="nil"/>
              <w:right w:val="nil"/>
            </w:tcBorders>
          </w:tcPr>
          <w:p w14:paraId="165625D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69</w:t>
            </w:r>
          </w:p>
        </w:tc>
        <w:tc>
          <w:tcPr>
            <w:tcW w:w="842" w:type="pct"/>
            <w:tcBorders>
              <w:top w:val="nil"/>
              <w:left w:val="nil"/>
              <w:bottom w:val="nil"/>
              <w:right w:val="nil"/>
            </w:tcBorders>
          </w:tcPr>
          <w:p w14:paraId="01F5BA9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1105</w:t>
            </w:r>
          </w:p>
        </w:tc>
        <w:tc>
          <w:tcPr>
            <w:tcW w:w="842" w:type="pct"/>
            <w:gridSpan w:val="2"/>
            <w:tcBorders>
              <w:top w:val="nil"/>
              <w:left w:val="nil"/>
              <w:bottom w:val="nil"/>
              <w:right w:val="nil"/>
            </w:tcBorders>
          </w:tcPr>
          <w:p w14:paraId="4B03E96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13.14</w:t>
            </w:r>
          </w:p>
        </w:tc>
        <w:tc>
          <w:tcPr>
            <w:tcW w:w="842" w:type="pct"/>
            <w:gridSpan w:val="2"/>
            <w:tcBorders>
              <w:top w:val="nil"/>
              <w:left w:val="nil"/>
              <w:bottom w:val="nil"/>
              <w:right w:val="nil"/>
            </w:tcBorders>
          </w:tcPr>
          <w:p w14:paraId="701DF74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80.82</w:t>
            </w:r>
          </w:p>
        </w:tc>
      </w:tr>
      <w:tr w:rsidR="001E776C" w:rsidRPr="00AF4487" w14:paraId="0D8CD7EC" w14:textId="77777777" w:rsidTr="006F2B36">
        <w:tc>
          <w:tcPr>
            <w:tcW w:w="1632" w:type="pct"/>
            <w:tcBorders>
              <w:top w:val="nil"/>
              <w:left w:val="nil"/>
              <w:right w:val="nil"/>
            </w:tcBorders>
          </w:tcPr>
          <w:p w14:paraId="37ED73F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United States</w:t>
            </w:r>
          </w:p>
        </w:tc>
        <w:tc>
          <w:tcPr>
            <w:tcW w:w="842" w:type="pct"/>
            <w:gridSpan w:val="2"/>
            <w:tcBorders>
              <w:top w:val="nil"/>
              <w:left w:val="nil"/>
              <w:right w:val="nil"/>
            </w:tcBorders>
          </w:tcPr>
          <w:p w14:paraId="2B85E78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100</w:t>
            </w:r>
          </w:p>
        </w:tc>
        <w:tc>
          <w:tcPr>
            <w:tcW w:w="842" w:type="pct"/>
            <w:tcBorders>
              <w:top w:val="nil"/>
              <w:left w:val="nil"/>
              <w:right w:val="nil"/>
            </w:tcBorders>
          </w:tcPr>
          <w:p w14:paraId="4B0FED0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1613</w:t>
            </w:r>
          </w:p>
        </w:tc>
        <w:tc>
          <w:tcPr>
            <w:tcW w:w="842" w:type="pct"/>
            <w:gridSpan w:val="2"/>
            <w:tcBorders>
              <w:top w:val="nil"/>
              <w:left w:val="nil"/>
              <w:right w:val="nil"/>
            </w:tcBorders>
          </w:tcPr>
          <w:p w14:paraId="3D03F35D"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19.18</w:t>
            </w:r>
          </w:p>
        </w:tc>
        <w:tc>
          <w:tcPr>
            <w:tcW w:w="842" w:type="pct"/>
            <w:gridSpan w:val="2"/>
            <w:tcBorders>
              <w:top w:val="nil"/>
              <w:left w:val="nil"/>
              <w:right w:val="nil"/>
            </w:tcBorders>
          </w:tcPr>
          <w:p w14:paraId="5B9C12D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100.00</w:t>
            </w:r>
          </w:p>
        </w:tc>
      </w:tr>
      <w:tr w:rsidR="001E776C" w:rsidRPr="00AF4487" w14:paraId="494DCEA1" w14:textId="77777777" w:rsidTr="006F2B36">
        <w:tc>
          <w:tcPr>
            <w:tcW w:w="1632" w:type="pct"/>
            <w:tcBorders>
              <w:left w:val="nil"/>
              <w:right w:val="nil"/>
            </w:tcBorders>
          </w:tcPr>
          <w:p w14:paraId="6F44233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Total</w:t>
            </w:r>
          </w:p>
        </w:tc>
        <w:tc>
          <w:tcPr>
            <w:tcW w:w="842" w:type="pct"/>
            <w:gridSpan w:val="2"/>
            <w:tcBorders>
              <w:left w:val="nil"/>
              <w:right w:val="nil"/>
            </w:tcBorders>
          </w:tcPr>
          <w:p w14:paraId="2407F4C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592</w:t>
            </w:r>
          </w:p>
        </w:tc>
        <w:tc>
          <w:tcPr>
            <w:tcW w:w="842" w:type="pct"/>
            <w:tcBorders>
              <w:left w:val="nil"/>
              <w:right w:val="nil"/>
            </w:tcBorders>
          </w:tcPr>
          <w:p w14:paraId="60477E8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8408</w:t>
            </w:r>
          </w:p>
        </w:tc>
        <w:tc>
          <w:tcPr>
            <w:tcW w:w="842" w:type="pct"/>
            <w:gridSpan w:val="2"/>
            <w:tcBorders>
              <w:left w:val="nil"/>
              <w:right w:val="nil"/>
            </w:tcBorders>
          </w:tcPr>
          <w:p w14:paraId="31CE701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100.00</w:t>
            </w:r>
          </w:p>
        </w:tc>
        <w:tc>
          <w:tcPr>
            <w:tcW w:w="842" w:type="pct"/>
            <w:gridSpan w:val="2"/>
            <w:tcBorders>
              <w:left w:val="nil"/>
              <w:right w:val="nil"/>
            </w:tcBorders>
          </w:tcPr>
          <w:p w14:paraId="57AE004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r>
      <w:tr w:rsidR="001E776C" w:rsidRPr="00AF4487" w14:paraId="62415408" w14:textId="77777777" w:rsidTr="006F2B36">
        <w:tc>
          <w:tcPr>
            <w:tcW w:w="1632" w:type="pct"/>
            <w:tcBorders>
              <w:left w:val="nil"/>
              <w:right w:val="nil"/>
            </w:tcBorders>
          </w:tcPr>
          <w:p w14:paraId="48FCD5B9"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842" w:type="pct"/>
            <w:gridSpan w:val="2"/>
            <w:tcBorders>
              <w:left w:val="nil"/>
              <w:right w:val="nil"/>
            </w:tcBorders>
          </w:tcPr>
          <w:p w14:paraId="269FEEE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c>
          <w:tcPr>
            <w:tcW w:w="842" w:type="pct"/>
            <w:tcBorders>
              <w:left w:val="nil"/>
              <w:right w:val="nil"/>
            </w:tcBorders>
          </w:tcPr>
          <w:p w14:paraId="609BEAF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c>
          <w:tcPr>
            <w:tcW w:w="842" w:type="pct"/>
            <w:gridSpan w:val="2"/>
            <w:tcBorders>
              <w:left w:val="nil"/>
              <w:right w:val="nil"/>
            </w:tcBorders>
          </w:tcPr>
          <w:p w14:paraId="58917BD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c>
          <w:tcPr>
            <w:tcW w:w="842" w:type="pct"/>
            <w:gridSpan w:val="2"/>
            <w:tcBorders>
              <w:left w:val="nil"/>
              <w:right w:val="nil"/>
            </w:tcBorders>
          </w:tcPr>
          <w:p w14:paraId="6048C1D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r>
      <w:tr w:rsidR="001E776C" w:rsidRPr="008E3FE6" w14:paraId="69AF6FEB" w14:textId="77777777" w:rsidTr="006F2B36">
        <w:tc>
          <w:tcPr>
            <w:tcW w:w="3316" w:type="pct"/>
            <w:gridSpan w:val="4"/>
            <w:tcBorders>
              <w:left w:val="nil"/>
              <w:right w:val="nil"/>
            </w:tcBorders>
          </w:tcPr>
          <w:p w14:paraId="7F41AB91"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i/>
                <w:sz w:val="20"/>
                <w:szCs w:val="20"/>
                <w:lang w:val="en-US" w:eastAsia="ru-RU"/>
              </w:rPr>
              <w:t>Panel B: Sample distribution by sector</w:t>
            </w:r>
          </w:p>
        </w:tc>
        <w:tc>
          <w:tcPr>
            <w:tcW w:w="842" w:type="pct"/>
            <w:gridSpan w:val="2"/>
            <w:tcBorders>
              <w:left w:val="nil"/>
              <w:right w:val="nil"/>
            </w:tcBorders>
          </w:tcPr>
          <w:p w14:paraId="155FD2C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c>
          <w:tcPr>
            <w:tcW w:w="842" w:type="pct"/>
            <w:gridSpan w:val="2"/>
            <w:tcBorders>
              <w:left w:val="nil"/>
              <w:right w:val="nil"/>
            </w:tcBorders>
          </w:tcPr>
          <w:p w14:paraId="18254AB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p>
        </w:tc>
      </w:tr>
      <w:tr w:rsidR="001E776C" w:rsidRPr="00AF4487" w14:paraId="212EC62D" w14:textId="77777777" w:rsidTr="006F2B36">
        <w:tc>
          <w:tcPr>
            <w:tcW w:w="1915" w:type="pct"/>
            <w:gridSpan w:val="2"/>
            <w:tcBorders>
              <w:left w:val="nil"/>
              <w:bottom w:val="nil"/>
              <w:right w:val="nil"/>
            </w:tcBorders>
          </w:tcPr>
          <w:p w14:paraId="0A6581B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Communication Services</w:t>
            </w:r>
          </w:p>
        </w:tc>
        <w:tc>
          <w:tcPr>
            <w:tcW w:w="559" w:type="pct"/>
            <w:tcBorders>
              <w:left w:val="nil"/>
              <w:bottom w:val="nil"/>
              <w:right w:val="nil"/>
            </w:tcBorders>
          </w:tcPr>
          <w:p w14:paraId="732ECA55"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32</w:t>
            </w:r>
          </w:p>
        </w:tc>
        <w:tc>
          <w:tcPr>
            <w:tcW w:w="873" w:type="pct"/>
            <w:gridSpan w:val="2"/>
            <w:tcBorders>
              <w:left w:val="nil"/>
              <w:bottom w:val="nil"/>
              <w:right w:val="nil"/>
            </w:tcBorders>
          </w:tcPr>
          <w:p w14:paraId="6515123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487</w:t>
            </w:r>
          </w:p>
        </w:tc>
        <w:tc>
          <w:tcPr>
            <w:tcW w:w="1077" w:type="pct"/>
            <w:gridSpan w:val="2"/>
            <w:tcBorders>
              <w:left w:val="nil"/>
              <w:bottom w:val="nil"/>
              <w:right w:val="nil"/>
            </w:tcBorders>
          </w:tcPr>
          <w:p w14:paraId="7467D09E"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5.79</w:t>
            </w:r>
          </w:p>
        </w:tc>
        <w:tc>
          <w:tcPr>
            <w:tcW w:w="576" w:type="pct"/>
            <w:tcBorders>
              <w:left w:val="nil"/>
              <w:bottom w:val="nil"/>
              <w:right w:val="nil"/>
            </w:tcBorders>
          </w:tcPr>
          <w:p w14:paraId="4DBB300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5.79</w:t>
            </w:r>
          </w:p>
        </w:tc>
      </w:tr>
      <w:tr w:rsidR="001E776C" w:rsidRPr="00AF4487" w14:paraId="5D62FE44" w14:textId="77777777" w:rsidTr="006F2B36">
        <w:tc>
          <w:tcPr>
            <w:tcW w:w="1915" w:type="pct"/>
            <w:gridSpan w:val="2"/>
            <w:tcBorders>
              <w:top w:val="nil"/>
              <w:left w:val="nil"/>
              <w:bottom w:val="nil"/>
              <w:right w:val="nil"/>
            </w:tcBorders>
          </w:tcPr>
          <w:p w14:paraId="1A757E5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Consumer Discretionary</w:t>
            </w:r>
          </w:p>
        </w:tc>
        <w:tc>
          <w:tcPr>
            <w:tcW w:w="559" w:type="pct"/>
            <w:tcBorders>
              <w:top w:val="nil"/>
              <w:left w:val="nil"/>
              <w:bottom w:val="nil"/>
              <w:right w:val="nil"/>
            </w:tcBorders>
          </w:tcPr>
          <w:p w14:paraId="287BDEB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69</w:t>
            </w:r>
          </w:p>
        </w:tc>
        <w:tc>
          <w:tcPr>
            <w:tcW w:w="873" w:type="pct"/>
            <w:gridSpan w:val="2"/>
            <w:tcBorders>
              <w:top w:val="nil"/>
              <w:left w:val="nil"/>
              <w:bottom w:val="nil"/>
              <w:right w:val="nil"/>
            </w:tcBorders>
          </w:tcPr>
          <w:p w14:paraId="331AEA0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944</w:t>
            </w:r>
          </w:p>
        </w:tc>
        <w:tc>
          <w:tcPr>
            <w:tcW w:w="1077" w:type="pct"/>
            <w:gridSpan w:val="2"/>
            <w:tcBorders>
              <w:top w:val="nil"/>
              <w:left w:val="nil"/>
              <w:bottom w:val="nil"/>
              <w:right w:val="nil"/>
            </w:tcBorders>
          </w:tcPr>
          <w:p w14:paraId="2A917540"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11.23</w:t>
            </w:r>
          </w:p>
        </w:tc>
        <w:tc>
          <w:tcPr>
            <w:tcW w:w="576" w:type="pct"/>
            <w:tcBorders>
              <w:top w:val="nil"/>
              <w:left w:val="nil"/>
              <w:bottom w:val="nil"/>
              <w:right w:val="nil"/>
            </w:tcBorders>
          </w:tcPr>
          <w:p w14:paraId="294BD62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17.02</w:t>
            </w:r>
          </w:p>
        </w:tc>
      </w:tr>
      <w:tr w:rsidR="001E776C" w:rsidRPr="00AF4487" w14:paraId="09892DFB" w14:textId="77777777" w:rsidTr="006F2B36">
        <w:tc>
          <w:tcPr>
            <w:tcW w:w="1915" w:type="pct"/>
            <w:gridSpan w:val="2"/>
            <w:tcBorders>
              <w:top w:val="nil"/>
              <w:left w:val="nil"/>
              <w:bottom w:val="nil"/>
              <w:right w:val="nil"/>
            </w:tcBorders>
          </w:tcPr>
          <w:p w14:paraId="39C152B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Consumer Staples</w:t>
            </w:r>
          </w:p>
        </w:tc>
        <w:tc>
          <w:tcPr>
            <w:tcW w:w="559" w:type="pct"/>
            <w:tcBorders>
              <w:top w:val="nil"/>
              <w:left w:val="nil"/>
              <w:bottom w:val="nil"/>
              <w:right w:val="nil"/>
            </w:tcBorders>
          </w:tcPr>
          <w:p w14:paraId="488F126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45</w:t>
            </w:r>
          </w:p>
        </w:tc>
        <w:tc>
          <w:tcPr>
            <w:tcW w:w="873" w:type="pct"/>
            <w:gridSpan w:val="2"/>
            <w:tcBorders>
              <w:top w:val="nil"/>
              <w:left w:val="nil"/>
              <w:bottom w:val="nil"/>
              <w:right w:val="nil"/>
            </w:tcBorders>
          </w:tcPr>
          <w:p w14:paraId="33C267D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661</w:t>
            </w:r>
          </w:p>
        </w:tc>
        <w:tc>
          <w:tcPr>
            <w:tcW w:w="1077" w:type="pct"/>
            <w:gridSpan w:val="2"/>
            <w:tcBorders>
              <w:top w:val="nil"/>
              <w:left w:val="nil"/>
              <w:bottom w:val="nil"/>
              <w:right w:val="nil"/>
            </w:tcBorders>
          </w:tcPr>
          <w:p w14:paraId="44167C32"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7.86</w:t>
            </w:r>
          </w:p>
        </w:tc>
        <w:tc>
          <w:tcPr>
            <w:tcW w:w="576" w:type="pct"/>
            <w:tcBorders>
              <w:top w:val="nil"/>
              <w:left w:val="nil"/>
              <w:bottom w:val="nil"/>
              <w:right w:val="nil"/>
            </w:tcBorders>
          </w:tcPr>
          <w:p w14:paraId="2DA762E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24.88</w:t>
            </w:r>
          </w:p>
        </w:tc>
      </w:tr>
      <w:tr w:rsidR="001E776C" w:rsidRPr="00AF4487" w14:paraId="0768DED9" w14:textId="77777777" w:rsidTr="006F2B36">
        <w:tc>
          <w:tcPr>
            <w:tcW w:w="1915" w:type="pct"/>
            <w:gridSpan w:val="2"/>
            <w:tcBorders>
              <w:top w:val="nil"/>
              <w:left w:val="nil"/>
              <w:bottom w:val="nil"/>
              <w:right w:val="nil"/>
            </w:tcBorders>
          </w:tcPr>
          <w:p w14:paraId="6EB59A4C"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Energy</w:t>
            </w:r>
          </w:p>
        </w:tc>
        <w:tc>
          <w:tcPr>
            <w:tcW w:w="559" w:type="pct"/>
            <w:tcBorders>
              <w:top w:val="nil"/>
              <w:left w:val="nil"/>
              <w:bottom w:val="nil"/>
              <w:right w:val="nil"/>
            </w:tcBorders>
          </w:tcPr>
          <w:p w14:paraId="47ED449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46</w:t>
            </w:r>
          </w:p>
        </w:tc>
        <w:tc>
          <w:tcPr>
            <w:tcW w:w="873" w:type="pct"/>
            <w:gridSpan w:val="2"/>
            <w:tcBorders>
              <w:top w:val="nil"/>
              <w:left w:val="nil"/>
              <w:bottom w:val="nil"/>
              <w:right w:val="nil"/>
            </w:tcBorders>
          </w:tcPr>
          <w:p w14:paraId="746CBC0D"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680</w:t>
            </w:r>
          </w:p>
        </w:tc>
        <w:tc>
          <w:tcPr>
            <w:tcW w:w="1077" w:type="pct"/>
            <w:gridSpan w:val="2"/>
            <w:tcBorders>
              <w:top w:val="nil"/>
              <w:left w:val="nil"/>
              <w:bottom w:val="nil"/>
              <w:right w:val="nil"/>
            </w:tcBorders>
          </w:tcPr>
          <w:p w14:paraId="0A773A35"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8.09</w:t>
            </w:r>
          </w:p>
        </w:tc>
        <w:tc>
          <w:tcPr>
            <w:tcW w:w="576" w:type="pct"/>
            <w:tcBorders>
              <w:top w:val="nil"/>
              <w:left w:val="nil"/>
              <w:bottom w:val="nil"/>
              <w:right w:val="nil"/>
            </w:tcBorders>
          </w:tcPr>
          <w:p w14:paraId="1B00C3EB"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32.97</w:t>
            </w:r>
          </w:p>
        </w:tc>
      </w:tr>
      <w:tr w:rsidR="001E776C" w:rsidRPr="00AF4487" w14:paraId="34A9C236" w14:textId="77777777" w:rsidTr="006F2B36">
        <w:tc>
          <w:tcPr>
            <w:tcW w:w="1915" w:type="pct"/>
            <w:gridSpan w:val="2"/>
            <w:tcBorders>
              <w:top w:val="nil"/>
              <w:left w:val="nil"/>
              <w:bottom w:val="nil"/>
              <w:right w:val="nil"/>
            </w:tcBorders>
          </w:tcPr>
          <w:p w14:paraId="5D39E174"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Health Care</w:t>
            </w:r>
          </w:p>
        </w:tc>
        <w:tc>
          <w:tcPr>
            <w:tcW w:w="559" w:type="pct"/>
            <w:tcBorders>
              <w:top w:val="nil"/>
              <w:left w:val="nil"/>
              <w:bottom w:val="nil"/>
              <w:right w:val="nil"/>
            </w:tcBorders>
          </w:tcPr>
          <w:p w14:paraId="108B08F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40</w:t>
            </w:r>
          </w:p>
        </w:tc>
        <w:tc>
          <w:tcPr>
            <w:tcW w:w="873" w:type="pct"/>
            <w:gridSpan w:val="2"/>
            <w:tcBorders>
              <w:top w:val="nil"/>
              <w:left w:val="nil"/>
              <w:bottom w:val="nil"/>
              <w:right w:val="nil"/>
            </w:tcBorders>
          </w:tcPr>
          <w:p w14:paraId="40E2CB4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622</w:t>
            </w:r>
          </w:p>
        </w:tc>
        <w:tc>
          <w:tcPr>
            <w:tcW w:w="1077" w:type="pct"/>
            <w:gridSpan w:val="2"/>
            <w:tcBorders>
              <w:top w:val="nil"/>
              <w:left w:val="nil"/>
              <w:bottom w:val="nil"/>
              <w:right w:val="nil"/>
            </w:tcBorders>
          </w:tcPr>
          <w:p w14:paraId="579E73A8"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7.40</w:t>
            </w:r>
          </w:p>
        </w:tc>
        <w:tc>
          <w:tcPr>
            <w:tcW w:w="576" w:type="pct"/>
            <w:tcBorders>
              <w:top w:val="nil"/>
              <w:left w:val="nil"/>
              <w:bottom w:val="nil"/>
              <w:right w:val="nil"/>
            </w:tcBorders>
          </w:tcPr>
          <w:p w14:paraId="74C7EBB0"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40.37</w:t>
            </w:r>
          </w:p>
        </w:tc>
      </w:tr>
      <w:tr w:rsidR="001E776C" w:rsidRPr="00AF4487" w14:paraId="6499C363" w14:textId="77777777" w:rsidTr="006F2B36">
        <w:tc>
          <w:tcPr>
            <w:tcW w:w="1915" w:type="pct"/>
            <w:gridSpan w:val="2"/>
            <w:tcBorders>
              <w:top w:val="nil"/>
              <w:left w:val="nil"/>
              <w:bottom w:val="nil"/>
              <w:right w:val="nil"/>
            </w:tcBorders>
          </w:tcPr>
          <w:p w14:paraId="6F8C7472"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Industrials</w:t>
            </w:r>
          </w:p>
        </w:tc>
        <w:tc>
          <w:tcPr>
            <w:tcW w:w="559" w:type="pct"/>
            <w:tcBorders>
              <w:top w:val="nil"/>
              <w:left w:val="nil"/>
              <w:bottom w:val="nil"/>
              <w:right w:val="nil"/>
            </w:tcBorders>
          </w:tcPr>
          <w:p w14:paraId="7A5C29A7"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124</w:t>
            </w:r>
          </w:p>
        </w:tc>
        <w:tc>
          <w:tcPr>
            <w:tcW w:w="873" w:type="pct"/>
            <w:gridSpan w:val="2"/>
            <w:tcBorders>
              <w:top w:val="nil"/>
              <w:left w:val="nil"/>
              <w:bottom w:val="nil"/>
              <w:right w:val="nil"/>
            </w:tcBorders>
          </w:tcPr>
          <w:p w14:paraId="3CB6EFC4"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1745</w:t>
            </w:r>
          </w:p>
        </w:tc>
        <w:tc>
          <w:tcPr>
            <w:tcW w:w="1077" w:type="pct"/>
            <w:gridSpan w:val="2"/>
            <w:tcBorders>
              <w:top w:val="nil"/>
              <w:left w:val="nil"/>
              <w:bottom w:val="nil"/>
              <w:right w:val="nil"/>
            </w:tcBorders>
          </w:tcPr>
          <w:p w14:paraId="51191508"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20.75</w:t>
            </w:r>
          </w:p>
        </w:tc>
        <w:tc>
          <w:tcPr>
            <w:tcW w:w="576" w:type="pct"/>
            <w:tcBorders>
              <w:top w:val="nil"/>
              <w:left w:val="nil"/>
              <w:bottom w:val="nil"/>
              <w:right w:val="nil"/>
            </w:tcBorders>
          </w:tcPr>
          <w:p w14:paraId="4A48C42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61.12</w:t>
            </w:r>
          </w:p>
        </w:tc>
      </w:tr>
      <w:tr w:rsidR="001E776C" w:rsidRPr="00AF4487" w14:paraId="049FA74A" w14:textId="77777777" w:rsidTr="006F2B36">
        <w:tc>
          <w:tcPr>
            <w:tcW w:w="1915" w:type="pct"/>
            <w:gridSpan w:val="2"/>
            <w:tcBorders>
              <w:top w:val="nil"/>
              <w:left w:val="nil"/>
              <w:bottom w:val="nil"/>
              <w:right w:val="nil"/>
            </w:tcBorders>
          </w:tcPr>
          <w:p w14:paraId="79E9A825"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Information Technology</w:t>
            </w:r>
          </w:p>
        </w:tc>
        <w:tc>
          <w:tcPr>
            <w:tcW w:w="559" w:type="pct"/>
            <w:tcBorders>
              <w:top w:val="nil"/>
              <w:left w:val="nil"/>
              <w:bottom w:val="nil"/>
              <w:right w:val="nil"/>
            </w:tcBorders>
          </w:tcPr>
          <w:p w14:paraId="13E484F6"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52</w:t>
            </w:r>
          </w:p>
        </w:tc>
        <w:tc>
          <w:tcPr>
            <w:tcW w:w="873" w:type="pct"/>
            <w:gridSpan w:val="2"/>
            <w:tcBorders>
              <w:top w:val="nil"/>
              <w:left w:val="nil"/>
              <w:bottom w:val="nil"/>
              <w:right w:val="nil"/>
            </w:tcBorders>
          </w:tcPr>
          <w:p w14:paraId="40CD8C0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731</w:t>
            </w:r>
          </w:p>
        </w:tc>
        <w:tc>
          <w:tcPr>
            <w:tcW w:w="1077" w:type="pct"/>
            <w:gridSpan w:val="2"/>
            <w:tcBorders>
              <w:top w:val="nil"/>
              <w:left w:val="nil"/>
              <w:bottom w:val="nil"/>
              <w:right w:val="nil"/>
            </w:tcBorders>
          </w:tcPr>
          <w:p w14:paraId="288217BA"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8.69</w:t>
            </w:r>
          </w:p>
        </w:tc>
        <w:tc>
          <w:tcPr>
            <w:tcW w:w="576" w:type="pct"/>
            <w:tcBorders>
              <w:top w:val="nil"/>
              <w:left w:val="nil"/>
              <w:bottom w:val="nil"/>
              <w:right w:val="nil"/>
            </w:tcBorders>
          </w:tcPr>
          <w:p w14:paraId="21D507F9"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69.81</w:t>
            </w:r>
          </w:p>
        </w:tc>
      </w:tr>
      <w:tr w:rsidR="001E776C" w:rsidRPr="00AF4487" w14:paraId="41A5C031" w14:textId="77777777" w:rsidTr="006F2B36">
        <w:tc>
          <w:tcPr>
            <w:tcW w:w="1915" w:type="pct"/>
            <w:gridSpan w:val="2"/>
            <w:tcBorders>
              <w:top w:val="nil"/>
              <w:left w:val="nil"/>
              <w:bottom w:val="nil"/>
              <w:right w:val="nil"/>
            </w:tcBorders>
          </w:tcPr>
          <w:p w14:paraId="7BE16E76"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Materials</w:t>
            </w:r>
          </w:p>
        </w:tc>
        <w:tc>
          <w:tcPr>
            <w:tcW w:w="559" w:type="pct"/>
            <w:tcBorders>
              <w:top w:val="nil"/>
              <w:left w:val="nil"/>
              <w:bottom w:val="nil"/>
              <w:right w:val="nil"/>
            </w:tcBorders>
          </w:tcPr>
          <w:p w14:paraId="1257A7FF"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115</w:t>
            </w:r>
          </w:p>
        </w:tc>
        <w:tc>
          <w:tcPr>
            <w:tcW w:w="873" w:type="pct"/>
            <w:gridSpan w:val="2"/>
            <w:tcBorders>
              <w:top w:val="nil"/>
              <w:left w:val="nil"/>
              <w:bottom w:val="nil"/>
              <w:right w:val="nil"/>
            </w:tcBorders>
          </w:tcPr>
          <w:p w14:paraId="47D4905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1564</w:t>
            </w:r>
          </w:p>
        </w:tc>
        <w:tc>
          <w:tcPr>
            <w:tcW w:w="1077" w:type="pct"/>
            <w:gridSpan w:val="2"/>
            <w:tcBorders>
              <w:top w:val="nil"/>
              <w:left w:val="nil"/>
              <w:bottom w:val="nil"/>
              <w:right w:val="nil"/>
            </w:tcBorders>
          </w:tcPr>
          <w:p w14:paraId="40B1537C"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18.60</w:t>
            </w:r>
          </w:p>
        </w:tc>
        <w:tc>
          <w:tcPr>
            <w:tcW w:w="576" w:type="pct"/>
            <w:tcBorders>
              <w:top w:val="nil"/>
              <w:left w:val="nil"/>
              <w:bottom w:val="nil"/>
              <w:right w:val="nil"/>
            </w:tcBorders>
          </w:tcPr>
          <w:p w14:paraId="6DDC90A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88.42</w:t>
            </w:r>
          </w:p>
        </w:tc>
      </w:tr>
      <w:tr w:rsidR="001E776C" w:rsidRPr="00AF4487" w14:paraId="35803D69" w14:textId="77777777" w:rsidTr="006F2B36">
        <w:tc>
          <w:tcPr>
            <w:tcW w:w="1915" w:type="pct"/>
            <w:gridSpan w:val="2"/>
            <w:tcBorders>
              <w:top w:val="nil"/>
              <w:left w:val="nil"/>
              <w:bottom w:val="nil"/>
              <w:right w:val="nil"/>
            </w:tcBorders>
          </w:tcPr>
          <w:p w14:paraId="0ECADEC3"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Real Estate</w:t>
            </w:r>
          </w:p>
        </w:tc>
        <w:tc>
          <w:tcPr>
            <w:tcW w:w="559" w:type="pct"/>
            <w:tcBorders>
              <w:top w:val="nil"/>
              <w:left w:val="nil"/>
              <w:bottom w:val="nil"/>
              <w:right w:val="nil"/>
            </w:tcBorders>
          </w:tcPr>
          <w:p w14:paraId="17D092D8"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22</w:t>
            </w:r>
          </w:p>
        </w:tc>
        <w:tc>
          <w:tcPr>
            <w:tcW w:w="873" w:type="pct"/>
            <w:gridSpan w:val="2"/>
            <w:tcBorders>
              <w:top w:val="nil"/>
              <w:left w:val="nil"/>
              <w:bottom w:val="nil"/>
              <w:right w:val="nil"/>
            </w:tcBorders>
          </w:tcPr>
          <w:p w14:paraId="379E1E31"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334</w:t>
            </w:r>
          </w:p>
        </w:tc>
        <w:tc>
          <w:tcPr>
            <w:tcW w:w="1077" w:type="pct"/>
            <w:gridSpan w:val="2"/>
            <w:tcBorders>
              <w:top w:val="nil"/>
              <w:left w:val="nil"/>
              <w:bottom w:val="nil"/>
              <w:right w:val="nil"/>
            </w:tcBorders>
          </w:tcPr>
          <w:p w14:paraId="47F920B5"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3.97</w:t>
            </w:r>
          </w:p>
        </w:tc>
        <w:tc>
          <w:tcPr>
            <w:tcW w:w="576" w:type="pct"/>
            <w:tcBorders>
              <w:top w:val="nil"/>
              <w:left w:val="nil"/>
              <w:bottom w:val="nil"/>
              <w:right w:val="nil"/>
            </w:tcBorders>
          </w:tcPr>
          <w:p w14:paraId="3B68909A"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92.39</w:t>
            </w:r>
          </w:p>
        </w:tc>
      </w:tr>
      <w:tr w:rsidR="001E776C" w:rsidRPr="00AF4487" w14:paraId="7591A019" w14:textId="77777777" w:rsidTr="006F2B36">
        <w:tc>
          <w:tcPr>
            <w:tcW w:w="1915" w:type="pct"/>
            <w:gridSpan w:val="2"/>
            <w:tcBorders>
              <w:top w:val="nil"/>
              <w:left w:val="nil"/>
              <w:bottom w:val="single" w:sz="8" w:space="0" w:color="auto"/>
              <w:right w:val="nil"/>
            </w:tcBorders>
          </w:tcPr>
          <w:p w14:paraId="13C0BA5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Utilities</w:t>
            </w:r>
          </w:p>
        </w:tc>
        <w:tc>
          <w:tcPr>
            <w:tcW w:w="559" w:type="pct"/>
            <w:tcBorders>
              <w:top w:val="nil"/>
              <w:left w:val="nil"/>
              <w:bottom w:val="single" w:sz="8" w:space="0" w:color="auto"/>
              <w:right w:val="nil"/>
            </w:tcBorders>
          </w:tcPr>
          <w:p w14:paraId="63B9633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47</w:t>
            </w:r>
          </w:p>
        </w:tc>
        <w:tc>
          <w:tcPr>
            <w:tcW w:w="873" w:type="pct"/>
            <w:gridSpan w:val="2"/>
            <w:tcBorders>
              <w:top w:val="nil"/>
              <w:left w:val="nil"/>
              <w:bottom w:val="single" w:sz="8" w:space="0" w:color="auto"/>
              <w:right w:val="nil"/>
            </w:tcBorders>
          </w:tcPr>
          <w:p w14:paraId="5A20E78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640</w:t>
            </w:r>
          </w:p>
        </w:tc>
        <w:tc>
          <w:tcPr>
            <w:tcW w:w="1077" w:type="pct"/>
            <w:gridSpan w:val="2"/>
            <w:tcBorders>
              <w:top w:val="nil"/>
              <w:left w:val="nil"/>
              <w:bottom w:val="single" w:sz="8" w:space="0" w:color="auto"/>
              <w:right w:val="nil"/>
            </w:tcBorders>
          </w:tcPr>
          <w:p w14:paraId="3B5E69F3"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7.61</w:t>
            </w:r>
          </w:p>
        </w:tc>
        <w:tc>
          <w:tcPr>
            <w:tcW w:w="576" w:type="pct"/>
            <w:tcBorders>
              <w:top w:val="nil"/>
              <w:left w:val="nil"/>
              <w:bottom w:val="single" w:sz="8" w:space="0" w:color="auto"/>
              <w:right w:val="nil"/>
            </w:tcBorders>
          </w:tcPr>
          <w:p w14:paraId="3013758E"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100.00</w:t>
            </w:r>
          </w:p>
        </w:tc>
      </w:tr>
      <w:tr w:rsidR="001E776C" w:rsidRPr="00AF4487" w14:paraId="5C15176A" w14:textId="77777777" w:rsidTr="006F2B36">
        <w:tc>
          <w:tcPr>
            <w:tcW w:w="1915" w:type="pct"/>
            <w:gridSpan w:val="2"/>
            <w:tcBorders>
              <w:top w:val="single" w:sz="8" w:space="0" w:color="auto"/>
              <w:left w:val="nil"/>
              <w:bottom w:val="single" w:sz="12" w:space="0" w:color="auto"/>
              <w:right w:val="nil"/>
            </w:tcBorders>
          </w:tcPr>
          <w:p w14:paraId="6EB7E547" w14:textId="77777777" w:rsidR="00EC5A9C" w:rsidRPr="00AF4487" w:rsidRDefault="00EC5A9C" w:rsidP="00EC5A9C">
            <w:pPr>
              <w:widowControl w:val="0"/>
              <w:autoSpaceDE w:val="0"/>
              <w:autoSpaceDN w:val="0"/>
              <w:adjustRightInd w:val="0"/>
              <w:spacing w:after="0" w:line="240" w:lineRule="auto"/>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Total</w:t>
            </w:r>
          </w:p>
        </w:tc>
        <w:tc>
          <w:tcPr>
            <w:tcW w:w="559" w:type="pct"/>
            <w:tcBorders>
              <w:top w:val="single" w:sz="8" w:space="0" w:color="auto"/>
              <w:left w:val="nil"/>
              <w:bottom w:val="single" w:sz="12" w:space="0" w:color="auto"/>
              <w:right w:val="nil"/>
            </w:tcBorders>
          </w:tcPr>
          <w:p w14:paraId="1FE3BAEC"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592</w:t>
            </w:r>
          </w:p>
        </w:tc>
        <w:tc>
          <w:tcPr>
            <w:tcW w:w="873" w:type="pct"/>
            <w:gridSpan w:val="2"/>
            <w:tcBorders>
              <w:top w:val="single" w:sz="8" w:space="0" w:color="auto"/>
              <w:left w:val="nil"/>
              <w:bottom w:val="single" w:sz="12" w:space="0" w:color="auto"/>
              <w:right w:val="nil"/>
            </w:tcBorders>
          </w:tcPr>
          <w:p w14:paraId="7E86B963" w14:textId="77777777" w:rsidR="00EC5A9C" w:rsidRPr="00AF4487" w:rsidRDefault="00EC5A9C" w:rsidP="00EC5A9C">
            <w:pPr>
              <w:widowControl w:val="0"/>
              <w:autoSpaceDE w:val="0"/>
              <w:autoSpaceDN w:val="0"/>
              <w:adjustRightInd w:val="0"/>
              <w:spacing w:after="0" w:line="240" w:lineRule="auto"/>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8408</w:t>
            </w:r>
          </w:p>
        </w:tc>
        <w:tc>
          <w:tcPr>
            <w:tcW w:w="1077" w:type="pct"/>
            <w:gridSpan w:val="2"/>
            <w:tcBorders>
              <w:top w:val="single" w:sz="8" w:space="0" w:color="auto"/>
              <w:left w:val="nil"/>
              <w:bottom w:val="single" w:sz="12" w:space="0" w:color="auto"/>
              <w:right w:val="nil"/>
            </w:tcBorders>
          </w:tcPr>
          <w:p w14:paraId="1182FA03" w14:textId="77777777" w:rsidR="00EC5A9C" w:rsidRPr="00AF4487" w:rsidRDefault="00EC5A9C" w:rsidP="00EC5A9C">
            <w:pPr>
              <w:widowControl w:val="0"/>
              <w:autoSpaceDE w:val="0"/>
              <w:autoSpaceDN w:val="0"/>
              <w:adjustRightInd w:val="0"/>
              <w:spacing w:after="0" w:line="240" w:lineRule="auto"/>
              <w:ind w:right="470"/>
              <w:jc w:val="right"/>
              <w:rPr>
                <w:rFonts w:ascii="Times New Roman" w:eastAsia="Times New Roman" w:hAnsi="Times New Roman" w:cs="Times New Roman"/>
                <w:b/>
                <w:sz w:val="20"/>
                <w:szCs w:val="20"/>
                <w:lang w:val="en-US" w:eastAsia="ru-RU"/>
              </w:rPr>
            </w:pPr>
            <w:r w:rsidRPr="00AF4487">
              <w:rPr>
                <w:rFonts w:ascii="Times New Roman" w:eastAsia="Times New Roman" w:hAnsi="Times New Roman" w:cs="Times New Roman"/>
                <w:b/>
                <w:sz w:val="20"/>
                <w:szCs w:val="20"/>
                <w:lang w:val="en-US" w:eastAsia="ru-RU"/>
              </w:rPr>
              <w:t>100.00</w:t>
            </w:r>
          </w:p>
        </w:tc>
        <w:tc>
          <w:tcPr>
            <w:tcW w:w="576" w:type="pct"/>
            <w:tcBorders>
              <w:top w:val="single" w:sz="8" w:space="0" w:color="auto"/>
              <w:left w:val="nil"/>
              <w:bottom w:val="single" w:sz="12" w:space="0" w:color="auto"/>
              <w:right w:val="nil"/>
            </w:tcBorders>
          </w:tcPr>
          <w:p w14:paraId="68BE000E" w14:textId="77777777" w:rsidR="00EC5A9C" w:rsidRPr="00AF4487" w:rsidRDefault="00EC5A9C" w:rsidP="00EC5A9C">
            <w:pPr>
              <w:widowControl w:val="0"/>
              <w:autoSpaceDE w:val="0"/>
              <w:autoSpaceDN w:val="0"/>
              <w:adjustRightInd w:val="0"/>
              <w:spacing w:after="0" w:line="240" w:lineRule="auto"/>
              <w:ind w:right="-125"/>
              <w:jc w:val="right"/>
              <w:rPr>
                <w:rFonts w:ascii="Times New Roman" w:eastAsia="Times New Roman" w:hAnsi="Times New Roman" w:cs="Times New Roman"/>
                <w:b/>
                <w:sz w:val="20"/>
                <w:szCs w:val="20"/>
                <w:lang w:val="en-US" w:eastAsia="ru-RU"/>
              </w:rPr>
            </w:pPr>
          </w:p>
        </w:tc>
      </w:tr>
      <w:tr w:rsidR="00065CF8" w:rsidRPr="00065CF8" w14:paraId="1BE2B4FB" w14:textId="77777777" w:rsidTr="00065CF8">
        <w:tc>
          <w:tcPr>
            <w:tcW w:w="5000" w:type="pct"/>
            <w:gridSpan w:val="8"/>
            <w:tcBorders>
              <w:top w:val="single" w:sz="12" w:space="0" w:color="auto"/>
              <w:left w:val="nil"/>
              <w:bottom w:val="nil"/>
              <w:right w:val="nil"/>
            </w:tcBorders>
          </w:tcPr>
          <w:p w14:paraId="4166B2B6" w14:textId="113F8B16" w:rsidR="00065CF8" w:rsidRPr="00AF4487" w:rsidRDefault="00065CF8" w:rsidP="00C77A99">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ru-RU"/>
              </w:rPr>
            </w:pPr>
            <w:r w:rsidRPr="00E7792B">
              <w:rPr>
                <w:rFonts w:ascii="Times New Roman" w:eastAsia="Times New Roman" w:hAnsi="Times New Roman" w:cs="Times New Roman"/>
                <w:color w:val="000000" w:themeColor="text1"/>
                <w:sz w:val="20"/>
                <w:szCs w:val="20"/>
                <w:lang w:val="en-US" w:eastAsia="ru-RU"/>
              </w:rPr>
              <w:t>Notes: EU ETS countries include Austria, Belgium, Denmark, Finland, France, Germany, Greece, Hungary, Ireland, Italy, Luxembourg, Netherlands, Norway, Portugal, Spain, Sweden, and United Kingdom. The remaining countries are non-EU ETS countries.</w:t>
            </w:r>
          </w:p>
        </w:tc>
      </w:tr>
    </w:tbl>
    <w:p w14:paraId="6345B1E3" w14:textId="77777777" w:rsidR="00EC5A9C" w:rsidRPr="00065CF8" w:rsidRDefault="00EC5A9C" w:rsidP="00EC5A9C">
      <w:pPr>
        <w:spacing w:after="0" w:line="240" w:lineRule="auto"/>
        <w:rPr>
          <w:rFonts w:ascii="Times New Roman" w:eastAsia="Times New Roman" w:hAnsi="Times New Roman" w:cs="Times New Roman"/>
          <w:lang w:val="en-US" w:eastAsia="ru-RU"/>
        </w:rPr>
      </w:pPr>
    </w:p>
    <w:p w14:paraId="03C62DDB" w14:textId="31D13FC8" w:rsidR="00EC5A9C" w:rsidRDefault="00EC5A9C" w:rsidP="00EC5A9C">
      <w:pPr>
        <w:widowControl w:val="0"/>
        <w:autoSpaceDE w:val="0"/>
        <w:autoSpaceDN w:val="0"/>
        <w:adjustRightInd w:val="0"/>
        <w:spacing w:after="0" w:line="240" w:lineRule="auto"/>
        <w:rPr>
          <w:rFonts w:ascii="Times New Roman" w:eastAsia="Times New Roman" w:hAnsi="Times New Roman" w:cs="Times New Roman"/>
          <w:b/>
          <w:bCs/>
          <w:sz w:val="20"/>
          <w:szCs w:val="20"/>
          <w:lang w:val="en-US" w:eastAsia="ru-RU"/>
        </w:rPr>
      </w:pPr>
    </w:p>
    <w:p w14:paraId="4388B86B" w14:textId="77777777" w:rsidR="00974F0C" w:rsidRPr="00AF4487" w:rsidRDefault="00974F0C" w:rsidP="00EC5A9C">
      <w:pPr>
        <w:widowControl w:val="0"/>
        <w:autoSpaceDE w:val="0"/>
        <w:autoSpaceDN w:val="0"/>
        <w:adjustRightInd w:val="0"/>
        <w:spacing w:after="0" w:line="240" w:lineRule="auto"/>
        <w:rPr>
          <w:rFonts w:ascii="Times New Roman" w:eastAsia="Times New Roman" w:hAnsi="Times New Roman" w:cs="Times New Roman"/>
          <w:b/>
          <w:bCs/>
          <w:sz w:val="20"/>
          <w:szCs w:val="20"/>
          <w:lang w:val="en-US" w:eastAsia="ru-RU"/>
        </w:rPr>
      </w:pPr>
    </w:p>
    <w:p w14:paraId="32A6A5ED" w14:textId="77777777" w:rsidR="00EC5A9C" w:rsidRPr="00AF4487" w:rsidRDefault="00EC5A9C" w:rsidP="00EC5A9C">
      <w:pPr>
        <w:spacing w:after="0" w:line="240" w:lineRule="auto"/>
        <w:jc w:val="both"/>
        <w:rPr>
          <w:rFonts w:ascii="Times New Roman" w:eastAsia="Calibri" w:hAnsi="Times New Roman" w:cs="Times New Roman"/>
          <w:i/>
          <w:lang w:val="en-US"/>
        </w:rPr>
      </w:pPr>
      <w:r w:rsidRPr="00AF4487">
        <w:rPr>
          <w:rFonts w:ascii="Times New Roman" w:eastAsia="Calibri" w:hAnsi="Times New Roman" w:cs="Times New Roman"/>
          <w:i/>
          <w:lang w:val="en-US"/>
        </w:rPr>
        <w:t>Table 3. Definition of variables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940"/>
        <w:gridCol w:w="5565"/>
        <w:gridCol w:w="1444"/>
      </w:tblGrid>
      <w:tr w:rsidR="001E776C" w:rsidRPr="00065CF8" w14:paraId="27A2F201" w14:textId="77777777" w:rsidTr="007169A4">
        <w:tc>
          <w:tcPr>
            <w:tcW w:w="898" w:type="pct"/>
            <w:tcBorders>
              <w:top w:val="single" w:sz="12" w:space="0" w:color="auto"/>
              <w:bottom w:val="single" w:sz="8" w:space="0" w:color="auto"/>
            </w:tcBorders>
          </w:tcPr>
          <w:p w14:paraId="3E383709" w14:textId="77777777" w:rsidR="00EC5A9C" w:rsidRPr="00AF4487" w:rsidRDefault="00EC5A9C" w:rsidP="00EC5A9C">
            <w:pPr>
              <w:rPr>
                <w:rFonts w:ascii="Times New Roman" w:eastAsia="Calibri" w:hAnsi="Times New Roman" w:cs="Times New Roman"/>
                <w:b/>
                <w:sz w:val="20"/>
                <w:szCs w:val="20"/>
                <w:lang w:val="en-US"/>
              </w:rPr>
            </w:pPr>
            <w:r w:rsidRPr="00AF4487">
              <w:rPr>
                <w:rFonts w:ascii="Times New Roman" w:eastAsia="Calibri" w:hAnsi="Times New Roman" w:cs="Times New Roman"/>
                <w:b/>
                <w:sz w:val="20"/>
                <w:szCs w:val="20"/>
                <w:lang w:val="en-US"/>
              </w:rPr>
              <w:t>Variables</w:t>
            </w:r>
          </w:p>
        </w:tc>
        <w:tc>
          <w:tcPr>
            <w:tcW w:w="485" w:type="pct"/>
            <w:tcBorders>
              <w:top w:val="single" w:sz="12" w:space="0" w:color="auto"/>
              <w:bottom w:val="single" w:sz="8" w:space="0" w:color="auto"/>
            </w:tcBorders>
          </w:tcPr>
          <w:p w14:paraId="0DA4281E" w14:textId="77777777" w:rsidR="00EC5A9C" w:rsidRPr="00AF4487" w:rsidRDefault="00EC5A9C" w:rsidP="00EC5A9C">
            <w:pPr>
              <w:jc w:val="center"/>
              <w:rPr>
                <w:rFonts w:ascii="Times New Roman" w:eastAsia="Calibri" w:hAnsi="Times New Roman" w:cs="Times New Roman"/>
                <w:b/>
                <w:sz w:val="20"/>
                <w:szCs w:val="20"/>
                <w:lang w:val="en-US"/>
              </w:rPr>
            </w:pPr>
            <w:r w:rsidRPr="00AF4487">
              <w:rPr>
                <w:rFonts w:ascii="Times New Roman" w:eastAsia="Calibri" w:hAnsi="Times New Roman" w:cs="Times New Roman"/>
                <w:b/>
                <w:sz w:val="20"/>
                <w:szCs w:val="20"/>
                <w:lang w:val="en-US"/>
              </w:rPr>
              <w:t>Symbols</w:t>
            </w:r>
          </w:p>
        </w:tc>
        <w:tc>
          <w:tcPr>
            <w:tcW w:w="2872" w:type="pct"/>
            <w:tcBorders>
              <w:top w:val="single" w:sz="12" w:space="0" w:color="auto"/>
              <w:bottom w:val="single" w:sz="8" w:space="0" w:color="auto"/>
            </w:tcBorders>
          </w:tcPr>
          <w:p w14:paraId="6DA3C430" w14:textId="77777777" w:rsidR="00EC5A9C" w:rsidRPr="00AF4487" w:rsidRDefault="00EC5A9C" w:rsidP="00EC5A9C">
            <w:pPr>
              <w:jc w:val="center"/>
              <w:rPr>
                <w:rFonts w:ascii="Times New Roman" w:eastAsia="Calibri" w:hAnsi="Times New Roman" w:cs="Times New Roman"/>
                <w:b/>
                <w:sz w:val="20"/>
                <w:szCs w:val="20"/>
                <w:lang w:val="en-US"/>
              </w:rPr>
            </w:pPr>
            <w:r w:rsidRPr="00AF4487">
              <w:rPr>
                <w:rFonts w:ascii="Times New Roman" w:eastAsia="Times New Roman" w:hAnsi="Times New Roman" w:cs="Times New Roman"/>
                <w:b/>
                <w:bCs/>
                <w:sz w:val="20"/>
                <w:szCs w:val="20"/>
                <w:lang w:val="en-US" w:eastAsia="ru-RU"/>
              </w:rPr>
              <w:t>Operationalization</w:t>
            </w:r>
          </w:p>
        </w:tc>
        <w:tc>
          <w:tcPr>
            <w:tcW w:w="745" w:type="pct"/>
            <w:tcBorders>
              <w:top w:val="single" w:sz="12" w:space="0" w:color="auto"/>
              <w:bottom w:val="single" w:sz="8" w:space="0" w:color="auto"/>
            </w:tcBorders>
          </w:tcPr>
          <w:p w14:paraId="3EAA559B" w14:textId="77777777" w:rsidR="00EC5A9C" w:rsidRPr="00AF4487" w:rsidRDefault="00EC5A9C" w:rsidP="00EC5A9C">
            <w:pPr>
              <w:jc w:val="center"/>
              <w:rPr>
                <w:rFonts w:ascii="Times New Roman" w:eastAsia="Calibri" w:hAnsi="Times New Roman" w:cs="Times New Roman"/>
                <w:b/>
                <w:sz w:val="20"/>
                <w:szCs w:val="20"/>
                <w:lang w:val="en-US"/>
              </w:rPr>
            </w:pPr>
            <w:r w:rsidRPr="00AF4487">
              <w:rPr>
                <w:rFonts w:ascii="Times New Roman" w:eastAsia="Calibri" w:hAnsi="Times New Roman" w:cs="Times New Roman"/>
                <w:b/>
                <w:sz w:val="20"/>
                <w:szCs w:val="20"/>
                <w:lang w:val="en-US"/>
              </w:rPr>
              <w:t>Source</w:t>
            </w:r>
          </w:p>
        </w:tc>
      </w:tr>
      <w:tr w:rsidR="001E776C" w:rsidRPr="00065CF8" w14:paraId="204DD71E" w14:textId="77777777" w:rsidTr="007169A4">
        <w:tc>
          <w:tcPr>
            <w:tcW w:w="898" w:type="pct"/>
            <w:tcBorders>
              <w:top w:val="single" w:sz="8" w:space="0" w:color="auto"/>
            </w:tcBorders>
          </w:tcPr>
          <w:p w14:paraId="312AC9E9" w14:textId="77777777" w:rsidR="00EC5A9C" w:rsidRPr="00AF4487" w:rsidRDefault="00EC5A9C" w:rsidP="00EC5A9C">
            <w:pPr>
              <w:rPr>
                <w:rFonts w:ascii="Times New Roman" w:eastAsia="Calibri" w:hAnsi="Times New Roman" w:cs="Times New Roman"/>
                <w:i/>
                <w:sz w:val="20"/>
                <w:szCs w:val="20"/>
                <w:lang w:val="en-US"/>
              </w:rPr>
            </w:pPr>
            <w:r w:rsidRPr="00AF4487">
              <w:rPr>
                <w:rFonts w:ascii="Times New Roman" w:eastAsia="Calibri" w:hAnsi="Times New Roman" w:cs="Times New Roman"/>
                <w:i/>
                <w:sz w:val="20"/>
                <w:szCs w:val="20"/>
                <w:lang w:val="en-US"/>
              </w:rPr>
              <w:t>Substantive measures</w:t>
            </w:r>
          </w:p>
        </w:tc>
        <w:tc>
          <w:tcPr>
            <w:tcW w:w="485" w:type="pct"/>
            <w:tcBorders>
              <w:top w:val="single" w:sz="8" w:space="0" w:color="auto"/>
            </w:tcBorders>
          </w:tcPr>
          <w:p w14:paraId="5190B64D" w14:textId="77777777" w:rsidR="00EC5A9C" w:rsidRPr="00AF4487" w:rsidRDefault="00EC5A9C" w:rsidP="00EC5A9C">
            <w:pPr>
              <w:rPr>
                <w:rFonts w:ascii="Times New Roman" w:eastAsia="Calibri" w:hAnsi="Times New Roman" w:cs="Times New Roman"/>
                <w:b/>
                <w:sz w:val="20"/>
                <w:szCs w:val="20"/>
                <w:lang w:val="en-US"/>
              </w:rPr>
            </w:pPr>
          </w:p>
        </w:tc>
        <w:tc>
          <w:tcPr>
            <w:tcW w:w="2872" w:type="pct"/>
            <w:tcBorders>
              <w:top w:val="single" w:sz="8" w:space="0" w:color="auto"/>
            </w:tcBorders>
          </w:tcPr>
          <w:p w14:paraId="37AE8CD4" w14:textId="77777777" w:rsidR="00EC5A9C" w:rsidRPr="00AF4487" w:rsidRDefault="00EC5A9C" w:rsidP="00EC5A9C">
            <w:pPr>
              <w:rPr>
                <w:rFonts w:ascii="Times New Roman" w:eastAsia="Times New Roman" w:hAnsi="Times New Roman" w:cs="Times New Roman"/>
                <w:b/>
                <w:bCs/>
                <w:sz w:val="20"/>
                <w:szCs w:val="20"/>
                <w:lang w:val="en-US" w:eastAsia="ru-RU"/>
              </w:rPr>
            </w:pPr>
          </w:p>
        </w:tc>
        <w:tc>
          <w:tcPr>
            <w:tcW w:w="745" w:type="pct"/>
            <w:tcBorders>
              <w:top w:val="single" w:sz="8" w:space="0" w:color="auto"/>
            </w:tcBorders>
          </w:tcPr>
          <w:p w14:paraId="3E5D6739" w14:textId="77777777" w:rsidR="00EC5A9C" w:rsidRPr="00AF4487" w:rsidRDefault="00EC5A9C" w:rsidP="00EC5A9C">
            <w:pPr>
              <w:jc w:val="center"/>
              <w:rPr>
                <w:rFonts w:ascii="Times New Roman" w:eastAsia="Calibri" w:hAnsi="Times New Roman" w:cs="Times New Roman"/>
                <w:b/>
                <w:sz w:val="20"/>
                <w:szCs w:val="20"/>
                <w:lang w:val="en-US"/>
              </w:rPr>
            </w:pPr>
          </w:p>
        </w:tc>
      </w:tr>
      <w:tr w:rsidR="001E776C" w:rsidRPr="00AF4487" w14:paraId="17504F2B" w14:textId="77777777" w:rsidTr="007169A4">
        <w:tc>
          <w:tcPr>
            <w:tcW w:w="898" w:type="pct"/>
          </w:tcPr>
          <w:p w14:paraId="65425278"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Market value</w:t>
            </w:r>
          </w:p>
        </w:tc>
        <w:tc>
          <w:tcPr>
            <w:tcW w:w="485" w:type="pct"/>
          </w:tcPr>
          <w:p w14:paraId="3C62A4C1"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MV</w:t>
            </w:r>
          </w:p>
        </w:tc>
        <w:tc>
          <w:tcPr>
            <w:tcW w:w="2872" w:type="pct"/>
          </w:tcPr>
          <w:p w14:paraId="2F574DD1"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Tobin’s Q calculated as total assets minus book value of equity plus market value of equity divided by total assets </w:t>
            </w:r>
          </w:p>
        </w:tc>
        <w:tc>
          <w:tcPr>
            <w:tcW w:w="745" w:type="pct"/>
          </w:tcPr>
          <w:p w14:paraId="43510C43" w14:textId="12102550" w:rsidR="00EC5A9C" w:rsidRPr="00AF4487" w:rsidRDefault="00044600"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Datastream</w:t>
            </w:r>
            <w:proofErr w:type="spellEnd"/>
            <w:r w:rsidRPr="00AF4487">
              <w:rPr>
                <w:rFonts w:ascii="Times New Roman" w:eastAsia="Calibri" w:hAnsi="Times New Roman" w:cs="Times New Roman"/>
                <w:sz w:val="20"/>
                <w:szCs w:val="20"/>
                <w:lang w:val="en-US"/>
              </w:rPr>
              <w:t xml:space="preserve">/ </w:t>
            </w:r>
            <w:proofErr w:type="spellStart"/>
            <w:r w:rsidR="00EC5A9C" w:rsidRPr="00AF4487">
              <w:rPr>
                <w:rFonts w:ascii="Times New Roman" w:eastAsia="Calibri" w:hAnsi="Times New Roman" w:cs="Times New Roman"/>
                <w:sz w:val="20"/>
                <w:szCs w:val="20"/>
                <w:lang w:val="en-US"/>
              </w:rPr>
              <w:t>Worldscope</w:t>
            </w:r>
            <w:proofErr w:type="spellEnd"/>
          </w:p>
        </w:tc>
      </w:tr>
      <w:tr w:rsidR="001E776C" w:rsidRPr="00AF4487" w14:paraId="52371BD5" w14:textId="77777777" w:rsidTr="007169A4">
        <w:tc>
          <w:tcPr>
            <w:tcW w:w="898" w:type="pct"/>
          </w:tcPr>
          <w:p w14:paraId="7EF9DC8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Corporate carbon performance by emissions</w:t>
            </w:r>
          </w:p>
        </w:tc>
        <w:tc>
          <w:tcPr>
            <w:tcW w:w="485" w:type="pct"/>
          </w:tcPr>
          <w:p w14:paraId="528DA11F"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CCPE</w:t>
            </w:r>
          </w:p>
        </w:tc>
        <w:tc>
          <w:tcPr>
            <w:tcW w:w="2872" w:type="pct"/>
          </w:tcPr>
          <w:p w14:paraId="1E6B1521" w14:textId="77777777" w:rsidR="00EC5A9C" w:rsidRPr="00AF4487" w:rsidRDefault="00EC5A9C" w:rsidP="00EC5A9C">
            <w:pPr>
              <w:jc w:val="both"/>
              <w:rPr>
                <w:rFonts w:ascii="Times New Roman" w:hAnsi="Times New Roman"/>
                <w:sz w:val="20"/>
                <w:szCs w:val="20"/>
                <w:lang w:val="en-US"/>
              </w:rPr>
            </w:pPr>
            <w:r w:rsidRPr="00AF4487">
              <w:rPr>
                <w:rFonts w:ascii="Times New Roman" w:eastAsia="Calibri" w:hAnsi="Times New Roman" w:cs="Times New Roman"/>
                <w:sz w:val="20"/>
                <w:szCs w:val="20"/>
                <w:lang w:val="en-US"/>
              </w:rPr>
              <w:t xml:space="preserve">The natural logarithm of total GHG emissions including Scope 1 (direct emissions from corporate activities) and Scope 2 (indirect emissions from the consumption of purchased electricity, cooling, heat, steam, etc.) emissions in </w:t>
            </w:r>
            <w:proofErr w:type="spellStart"/>
            <w:r w:rsidRPr="00AF4487">
              <w:rPr>
                <w:rFonts w:ascii="Times New Roman" w:eastAsia="Calibri" w:hAnsi="Times New Roman" w:cs="Times New Roman"/>
                <w:sz w:val="20"/>
                <w:szCs w:val="20"/>
                <w:lang w:val="en-US"/>
              </w:rPr>
              <w:t>tonnes</w:t>
            </w:r>
            <w:proofErr w:type="spellEnd"/>
            <w:r w:rsidRPr="00AF4487">
              <w:rPr>
                <w:rFonts w:ascii="Times New Roman" w:eastAsia="Calibri" w:hAnsi="Times New Roman" w:cs="Times New Roman"/>
                <w:sz w:val="20"/>
                <w:szCs w:val="20"/>
                <w:lang w:val="en-US"/>
              </w:rPr>
              <w:t xml:space="preserve">. </w:t>
            </w:r>
            <w:r w:rsidRPr="00AF4487">
              <w:rPr>
                <w:rFonts w:ascii="Times New Roman" w:hAnsi="Times New Roman"/>
                <w:sz w:val="20"/>
                <w:szCs w:val="20"/>
                <w:lang w:val="en-US"/>
              </w:rPr>
              <w:t xml:space="preserve">Higher CCPE values indicate greater levels of GHG emissions (i.e., weaker carbon performance). </w:t>
            </w:r>
          </w:p>
          <w:p w14:paraId="0D1657ED" w14:textId="77777777" w:rsidR="00EC5A9C" w:rsidRPr="00AF4487" w:rsidRDefault="00EC5A9C" w:rsidP="00EC5A9C">
            <w:pPr>
              <w:jc w:val="both"/>
              <w:rPr>
                <w:rFonts w:ascii="Times New Roman" w:eastAsia="Calibri" w:hAnsi="Times New Roman" w:cs="Times New Roman"/>
                <w:sz w:val="20"/>
                <w:szCs w:val="20"/>
                <w:lang w:val="en-US"/>
              </w:rPr>
            </w:pPr>
          </w:p>
        </w:tc>
        <w:tc>
          <w:tcPr>
            <w:tcW w:w="745" w:type="pct"/>
          </w:tcPr>
          <w:p w14:paraId="2D37D6C5" w14:textId="472B8A7E"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68471CB6" w14:textId="77777777" w:rsidTr="007169A4">
        <w:tc>
          <w:tcPr>
            <w:tcW w:w="898" w:type="pct"/>
          </w:tcPr>
          <w:p w14:paraId="2733932C" w14:textId="77777777" w:rsidR="00EC5A9C" w:rsidRPr="00AF4487" w:rsidRDefault="00EC5A9C" w:rsidP="00EC5A9C">
            <w:pPr>
              <w:rPr>
                <w:rFonts w:ascii="Times New Roman" w:eastAsia="Calibri" w:hAnsi="Times New Roman" w:cs="Times New Roman"/>
                <w:sz w:val="20"/>
                <w:szCs w:val="20"/>
                <w:lang w:val="en-US"/>
              </w:rPr>
            </w:pPr>
          </w:p>
        </w:tc>
        <w:tc>
          <w:tcPr>
            <w:tcW w:w="485" w:type="pct"/>
          </w:tcPr>
          <w:p w14:paraId="00A1BBD5" w14:textId="77777777" w:rsidR="00EC5A9C" w:rsidRPr="00AF4487" w:rsidRDefault="00EC5A9C" w:rsidP="00EC5A9C">
            <w:pPr>
              <w:rPr>
                <w:rFonts w:ascii="Times New Roman" w:eastAsia="Calibri" w:hAnsi="Times New Roman" w:cs="Times New Roman"/>
                <w:sz w:val="20"/>
                <w:szCs w:val="20"/>
                <w:lang w:val="en-US"/>
              </w:rPr>
            </w:pPr>
          </w:p>
        </w:tc>
        <w:tc>
          <w:tcPr>
            <w:tcW w:w="2872" w:type="pct"/>
          </w:tcPr>
          <w:p w14:paraId="57AF7A5F" w14:textId="77777777" w:rsidR="00EC5A9C" w:rsidRPr="00AF4487" w:rsidRDefault="00EC5A9C" w:rsidP="00EC5A9C">
            <w:pPr>
              <w:rPr>
                <w:rFonts w:ascii="Times New Roman" w:eastAsia="Calibri" w:hAnsi="Times New Roman" w:cs="Times New Roman"/>
                <w:sz w:val="20"/>
                <w:szCs w:val="20"/>
                <w:lang w:val="en-US"/>
              </w:rPr>
            </w:pPr>
          </w:p>
        </w:tc>
        <w:tc>
          <w:tcPr>
            <w:tcW w:w="745" w:type="pct"/>
          </w:tcPr>
          <w:p w14:paraId="01F67DDC" w14:textId="77777777" w:rsidR="00EC5A9C" w:rsidRPr="00AF4487" w:rsidRDefault="00EC5A9C" w:rsidP="00EC5A9C">
            <w:pPr>
              <w:jc w:val="center"/>
              <w:rPr>
                <w:rFonts w:ascii="Times New Roman" w:eastAsia="Calibri" w:hAnsi="Times New Roman" w:cs="Times New Roman"/>
                <w:sz w:val="20"/>
                <w:szCs w:val="20"/>
                <w:lang w:val="en-US"/>
              </w:rPr>
            </w:pPr>
          </w:p>
        </w:tc>
      </w:tr>
      <w:tr w:rsidR="001E776C" w:rsidRPr="00AF4487" w14:paraId="3654DFD4" w14:textId="77777777" w:rsidTr="007169A4">
        <w:tc>
          <w:tcPr>
            <w:tcW w:w="5000" w:type="pct"/>
            <w:gridSpan w:val="4"/>
          </w:tcPr>
          <w:p w14:paraId="0B257061" w14:textId="77777777" w:rsidR="00EC5A9C" w:rsidRPr="00AF4487" w:rsidRDefault="00EC5A9C" w:rsidP="00EC5A9C">
            <w:pPr>
              <w:rPr>
                <w:rFonts w:ascii="Times New Roman" w:eastAsia="Calibri" w:hAnsi="Times New Roman" w:cs="Times New Roman"/>
                <w:i/>
                <w:sz w:val="20"/>
                <w:szCs w:val="20"/>
                <w:lang w:val="en-US"/>
              </w:rPr>
            </w:pPr>
            <w:r w:rsidRPr="00AF4487">
              <w:rPr>
                <w:rFonts w:ascii="Times New Roman" w:eastAsia="Calibri" w:hAnsi="Times New Roman" w:cs="Times New Roman"/>
                <w:i/>
                <w:sz w:val="20"/>
                <w:szCs w:val="20"/>
                <w:lang w:val="en-US"/>
              </w:rPr>
              <w:t>Symbolic constructs/measures</w:t>
            </w:r>
          </w:p>
        </w:tc>
      </w:tr>
      <w:tr w:rsidR="001E776C" w:rsidRPr="00AF4487" w14:paraId="2CC4F468" w14:textId="77777777" w:rsidTr="007169A4">
        <w:tc>
          <w:tcPr>
            <w:tcW w:w="898" w:type="pct"/>
          </w:tcPr>
          <w:p w14:paraId="711B9065" w14:textId="77777777" w:rsidR="00EC5A9C" w:rsidRPr="00AF4487" w:rsidRDefault="00442EBF" w:rsidP="00442EBF">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Process-based c</w:t>
            </w:r>
            <w:r w:rsidR="00EC5A9C" w:rsidRPr="00AF4487">
              <w:rPr>
                <w:rFonts w:ascii="Times New Roman" w:eastAsia="Calibri" w:hAnsi="Times New Roman" w:cs="Times New Roman"/>
                <w:sz w:val="20"/>
                <w:szCs w:val="20"/>
                <w:lang w:val="en-US"/>
              </w:rPr>
              <w:t>orporate climate change initiatives</w:t>
            </w:r>
          </w:p>
        </w:tc>
        <w:tc>
          <w:tcPr>
            <w:tcW w:w="485" w:type="pct"/>
          </w:tcPr>
          <w:p w14:paraId="497F5E5D"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PCCIs</w:t>
            </w:r>
          </w:p>
        </w:tc>
        <w:tc>
          <w:tcPr>
            <w:tcW w:w="2872" w:type="pct"/>
          </w:tcPr>
          <w:p w14:paraId="3653F060" w14:textId="77777777" w:rsidR="00EC5A9C" w:rsidRPr="00AF4487" w:rsidRDefault="00EC5A9C" w:rsidP="00EC5A9C">
            <w:pPr>
              <w:jc w:val="both"/>
              <w:rPr>
                <w:rFonts w:ascii="Times New Roman" w:eastAsia="Calibri" w:hAnsi="Times New Roman" w:cs="Times New Roman"/>
                <w:sz w:val="20"/>
                <w:szCs w:val="20"/>
                <w:lang w:val="en-US"/>
              </w:rPr>
            </w:pPr>
            <w:r w:rsidRPr="00AF4487">
              <w:rPr>
                <w:rFonts w:ascii="Times New Roman" w:eastAsia="Calibri" w:hAnsi="Times New Roman" w:cs="Times New Roman"/>
                <w:sz w:val="18"/>
                <w:szCs w:val="18"/>
                <w:lang w:val="en-US"/>
              </w:rPr>
              <w:t xml:space="preserve">The index is a weighted </w:t>
            </w:r>
            <w:r w:rsidR="00ED2148" w:rsidRPr="00AF4487">
              <w:rPr>
                <w:rFonts w:ascii="Times New Roman" w:eastAsia="Calibri" w:hAnsi="Times New Roman" w:cs="Times New Roman"/>
                <w:sz w:val="18"/>
                <w:szCs w:val="18"/>
                <w:lang w:val="en-US"/>
              </w:rPr>
              <w:t>average</w:t>
            </w:r>
            <w:r w:rsidRPr="00AF4487">
              <w:rPr>
                <w:rFonts w:ascii="Times New Roman" w:eastAsia="Calibri" w:hAnsi="Times New Roman" w:cs="Times New Roman"/>
                <w:sz w:val="18"/>
                <w:szCs w:val="18"/>
                <w:lang w:val="en-US"/>
              </w:rPr>
              <w:t xml:space="preserve"> sector adjusted index calculated based on 40 firm-specific items </w:t>
            </w:r>
            <w:r w:rsidRPr="00AF4487">
              <w:rPr>
                <w:rFonts w:ascii="Times New Roman" w:eastAsia="Calibri" w:hAnsi="Times New Roman" w:cs="Times New Roman"/>
                <w:sz w:val="20"/>
                <w:szCs w:val="20"/>
                <w:lang w:val="en-US"/>
              </w:rPr>
              <w:t>(see the Appendix 1 in supporting information) related to climate change initiatives and practices</w:t>
            </w:r>
            <w:r w:rsidRPr="00AF4487">
              <w:rPr>
                <w:rFonts w:ascii="Times New Roman" w:eastAsia="Calibri" w:hAnsi="Times New Roman" w:cs="Times New Roman"/>
                <w:sz w:val="18"/>
                <w:szCs w:val="18"/>
                <w:lang w:val="en-US"/>
              </w:rPr>
              <w:t>. It r</w:t>
            </w:r>
            <w:r w:rsidRPr="00AF4487">
              <w:rPr>
                <w:rFonts w:ascii="Times New Roman" w:eastAsia="Calibri" w:hAnsi="Times New Roman" w:cs="Times New Roman"/>
                <w:sz w:val="20"/>
                <w:szCs w:val="20"/>
                <w:lang w:val="en-US"/>
              </w:rPr>
              <w:t>anges between 0% (no climate change initiatives and practices) and 100% (fully instituted climate change initiatives and practices)</w:t>
            </w:r>
          </w:p>
        </w:tc>
        <w:tc>
          <w:tcPr>
            <w:tcW w:w="745" w:type="pct"/>
          </w:tcPr>
          <w:p w14:paraId="4D395D81" w14:textId="3B3D281A"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1461F6C4" w14:textId="77777777" w:rsidTr="007169A4">
        <w:tc>
          <w:tcPr>
            <w:tcW w:w="898" w:type="pct"/>
          </w:tcPr>
          <w:p w14:paraId="1AE10BC1" w14:textId="77777777" w:rsidR="00EC5A9C" w:rsidRPr="00AF4487" w:rsidRDefault="00442EBF"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Board sustainability committee</w:t>
            </w:r>
          </w:p>
        </w:tc>
        <w:tc>
          <w:tcPr>
            <w:tcW w:w="485" w:type="pct"/>
          </w:tcPr>
          <w:p w14:paraId="468CBA03"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BSCOM</w:t>
            </w:r>
          </w:p>
        </w:tc>
        <w:tc>
          <w:tcPr>
            <w:tcW w:w="2872" w:type="pct"/>
          </w:tcPr>
          <w:p w14:paraId="1FC8E932" w14:textId="77777777" w:rsidR="00EC5A9C" w:rsidRPr="00AF4487" w:rsidRDefault="00EC5A9C" w:rsidP="00EC5A9C">
            <w:pPr>
              <w:jc w:val="both"/>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 dummy value of 1 is assigned if the board has a sustainability committee, and 0 otherwise</w:t>
            </w:r>
          </w:p>
        </w:tc>
        <w:tc>
          <w:tcPr>
            <w:tcW w:w="745" w:type="pct"/>
          </w:tcPr>
          <w:p w14:paraId="79A6F069" w14:textId="465DB449"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3FDB2222" w14:textId="77777777" w:rsidTr="007169A4">
        <w:tc>
          <w:tcPr>
            <w:tcW w:w="898" w:type="pct"/>
          </w:tcPr>
          <w:p w14:paraId="0D44722E" w14:textId="77777777" w:rsidR="00EC5A9C" w:rsidRPr="00AF4487" w:rsidRDefault="00EC5A9C" w:rsidP="00EC5A9C">
            <w:pPr>
              <w:rPr>
                <w:rFonts w:ascii="Times New Roman" w:eastAsia="Calibri" w:hAnsi="Times New Roman" w:cs="Times New Roman"/>
                <w:sz w:val="20"/>
                <w:szCs w:val="20"/>
                <w:lang w:val="en-US"/>
              </w:rPr>
            </w:pPr>
          </w:p>
        </w:tc>
        <w:tc>
          <w:tcPr>
            <w:tcW w:w="485" w:type="pct"/>
          </w:tcPr>
          <w:p w14:paraId="15DD124D" w14:textId="77777777" w:rsidR="00EC5A9C" w:rsidRPr="00AF4487" w:rsidRDefault="00EC5A9C" w:rsidP="00EC5A9C">
            <w:pPr>
              <w:rPr>
                <w:rFonts w:ascii="Times New Roman" w:eastAsia="Calibri" w:hAnsi="Times New Roman" w:cs="Times New Roman"/>
                <w:sz w:val="20"/>
                <w:szCs w:val="20"/>
                <w:lang w:val="en-US"/>
              </w:rPr>
            </w:pPr>
          </w:p>
        </w:tc>
        <w:tc>
          <w:tcPr>
            <w:tcW w:w="2872" w:type="pct"/>
          </w:tcPr>
          <w:p w14:paraId="5D13C14E" w14:textId="77777777" w:rsidR="00EC5A9C" w:rsidRPr="00AF4487" w:rsidRDefault="00EC5A9C" w:rsidP="00EC5A9C">
            <w:pPr>
              <w:rPr>
                <w:rFonts w:ascii="Times New Roman" w:eastAsia="Calibri" w:hAnsi="Times New Roman" w:cs="Times New Roman"/>
                <w:sz w:val="20"/>
                <w:szCs w:val="20"/>
                <w:lang w:val="en-US"/>
              </w:rPr>
            </w:pPr>
          </w:p>
        </w:tc>
        <w:tc>
          <w:tcPr>
            <w:tcW w:w="745" w:type="pct"/>
          </w:tcPr>
          <w:p w14:paraId="59EBA30D" w14:textId="77777777" w:rsidR="00EC5A9C" w:rsidRPr="00AF4487" w:rsidRDefault="00EC5A9C" w:rsidP="00EC5A9C">
            <w:pPr>
              <w:jc w:val="center"/>
              <w:rPr>
                <w:rFonts w:ascii="Times New Roman" w:eastAsia="Calibri" w:hAnsi="Times New Roman" w:cs="Times New Roman"/>
                <w:sz w:val="20"/>
                <w:szCs w:val="20"/>
                <w:lang w:val="en-US"/>
              </w:rPr>
            </w:pPr>
          </w:p>
        </w:tc>
      </w:tr>
      <w:tr w:rsidR="001E776C" w:rsidRPr="00AF4487" w14:paraId="63146C53" w14:textId="77777777" w:rsidTr="007169A4">
        <w:tc>
          <w:tcPr>
            <w:tcW w:w="5000" w:type="pct"/>
            <w:gridSpan w:val="4"/>
          </w:tcPr>
          <w:p w14:paraId="54B94838" w14:textId="77777777" w:rsidR="00EC5A9C" w:rsidRPr="00AF4487" w:rsidRDefault="00EC5A9C" w:rsidP="00EC5A9C">
            <w:pPr>
              <w:rPr>
                <w:rFonts w:ascii="Times New Roman" w:eastAsia="Calibri" w:hAnsi="Times New Roman" w:cs="Times New Roman"/>
                <w:i/>
                <w:sz w:val="20"/>
                <w:szCs w:val="20"/>
                <w:lang w:val="en-US"/>
              </w:rPr>
            </w:pPr>
            <w:r w:rsidRPr="00AF4487">
              <w:rPr>
                <w:rFonts w:ascii="Times New Roman" w:eastAsia="Calibri" w:hAnsi="Times New Roman" w:cs="Times New Roman"/>
                <w:i/>
                <w:sz w:val="20"/>
                <w:szCs w:val="20"/>
                <w:lang w:val="en-US"/>
              </w:rPr>
              <w:t>Corporate governance variables</w:t>
            </w:r>
          </w:p>
        </w:tc>
      </w:tr>
      <w:tr w:rsidR="001E776C" w:rsidRPr="00AF4487" w14:paraId="25FC80D9" w14:textId="77777777" w:rsidTr="007169A4">
        <w:tc>
          <w:tcPr>
            <w:tcW w:w="898" w:type="pct"/>
          </w:tcPr>
          <w:p w14:paraId="218CA025"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Board size</w:t>
            </w:r>
          </w:p>
        </w:tc>
        <w:tc>
          <w:tcPr>
            <w:tcW w:w="485" w:type="pct"/>
          </w:tcPr>
          <w:p w14:paraId="2AE865D0"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BSIZE</w:t>
            </w:r>
          </w:p>
        </w:tc>
        <w:tc>
          <w:tcPr>
            <w:tcW w:w="2872" w:type="pct"/>
          </w:tcPr>
          <w:p w14:paraId="3096A325"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The natural logarithm of the number of board directors</w:t>
            </w:r>
          </w:p>
        </w:tc>
        <w:tc>
          <w:tcPr>
            <w:tcW w:w="745" w:type="pct"/>
          </w:tcPr>
          <w:p w14:paraId="1DFDA054" w14:textId="29225FC0"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305D3390" w14:textId="77777777" w:rsidTr="007169A4">
        <w:tc>
          <w:tcPr>
            <w:tcW w:w="898" w:type="pct"/>
          </w:tcPr>
          <w:p w14:paraId="62E7BF80"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Board independence </w:t>
            </w:r>
          </w:p>
        </w:tc>
        <w:tc>
          <w:tcPr>
            <w:tcW w:w="485" w:type="pct"/>
          </w:tcPr>
          <w:p w14:paraId="6FAA73F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INDIR</w:t>
            </w:r>
          </w:p>
        </w:tc>
        <w:tc>
          <w:tcPr>
            <w:tcW w:w="2872" w:type="pct"/>
          </w:tcPr>
          <w:p w14:paraId="792F4B67"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The percentage of independent directors on the board</w:t>
            </w:r>
          </w:p>
        </w:tc>
        <w:tc>
          <w:tcPr>
            <w:tcW w:w="745" w:type="pct"/>
          </w:tcPr>
          <w:p w14:paraId="266CA0AF" w14:textId="2AF73631"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05B16440" w14:textId="77777777" w:rsidTr="007169A4">
        <w:tc>
          <w:tcPr>
            <w:tcW w:w="898" w:type="pct"/>
          </w:tcPr>
          <w:p w14:paraId="028FFAED"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Board gender diversity</w:t>
            </w:r>
          </w:p>
        </w:tc>
        <w:tc>
          <w:tcPr>
            <w:tcW w:w="485" w:type="pct"/>
          </w:tcPr>
          <w:p w14:paraId="689A00E1"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BGEN</w:t>
            </w:r>
          </w:p>
        </w:tc>
        <w:tc>
          <w:tcPr>
            <w:tcW w:w="2872" w:type="pct"/>
          </w:tcPr>
          <w:p w14:paraId="7720AD13"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The percentage of female directors on the board </w:t>
            </w:r>
          </w:p>
        </w:tc>
        <w:tc>
          <w:tcPr>
            <w:tcW w:w="745" w:type="pct"/>
          </w:tcPr>
          <w:p w14:paraId="3B9CB3FA" w14:textId="5FEB129B" w:rsidR="00EC5A9C" w:rsidRPr="00AF4487" w:rsidRDefault="00044600" w:rsidP="00EC5A9C">
            <w:pPr>
              <w:jc w:val="cente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ASSET4-ESG</w:t>
            </w:r>
          </w:p>
        </w:tc>
      </w:tr>
      <w:tr w:rsidR="001E776C" w:rsidRPr="00AF4487" w14:paraId="619BECF5" w14:textId="77777777" w:rsidTr="007169A4">
        <w:tc>
          <w:tcPr>
            <w:tcW w:w="898" w:type="pct"/>
          </w:tcPr>
          <w:p w14:paraId="015FAA58" w14:textId="77777777" w:rsidR="00EC5A9C" w:rsidRPr="00AF4487" w:rsidRDefault="00EC5A9C" w:rsidP="00EC5A9C">
            <w:pPr>
              <w:rPr>
                <w:rFonts w:ascii="Times New Roman" w:eastAsia="Calibri" w:hAnsi="Times New Roman" w:cs="Times New Roman"/>
                <w:sz w:val="20"/>
                <w:szCs w:val="20"/>
                <w:lang w:val="en-US"/>
              </w:rPr>
            </w:pPr>
          </w:p>
        </w:tc>
        <w:tc>
          <w:tcPr>
            <w:tcW w:w="485" w:type="pct"/>
          </w:tcPr>
          <w:p w14:paraId="4E16A332" w14:textId="77777777" w:rsidR="00EC5A9C" w:rsidRPr="00AF4487" w:rsidRDefault="00EC5A9C" w:rsidP="00EC5A9C">
            <w:pPr>
              <w:rPr>
                <w:rFonts w:ascii="Times New Roman" w:eastAsia="Calibri" w:hAnsi="Times New Roman" w:cs="Times New Roman"/>
                <w:sz w:val="20"/>
                <w:szCs w:val="20"/>
                <w:lang w:val="en-US"/>
              </w:rPr>
            </w:pPr>
          </w:p>
        </w:tc>
        <w:tc>
          <w:tcPr>
            <w:tcW w:w="2872" w:type="pct"/>
          </w:tcPr>
          <w:p w14:paraId="557F9BF7" w14:textId="77777777" w:rsidR="00EC5A9C" w:rsidRPr="00AF4487" w:rsidRDefault="00EC5A9C" w:rsidP="00EC5A9C">
            <w:pPr>
              <w:rPr>
                <w:rFonts w:ascii="Times New Roman" w:eastAsia="Calibri" w:hAnsi="Times New Roman" w:cs="Times New Roman"/>
                <w:sz w:val="20"/>
                <w:szCs w:val="20"/>
                <w:lang w:val="en-US"/>
              </w:rPr>
            </w:pPr>
          </w:p>
        </w:tc>
        <w:tc>
          <w:tcPr>
            <w:tcW w:w="745" w:type="pct"/>
          </w:tcPr>
          <w:p w14:paraId="1B8F4021" w14:textId="77777777" w:rsidR="00EC5A9C" w:rsidRPr="00AF4487" w:rsidRDefault="00EC5A9C" w:rsidP="00EC5A9C">
            <w:pPr>
              <w:jc w:val="center"/>
              <w:rPr>
                <w:rFonts w:ascii="Times New Roman" w:eastAsia="Calibri" w:hAnsi="Times New Roman" w:cs="Times New Roman"/>
                <w:sz w:val="20"/>
                <w:szCs w:val="20"/>
                <w:lang w:val="en-US"/>
              </w:rPr>
            </w:pPr>
          </w:p>
        </w:tc>
      </w:tr>
      <w:tr w:rsidR="001E776C" w:rsidRPr="00AF4487" w14:paraId="2BEEEF60" w14:textId="77777777" w:rsidTr="007169A4">
        <w:tc>
          <w:tcPr>
            <w:tcW w:w="5000" w:type="pct"/>
            <w:gridSpan w:val="4"/>
          </w:tcPr>
          <w:p w14:paraId="35DE4AF8" w14:textId="77777777" w:rsidR="00EC5A9C" w:rsidRPr="00AF4487" w:rsidRDefault="00EC5A9C" w:rsidP="00EC5A9C">
            <w:pPr>
              <w:rPr>
                <w:rFonts w:ascii="Times New Roman" w:eastAsia="Calibri" w:hAnsi="Times New Roman" w:cs="Times New Roman"/>
                <w:i/>
                <w:sz w:val="20"/>
                <w:szCs w:val="20"/>
                <w:lang w:val="en-US"/>
              </w:rPr>
            </w:pPr>
            <w:r w:rsidRPr="00AF4487">
              <w:rPr>
                <w:rFonts w:ascii="Times New Roman" w:eastAsia="Calibri" w:hAnsi="Times New Roman" w:cs="Times New Roman"/>
                <w:i/>
                <w:sz w:val="20"/>
                <w:szCs w:val="20"/>
                <w:lang w:val="en-US"/>
              </w:rPr>
              <w:t>Firm-specific control variables</w:t>
            </w:r>
          </w:p>
        </w:tc>
      </w:tr>
      <w:tr w:rsidR="001E776C" w:rsidRPr="00AF4487" w14:paraId="1429457B" w14:textId="77777777" w:rsidTr="007169A4">
        <w:tc>
          <w:tcPr>
            <w:tcW w:w="898" w:type="pct"/>
          </w:tcPr>
          <w:p w14:paraId="0862033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Firm size</w:t>
            </w:r>
          </w:p>
        </w:tc>
        <w:tc>
          <w:tcPr>
            <w:tcW w:w="485" w:type="pct"/>
          </w:tcPr>
          <w:p w14:paraId="3321A6C0"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SIZE</w:t>
            </w:r>
          </w:p>
        </w:tc>
        <w:tc>
          <w:tcPr>
            <w:tcW w:w="2872" w:type="pct"/>
          </w:tcPr>
          <w:p w14:paraId="2D06EAD1"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The natural logarithm of total assets</w:t>
            </w:r>
          </w:p>
        </w:tc>
        <w:tc>
          <w:tcPr>
            <w:tcW w:w="745" w:type="pct"/>
          </w:tcPr>
          <w:p w14:paraId="7D6B304F" w14:textId="77777777" w:rsidR="00EC5A9C" w:rsidRPr="00AF4487" w:rsidRDefault="00EC5A9C"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Worldscope</w:t>
            </w:r>
            <w:proofErr w:type="spellEnd"/>
          </w:p>
        </w:tc>
      </w:tr>
      <w:tr w:rsidR="001E776C" w:rsidRPr="00AF4487" w14:paraId="500F45A3" w14:textId="77777777" w:rsidTr="007169A4">
        <w:tc>
          <w:tcPr>
            <w:tcW w:w="898" w:type="pct"/>
          </w:tcPr>
          <w:p w14:paraId="0E5B400D"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Profitability </w:t>
            </w:r>
          </w:p>
        </w:tc>
        <w:tc>
          <w:tcPr>
            <w:tcW w:w="485" w:type="pct"/>
          </w:tcPr>
          <w:p w14:paraId="5DB4E752"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PROF</w:t>
            </w:r>
          </w:p>
        </w:tc>
        <w:tc>
          <w:tcPr>
            <w:tcW w:w="2872" w:type="pct"/>
          </w:tcPr>
          <w:p w14:paraId="001B2243"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Net income divided by total assets</w:t>
            </w:r>
          </w:p>
        </w:tc>
        <w:tc>
          <w:tcPr>
            <w:tcW w:w="745" w:type="pct"/>
          </w:tcPr>
          <w:p w14:paraId="2BFE2647" w14:textId="77777777" w:rsidR="00EC5A9C" w:rsidRPr="00AF4487" w:rsidRDefault="00EC5A9C"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Worldscope</w:t>
            </w:r>
            <w:proofErr w:type="spellEnd"/>
          </w:p>
        </w:tc>
      </w:tr>
      <w:tr w:rsidR="001E776C" w:rsidRPr="00AF4487" w14:paraId="081EFA35" w14:textId="77777777" w:rsidTr="007169A4">
        <w:tc>
          <w:tcPr>
            <w:tcW w:w="898" w:type="pct"/>
          </w:tcPr>
          <w:p w14:paraId="74EF7041"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Leverage</w:t>
            </w:r>
          </w:p>
        </w:tc>
        <w:tc>
          <w:tcPr>
            <w:tcW w:w="485" w:type="pct"/>
          </w:tcPr>
          <w:p w14:paraId="20B258FD"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DEBT</w:t>
            </w:r>
          </w:p>
        </w:tc>
        <w:tc>
          <w:tcPr>
            <w:tcW w:w="2872" w:type="pct"/>
          </w:tcPr>
          <w:p w14:paraId="750CA09F"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Total debt divided by total assets</w:t>
            </w:r>
          </w:p>
        </w:tc>
        <w:tc>
          <w:tcPr>
            <w:tcW w:w="745" w:type="pct"/>
          </w:tcPr>
          <w:p w14:paraId="007AF53E" w14:textId="77777777" w:rsidR="00EC5A9C" w:rsidRPr="00AF4487" w:rsidRDefault="00EC5A9C"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Worldscope</w:t>
            </w:r>
            <w:proofErr w:type="spellEnd"/>
          </w:p>
        </w:tc>
      </w:tr>
      <w:tr w:rsidR="001E776C" w:rsidRPr="00AF4487" w14:paraId="1801F52F" w14:textId="77777777" w:rsidTr="007169A4">
        <w:tc>
          <w:tcPr>
            <w:tcW w:w="898" w:type="pct"/>
          </w:tcPr>
          <w:p w14:paraId="27717CF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Slack</w:t>
            </w:r>
          </w:p>
        </w:tc>
        <w:tc>
          <w:tcPr>
            <w:tcW w:w="485" w:type="pct"/>
          </w:tcPr>
          <w:p w14:paraId="47D3565F"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CASH</w:t>
            </w:r>
          </w:p>
        </w:tc>
        <w:tc>
          <w:tcPr>
            <w:tcW w:w="2872" w:type="pct"/>
          </w:tcPr>
          <w:p w14:paraId="11A565C6"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Cash and cash equivalents divided by total assets</w:t>
            </w:r>
          </w:p>
        </w:tc>
        <w:tc>
          <w:tcPr>
            <w:tcW w:w="745" w:type="pct"/>
          </w:tcPr>
          <w:p w14:paraId="113E2444" w14:textId="77777777" w:rsidR="00EC5A9C" w:rsidRPr="00AF4487" w:rsidRDefault="00EC5A9C"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Worldscope</w:t>
            </w:r>
            <w:proofErr w:type="spellEnd"/>
          </w:p>
        </w:tc>
      </w:tr>
      <w:tr w:rsidR="001E776C" w:rsidRPr="00AF4487" w14:paraId="16BA0B56" w14:textId="77777777" w:rsidTr="007169A4">
        <w:tc>
          <w:tcPr>
            <w:tcW w:w="898" w:type="pct"/>
          </w:tcPr>
          <w:p w14:paraId="1E27D38F"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Capital intensity </w:t>
            </w:r>
          </w:p>
        </w:tc>
        <w:tc>
          <w:tcPr>
            <w:tcW w:w="485" w:type="pct"/>
          </w:tcPr>
          <w:p w14:paraId="78EBD35D"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CAPIN</w:t>
            </w:r>
          </w:p>
        </w:tc>
        <w:tc>
          <w:tcPr>
            <w:tcW w:w="2872" w:type="pct"/>
          </w:tcPr>
          <w:p w14:paraId="0A187C6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Property, plant, and equipment divided by total assets</w:t>
            </w:r>
          </w:p>
        </w:tc>
        <w:tc>
          <w:tcPr>
            <w:tcW w:w="745" w:type="pct"/>
          </w:tcPr>
          <w:p w14:paraId="6868C77E" w14:textId="77777777" w:rsidR="00EC5A9C" w:rsidRPr="00AF4487" w:rsidRDefault="00EC5A9C" w:rsidP="00EC5A9C">
            <w:pPr>
              <w:jc w:val="center"/>
              <w:rPr>
                <w:rFonts w:ascii="Times New Roman" w:eastAsia="Calibri" w:hAnsi="Times New Roman" w:cs="Times New Roman"/>
                <w:sz w:val="20"/>
                <w:szCs w:val="20"/>
                <w:lang w:val="en-US"/>
              </w:rPr>
            </w:pPr>
            <w:proofErr w:type="spellStart"/>
            <w:r w:rsidRPr="00AF4487">
              <w:rPr>
                <w:rFonts w:ascii="Times New Roman" w:eastAsia="Calibri" w:hAnsi="Times New Roman" w:cs="Times New Roman"/>
                <w:sz w:val="20"/>
                <w:szCs w:val="20"/>
                <w:lang w:val="en-US"/>
              </w:rPr>
              <w:t>Worldscope</w:t>
            </w:r>
            <w:proofErr w:type="spellEnd"/>
          </w:p>
        </w:tc>
      </w:tr>
      <w:tr w:rsidR="001E776C" w:rsidRPr="00AF4487" w14:paraId="314FD776" w14:textId="77777777" w:rsidTr="007169A4">
        <w:tc>
          <w:tcPr>
            <w:tcW w:w="898" w:type="pct"/>
          </w:tcPr>
          <w:p w14:paraId="7A519E8E" w14:textId="77777777" w:rsidR="00EC5A9C" w:rsidRPr="00AF4487" w:rsidRDefault="00EC5A9C" w:rsidP="00EC5A9C">
            <w:pPr>
              <w:rPr>
                <w:rFonts w:ascii="Times New Roman" w:eastAsia="Calibri" w:hAnsi="Times New Roman" w:cs="Times New Roman"/>
                <w:sz w:val="20"/>
                <w:szCs w:val="20"/>
                <w:lang w:val="en-US"/>
              </w:rPr>
            </w:pPr>
          </w:p>
        </w:tc>
        <w:tc>
          <w:tcPr>
            <w:tcW w:w="485" w:type="pct"/>
          </w:tcPr>
          <w:p w14:paraId="283CB642" w14:textId="77777777" w:rsidR="00EC5A9C" w:rsidRPr="00AF4487" w:rsidRDefault="00EC5A9C" w:rsidP="00EC5A9C">
            <w:pPr>
              <w:rPr>
                <w:rFonts w:ascii="Times New Roman" w:eastAsia="Calibri" w:hAnsi="Times New Roman" w:cs="Times New Roman"/>
                <w:sz w:val="20"/>
                <w:szCs w:val="20"/>
                <w:lang w:val="en-US"/>
              </w:rPr>
            </w:pPr>
          </w:p>
        </w:tc>
        <w:tc>
          <w:tcPr>
            <w:tcW w:w="2872" w:type="pct"/>
          </w:tcPr>
          <w:p w14:paraId="3C28C171" w14:textId="77777777" w:rsidR="00EC5A9C" w:rsidRPr="00AF4487" w:rsidRDefault="00EC5A9C" w:rsidP="00EC5A9C">
            <w:pPr>
              <w:rPr>
                <w:rFonts w:ascii="Times New Roman" w:eastAsia="Calibri" w:hAnsi="Times New Roman" w:cs="Times New Roman"/>
                <w:sz w:val="20"/>
                <w:szCs w:val="20"/>
                <w:lang w:val="en-US"/>
              </w:rPr>
            </w:pPr>
          </w:p>
        </w:tc>
        <w:tc>
          <w:tcPr>
            <w:tcW w:w="745" w:type="pct"/>
          </w:tcPr>
          <w:p w14:paraId="0291E020" w14:textId="77777777" w:rsidR="00EC5A9C" w:rsidRPr="00AF4487" w:rsidRDefault="00EC5A9C" w:rsidP="00EC5A9C">
            <w:pPr>
              <w:jc w:val="center"/>
              <w:rPr>
                <w:rFonts w:ascii="Times New Roman" w:eastAsia="Calibri" w:hAnsi="Times New Roman" w:cs="Times New Roman"/>
                <w:sz w:val="20"/>
                <w:szCs w:val="20"/>
                <w:lang w:val="en-US"/>
              </w:rPr>
            </w:pPr>
          </w:p>
        </w:tc>
      </w:tr>
      <w:tr w:rsidR="001E776C" w:rsidRPr="00AF4487" w14:paraId="0B98D072" w14:textId="77777777" w:rsidTr="007169A4">
        <w:tc>
          <w:tcPr>
            <w:tcW w:w="5000" w:type="pct"/>
            <w:gridSpan w:val="4"/>
          </w:tcPr>
          <w:p w14:paraId="5F09874F" w14:textId="77777777" w:rsidR="00EC5A9C" w:rsidRPr="00AF4487" w:rsidRDefault="00EC5A9C" w:rsidP="00EC5A9C">
            <w:pPr>
              <w:rPr>
                <w:rFonts w:ascii="Times New Roman" w:eastAsia="Calibri" w:hAnsi="Times New Roman" w:cs="Times New Roman"/>
                <w:i/>
                <w:sz w:val="20"/>
                <w:szCs w:val="20"/>
                <w:lang w:val="en-US"/>
              </w:rPr>
            </w:pPr>
            <w:r w:rsidRPr="00AF4487">
              <w:rPr>
                <w:rFonts w:ascii="Times New Roman" w:eastAsia="Calibri" w:hAnsi="Times New Roman" w:cs="Times New Roman"/>
                <w:i/>
                <w:sz w:val="20"/>
                <w:szCs w:val="20"/>
                <w:lang w:val="en-US"/>
              </w:rPr>
              <w:t>Country-specific variables</w:t>
            </w:r>
          </w:p>
        </w:tc>
      </w:tr>
      <w:tr w:rsidR="001E776C" w:rsidRPr="00AF4487" w14:paraId="2E77629E" w14:textId="77777777" w:rsidTr="007169A4">
        <w:tc>
          <w:tcPr>
            <w:tcW w:w="898" w:type="pct"/>
          </w:tcPr>
          <w:p w14:paraId="00816ABA"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Country governance quality</w:t>
            </w:r>
          </w:p>
        </w:tc>
        <w:tc>
          <w:tcPr>
            <w:tcW w:w="485" w:type="pct"/>
          </w:tcPr>
          <w:p w14:paraId="7FE815B8"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WGI</w:t>
            </w:r>
          </w:p>
        </w:tc>
        <w:tc>
          <w:tcPr>
            <w:tcW w:w="2872" w:type="pct"/>
          </w:tcPr>
          <w:p w14:paraId="05961DDF" w14:textId="77777777" w:rsidR="00EC5A9C" w:rsidRPr="00AF4487" w:rsidRDefault="00EC5A9C" w:rsidP="00EC5A9C">
            <w:pPr>
              <w:jc w:val="both"/>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Composite index of a country’s governance quality. Calculated based on the dimensions including government effectiveness, regulatory quality, and rule of law obtained from the Worldwide Governance Indicators developed by </w:t>
            </w:r>
            <w:r w:rsidRPr="00AF4487">
              <w:rPr>
                <w:rFonts w:ascii="Times New Roman" w:eastAsia="Calibri" w:hAnsi="Times New Roman" w:cs="Times New Roman"/>
                <w:sz w:val="20"/>
                <w:szCs w:val="20"/>
                <w:lang w:val="en-US"/>
              </w:rPr>
              <w:fldChar w:fldCharType="begin" w:fldLock="1"/>
            </w:r>
            <w:r w:rsidRPr="00AF4487">
              <w:rPr>
                <w:rFonts w:ascii="Times New Roman" w:eastAsia="Calibri" w:hAnsi="Times New Roman" w:cs="Times New Roman"/>
                <w:sz w:val="20"/>
                <w:szCs w:val="20"/>
                <w:lang w:val="en-US"/>
              </w:rPr>
              <w:instrText>ADDIN CSL_CITATION {"citationItems":[{"id":"ITEM-1","itemData":{"DOI":"10.1017/S1876404511200046","ISBN":"1876-4045","ISSN":"18764053","PMID":"16107814","abstract":"Th is paper summarizes the methodology of the Worldwide Governance Indicators (WGI) project, and related analytical issues. Th e WGI has covered over two hun- dred countries and territories, measuring six dimensions of governance starting in 1996: Voice and Accountability, Political Stability and Absence of Violence/Ter- rorism, Government Eff ectiveness, Regulatory Quality, Rule of Law, and Control of Corruption. Th e aggregate indicators are based on several hundred individual underlying variables, taken from a wide variety of existing data sources. Th e data refl ect the views on governance of survey respondents and public, private, and NGO sector experts worldwide. We also explicitly report margins of error accom- panying each country estimate. Th ese refl ect the inherent diffi culties in measuring governance using any kind of data. We fi nd that even after taking margins of error into account, the WGI permit meaningful cross-country and over-time compari- sons. Th e aggregate indicators, together with the disaggregated underlying source data, are available at &lt;www.govindicators.org&gt;.","author":[{"dropping-particle":"","family":"Kaufmann","given":"Daniel","non-dropping-particle":"","parse-names":false,"suffix":""},{"dropping-particle":"","family":"Kraay","given":"Aart","non-dropping-particle":"","parse-names":false,"suffix":""},{"dropping-particle":"","family":"Mastruzzi","given":"Massimo","non-dropping-particle":"","parse-names":false,"suffix":""}],"container-title":"Hague Journal on the Rule of Law","id":"ITEM-1","issue":"2","issued":{"date-parts":[["2011"]]},"page":"220-246","title":"The worldwide governance indicators: Methodology and analytical issues","type":"article-journal","volume":"3"},"uris":["http://www.mendeley.com/documents/?uuid=cd372a70-3644-4643-bff1-85de6736511c"]}],"mendeley":{"formattedCitation":"(Kaufmann et al. 2011)","manualFormatting":"Kaufmann, Kraay and Mastruzzi, (2011)","plainTextFormattedCitation":"(Kaufmann et al. 2011)","previouslyFormattedCitation":"(Kaufmann et al. 2011)"},"properties":{"noteIndex":0},"schema":"https://github.com/citation-style-language/schema/raw/master/csl-citation.json"}</w:instrText>
            </w:r>
            <w:r w:rsidRPr="00AF4487">
              <w:rPr>
                <w:rFonts w:ascii="Times New Roman" w:eastAsia="Calibri" w:hAnsi="Times New Roman" w:cs="Times New Roman"/>
                <w:sz w:val="20"/>
                <w:szCs w:val="20"/>
                <w:lang w:val="en-US"/>
              </w:rPr>
              <w:fldChar w:fldCharType="separate"/>
            </w:r>
            <w:r w:rsidRPr="00AF4487">
              <w:rPr>
                <w:rFonts w:ascii="Times New Roman" w:eastAsia="Calibri" w:hAnsi="Times New Roman" w:cs="Times New Roman"/>
                <w:noProof/>
                <w:sz w:val="20"/>
                <w:szCs w:val="20"/>
                <w:lang w:val="en-US"/>
              </w:rPr>
              <w:t>Kaufmann, Kraay and Mastruzzi, (2011)</w:t>
            </w:r>
            <w:r w:rsidRPr="00AF4487">
              <w:rPr>
                <w:rFonts w:ascii="Times New Roman" w:eastAsia="Calibri" w:hAnsi="Times New Roman" w:cs="Times New Roman"/>
                <w:sz w:val="20"/>
                <w:szCs w:val="20"/>
                <w:lang w:val="en-US"/>
              </w:rPr>
              <w:fldChar w:fldCharType="end"/>
            </w:r>
            <w:r w:rsidRPr="00AF4487">
              <w:rPr>
                <w:rFonts w:ascii="Times New Roman" w:eastAsia="Calibri" w:hAnsi="Times New Roman" w:cs="Times New Roman"/>
                <w:sz w:val="20"/>
                <w:szCs w:val="20"/>
                <w:lang w:val="en-US"/>
              </w:rPr>
              <w:t>. The score is expressed in percentages and ranges between 0% and 100%</w:t>
            </w:r>
          </w:p>
        </w:tc>
        <w:tc>
          <w:tcPr>
            <w:tcW w:w="745" w:type="pct"/>
          </w:tcPr>
          <w:p w14:paraId="6B04B3EC" w14:textId="77777777" w:rsidR="00EC5A9C" w:rsidRPr="00AF4487" w:rsidRDefault="00EC5A9C" w:rsidP="00EC5A9C">
            <w:pPr>
              <w:jc w:val="center"/>
              <w:rPr>
                <w:rFonts w:ascii="Times New Roman" w:eastAsia="Calibri" w:hAnsi="Times New Roman" w:cs="Times New Roman"/>
                <w:sz w:val="20"/>
                <w:szCs w:val="20"/>
                <w:lang w:val="en-US"/>
              </w:rPr>
            </w:pPr>
            <w:r w:rsidRPr="00AF4487">
              <w:rPr>
                <w:rFonts w:ascii="Times New Roman" w:eastAsia="Times New Roman" w:hAnsi="Times New Roman" w:cs="Times New Roman"/>
                <w:sz w:val="20"/>
                <w:szCs w:val="20"/>
                <w:lang w:val="en-US" w:eastAsia="ru-RU"/>
              </w:rPr>
              <w:t>Worldwide Governance Indicators</w:t>
            </w:r>
          </w:p>
        </w:tc>
      </w:tr>
      <w:tr w:rsidR="001E776C" w:rsidRPr="00AF4487" w14:paraId="56C28D17" w14:textId="77777777" w:rsidTr="007169A4">
        <w:tc>
          <w:tcPr>
            <w:tcW w:w="898" w:type="pct"/>
          </w:tcPr>
          <w:p w14:paraId="350F00DF"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 xml:space="preserve">GDP growth </w:t>
            </w:r>
          </w:p>
        </w:tc>
        <w:tc>
          <w:tcPr>
            <w:tcW w:w="485" w:type="pct"/>
          </w:tcPr>
          <w:p w14:paraId="1BA12AB4"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GDP</w:t>
            </w:r>
          </w:p>
        </w:tc>
        <w:tc>
          <w:tcPr>
            <w:tcW w:w="2872" w:type="pct"/>
          </w:tcPr>
          <w:p w14:paraId="10EFFE01" w14:textId="77777777" w:rsidR="00EC5A9C" w:rsidRPr="00AF4487" w:rsidRDefault="00EC5A9C" w:rsidP="00EC5A9C">
            <w:pPr>
              <w:jc w:val="both"/>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The sum of gross value added by all resident producers plus product taxes and minus subsidies not included in the value of products</w:t>
            </w:r>
          </w:p>
        </w:tc>
        <w:tc>
          <w:tcPr>
            <w:tcW w:w="745" w:type="pct"/>
          </w:tcPr>
          <w:p w14:paraId="61F03232" w14:textId="77777777" w:rsidR="00EC5A9C" w:rsidRPr="00AF4487" w:rsidRDefault="00EC5A9C" w:rsidP="00EC5A9C">
            <w:pPr>
              <w:jc w:val="center"/>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World Bank</w:t>
            </w:r>
          </w:p>
        </w:tc>
      </w:tr>
      <w:tr w:rsidR="001E776C" w:rsidRPr="00AF4487" w14:paraId="016B864D" w14:textId="77777777" w:rsidTr="007169A4">
        <w:tc>
          <w:tcPr>
            <w:tcW w:w="898" w:type="pct"/>
            <w:tcBorders>
              <w:bottom w:val="single" w:sz="12" w:space="0" w:color="auto"/>
            </w:tcBorders>
          </w:tcPr>
          <w:p w14:paraId="00AB9EE6"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Inflation rates</w:t>
            </w:r>
          </w:p>
        </w:tc>
        <w:tc>
          <w:tcPr>
            <w:tcW w:w="485" w:type="pct"/>
            <w:tcBorders>
              <w:bottom w:val="single" w:sz="12" w:space="0" w:color="auto"/>
            </w:tcBorders>
          </w:tcPr>
          <w:p w14:paraId="52FB947A" w14:textId="77777777" w:rsidR="00EC5A9C" w:rsidRPr="00AF4487" w:rsidRDefault="00EC5A9C" w:rsidP="00EC5A9C">
            <w:pPr>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INF</w:t>
            </w:r>
          </w:p>
        </w:tc>
        <w:tc>
          <w:tcPr>
            <w:tcW w:w="2872" w:type="pct"/>
            <w:tcBorders>
              <w:bottom w:val="single" w:sz="12" w:space="0" w:color="auto"/>
            </w:tcBorders>
          </w:tcPr>
          <w:p w14:paraId="187BEBA2" w14:textId="77777777" w:rsidR="00EC5A9C" w:rsidRPr="00AF4487" w:rsidRDefault="00EC5A9C" w:rsidP="00EC5A9C">
            <w:pPr>
              <w:jc w:val="both"/>
              <w:rPr>
                <w:rFonts w:ascii="Times New Roman" w:eastAsia="Calibri" w:hAnsi="Times New Roman" w:cs="Times New Roman"/>
                <w:sz w:val="20"/>
                <w:szCs w:val="20"/>
                <w:lang w:val="en-US"/>
              </w:rPr>
            </w:pPr>
            <w:r w:rsidRPr="00AF4487">
              <w:rPr>
                <w:rFonts w:ascii="Times New Roman" w:eastAsia="Calibri" w:hAnsi="Times New Roman" w:cs="Times New Roman"/>
                <w:sz w:val="20"/>
                <w:szCs w:val="20"/>
                <w:lang w:val="en-US"/>
              </w:rPr>
              <w:t>Annual percentage change in retail prices of goods and services that may be fixed or changed during the year</w:t>
            </w:r>
          </w:p>
        </w:tc>
        <w:tc>
          <w:tcPr>
            <w:tcW w:w="745" w:type="pct"/>
            <w:tcBorders>
              <w:bottom w:val="single" w:sz="12" w:space="0" w:color="auto"/>
            </w:tcBorders>
          </w:tcPr>
          <w:p w14:paraId="650B6696" w14:textId="77777777" w:rsidR="00EC5A9C" w:rsidRPr="00AF4487" w:rsidRDefault="00EC5A9C" w:rsidP="00EC5A9C">
            <w:pPr>
              <w:jc w:val="center"/>
              <w:rPr>
                <w:rFonts w:ascii="Times New Roman" w:eastAsia="Times New Roman" w:hAnsi="Times New Roman" w:cs="Times New Roman"/>
                <w:sz w:val="20"/>
                <w:szCs w:val="20"/>
                <w:lang w:val="en-US" w:eastAsia="ru-RU"/>
              </w:rPr>
            </w:pPr>
            <w:r w:rsidRPr="00AF4487">
              <w:rPr>
                <w:rFonts w:ascii="Times New Roman" w:eastAsia="Times New Roman" w:hAnsi="Times New Roman" w:cs="Times New Roman"/>
                <w:sz w:val="20"/>
                <w:szCs w:val="20"/>
                <w:lang w:val="en-US" w:eastAsia="ru-RU"/>
              </w:rPr>
              <w:t>World Bank</w:t>
            </w:r>
          </w:p>
        </w:tc>
      </w:tr>
      <w:tr w:rsidR="00EC5A9C" w:rsidRPr="00AF4487" w14:paraId="53B85B1E" w14:textId="77777777" w:rsidTr="007169A4">
        <w:tc>
          <w:tcPr>
            <w:tcW w:w="898" w:type="pct"/>
            <w:tcBorders>
              <w:top w:val="single" w:sz="12" w:space="0" w:color="auto"/>
            </w:tcBorders>
          </w:tcPr>
          <w:p w14:paraId="150BEA7A" w14:textId="77777777" w:rsidR="00EC5A9C" w:rsidRPr="00AF4487" w:rsidRDefault="00EC5A9C" w:rsidP="00EC5A9C">
            <w:pPr>
              <w:rPr>
                <w:rFonts w:ascii="Times New Roman" w:eastAsia="Calibri" w:hAnsi="Times New Roman" w:cs="Times New Roman"/>
                <w:sz w:val="20"/>
                <w:szCs w:val="20"/>
                <w:lang w:val="en-US"/>
              </w:rPr>
            </w:pPr>
          </w:p>
        </w:tc>
        <w:tc>
          <w:tcPr>
            <w:tcW w:w="485" w:type="pct"/>
            <w:tcBorders>
              <w:top w:val="single" w:sz="12" w:space="0" w:color="auto"/>
            </w:tcBorders>
          </w:tcPr>
          <w:p w14:paraId="052F0E23" w14:textId="77777777" w:rsidR="00EC5A9C" w:rsidRPr="00AF4487" w:rsidRDefault="00EC5A9C" w:rsidP="00EC5A9C">
            <w:pPr>
              <w:rPr>
                <w:rFonts w:ascii="Times New Roman" w:eastAsia="Calibri" w:hAnsi="Times New Roman" w:cs="Times New Roman"/>
                <w:sz w:val="20"/>
                <w:szCs w:val="20"/>
                <w:lang w:val="en-US"/>
              </w:rPr>
            </w:pPr>
          </w:p>
        </w:tc>
        <w:tc>
          <w:tcPr>
            <w:tcW w:w="2872" w:type="pct"/>
            <w:tcBorders>
              <w:top w:val="single" w:sz="12" w:space="0" w:color="auto"/>
            </w:tcBorders>
          </w:tcPr>
          <w:p w14:paraId="793DFC16" w14:textId="77777777" w:rsidR="00EC5A9C" w:rsidRPr="00AF4487" w:rsidRDefault="00EC5A9C" w:rsidP="00EC5A9C">
            <w:pPr>
              <w:jc w:val="both"/>
              <w:rPr>
                <w:rFonts w:ascii="Times New Roman" w:eastAsia="Calibri" w:hAnsi="Times New Roman" w:cs="Times New Roman"/>
                <w:sz w:val="20"/>
                <w:szCs w:val="20"/>
                <w:lang w:val="en-US"/>
              </w:rPr>
            </w:pPr>
          </w:p>
        </w:tc>
        <w:tc>
          <w:tcPr>
            <w:tcW w:w="745" w:type="pct"/>
            <w:tcBorders>
              <w:top w:val="single" w:sz="12" w:space="0" w:color="auto"/>
            </w:tcBorders>
          </w:tcPr>
          <w:p w14:paraId="59FCD65C" w14:textId="77777777" w:rsidR="00EC5A9C" w:rsidRPr="00AF4487" w:rsidRDefault="00EC5A9C" w:rsidP="00EC5A9C">
            <w:pPr>
              <w:jc w:val="center"/>
              <w:rPr>
                <w:rFonts w:ascii="Times New Roman" w:eastAsia="Times New Roman" w:hAnsi="Times New Roman" w:cs="Times New Roman"/>
                <w:sz w:val="20"/>
                <w:szCs w:val="20"/>
                <w:lang w:val="en-US" w:eastAsia="ru-RU"/>
              </w:rPr>
            </w:pPr>
          </w:p>
        </w:tc>
      </w:tr>
    </w:tbl>
    <w:p w14:paraId="628C639D" w14:textId="77777777" w:rsidR="00EC5A9C" w:rsidRPr="00AF4487" w:rsidRDefault="00EC5A9C" w:rsidP="00EC5A9C">
      <w:pPr>
        <w:spacing w:line="240" w:lineRule="auto"/>
        <w:rPr>
          <w:rFonts w:ascii="Times New Roman" w:eastAsia="Calibri" w:hAnsi="Times New Roman" w:cs="Times New Roman"/>
          <w:sz w:val="28"/>
          <w:lang w:val="en-US"/>
        </w:rPr>
      </w:pPr>
    </w:p>
    <w:p w14:paraId="3ED67672" w14:textId="77777777" w:rsidR="00EC5A9C" w:rsidRPr="00AF4487" w:rsidRDefault="00EC5A9C" w:rsidP="00EC5A9C">
      <w:pPr>
        <w:spacing w:line="240" w:lineRule="auto"/>
        <w:rPr>
          <w:rFonts w:ascii="Times New Roman" w:eastAsia="Calibri" w:hAnsi="Times New Roman" w:cs="Times New Roman"/>
          <w:sz w:val="28"/>
          <w:lang w:val="en-US"/>
        </w:rPr>
      </w:pPr>
    </w:p>
    <w:p w14:paraId="448AC948" w14:textId="77777777" w:rsidR="00EC5A9C" w:rsidRPr="00AF4487" w:rsidRDefault="00EC5A9C" w:rsidP="00EC5A9C">
      <w:pPr>
        <w:spacing w:after="0" w:line="240" w:lineRule="auto"/>
        <w:jc w:val="both"/>
        <w:rPr>
          <w:rFonts w:ascii="Times New Roman" w:eastAsia="Calibri" w:hAnsi="Times New Roman" w:cs="Times New Roman"/>
          <w:b/>
          <w:sz w:val="24"/>
          <w:lang w:val="en-US"/>
        </w:rPr>
      </w:pPr>
    </w:p>
    <w:p w14:paraId="1B58AF24" w14:textId="77777777" w:rsidR="00EC5A9C" w:rsidRPr="00AF4487" w:rsidRDefault="00EC5A9C" w:rsidP="00EC5A9C">
      <w:pPr>
        <w:spacing w:line="240" w:lineRule="auto"/>
        <w:rPr>
          <w:rFonts w:ascii="Times New Roman" w:eastAsia="Calibri" w:hAnsi="Times New Roman" w:cs="Times New Roman"/>
          <w:sz w:val="28"/>
          <w:lang w:val="en-US"/>
        </w:rPr>
      </w:pPr>
    </w:p>
    <w:p w14:paraId="3443C5B4" w14:textId="63F18E06" w:rsidR="00EC5A9C" w:rsidRDefault="00EC5A9C" w:rsidP="00EC5A9C">
      <w:pPr>
        <w:spacing w:line="240" w:lineRule="auto"/>
        <w:rPr>
          <w:rFonts w:ascii="Times New Roman" w:eastAsia="Calibri" w:hAnsi="Times New Roman" w:cs="Times New Roman"/>
          <w:sz w:val="28"/>
          <w:lang w:val="en-US"/>
        </w:rPr>
      </w:pPr>
    </w:p>
    <w:p w14:paraId="170C7F11" w14:textId="77777777" w:rsidR="00984E59" w:rsidRPr="00AF4487" w:rsidRDefault="00984E59" w:rsidP="00984E59">
      <w:pPr>
        <w:widowControl w:val="0"/>
        <w:autoSpaceDE w:val="0"/>
        <w:autoSpaceDN w:val="0"/>
        <w:adjustRightInd w:val="0"/>
        <w:spacing w:after="0" w:line="240" w:lineRule="auto"/>
        <w:rPr>
          <w:rFonts w:ascii="Times New Roman" w:hAnsi="Times New Roman"/>
          <w:i/>
          <w:sz w:val="18"/>
          <w:szCs w:val="20"/>
          <w:lang w:val="en-US"/>
        </w:rPr>
      </w:pPr>
      <w:r w:rsidRPr="00DE62EC">
        <w:rPr>
          <w:rFonts w:ascii="Times New Roman" w:hAnsi="Times New Roman"/>
          <w:b/>
          <w:bCs/>
          <w:sz w:val="20"/>
          <w:szCs w:val="20"/>
          <w:lang w:val="en-US"/>
        </w:rPr>
        <w:br/>
      </w:r>
      <w:r w:rsidRPr="00AF4487">
        <w:rPr>
          <w:rFonts w:ascii="Times New Roman" w:hAnsi="Times New Roman"/>
          <w:bCs/>
          <w:i/>
          <w:szCs w:val="20"/>
          <w:lang w:val="en-US"/>
        </w:rPr>
        <w:t xml:space="preserve">Table 4. Descriptive Statistics </w:t>
      </w:r>
    </w:p>
    <w:tbl>
      <w:tblPr>
        <w:tblW w:w="5000" w:type="pct"/>
        <w:tblLook w:val="0000" w:firstRow="0" w:lastRow="0" w:firstColumn="0" w:lastColumn="0" w:noHBand="0" w:noVBand="0"/>
      </w:tblPr>
      <w:tblGrid>
        <w:gridCol w:w="2278"/>
        <w:gridCol w:w="1221"/>
        <w:gridCol w:w="1420"/>
        <w:gridCol w:w="1986"/>
        <w:gridCol w:w="1362"/>
        <w:gridCol w:w="1422"/>
      </w:tblGrid>
      <w:tr w:rsidR="00984E59" w:rsidRPr="00DE62EC" w14:paraId="24230A70" w14:textId="77777777" w:rsidTr="00984E59">
        <w:tc>
          <w:tcPr>
            <w:tcW w:w="1175" w:type="pct"/>
            <w:tcBorders>
              <w:top w:val="single" w:sz="12" w:space="0" w:color="auto"/>
              <w:left w:val="nil"/>
              <w:bottom w:val="single" w:sz="8" w:space="0" w:color="auto"/>
              <w:right w:val="nil"/>
            </w:tcBorders>
          </w:tcPr>
          <w:p w14:paraId="557379E1" w14:textId="77777777" w:rsidR="00984E59" w:rsidRPr="00DE62EC" w:rsidRDefault="00984E59" w:rsidP="00295B36">
            <w:pPr>
              <w:widowControl w:val="0"/>
              <w:autoSpaceDE w:val="0"/>
              <w:autoSpaceDN w:val="0"/>
              <w:adjustRightInd w:val="0"/>
              <w:spacing w:after="0" w:line="240" w:lineRule="auto"/>
              <w:rPr>
                <w:rFonts w:ascii="Times New Roman" w:hAnsi="Times New Roman"/>
                <w:b/>
                <w:sz w:val="20"/>
                <w:szCs w:val="20"/>
                <w:lang w:val="en-US"/>
              </w:rPr>
            </w:pPr>
            <w:r w:rsidRPr="00DE62EC">
              <w:rPr>
                <w:rFonts w:ascii="Times New Roman" w:hAnsi="Times New Roman"/>
                <w:b/>
                <w:sz w:val="20"/>
                <w:szCs w:val="20"/>
                <w:lang w:val="en-US"/>
              </w:rPr>
              <w:t xml:space="preserve"> Variable</w:t>
            </w:r>
          </w:p>
        </w:tc>
        <w:tc>
          <w:tcPr>
            <w:tcW w:w="630" w:type="pct"/>
            <w:tcBorders>
              <w:top w:val="single" w:sz="12" w:space="0" w:color="auto"/>
              <w:left w:val="nil"/>
              <w:bottom w:val="single" w:sz="8" w:space="0" w:color="auto"/>
              <w:right w:val="nil"/>
            </w:tcBorders>
          </w:tcPr>
          <w:p w14:paraId="4A178A4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b/>
                <w:sz w:val="20"/>
                <w:szCs w:val="20"/>
                <w:lang w:val="en-US"/>
              </w:rPr>
            </w:pPr>
            <w:r w:rsidRPr="00DE62EC">
              <w:rPr>
                <w:rFonts w:ascii="Times New Roman" w:hAnsi="Times New Roman"/>
                <w:b/>
                <w:sz w:val="20"/>
                <w:szCs w:val="20"/>
                <w:lang w:val="en-US"/>
              </w:rPr>
              <w:t xml:space="preserve"> Obs</w:t>
            </w:r>
            <w:r>
              <w:rPr>
                <w:rFonts w:ascii="Times New Roman" w:hAnsi="Times New Roman"/>
                <w:b/>
                <w:sz w:val="20"/>
                <w:szCs w:val="20"/>
                <w:lang w:val="en-US"/>
              </w:rPr>
              <w:t>.</w:t>
            </w:r>
          </w:p>
        </w:tc>
        <w:tc>
          <w:tcPr>
            <w:tcW w:w="733" w:type="pct"/>
            <w:tcBorders>
              <w:top w:val="single" w:sz="12" w:space="0" w:color="auto"/>
              <w:left w:val="nil"/>
              <w:bottom w:val="single" w:sz="8" w:space="0" w:color="auto"/>
              <w:right w:val="nil"/>
            </w:tcBorders>
          </w:tcPr>
          <w:p w14:paraId="041F871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b/>
                <w:sz w:val="20"/>
                <w:szCs w:val="20"/>
                <w:lang w:val="en-US"/>
              </w:rPr>
            </w:pPr>
            <w:r w:rsidRPr="00DE62EC">
              <w:rPr>
                <w:rFonts w:ascii="Times New Roman" w:hAnsi="Times New Roman"/>
                <w:b/>
                <w:sz w:val="20"/>
                <w:szCs w:val="20"/>
                <w:lang w:val="en-US"/>
              </w:rPr>
              <w:t xml:space="preserve"> Mean</w:t>
            </w:r>
          </w:p>
        </w:tc>
        <w:tc>
          <w:tcPr>
            <w:tcW w:w="1025" w:type="pct"/>
            <w:tcBorders>
              <w:top w:val="single" w:sz="12" w:space="0" w:color="auto"/>
              <w:left w:val="nil"/>
              <w:bottom w:val="single" w:sz="8" w:space="0" w:color="auto"/>
              <w:right w:val="nil"/>
            </w:tcBorders>
          </w:tcPr>
          <w:p w14:paraId="488EBFB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b/>
                <w:sz w:val="20"/>
                <w:szCs w:val="20"/>
                <w:lang w:val="en-US"/>
              </w:rPr>
            </w:pPr>
            <w:r w:rsidRPr="00DE62EC">
              <w:rPr>
                <w:rFonts w:ascii="Times New Roman" w:hAnsi="Times New Roman"/>
                <w:b/>
                <w:sz w:val="20"/>
                <w:szCs w:val="20"/>
                <w:lang w:val="en-US"/>
              </w:rPr>
              <w:t xml:space="preserve"> Std. Dev.</w:t>
            </w:r>
          </w:p>
        </w:tc>
        <w:tc>
          <w:tcPr>
            <w:tcW w:w="703" w:type="pct"/>
            <w:tcBorders>
              <w:top w:val="single" w:sz="12" w:space="0" w:color="auto"/>
              <w:left w:val="nil"/>
              <w:bottom w:val="single" w:sz="8" w:space="0" w:color="auto"/>
              <w:right w:val="nil"/>
            </w:tcBorders>
          </w:tcPr>
          <w:p w14:paraId="275DD66E"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b/>
                <w:sz w:val="20"/>
                <w:szCs w:val="20"/>
                <w:lang w:val="en-US"/>
              </w:rPr>
            </w:pPr>
            <w:r w:rsidRPr="00DE62EC">
              <w:rPr>
                <w:rFonts w:ascii="Times New Roman" w:hAnsi="Times New Roman"/>
                <w:b/>
                <w:sz w:val="20"/>
                <w:szCs w:val="20"/>
                <w:lang w:val="en-US"/>
              </w:rPr>
              <w:t xml:space="preserve"> Min</w:t>
            </w:r>
          </w:p>
        </w:tc>
        <w:tc>
          <w:tcPr>
            <w:tcW w:w="735" w:type="pct"/>
            <w:tcBorders>
              <w:top w:val="single" w:sz="12" w:space="0" w:color="auto"/>
              <w:left w:val="nil"/>
              <w:bottom w:val="single" w:sz="8" w:space="0" w:color="auto"/>
              <w:right w:val="nil"/>
            </w:tcBorders>
          </w:tcPr>
          <w:p w14:paraId="55F7F29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b/>
                <w:sz w:val="20"/>
                <w:szCs w:val="20"/>
                <w:lang w:val="en-US"/>
              </w:rPr>
            </w:pPr>
            <w:r w:rsidRPr="00DE62EC">
              <w:rPr>
                <w:rFonts w:ascii="Times New Roman" w:hAnsi="Times New Roman"/>
                <w:b/>
                <w:sz w:val="20"/>
                <w:szCs w:val="20"/>
                <w:lang w:val="en-US"/>
              </w:rPr>
              <w:t xml:space="preserve"> Max</w:t>
            </w:r>
          </w:p>
        </w:tc>
      </w:tr>
      <w:tr w:rsidR="00984E59" w:rsidRPr="00DE62EC" w14:paraId="62E85F47" w14:textId="77777777" w:rsidTr="00984E59">
        <w:tc>
          <w:tcPr>
            <w:tcW w:w="1175" w:type="pct"/>
            <w:tcBorders>
              <w:top w:val="single" w:sz="8" w:space="0" w:color="auto"/>
              <w:left w:val="nil"/>
              <w:bottom w:val="nil"/>
              <w:right w:val="nil"/>
            </w:tcBorders>
          </w:tcPr>
          <w:p w14:paraId="6F543444"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MV</w:t>
            </w:r>
            <w:r>
              <w:rPr>
                <w:rFonts w:ascii="Times New Roman" w:hAnsi="Times New Roman"/>
                <w:sz w:val="20"/>
                <w:szCs w:val="20"/>
                <w:lang w:val="en-US"/>
              </w:rPr>
              <w:t xml:space="preserve"> (ratio)</w:t>
            </w:r>
          </w:p>
        </w:tc>
        <w:tc>
          <w:tcPr>
            <w:tcW w:w="630" w:type="pct"/>
            <w:tcBorders>
              <w:top w:val="single" w:sz="8" w:space="0" w:color="auto"/>
              <w:left w:val="nil"/>
              <w:bottom w:val="nil"/>
              <w:right w:val="nil"/>
            </w:tcBorders>
          </w:tcPr>
          <w:p w14:paraId="0C65FCC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single" w:sz="8" w:space="0" w:color="auto"/>
              <w:left w:val="nil"/>
              <w:bottom w:val="nil"/>
              <w:right w:val="nil"/>
            </w:tcBorders>
          </w:tcPr>
          <w:p w14:paraId="3F9F43AC"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1.66</w:t>
            </w:r>
          </w:p>
        </w:tc>
        <w:tc>
          <w:tcPr>
            <w:tcW w:w="1025" w:type="pct"/>
            <w:tcBorders>
              <w:top w:val="single" w:sz="8" w:space="0" w:color="auto"/>
              <w:left w:val="nil"/>
              <w:bottom w:val="nil"/>
              <w:right w:val="nil"/>
            </w:tcBorders>
          </w:tcPr>
          <w:p w14:paraId="5BF3EE1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1.02</w:t>
            </w:r>
          </w:p>
        </w:tc>
        <w:tc>
          <w:tcPr>
            <w:tcW w:w="703" w:type="pct"/>
            <w:tcBorders>
              <w:top w:val="single" w:sz="8" w:space="0" w:color="auto"/>
              <w:left w:val="nil"/>
              <w:bottom w:val="nil"/>
              <w:right w:val="nil"/>
            </w:tcBorders>
          </w:tcPr>
          <w:p w14:paraId="38026CB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0.33</w:t>
            </w:r>
          </w:p>
        </w:tc>
        <w:tc>
          <w:tcPr>
            <w:tcW w:w="735" w:type="pct"/>
            <w:tcBorders>
              <w:top w:val="single" w:sz="8" w:space="0" w:color="auto"/>
              <w:left w:val="nil"/>
              <w:bottom w:val="nil"/>
              <w:right w:val="nil"/>
            </w:tcBorders>
          </w:tcPr>
          <w:p w14:paraId="5012237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15.99</w:t>
            </w:r>
          </w:p>
        </w:tc>
      </w:tr>
      <w:tr w:rsidR="00984E59" w:rsidRPr="00DE62EC" w14:paraId="0013C134" w14:textId="77777777" w:rsidTr="00984E59">
        <w:tc>
          <w:tcPr>
            <w:tcW w:w="1175" w:type="pct"/>
            <w:tcBorders>
              <w:top w:val="nil"/>
              <w:left w:val="nil"/>
              <w:bottom w:val="nil"/>
              <w:right w:val="nil"/>
            </w:tcBorders>
          </w:tcPr>
          <w:p w14:paraId="079C2414"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CCPE</w:t>
            </w:r>
            <w:r>
              <w:rPr>
                <w:rFonts w:ascii="Times New Roman" w:hAnsi="Times New Roman"/>
                <w:sz w:val="20"/>
                <w:szCs w:val="20"/>
                <w:lang w:val="en-US"/>
              </w:rPr>
              <w:t xml:space="preserve"> (ln)</w:t>
            </w:r>
          </w:p>
        </w:tc>
        <w:tc>
          <w:tcPr>
            <w:tcW w:w="630" w:type="pct"/>
            <w:tcBorders>
              <w:top w:val="nil"/>
              <w:left w:val="nil"/>
              <w:bottom w:val="nil"/>
              <w:right w:val="nil"/>
            </w:tcBorders>
          </w:tcPr>
          <w:p w14:paraId="0C20BB5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7778</w:t>
            </w:r>
          </w:p>
        </w:tc>
        <w:tc>
          <w:tcPr>
            <w:tcW w:w="733" w:type="pct"/>
            <w:tcBorders>
              <w:top w:val="nil"/>
              <w:left w:val="nil"/>
              <w:bottom w:val="nil"/>
              <w:right w:val="nil"/>
            </w:tcBorders>
          </w:tcPr>
          <w:p w14:paraId="5EC04C5A"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13.72</w:t>
            </w:r>
          </w:p>
        </w:tc>
        <w:tc>
          <w:tcPr>
            <w:tcW w:w="1025" w:type="pct"/>
            <w:tcBorders>
              <w:top w:val="nil"/>
              <w:left w:val="nil"/>
              <w:bottom w:val="nil"/>
              <w:right w:val="nil"/>
            </w:tcBorders>
          </w:tcPr>
          <w:p w14:paraId="123DFEA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2.19</w:t>
            </w:r>
          </w:p>
        </w:tc>
        <w:tc>
          <w:tcPr>
            <w:tcW w:w="703" w:type="pct"/>
            <w:tcBorders>
              <w:top w:val="nil"/>
              <w:left w:val="nil"/>
              <w:bottom w:val="nil"/>
              <w:right w:val="nil"/>
            </w:tcBorders>
          </w:tcPr>
          <w:p w14:paraId="6F5FEE7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6.86</w:t>
            </w:r>
          </w:p>
        </w:tc>
        <w:tc>
          <w:tcPr>
            <w:tcW w:w="735" w:type="pct"/>
            <w:tcBorders>
              <w:top w:val="nil"/>
              <w:left w:val="nil"/>
              <w:bottom w:val="nil"/>
              <w:right w:val="nil"/>
            </w:tcBorders>
          </w:tcPr>
          <w:p w14:paraId="4E4D21BA"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19.29</w:t>
            </w:r>
          </w:p>
        </w:tc>
      </w:tr>
      <w:tr w:rsidR="00984E59" w:rsidRPr="00DE62EC" w14:paraId="06580EE6" w14:textId="77777777" w:rsidTr="00984E59">
        <w:tc>
          <w:tcPr>
            <w:tcW w:w="1175" w:type="pct"/>
            <w:tcBorders>
              <w:top w:val="nil"/>
              <w:left w:val="nil"/>
              <w:bottom w:val="nil"/>
              <w:right w:val="nil"/>
            </w:tcBorders>
          </w:tcPr>
          <w:p w14:paraId="10E79932"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 PCCIs (%)</w:t>
            </w:r>
          </w:p>
        </w:tc>
        <w:tc>
          <w:tcPr>
            <w:tcW w:w="630" w:type="pct"/>
            <w:tcBorders>
              <w:top w:val="nil"/>
              <w:left w:val="nil"/>
              <w:bottom w:val="nil"/>
              <w:right w:val="nil"/>
            </w:tcBorders>
          </w:tcPr>
          <w:p w14:paraId="1FECDA9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5C89FE81"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50.00</w:t>
            </w:r>
          </w:p>
        </w:tc>
        <w:tc>
          <w:tcPr>
            <w:tcW w:w="1025" w:type="pct"/>
            <w:tcBorders>
              <w:top w:val="nil"/>
              <w:left w:val="nil"/>
              <w:bottom w:val="nil"/>
              <w:right w:val="nil"/>
            </w:tcBorders>
          </w:tcPr>
          <w:p w14:paraId="34F57EF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28.84</w:t>
            </w:r>
          </w:p>
        </w:tc>
        <w:tc>
          <w:tcPr>
            <w:tcW w:w="703" w:type="pct"/>
            <w:tcBorders>
              <w:top w:val="nil"/>
              <w:left w:val="nil"/>
              <w:bottom w:val="nil"/>
              <w:right w:val="nil"/>
            </w:tcBorders>
          </w:tcPr>
          <w:p w14:paraId="4914BD5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0.47</w:t>
            </w:r>
          </w:p>
        </w:tc>
        <w:tc>
          <w:tcPr>
            <w:tcW w:w="735" w:type="pct"/>
            <w:tcBorders>
              <w:top w:val="nil"/>
              <w:left w:val="nil"/>
              <w:bottom w:val="nil"/>
              <w:right w:val="nil"/>
            </w:tcBorders>
          </w:tcPr>
          <w:p w14:paraId="3BB0BD39"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99.97</w:t>
            </w:r>
          </w:p>
        </w:tc>
      </w:tr>
      <w:tr w:rsidR="00984E59" w:rsidRPr="00DE62EC" w14:paraId="0E5ECE15" w14:textId="77777777" w:rsidTr="00984E59">
        <w:tc>
          <w:tcPr>
            <w:tcW w:w="1175" w:type="pct"/>
            <w:tcBorders>
              <w:top w:val="nil"/>
              <w:left w:val="nil"/>
              <w:bottom w:val="nil"/>
              <w:right w:val="nil"/>
            </w:tcBorders>
          </w:tcPr>
          <w:p w14:paraId="7B404333"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BSCOM</w:t>
            </w:r>
          </w:p>
        </w:tc>
        <w:tc>
          <w:tcPr>
            <w:tcW w:w="630" w:type="pct"/>
            <w:tcBorders>
              <w:top w:val="nil"/>
              <w:left w:val="nil"/>
              <w:bottom w:val="nil"/>
              <w:right w:val="nil"/>
            </w:tcBorders>
          </w:tcPr>
          <w:p w14:paraId="6B5EFDD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363C830F"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0.80</w:t>
            </w:r>
          </w:p>
        </w:tc>
        <w:tc>
          <w:tcPr>
            <w:tcW w:w="1025" w:type="pct"/>
            <w:tcBorders>
              <w:top w:val="nil"/>
              <w:left w:val="nil"/>
              <w:bottom w:val="nil"/>
              <w:right w:val="nil"/>
            </w:tcBorders>
          </w:tcPr>
          <w:p w14:paraId="4A7CB695"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0.40</w:t>
            </w:r>
          </w:p>
        </w:tc>
        <w:tc>
          <w:tcPr>
            <w:tcW w:w="703" w:type="pct"/>
            <w:tcBorders>
              <w:top w:val="nil"/>
              <w:left w:val="nil"/>
              <w:bottom w:val="nil"/>
              <w:right w:val="nil"/>
            </w:tcBorders>
          </w:tcPr>
          <w:p w14:paraId="2D754DB1"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083257C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1.00</w:t>
            </w:r>
          </w:p>
        </w:tc>
      </w:tr>
      <w:tr w:rsidR="00984E59" w:rsidRPr="00DE62EC" w14:paraId="33E70BB4" w14:textId="77777777" w:rsidTr="00984E59">
        <w:tc>
          <w:tcPr>
            <w:tcW w:w="1175" w:type="pct"/>
            <w:tcBorders>
              <w:top w:val="nil"/>
              <w:left w:val="nil"/>
              <w:bottom w:val="nil"/>
              <w:right w:val="nil"/>
            </w:tcBorders>
          </w:tcPr>
          <w:p w14:paraId="6614AC1B"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 </w:t>
            </w:r>
            <w:r w:rsidRPr="00DE62EC">
              <w:rPr>
                <w:rFonts w:ascii="Times New Roman" w:hAnsi="Times New Roman"/>
                <w:sz w:val="20"/>
                <w:szCs w:val="20"/>
                <w:lang w:val="en-US"/>
              </w:rPr>
              <w:t>BSIZE</w:t>
            </w:r>
            <w:r>
              <w:rPr>
                <w:rFonts w:ascii="Times New Roman" w:hAnsi="Times New Roman"/>
                <w:sz w:val="20"/>
                <w:szCs w:val="20"/>
                <w:lang w:val="en-US"/>
              </w:rPr>
              <w:t xml:space="preserve"> (ln)</w:t>
            </w:r>
          </w:p>
        </w:tc>
        <w:tc>
          <w:tcPr>
            <w:tcW w:w="630" w:type="pct"/>
            <w:tcBorders>
              <w:top w:val="nil"/>
              <w:left w:val="nil"/>
              <w:bottom w:val="nil"/>
              <w:right w:val="nil"/>
            </w:tcBorders>
          </w:tcPr>
          <w:p w14:paraId="421B75A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327D6C7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2.41</w:t>
            </w:r>
          </w:p>
        </w:tc>
        <w:tc>
          <w:tcPr>
            <w:tcW w:w="1025" w:type="pct"/>
            <w:tcBorders>
              <w:top w:val="nil"/>
              <w:left w:val="nil"/>
              <w:bottom w:val="nil"/>
              <w:right w:val="nil"/>
            </w:tcBorders>
          </w:tcPr>
          <w:p w14:paraId="10B63705"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0.31</w:t>
            </w:r>
          </w:p>
        </w:tc>
        <w:tc>
          <w:tcPr>
            <w:tcW w:w="703" w:type="pct"/>
            <w:tcBorders>
              <w:top w:val="nil"/>
              <w:left w:val="nil"/>
              <w:bottom w:val="nil"/>
              <w:right w:val="nil"/>
            </w:tcBorders>
          </w:tcPr>
          <w:p w14:paraId="396979F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0.69</w:t>
            </w:r>
          </w:p>
        </w:tc>
        <w:tc>
          <w:tcPr>
            <w:tcW w:w="735" w:type="pct"/>
            <w:tcBorders>
              <w:top w:val="nil"/>
              <w:left w:val="nil"/>
              <w:bottom w:val="nil"/>
              <w:right w:val="nil"/>
            </w:tcBorders>
          </w:tcPr>
          <w:p w14:paraId="1E7970BF"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3.50</w:t>
            </w:r>
          </w:p>
        </w:tc>
      </w:tr>
      <w:tr w:rsidR="00984E59" w:rsidRPr="00DE62EC" w14:paraId="591808DE" w14:textId="77777777" w:rsidTr="00984E59">
        <w:tc>
          <w:tcPr>
            <w:tcW w:w="1175" w:type="pct"/>
            <w:tcBorders>
              <w:top w:val="nil"/>
              <w:left w:val="nil"/>
              <w:bottom w:val="nil"/>
              <w:right w:val="nil"/>
            </w:tcBorders>
          </w:tcPr>
          <w:p w14:paraId="41B8DAB2"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INDIR</w:t>
            </w:r>
            <w:r>
              <w:rPr>
                <w:rFonts w:ascii="Times New Roman" w:hAnsi="Times New Roman"/>
                <w:sz w:val="20"/>
                <w:szCs w:val="20"/>
                <w:lang w:val="en-US"/>
              </w:rPr>
              <w:t xml:space="preserve"> (%)</w:t>
            </w:r>
          </w:p>
        </w:tc>
        <w:tc>
          <w:tcPr>
            <w:tcW w:w="630" w:type="pct"/>
            <w:tcBorders>
              <w:top w:val="nil"/>
              <w:left w:val="nil"/>
              <w:bottom w:val="nil"/>
              <w:right w:val="nil"/>
            </w:tcBorders>
          </w:tcPr>
          <w:p w14:paraId="6BAAC47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1140E9D9"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56.94</w:t>
            </w:r>
          </w:p>
        </w:tc>
        <w:tc>
          <w:tcPr>
            <w:tcW w:w="1025" w:type="pct"/>
            <w:tcBorders>
              <w:top w:val="nil"/>
              <w:left w:val="nil"/>
              <w:bottom w:val="nil"/>
              <w:right w:val="nil"/>
            </w:tcBorders>
          </w:tcPr>
          <w:p w14:paraId="0257D5D2"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27.76</w:t>
            </w:r>
          </w:p>
        </w:tc>
        <w:tc>
          <w:tcPr>
            <w:tcW w:w="703" w:type="pct"/>
            <w:tcBorders>
              <w:top w:val="nil"/>
              <w:left w:val="nil"/>
              <w:bottom w:val="nil"/>
              <w:right w:val="nil"/>
            </w:tcBorders>
          </w:tcPr>
          <w:p w14:paraId="7EB27E4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20A445D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100.00</w:t>
            </w:r>
          </w:p>
        </w:tc>
      </w:tr>
      <w:tr w:rsidR="00984E59" w:rsidRPr="00DE62EC" w14:paraId="6C9D2645" w14:textId="77777777" w:rsidTr="00984E59">
        <w:tc>
          <w:tcPr>
            <w:tcW w:w="1175" w:type="pct"/>
            <w:tcBorders>
              <w:top w:val="nil"/>
              <w:left w:val="nil"/>
              <w:bottom w:val="nil"/>
              <w:right w:val="nil"/>
            </w:tcBorders>
          </w:tcPr>
          <w:p w14:paraId="0A191C98"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BGEN</w:t>
            </w:r>
            <w:r>
              <w:rPr>
                <w:rFonts w:ascii="Times New Roman" w:hAnsi="Times New Roman"/>
                <w:sz w:val="20"/>
                <w:szCs w:val="20"/>
                <w:lang w:val="en-US"/>
              </w:rPr>
              <w:t xml:space="preserve"> (%)</w:t>
            </w:r>
          </w:p>
        </w:tc>
        <w:tc>
          <w:tcPr>
            <w:tcW w:w="630" w:type="pct"/>
            <w:tcBorders>
              <w:top w:val="nil"/>
              <w:left w:val="nil"/>
              <w:bottom w:val="nil"/>
              <w:right w:val="nil"/>
            </w:tcBorders>
          </w:tcPr>
          <w:p w14:paraId="006AB4EF"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18ABF3C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14.99</w:t>
            </w:r>
          </w:p>
        </w:tc>
        <w:tc>
          <w:tcPr>
            <w:tcW w:w="1025" w:type="pct"/>
            <w:tcBorders>
              <w:top w:val="nil"/>
              <w:left w:val="nil"/>
              <w:bottom w:val="nil"/>
              <w:right w:val="nil"/>
            </w:tcBorders>
          </w:tcPr>
          <w:p w14:paraId="17B36FDD"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13.05</w:t>
            </w:r>
          </w:p>
        </w:tc>
        <w:tc>
          <w:tcPr>
            <w:tcW w:w="703" w:type="pct"/>
            <w:tcBorders>
              <w:top w:val="nil"/>
              <w:left w:val="nil"/>
              <w:bottom w:val="nil"/>
              <w:right w:val="nil"/>
            </w:tcBorders>
          </w:tcPr>
          <w:p w14:paraId="59D71F1A"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2CD1184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63.64</w:t>
            </w:r>
          </w:p>
        </w:tc>
      </w:tr>
      <w:tr w:rsidR="00984E59" w:rsidRPr="00DE62EC" w14:paraId="2481C568" w14:textId="77777777" w:rsidTr="00984E59">
        <w:tc>
          <w:tcPr>
            <w:tcW w:w="1175" w:type="pct"/>
            <w:tcBorders>
              <w:top w:val="nil"/>
              <w:left w:val="nil"/>
              <w:bottom w:val="nil"/>
              <w:right w:val="nil"/>
            </w:tcBorders>
          </w:tcPr>
          <w:p w14:paraId="63D21409"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SIZE</w:t>
            </w:r>
            <w:r>
              <w:rPr>
                <w:rFonts w:ascii="Times New Roman" w:hAnsi="Times New Roman"/>
                <w:sz w:val="20"/>
                <w:szCs w:val="20"/>
                <w:lang w:val="en-US"/>
              </w:rPr>
              <w:t xml:space="preserve"> (ln)</w:t>
            </w:r>
          </w:p>
        </w:tc>
        <w:tc>
          <w:tcPr>
            <w:tcW w:w="630" w:type="pct"/>
            <w:tcBorders>
              <w:top w:val="nil"/>
              <w:left w:val="nil"/>
              <w:bottom w:val="nil"/>
              <w:right w:val="nil"/>
            </w:tcBorders>
          </w:tcPr>
          <w:p w14:paraId="0D57779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6F927E11"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23.36</w:t>
            </w:r>
          </w:p>
        </w:tc>
        <w:tc>
          <w:tcPr>
            <w:tcW w:w="1025" w:type="pct"/>
            <w:tcBorders>
              <w:top w:val="nil"/>
              <w:left w:val="nil"/>
              <w:bottom w:val="nil"/>
              <w:right w:val="nil"/>
            </w:tcBorders>
          </w:tcPr>
          <w:p w14:paraId="61FB393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1.29</w:t>
            </w:r>
          </w:p>
        </w:tc>
        <w:tc>
          <w:tcPr>
            <w:tcW w:w="703" w:type="pct"/>
            <w:tcBorders>
              <w:top w:val="nil"/>
              <w:left w:val="nil"/>
              <w:bottom w:val="nil"/>
              <w:right w:val="nil"/>
            </w:tcBorders>
          </w:tcPr>
          <w:p w14:paraId="7DCE506F"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18.99</w:t>
            </w:r>
          </w:p>
        </w:tc>
        <w:tc>
          <w:tcPr>
            <w:tcW w:w="735" w:type="pct"/>
            <w:tcBorders>
              <w:top w:val="nil"/>
              <w:left w:val="nil"/>
              <w:bottom w:val="nil"/>
              <w:right w:val="nil"/>
            </w:tcBorders>
          </w:tcPr>
          <w:p w14:paraId="6EF0BCA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27.41</w:t>
            </w:r>
          </w:p>
        </w:tc>
      </w:tr>
      <w:tr w:rsidR="00984E59" w:rsidRPr="00DE62EC" w14:paraId="1E2D3C09" w14:textId="77777777" w:rsidTr="00984E59">
        <w:tc>
          <w:tcPr>
            <w:tcW w:w="1175" w:type="pct"/>
            <w:tcBorders>
              <w:top w:val="nil"/>
              <w:left w:val="nil"/>
              <w:bottom w:val="nil"/>
              <w:right w:val="nil"/>
            </w:tcBorders>
          </w:tcPr>
          <w:p w14:paraId="217EFAEE"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PROF</w:t>
            </w:r>
            <w:r>
              <w:rPr>
                <w:rFonts w:ascii="Times New Roman" w:hAnsi="Times New Roman"/>
                <w:sz w:val="20"/>
                <w:szCs w:val="20"/>
                <w:lang w:val="en-US"/>
              </w:rPr>
              <w:t xml:space="preserve"> (%)</w:t>
            </w:r>
          </w:p>
        </w:tc>
        <w:tc>
          <w:tcPr>
            <w:tcW w:w="630" w:type="pct"/>
            <w:tcBorders>
              <w:top w:val="nil"/>
              <w:left w:val="nil"/>
              <w:bottom w:val="nil"/>
              <w:right w:val="nil"/>
            </w:tcBorders>
          </w:tcPr>
          <w:p w14:paraId="1F6D2F4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3ABAFD06"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5.33</w:t>
            </w:r>
          </w:p>
        </w:tc>
        <w:tc>
          <w:tcPr>
            <w:tcW w:w="1025" w:type="pct"/>
            <w:tcBorders>
              <w:top w:val="nil"/>
              <w:left w:val="nil"/>
              <w:bottom w:val="nil"/>
              <w:right w:val="nil"/>
            </w:tcBorders>
          </w:tcPr>
          <w:p w14:paraId="3289A74C"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6.91</w:t>
            </w:r>
          </w:p>
        </w:tc>
        <w:tc>
          <w:tcPr>
            <w:tcW w:w="703" w:type="pct"/>
            <w:tcBorders>
              <w:top w:val="nil"/>
              <w:left w:val="nil"/>
              <w:bottom w:val="nil"/>
              <w:right w:val="nil"/>
            </w:tcBorders>
          </w:tcPr>
          <w:p w14:paraId="65E3D976"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-78.62</w:t>
            </w:r>
          </w:p>
        </w:tc>
        <w:tc>
          <w:tcPr>
            <w:tcW w:w="735" w:type="pct"/>
            <w:tcBorders>
              <w:top w:val="nil"/>
              <w:left w:val="nil"/>
              <w:bottom w:val="nil"/>
              <w:right w:val="nil"/>
            </w:tcBorders>
          </w:tcPr>
          <w:p w14:paraId="711A6F5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106.22</w:t>
            </w:r>
          </w:p>
        </w:tc>
      </w:tr>
      <w:tr w:rsidR="00984E59" w:rsidRPr="00DE62EC" w14:paraId="25F91DE7" w14:textId="77777777" w:rsidTr="00984E59">
        <w:tc>
          <w:tcPr>
            <w:tcW w:w="1175" w:type="pct"/>
            <w:tcBorders>
              <w:top w:val="nil"/>
              <w:left w:val="nil"/>
              <w:bottom w:val="nil"/>
              <w:right w:val="nil"/>
            </w:tcBorders>
          </w:tcPr>
          <w:p w14:paraId="4864F55E"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DEBT</w:t>
            </w:r>
            <w:r>
              <w:rPr>
                <w:rFonts w:ascii="Times New Roman" w:hAnsi="Times New Roman"/>
                <w:sz w:val="20"/>
                <w:szCs w:val="20"/>
                <w:lang w:val="en-US"/>
              </w:rPr>
              <w:t xml:space="preserve"> (%)</w:t>
            </w:r>
          </w:p>
        </w:tc>
        <w:tc>
          <w:tcPr>
            <w:tcW w:w="630" w:type="pct"/>
            <w:tcBorders>
              <w:top w:val="nil"/>
              <w:left w:val="nil"/>
              <w:bottom w:val="nil"/>
              <w:right w:val="nil"/>
            </w:tcBorders>
          </w:tcPr>
          <w:p w14:paraId="6425F7A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1F9AC01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24.96</w:t>
            </w:r>
          </w:p>
        </w:tc>
        <w:tc>
          <w:tcPr>
            <w:tcW w:w="1025" w:type="pct"/>
            <w:tcBorders>
              <w:top w:val="nil"/>
              <w:left w:val="nil"/>
              <w:bottom w:val="nil"/>
              <w:right w:val="nil"/>
            </w:tcBorders>
          </w:tcPr>
          <w:p w14:paraId="0EC75CCA"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14.07</w:t>
            </w:r>
          </w:p>
        </w:tc>
        <w:tc>
          <w:tcPr>
            <w:tcW w:w="703" w:type="pct"/>
            <w:tcBorders>
              <w:top w:val="nil"/>
              <w:left w:val="nil"/>
              <w:bottom w:val="nil"/>
              <w:right w:val="nil"/>
            </w:tcBorders>
          </w:tcPr>
          <w:p w14:paraId="113F7A9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4B4EB81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87.00</w:t>
            </w:r>
          </w:p>
        </w:tc>
      </w:tr>
      <w:tr w:rsidR="00984E59" w:rsidRPr="00DE62EC" w14:paraId="5366E176" w14:textId="77777777" w:rsidTr="00984E59">
        <w:tc>
          <w:tcPr>
            <w:tcW w:w="1175" w:type="pct"/>
            <w:tcBorders>
              <w:top w:val="nil"/>
              <w:left w:val="nil"/>
              <w:bottom w:val="nil"/>
              <w:right w:val="nil"/>
            </w:tcBorders>
          </w:tcPr>
          <w:p w14:paraId="60FCEEB3"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CASH</w:t>
            </w:r>
            <w:r>
              <w:rPr>
                <w:rFonts w:ascii="Times New Roman" w:hAnsi="Times New Roman"/>
                <w:sz w:val="20"/>
                <w:szCs w:val="20"/>
                <w:lang w:val="en-US"/>
              </w:rPr>
              <w:t xml:space="preserve"> (ratio)</w:t>
            </w:r>
          </w:p>
        </w:tc>
        <w:tc>
          <w:tcPr>
            <w:tcW w:w="630" w:type="pct"/>
            <w:tcBorders>
              <w:top w:val="nil"/>
              <w:left w:val="nil"/>
              <w:bottom w:val="nil"/>
              <w:right w:val="nil"/>
            </w:tcBorders>
          </w:tcPr>
          <w:p w14:paraId="625E235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507DAF8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0.07</w:t>
            </w:r>
          </w:p>
        </w:tc>
        <w:tc>
          <w:tcPr>
            <w:tcW w:w="1025" w:type="pct"/>
            <w:tcBorders>
              <w:top w:val="nil"/>
              <w:left w:val="nil"/>
              <w:bottom w:val="nil"/>
              <w:right w:val="nil"/>
            </w:tcBorders>
          </w:tcPr>
          <w:p w14:paraId="00C44E8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0.08</w:t>
            </w:r>
          </w:p>
        </w:tc>
        <w:tc>
          <w:tcPr>
            <w:tcW w:w="703" w:type="pct"/>
            <w:tcBorders>
              <w:top w:val="nil"/>
              <w:left w:val="nil"/>
              <w:bottom w:val="nil"/>
              <w:right w:val="nil"/>
            </w:tcBorders>
          </w:tcPr>
          <w:p w14:paraId="06053B2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11BB2429"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0.60</w:t>
            </w:r>
          </w:p>
        </w:tc>
      </w:tr>
      <w:tr w:rsidR="00984E59" w:rsidRPr="00DE62EC" w14:paraId="2E83FBD1" w14:textId="77777777" w:rsidTr="00984E59">
        <w:tc>
          <w:tcPr>
            <w:tcW w:w="1175" w:type="pct"/>
            <w:tcBorders>
              <w:top w:val="nil"/>
              <w:left w:val="nil"/>
              <w:bottom w:val="nil"/>
              <w:right w:val="nil"/>
            </w:tcBorders>
          </w:tcPr>
          <w:p w14:paraId="2CE45F04"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CAPIN</w:t>
            </w:r>
            <w:r>
              <w:rPr>
                <w:rFonts w:ascii="Times New Roman" w:hAnsi="Times New Roman"/>
                <w:sz w:val="20"/>
                <w:szCs w:val="20"/>
                <w:lang w:val="en-US"/>
              </w:rPr>
              <w:t xml:space="preserve"> (ratio)</w:t>
            </w:r>
          </w:p>
        </w:tc>
        <w:tc>
          <w:tcPr>
            <w:tcW w:w="630" w:type="pct"/>
            <w:tcBorders>
              <w:top w:val="nil"/>
              <w:left w:val="nil"/>
              <w:bottom w:val="nil"/>
              <w:right w:val="nil"/>
            </w:tcBorders>
          </w:tcPr>
          <w:p w14:paraId="501DDEC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24F7D58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0.31</w:t>
            </w:r>
          </w:p>
        </w:tc>
        <w:tc>
          <w:tcPr>
            <w:tcW w:w="1025" w:type="pct"/>
            <w:tcBorders>
              <w:top w:val="nil"/>
              <w:left w:val="nil"/>
              <w:bottom w:val="nil"/>
              <w:right w:val="nil"/>
            </w:tcBorders>
          </w:tcPr>
          <w:p w14:paraId="52C76B1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0.22</w:t>
            </w:r>
          </w:p>
        </w:tc>
        <w:tc>
          <w:tcPr>
            <w:tcW w:w="703" w:type="pct"/>
            <w:tcBorders>
              <w:top w:val="nil"/>
              <w:left w:val="nil"/>
              <w:bottom w:val="nil"/>
              <w:right w:val="nil"/>
            </w:tcBorders>
          </w:tcPr>
          <w:p w14:paraId="47644365"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0.00</w:t>
            </w:r>
          </w:p>
        </w:tc>
        <w:tc>
          <w:tcPr>
            <w:tcW w:w="735" w:type="pct"/>
            <w:tcBorders>
              <w:top w:val="nil"/>
              <w:left w:val="nil"/>
              <w:bottom w:val="nil"/>
              <w:right w:val="nil"/>
            </w:tcBorders>
          </w:tcPr>
          <w:p w14:paraId="6C7A651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1.00</w:t>
            </w:r>
          </w:p>
        </w:tc>
      </w:tr>
      <w:tr w:rsidR="00984E59" w:rsidRPr="00DE62EC" w14:paraId="24A619CD" w14:textId="77777777" w:rsidTr="00984E59">
        <w:tc>
          <w:tcPr>
            <w:tcW w:w="1175" w:type="pct"/>
            <w:tcBorders>
              <w:top w:val="nil"/>
              <w:left w:val="nil"/>
              <w:bottom w:val="nil"/>
              <w:right w:val="nil"/>
            </w:tcBorders>
          </w:tcPr>
          <w:p w14:paraId="18605513"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WGI</w:t>
            </w:r>
            <w:r>
              <w:rPr>
                <w:rFonts w:ascii="Times New Roman" w:hAnsi="Times New Roman"/>
                <w:sz w:val="20"/>
                <w:szCs w:val="20"/>
                <w:lang w:val="en-US"/>
              </w:rPr>
              <w:t xml:space="preserve"> (%)</w:t>
            </w:r>
          </w:p>
        </w:tc>
        <w:tc>
          <w:tcPr>
            <w:tcW w:w="630" w:type="pct"/>
            <w:tcBorders>
              <w:top w:val="nil"/>
              <w:left w:val="nil"/>
              <w:bottom w:val="nil"/>
              <w:right w:val="nil"/>
            </w:tcBorders>
          </w:tcPr>
          <w:p w14:paraId="42AC6CB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nil"/>
              <w:right w:val="nil"/>
            </w:tcBorders>
          </w:tcPr>
          <w:p w14:paraId="6BD31512"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89.47</w:t>
            </w:r>
          </w:p>
        </w:tc>
        <w:tc>
          <w:tcPr>
            <w:tcW w:w="1025" w:type="pct"/>
            <w:tcBorders>
              <w:top w:val="nil"/>
              <w:left w:val="nil"/>
              <w:bottom w:val="nil"/>
              <w:right w:val="nil"/>
            </w:tcBorders>
          </w:tcPr>
          <w:p w14:paraId="1BDC5205"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9.83</w:t>
            </w:r>
          </w:p>
        </w:tc>
        <w:tc>
          <w:tcPr>
            <w:tcW w:w="703" w:type="pct"/>
            <w:tcBorders>
              <w:top w:val="nil"/>
              <w:left w:val="nil"/>
              <w:bottom w:val="nil"/>
              <w:right w:val="nil"/>
            </w:tcBorders>
          </w:tcPr>
          <w:p w14:paraId="6E4354AB"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34.29</w:t>
            </w:r>
          </w:p>
        </w:tc>
        <w:tc>
          <w:tcPr>
            <w:tcW w:w="735" w:type="pct"/>
            <w:tcBorders>
              <w:top w:val="nil"/>
              <w:left w:val="nil"/>
              <w:bottom w:val="nil"/>
              <w:right w:val="nil"/>
            </w:tcBorders>
          </w:tcPr>
          <w:p w14:paraId="28140F92"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99.83</w:t>
            </w:r>
          </w:p>
        </w:tc>
      </w:tr>
      <w:tr w:rsidR="00984E59" w:rsidRPr="00DE62EC" w14:paraId="08D1587A" w14:textId="77777777" w:rsidTr="00984E59">
        <w:tc>
          <w:tcPr>
            <w:tcW w:w="1175" w:type="pct"/>
            <w:tcBorders>
              <w:top w:val="nil"/>
              <w:left w:val="nil"/>
              <w:right w:val="nil"/>
            </w:tcBorders>
          </w:tcPr>
          <w:p w14:paraId="13388513"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GDP</w:t>
            </w:r>
            <w:r>
              <w:rPr>
                <w:rFonts w:ascii="Times New Roman" w:hAnsi="Times New Roman"/>
                <w:sz w:val="20"/>
                <w:szCs w:val="20"/>
                <w:lang w:val="en-US"/>
              </w:rPr>
              <w:t xml:space="preserve"> (%)</w:t>
            </w:r>
          </w:p>
        </w:tc>
        <w:tc>
          <w:tcPr>
            <w:tcW w:w="630" w:type="pct"/>
            <w:tcBorders>
              <w:top w:val="nil"/>
              <w:left w:val="nil"/>
              <w:right w:val="nil"/>
            </w:tcBorders>
          </w:tcPr>
          <w:p w14:paraId="7A55D4D5"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right w:val="nil"/>
            </w:tcBorders>
          </w:tcPr>
          <w:p w14:paraId="49D2F2A7"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1.79</w:t>
            </w:r>
          </w:p>
        </w:tc>
        <w:tc>
          <w:tcPr>
            <w:tcW w:w="1025" w:type="pct"/>
            <w:tcBorders>
              <w:top w:val="nil"/>
              <w:left w:val="nil"/>
              <w:right w:val="nil"/>
            </w:tcBorders>
          </w:tcPr>
          <w:p w14:paraId="3CB3D380"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2.12</w:t>
            </w:r>
          </w:p>
        </w:tc>
        <w:tc>
          <w:tcPr>
            <w:tcW w:w="703" w:type="pct"/>
            <w:tcBorders>
              <w:top w:val="nil"/>
              <w:left w:val="nil"/>
              <w:right w:val="nil"/>
            </w:tcBorders>
          </w:tcPr>
          <w:p w14:paraId="59C59F61"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-9.13</w:t>
            </w:r>
          </w:p>
        </w:tc>
        <w:tc>
          <w:tcPr>
            <w:tcW w:w="735" w:type="pct"/>
            <w:tcBorders>
              <w:top w:val="nil"/>
              <w:left w:val="nil"/>
              <w:right w:val="nil"/>
            </w:tcBorders>
          </w:tcPr>
          <w:p w14:paraId="0D8029D4"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25.16</w:t>
            </w:r>
          </w:p>
        </w:tc>
      </w:tr>
      <w:tr w:rsidR="00984E59" w:rsidRPr="00DE62EC" w14:paraId="76DC78E4" w14:textId="77777777" w:rsidTr="00984E59">
        <w:tc>
          <w:tcPr>
            <w:tcW w:w="1175" w:type="pct"/>
            <w:tcBorders>
              <w:top w:val="nil"/>
              <w:left w:val="nil"/>
              <w:bottom w:val="single" w:sz="12" w:space="0" w:color="auto"/>
              <w:right w:val="nil"/>
            </w:tcBorders>
          </w:tcPr>
          <w:p w14:paraId="623BE51C"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r w:rsidRPr="00DE62EC">
              <w:rPr>
                <w:rFonts w:ascii="Times New Roman" w:hAnsi="Times New Roman"/>
                <w:sz w:val="20"/>
                <w:szCs w:val="20"/>
                <w:lang w:val="en-US"/>
              </w:rPr>
              <w:t xml:space="preserve"> INF</w:t>
            </w:r>
            <w:r>
              <w:rPr>
                <w:rFonts w:ascii="Times New Roman" w:hAnsi="Times New Roman"/>
                <w:sz w:val="20"/>
                <w:szCs w:val="20"/>
                <w:lang w:val="en-US"/>
              </w:rPr>
              <w:t xml:space="preserve"> (%)</w:t>
            </w:r>
          </w:p>
        </w:tc>
        <w:tc>
          <w:tcPr>
            <w:tcW w:w="630" w:type="pct"/>
            <w:tcBorders>
              <w:top w:val="nil"/>
              <w:left w:val="nil"/>
              <w:bottom w:val="single" w:sz="12" w:space="0" w:color="auto"/>
              <w:right w:val="nil"/>
            </w:tcBorders>
          </w:tcPr>
          <w:p w14:paraId="2ED14421"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8408</w:t>
            </w:r>
          </w:p>
        </w:tc>
        <w:tc>
          <w:tcPr>
            <w:tcW w:w="733" w:type="pct"/>
            <w:tcBorders>
              <w:top w:val="nil"/>
              <w:left w:val="nil"/>
              <w:bottom w:val="single" w:sz="12" w:space="0" w:color="auto"/>
              <w:right w:val="nil"/>
            </w:tcBorders>
          </w:tcPr>
          <w:p w14:paraId="2D2F817A"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1.67</w:t>
            </w:r>
          </w:p>
        </w:tc>
        <w:tc>
          <w:tcPr>
            <w:tcW w:w="1025" w:type="pct"/>
            <w:tcBorders>
              <w:top w:val="nil"/>
              <w:left w:val="nil"/>
              <w:bottom w:val="single" w:sz="12" w:space="0" w:color="auto"/>
              <w:right w:val="nil"/>
            </w:tcBorders>
          </w:tcPr>
          <w:p w14:paraId="1286F6D8"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1.58</w:t>
            </w:r>
          </w:p>
        </w:tc>
        <w:tc>
          <w:tcPr>
            <w:tcW w:w="703" w:type="pct"/>
            <w:tcBorders>
              <w:top w:val="nil"/>
              <w:left w:val="nil"/>
              <w:bottom w:val="single" w:sz="12" w:space="0" w:color="auto"/>
              <w:right w:val="nil"/>
            </w:tcBorders>
          </w:tcPr>
          <w:p w14:paraId="5EB887EC"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-4.48</w:t>
            </w:r>
          </w:p>
        </w:tc>
        <w:tc>
          <w:tcPr>
            <w:tcW w:w="735" w:type="pct"/>
            <w:tcBorders>
              <w:top w:val="nil"/>
              <w:left w:val="nil"/>
              <w:bottom w:val="single" w:sz="12" w:space="0" w:color="auto"/>
              <w:right w:val="nil"/>
            </w:tcBorders>
          </w:tcPr>
          <w:p w14:paraId="68433F33" w14:textId="77777777" w:rsidR="00984E59" w:rsidRPr="00DE62EC" w:rsidRDefault="00984E59" w:rsidP="00295B36">
            <w:pPr>
              <w:widowControl w:val="0"/>
              <w:autoSpaceDE w:val="0"/>
              <w:autoSpaceDN w:val="0"/>
              <w:adjustRightInd w:val="0"/>
              <w:spacing w:after="0" w:line="240" w:lineRule="auto"/>
              <w:jc w:val="right"/>
              <w:rPr>
                <w:rFonts w:ascii="Times New Roman" w:hAnsi="Times New Roman"/>
                <w:sz w:val="20"/>
                <w:szCs w:val="20"/>
                <w:lang w:val="en-US"/>
              </w:rPr>
            </w:pPr>
            <w:r w:rsidRPr="00DE62EC">
              <w:rPr>
                <w:rFonts w:ascii="Times New Roman" w:hAnsi="Times New Roman"/>
                <w:sz w:val="20"/>
                <w:szCs w:val="20"/>
                <w:lang w:val="en-US"/>
              </w:rPr>
              <w:t>16.33</w:t>
            </w:r>
          </w:p>
        </w:tc>
      </w:tr>
      <w:tr w:rsidR="00984E59" w:rsidRPr="00DE62EC" w14:paraId="1A3F4759" w14:textId="77777777" w:rsidTr="00984E59">
        <w:tc>
          <w:tcPr>
            <w:tcW w:w="5000" w:type="pct"/>
            <w:gridSpan w:val="6"/>
            <w:tcBorders>
              <w:top w:val="single" w:sz="12" w:space="0" w:color="auto"/>
              <w:left w:val="nil"/>
              <w:bottom w:val="nil"/>
              <w:right w:val="nil"/>
            </w:tcBorders>
          </w:tcPr>
          <w:p w14:paraId="0316BC37" w14:textId="77777777" w:rsidR="00984E59" w:rsidRPr="00DE62EC" w:rsidRDefault="00984E59" w:rsidP="00295B36">
            <w:pPr>
              <w:widowControl w:val="0"/>
              <w:autoSpaceDE w:val="0"/>
              <w:autoSpaceDN w:val="0"/>
              <w:adjustRightInd w:val="0"/>
              <w:spacing w:after="0" w:line="240" w:lineRule="auto"/>
              <w:rPr>
                <w:rFonts w:ascii="Times New Roman" w:hAnsi="Times New Roman"/>
                <w:sz w:val="20"/>
                <w:szCs w:val="20"/>
                <w:lang w:val="en-US"/>
              </w:rPr>
            </w:pPr>
          </w:p>
        </w:tc>
      </w:tr>
    </w:tbl>
    <w:p w14:paraId="08A0F21C" w14:textId="77777777" w:rsidR="00984E59" w:rsidRDefault="00984E59" w:rsidP="00984E59">
      <w:pPr>
        <w:sectPr w:rsidR="00984E59">
          <w:footerReference w:type="default" r:id="rId14"/>
          <w:pgSz w:w="12240" w:h="15840"/>
          <w:pgMar w:top="1134" w:right="850" w:bottom="1134" w:left="1701" w:header="720" w:footer="720" w:gutter="0"/>
          <w:cols w:space="720"/>
          <w:noEndnote/>
        </w:sectPr>
      </w:pPr>
    </w:p>
    <w:p w14:paraId="2174DF4F" w14:textId="77777777" w:rsidR="00984E59" w:rsidRPr="00AF4487" w:rsidRDefault="00984E59" w:rsidP="00984E59">
      <w:pPr>
        <w:spacing w:after="0"/>
        <w:rPr>
          <w:rFonts w:ascii="Times New Roman" w:hAnsi="Times New Roman"/>
          <w:i/>
          <w:lang w:val="en-US"/>
        </w:rPr>
      </w:pPr>
      <w:r w:rsidRPr="00AF4487">
        <w:rPr>
          <w:rFonts w:ascii="Times New Roman" w:hAnsi="Times New Roman"/>
          <w:i/>
          <w:lang w:val="en-US"/>
        </w:rPr>
        <w:lastRenderedPageBreak/>
        <w:t>Table 5. Correlation matrix</w:t>
      </w:r>
    </w:p>
    <w:tbl>
      <w:tblPr>
        <w:tblW w:w="5000" w:type="pct"/>
        <w:tblLook w:val="0000" w:firstRow="0" w:lastRow="0" w:firstColumn="0" w:lastColumn="0" w:noHBand="0" w:noVBand="0"/>
      </w:tblPr>
      <w:tblGrid>
        <w:gridCol w:w="991"/>
        <w:gridCol w:w="847"/>
        <w:gridCol w:w="847"/>
        <w:gridCol w:w="847"/>
        <w:gridCol w:w="910"/>
        <w:gridCol w:w="846"/>
        <w:gridCol w:w="846"/>
        <w:gridCol w:w="846"/>
        <w:gridCol w:w="846"/>
        <w:gridCol w:w="846"/>
        <w:gridCol w:w="846"/>
        <w:gridCol w:w="846"/>
        <w:gridCol w:w="846"/>
        <w:gridCol w:w="846"/>
        <w:gridCol w:w="846"/>
        <w:gridCol w:w="662"/>
      </w:tblGrid>
      <w:tr w:rsidR="00984E59" w:rsidRPr="008D1D53" w14:paraId="3CAA453B" w14:textId="77777777" w:rsidTr="00984E59">
        <w:tc>
          <w:tcPr>
            <w:tcW w:w="365" w:type="pct"/>
            <w:tcBorders>
              <w:top w:val="single" w:sz="12" w:space="0" w:color="auto"/>
              <w:left w:val="nil"/>
              <w:bottom w:val="single" w:sz="8" w:space="0" w:color="auto"/>
              <w:right w:val="nil"/>
            </w:tcBorders>
          </w:tcPr>
          <w:p w14:paraId="1BA7A9F3" w14:textId="77777777" w:rsidR="00984E59" w:rsidRPr="008D1D53" w:rsidRDefault="00984E59" w:rsidP="00295B36">
            <w:pPr>
              <w:widowControl w:val="0"/>
              <w:autoSpaceDE w:val="0"/>
              <w:autoSpaceDN w:val="0"/>
              <w:adjustRightInd w:val="0"/>
              <w:spacing w:after="0" w:line="240" w:lineRule="auto"/>
              <w:rPr>
                <w:rFonts w:ascii="Times New Roman" w:hAnsi="Times New Roman"/>
                <w:b/>
                <w:sz w:val="18"/>
                <w:szCs w:val="18"/>
                <w:lang w:val="en-US"/>
              </w:rPr>
            </w:pPr>
            <w:r w:rsidRPr="008D1D53">
              <w:rPr>
                <w:rFonts w:ascii="Times New Roman" w:hAnsi="Times New Roman"/>
                <w:b/>
                <w:sz w:val="18"/>
                <w:szCs w:val="18"/>
                <w:lang w:val="en-US"/>
              </w:rPr>
              <w:t>Variables</w:t>
            </w:r>
          </w:p>
        </w:tc>
        <w:tc>
          <w:tcPr>
            <w:tcW w:w="312" w:type="pct"/>
            <w:tcBorders>
              <w:top w:val="single" w:sz="12" w:space="0" w:color="auto"/>
              <w:left w:val="nil"/>
              <w:bottom w:val="single" w:sz="8" w:space="0" w:color="auto"/>
              <w:right w:val="nil"/>
            </w:tcBorders>
          </w:tcPr>
          <w:p w14:paraId="0A2F975D"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MV</w:t>
            </w:r>
          </w:p>
        </w:tc>
        <w:tc>
          <w:tcPr>
            <w:tcW w:w="312" w:type="pct"/>
            <w:tcBorders>
              <w:top w:val="single" w:sz="12" w:space="0" w:color="auto"/>
              <w:left w:val="nil"/>
              <w:bottom w:val="single" w:sz="8" w:space="0" w:color="auto"/>
              <w:right w:val="nil"/>
            </w:tcBorders>
          </w:tcPr>
          <w:p w14:paraId="5ECE7438"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CCPE</w:t>
            </w:r>
          </w:p>
        </w:tc>
        <w:tc>
          <w:tcPr>
            <w:tcW w:w="312" w:type="pct"/>
            <w:tcBorders>
              <w:top w:val="single" w:sz="12" w:space="0" w:color="auto"/>
              <w:left w:val="nil"/>
              <w:bottom w:val="single" w:sz="8" w:space="0" w:color="auto"/>
              <w:right w:val="nil"/>
            </w:tcBorders>
          </w:tcPr>
          <w:p w14:paraId="314D7358"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PCCIs</w:t>
            </w:r>
          </w:p>
        </w:tc>
        <w:tc>
          <w:tcPr>
            <w:tcW w:w="335" w:type="pct"/>
            <w:tcBorders>
              <w:top w:val="single" w:sz="12" w:space="0" w:color="auto"/>
              <w:left w:val="nil"/>
              <w:bottom w:val="single" w:sz="8" w:space="0" w:color="auto"/>
              <w:right w:val="nil"/>
            </w:tcBorders>
          </w:tcPr>
          <w:p w14:paraId="034EB922"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BSCOM</w:t>
            </w:r>
          </w:p>
        </w:tc>
        <w:tc>
          <w:tcPr>
            <w:tcW w:w="312" w:type="pct"/>
            <w:tcBorders>
              <w:top w:val="single" w:sz="12" w:space="0" w:color="auto"/>
              <w:left w:val="nil"/>
              <w:bottom w:val="single" w:sz="8" w:space="0" w:color="auto"/>
              <w:right w:val="nil"/>
            </w:tcBorders>
          </w:tcPr>
          <w:p w14:paraId="7E210FBC"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BSIZE</w:t>
            </w:r>
          </w:p>
        </w:tc>
        <w:tc>
          <w:tcPr>
            <w:tcW w:w="312" w:type="pct"/>
            <w:tcBorders>
              <w:top w:val="single" w:sz="12" w:space="0" w:color="auto"/>
              <w:left w:val="nil"/>
              <w:bottom w:val="single" w:sz="8" w:space="0" w:color="auto"/>
              <w:right w:val="nil"/>
            </w:tcBorders>
          </w:tcPr>
          <w:p w14:paraId="55659CF4"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INDIR</w:t>
            </w:r>
          </w:p>
        </w:tc>
        <w:tc>
          <w:tcPr>
            <w:tcW w:w="312" w:type="pct"/>
            <w:tcBorders>
              <w:top w:val="single" w:sz="12" w:space="0" w:color="auto"/>
              <w:left w:val="nil"/>
              <w:bottom w:val="single" w:sz="8" w:space="0" w:color="auto"/>
              <w:right w:val="nil"/>
            </w:tcBorders>
          </w:tcPr>
          <w:p w14:paraId="36431E93"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BGEN</w:t>
            </w:r>
          </w:p>
        </w:tc>
        <w:tc>
          <w:tcPr>
            <w:tcW w:w="312" w:type="pct"/>
            <w:tcBorders>
              <w:top w:val="single" w:sz="12" w:space="0" w:color="auto"/>
              <w:left w:val="nil"/>
              <w:bottom w:val="single" w:sz="8" w:space="0" w:color="auto"/>
              <w:right w:val="nil"/>
            </w:tcBorders>
          </w:tcPr>
          <w:p w14:paraId="47F8B063"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SIZE</w:t>
            </w:r>
          </w:p>
        </w:tc>
        <w:tc>
          <w:tcPr>
            <w:tcW w:w="312" w:type="pct"/>
            <w:tcBorders>
              <w:top w:val="single" w:sz="12" w:space="0" w:color="auto"/>
              <w:left w:val="nil"/>
              <w:bottom w:val="single" w:sz="8" w:space="0" w:color="auto"/>
              <w:right w:val="nil"/>
            </w:tcBorders>
          </w:tcPr>
          <w:p w14:paraId="2A93AEA4"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PROF</w:t>
            </w:r>
          </w:p>
        </w:tc>
        <w:tc>
          <w:tcPr>
            <w:tcW w:w="312" w:type="pct"/>
            <w:tcBorders>
              <w:top w:val="single" w:sz="12" w:space="0" w:color="auto"/>
              <w:left w:val="nil"/>
              <w:bottom w:val="single" w:sz="8" w:space="0" w:color="auto"/>
              <w:right w:val="nil"/>
            </w:tcBorders>
          </w:tcPr>
          <w:p w14:paraId="7E9F99E6"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DEBT</w:t>
            </w:r>
          </w:p>
        </w:tc>
        <w:tc>
          <w:tcPr>
            <w:tcW w:w="312" w:type="pct"/>
            <w:tcBorders>
              <w:top w:val="single" w:sz="12" w:space="0" w:color="auto"/>
              <w:left w:val="nil"/>
              <w:bottom w:val="single" w:sz="8" w:space="0" w:color="auto"/>
              <w:right w:val="nil"/>
            </w:tcBorders>
          </w:tcPr>
          <w:p w14:paraId="4BE001F8"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CASH</w:t>
            </w:r>
          </w:p>
        </w:tc>
        <w:tc>
          <w:tcPr>
            <w:tcW w:w="312" w:type="pct"/>
            <w:tcBorders>
              <w:top w:val="single" w:sz="12" w:space="0" w:color="auto"/>
              <w:left w:val="nil"/>
              <w:bottom w:val="single" w:sz="8" w:space="0" w:color="auto"/>
              <w:right w:val="nil"/>
            </w:tcBorders>
          </w:tcPr>
          <w:p w14:paraId="6BB852D8"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CAPIN</w:t>
            </w:r>
          </w:p>
        </w:tc>
        <w:tc>
          <w:tcPr>
            <w:tcW w:w="312" w:type="pct"/>
            <w:tcBorders>
              <w:top w:val="single" w:sz="12" w:space="0" w:color="auto"/>
              <w:left w:val="nil"/>
              <w:bottom w:val="single" w:sz="8" w:space="0" w:color="auto"/>
              <w:right w:val="nil"/>
            </w:tcBorders>
          </w:tcPr>
          <w:p w14:paraId="194F1AD0"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WGI</w:t>
            </w:r>
          </w:p>
        </w:tc>
        <w:tc>
          <w:tcPr>
            <w:tcW w:w="312" w:type="pct"/>
            <w:tcBorders>
              <w:top w:val="single" w:sz="12" w:space="0" w:color="auto"/>
              <w:left w:val="nil"/>
              <w:bottom w:val="single" w:sz="8" w:space="0" w:color="auto"/>
              <w:right w:val="nil"/>
            </w:tcBorders>
          </w:tcPr>
          <w:p w14:paraId="0AC4583C"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GDP</w:t>
            </w:r>
          </w:p>
        </w:tc>
        <w:tc>
          <w:tcPr>
            <w:tcW w:w="244" w:type="pct"/>
            <w:tcBorders>
              <w:top w:val="single" w:sz="12" w:space="0" w:color="auto"/>
              <w:left w:val="nil"/>
              <w:bottom w:val="single" w:sz="8" w:space="0" w:color="auto"/>
              <w:right w:val="nil"/>
            </w:tcBorders>
          </w:tcPr>
          <w:p w14:paraId="2979B1E4" w14:textId="77777777" w:rsidR="00984E59" w:rsidRPr="008D1D53" w:rsidRDefault="00984E59" w:rsidP="00295B36">
            <w:pPr>
              <w:widowControl w:val="0"/>
              <w:autoSpaceDE w:val="0"/>
              <w:autoSpaceDN w:val="0"/>
              <w:adjustRightInd w:val="0"/>
              <w:spacing w:after="0" w:line="240" w:lineRule="auto"/>
              <w:jc w:val="center"/>
              <w:rPr>
                <w:rFonts w:ascii="Times New Roman" w:hAnsi="Times New Roman"/>
                <w:b/>
                <w:sz w:val="18"/>
                <w:szCs w:val="18"/>
                <w:lang w:val="en-US"/>
              </w:rPr>
            </w:pPr>
            <w:r w:rsidRPr="008D1D53">
              <w:rPr>
                <w:rFonts w:ascii="Times New Roman" w:hAnsi="Times New Roman"/>
                <w:b/>
                <w:sz w:val="18"/>
                <w:szCs w:val="18"/>
                <w:lang w:val="en-US"/>
              </w:rPr>
              <w:t>INF</w:t>
            </w:r>
          </w:p>
        </w:tc>
      </w:tr>
      <w:tr w:rsidR="00984E59" w:rsidRPr="008D1D53" w14:paraId="570C651A" w14:textId="77777777" w:rsidTr="00984E59">
        <w:tc>
          <w:tcPr>
            <w:tcW w:w="365" w:type="pct"/>
            <w:tcBorders>
              <w:top w:val="single" w:sz="8" w:space="0" w:color="auto"/>
              <w:left w:val="nil"/>
              <w:bottom w:val="nil"/>
              <w:right w:val="nil"/>
            </w:tcBorders>
          </w:tcPr>
          <w:p w14:paraId="6B2EB442"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MV</w:t>
            </w:r>
          </w:p>
        </w:tc>
        <w:tc>
          <w:tcPr>
            <w:tcW w:w="312" w:type="pct"/>
            <w:tcBorders>
              <w:top w:val="single" w:sz="8" w:space="0" w:color="auto"/>
              <w:left w:val="nil"/>
              <w:bottom w:val="nil"/>
              <w:right w:val="nil"/>
            </w:tcBorders>
          </w:tcPr>
          <w:p w14:paraId="79C6414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single" w:sz="8" w:space="0" w:color="auto"/>
              <w:left w:val="nil"/>
              <w:bottom w:val="nil"/>
              <w:right w:val="nil"/>
            </w:tcBorders>
          </w:tcPr>
          <w:p w14:paraId="45C36A5B"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74D400F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35" w:type="pct"/>
            <w:tcBorders>
              <w:top w:val="single" w:sz="8" w:space="0" w:color="auto"/>
              <w:left w:val="nil"/>
              <w:bottom w:val="nil"/>
              <w:right w:val="nil"/>
            </w:tcBorders>
          </w:tcPr>
          <w:p w14:paraId="04370B9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4EC5128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79656B8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42DA549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4CEBC9CB"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0CA95FA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58C6E9D3"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620515E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7826E981"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07D8F3D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single" w:sz="8" w:space="0" w:color="auto"/>
              <w:left w:val="nil"/>
              <w:bottom w:val="nil"/>
              <w:right w:val="nil"/>
            </w:tcBorders>
          </w:tcPr>
          <w:p w14:paraId="290F9A9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single" w:sz="8" w:space="0" w:color="auto"/>
              <w:left w:val="nil"/>
              <w:bottom w:val="nil"/>
              <w:right w:val="nil"/>
            </w:tcBorders>
          </w:tcPr>
          <w:p w14:paraId="56AA1C4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4ECCA590" w14:textId="77777777" w:rsidTr="00984E59">
        <w:tc>
          <w:tcPr>
            <w:tcW w:w="365" w:type="pct"/>
            <w:tcBorders>
              <w:top w:val="nil"/>
              <w:left w:val="nil"/>
              <w:bottom w:val="nil"/>
              <w:right w:val="nil"/>
            </w:tcBorders>
          </w:tcPr>
          <w:p w14:paraId="118F79F4"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CCPE</w:t>
            </w:r>
          </w:p>
        </w:tc>
        <w:tc>
          <w:tcPr>
            <w:tcW w:w="312" w:type="pct"/>
            <w:tcBorders>
              <w:top w:val="nil"/>
              <w:left w:val="nil"/>
              <w:bottom w:val="nil"/>
              <w:right w:val="nil"/>
            </w:tcBorders>
          </w:tcPr>
          <w:p w14:paraId="4846418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-0.23**</w:t>
            </w:r>
          </w:p>
        </w:tc>
        <w:tc>
          <w:tcPr>
            <w:tcW w:w="312" w:type="pct"/>
            <w:tcBorders>
              <w:top w:val="nil"/>
              <w:left w:val="nil"/>
              <w:bottom w:val="nil"/>
              <w:right w:val="nil"/>
            </w:tcBorders>
          </w:tcPr>
          <w:p w14:paraId="4A4BF71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5F52DF2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35" w:type="pct"/>
            <w:tcBorders>
              <w:top w:val="nil"/>
              <w:left w:val="nil"/>
              <w:bottom w:val="nil"/>
              <w:right w:val="nil"/>
            </w:tcBorders>
          </w:tcPr>
          <w:p w14:paraId="0948DFE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BC23B8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7572234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6C10D7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72EC65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87B698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18BE77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F3B730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6B8D99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C804DF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713C144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28E4062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332DFA51" w14:textId="77777777" w:rsidTr="00984E59">
        <w:tc>
          <w:tcPr>
            <w:tcW w:w="365" w:type="pct"/>
            <w:tcBorders>
              <w:top w:val="nil"/>
              <w:left w:val="nil"/>
              <w:bottom w:val="nil"/>
              <w:right w:val="nil"/>
            </w:tcBorders>
          </w:tcPr>
          <w:p w14:paraId="1BF86346"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p>
        </w:tc>
        <w:tc>
          <w:tcPr>
            <w:tcW w:w="312" w:type="pct"/>
            <w:tcBorders>
              <w:top w:val="nil"/>
              <w:left w:val="nil"/>
              <w:bottom w:val="nil"/>
              <w:right w:val="nil"/>
            </w:tcBorders>
          </w:tcPr>
          <w:p w14:paraId="230545BB"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-0.12**</w:t>
            </w:r>
          </w:p>
        </w:tc>
        <w:tc>
          <w:tcPr>
            <w:tcW w:w="312" w:type="pct"/>
            <w:tcBorders>
              <w:top w:val="nil"/>
              <w:left w:val="nil"/>
              <w:bottom w:val="nil"/>
              <w:right w:val="nil"/>
            </w:tcBorders>
          </w:tcPr>
          <w:p w14:paraId="1C50CD7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0.27**</w:t>
            </w:r>
          </w:p>
        </w:tc>
        <w:tc>
          <w:tcPr>
            <w:tcW w:w="312" w:type="pct"/>
            <w:tcBorders>
              <w:top w:val="nil"/>
              <w:left w:val="nil"/>
              <w:bottom w:val="nil"/>
              <w:right w:val="nil"/>
            </w:tcBorders>
          </w:tcPr>
          <w:p w14:paraId="62E7CA8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35" w:type="pct"/>
            <w:tcBorders>
              <w:top w:val="nil"/>
              <w:left w:val="nil"/>
              <w:bottom w:val="nil"/>
              <w:right w:val="nil"/>
            </w:tcBorders>
          </w:tcPr>
          <w:p w14:paraId="7150F3D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9A70FF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91C4BA0"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D8E0B3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0D524CB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956311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AA54D8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29C845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98DFC50"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715427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5A3619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37E3A49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40456AEE" w14:textId="77777777" w:rsidTr="00984E59">
        <w:tc>
          <w:tcPr>
            <w:tcW w:w="365" w:type="pct"/>
            <w:tcBorders>
              <w:top w:val="nil"/>
              <w:left w:val="nil"/>
              <w:bottom w:val="nil"/>
              <w:right w:val="nil"/>
            </w:tcBorders>
          </w:tcPr>
          <w:p w14:paraId="05E8B784"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BSCOM</w:t>
            </w:r>
          </w:p>
        </w:tc>
        <w:tc>
          <w:tcPr>
            <w:tcW w:w="312" w:type="pct"/>
            <w:tcBorders>
              <w:top w:val="nil"/>
              <w:left w:val="nil"/>
              <w:bottom w:val="nil"/>
              <w:right w:val="nil"/>
            </w:tcBorders>
          </w:tcPr>
          <w:p w14:paraId="4BD4FE5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nil"/>
              <w:right w:val="nil"/>
            </w:tcBorders>
          </w:tcPr>
          <w:p w14:paraId="452F5DE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nil"/>
              <w:right w:val="nil"/>
            </w:tcBorders>
          </w:tcPr>
          <w:p w14:paraId="453317A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0.48**</w:t>
            </w:r>
          </w:p>
        </w:tc>
        <w:tc>
          <w:tcPr>
            <w:tcW w:w="335" w:type="pct"/>
            <w:tcBorders>
              <w:top w:val="nil"/>
              <w:left w:val="nil"/>
              <w:bottom w:val="nil"/>
              <w:right w:val="nil"/>
            </w:tcBorders>
          </w:tcPr>
          <w:p w14:paraId="541F313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4BB0ED9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D9894E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196095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3F1F04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39BB62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7A8A2C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B79A29B"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45FE6E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E29260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BA47751"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7F822EAC"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62A263D5" w14:textId="77777777" w:rsidTr="00984E59">
        <w:tc>
          <w:tcPr>
            <w:tcW w:w="365" w:type="pct"/>
            <w:tcBorders>
              <w:top w:val="nil"/>
              <w:left w:val="nil"/>
              <w:bottom w:val="nil"/>
              <w:right w:val="nil"/>
            </w:tcBorders>
          </w:tcPr>
          <w:p w14:paraId="4223FC69"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BSIZE</w:t>
            </w:r>
          </w:p>
        </w:tc>
        <w:tc>
          <w:tcPr>
            <w:tcW w:w="312" w:type="pct"/>
            <w:tcBorders>
              <w:top w:val="nil"/>
              <w:left w:val="nil"/>
              <w:bottom w:val="nil"/>
              <w:right w:val="nil"/>
            </w:tcBorders>
          </w:tcPr>
          <w:p w14:paraId="79971AB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-0.10**</w:t>
            </w:r>
          </w:p>
        </w:tc>
        <w:tc>
          <w:tcPr>
            <w:tcW w:w="312" w:type="pct"/>
            <w:tcBorders>
              <w:top w:val="nil"/>
              <w:left w:val="nil"/>
              <w:bottom w:val="nil"/>
              <w:right w:val="nil"/>
            </w:tcBorders>
          </w:tcPr>
          <w:p w14:paraId="34E8BEC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0.27**</w:t>
            </w:r>
          </w:p>
        </w:tc>
        <w:tc>
          <w:tcPr>
            <w:tcW w:w="312" w:type="pct"/>
            <w:tcBorders>
              <w:top w:val="nil"/>
              <w:left w:val="nil"/>
              <w:bottom w:val="nil"/>
              <w:right w:val="nil"/>
            </w:tcBorders>
          </w:tcPr>
          <w:p w14:paraId="5FEB286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0.24**</w:t>
            </w:r>
          </w:p>
        </w:tc>
        <w:tc>
          <w:tcPr>
            <w:tcW w:w="335" w:type="pct"/>
            <w:tcBorders>
              <w:top w:val="nil"/>
              <w:left w:val="nil"/>
              <w:bottom w:val="nil"/>
              <w:right w:val="nil"/>
            </w:tcBorders>
          </w:tcPr>
          <w:p w14:paraId="5B7A41B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nil"/>
              <w:right w:val="nil"/>
            </w:tcBorders>
          </w:tcPr>
          <w:p w14:paraId="7C38408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1510719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2E2226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84E3830"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BCE457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34B5FF1"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DAC4A23"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5A4F34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041617C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E9BFCF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2144ACB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7D44EF0F" w14:textId="77777777" w:rsidTr="00984E59">
        <w:tc>
          <w:tcPr>
            <w:tcW w:w="365" w:type="pct"/>
            <w:tcBorders>
              <w:top w:val="nil"/>
              <w:left w:val="nil"/>
              <w:bottom w:val="nil"/>
              <w:right w:val="nil"/>
            </w:tcBorders>
          </w:tcPr>
          <w:p w14:paraId="0ADCD88B"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INDIR</w:t>
            </w:r>
          </w:p>
        </w:tc>
        <w:tc>
          <w:tcPr>
            <w:tcW w:w="312" w:type="pct"/>
            <w:tcBorders>
              <w:top w:val="nil"/>
              <w:left w:val="nil"/>
              <w:bottom w:val="nil"/>
              <w:right w:val="nil"/>
            </w:tcBorders>
          </w:tcPr>
          <w:p w14:paraId="556C112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bottom w:val="nil"/>
              <w:right w:val="nil"/>
            </w:tcBorders>
          </w:tcPr>
          <w:p w14:paraId="2DDA078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12" w:type="pct"/>
            <w:tcBorders>
              <w:top w:val="nil"/>
              <w:left w:val="nil"/>
              <w:bottom w:val="nil"/>
              <w:right w:val="nil"/>
            </w:tcBorders>
          </w:tcPr>
          <w:p w14:paraId="205F155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35" w:type="pct"/>
            <w:tcBorders>
              <w:top w:val="nil"/>
              <w:left w:val="nil"/>
              <w:bottom w:val="nil"/>
              <w:right w:val="nil"/>
            </w:tcBorders>
          </w:tcPr>
          <w:p w14:paraId="7AC281E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0.12**</w:t>
            </w:r>
          </w:p>
        </w:tc>
        <w:tc>
          <w:tcPr>
            <w:tcW w:w="312" w:type="pct"/>
            <w:tcBorders>
              <w:top w:val="nil"/>
              <w:left w:val="nil"/>
              <w:bottom w:val="nil"/>
              <w:right w:val="nil"/>
            </w:tcBorders>
          </w:tcPr>
          <w:p w14:paraId="12FE1F7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nil"/>
              <w:right w:val="nil"/>
            </w:tcBorders>
          </w:tcPr>
          <w:p w14:paraId="3A0AA41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45463AE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24FB33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69B67B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02E7122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75AF415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F6BBAF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2F19F2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A7479A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716CFD7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1D612319" w14:textId="77777777" w:rsidTr="00984E59">
        <w:tc>
          <w:tcPr>
            <w:tcW w:w="365" w:type="pct"/>
            <w:tcBorders>
              <w:top w:val="nil"/>
              <w:left w:val="nil"/>
              <w:bottom w:val="nil"/>
              <w:right w:val="nil"/>
            </w:tcBorders>
          </w:tcPr>
          <w:p w14:paraId="58940610"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BGEN</w:t>
            </w:r>
          </w:p>
        </w:tc>
        <w:tc>
          <w:tcPr>
            <w:tcW w:w="312" w:type="pct"/>
            <w:tcBorders>
              <w:top w:val="nil"/>
              <w:left w:val="nil"/>
              <w:bottom w:val="nil"/>
              <w:right w:val="nil"/>
            </w:tcBorders>
          </w:tcPr>
          <w:p w14:paraId="41B9782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0.13**</w:t>
            </w:r>
          </w:p>
        </w:tc>
        <w:tc>
          <w:tcPr>
            <w:tcW w:w="312" w:type="pct"/>
            <w:tcBorders>
              <w:top w:val="nil"/>
              <w:left w:val="nil"/>
              <w:bottom w:val="nil"/>
              <w:right w:val="nil"/>
            </w:tcBorders>
          </w:tcPr>
          <w:p w14:paraId="0342DF3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bottom w:val="nil"/>
              <w:right w:val="nil"/>
            </w:tcBorders>
          </w:tcPr>
          <w:p w14:paraId="377AD8B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0.19**</w:t>
            </w:r>
          </w:p>
        </w:tc>
        <w:tc>
          <w:tcPr>
            <w:tcW w:w="335" w:type="pct"/>
            <w:tcBorders>
              <w:top w:val="nil"/>
              <w:left w:val="nil"/>
              <w:bottom w:val="nil"/>
              <w:right w:val="nil"/>
            </w:tcBorders>
          </w:tcPr>
          <w:p w14:paraId="7ED7B43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0.15**</w:t>
            </w:r>
          </w:p>
        </w:tc>
        <w:tc>
          <w:tcPr>
            <w:tcW w:w="312" w:type="pct"/>
            <w:tcBorders>
              <w:top w:val="nil"/>
              <w:left w:val="nil"/>
              <w:bottom w:val="nil"/>
              <w:right w:val="nil"/>
            </w:tcBorders>
          </w:tcPr>
          <w:p w14:paraId="342AE3B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nil"/>
              <w:right w:val="nil"/>
            </w:tcBorders>
          </w:tcPr>
          <w:p w14:paraId="6C6E2BF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0.16**</w:t>
            </w:r>
          </w:p>
        </w:tc>
        <w:tc>
          <w:tcPr>
            <w:tcW w:w="312" w:type="pct"/>
            <w:tcBorders>
              <w:top w:val="nil"/>
              <w:left w:val="nil"/>
              <w:bottom w:val="nil"/>
              <w:right w:val="nil"/>
            </w:tcBorders>
          </w:tcPr>
          <w:p w14:paraId="59993F5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6720488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C8AF493"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9D5989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724B0BD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411A85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74741A3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51DF563"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095BAF4F"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21CA4E1B" w14:textId="77777777" w:rsidTr="00984E59">
        <w:tc>
          <w:tcPr>
            <w:tcW w:w="365" w:type="pct"/>
            <w:tcBorders>
              <w:top w:val="nil"/>
              <w:left w:val="nil"/>
              <w:bottom w:val="nil"/>
              <w:right w:val="nil"/>
            </w:tcBorders>
          </w:tcPr>
          <w:p w14:paraId="328C2ECE"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SIZE</w:t>
            </w:r>
          </w:p>
        </w:tc>
        <w:tc>
          <w:tcPr>
            <w:tcW w:w="312" w:type="pct"/>
            <w:tcBorders>
              <w:top w:val="nil"/>
              <w:left w:val="nil"/>
              <w:bottom w:val="nil"/>
              <w:right w:val="nil"/>
            </w:tcBorders>
          </w:tcPr>
          <w:p w14:paraId="46EC5B9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-0.18**</w:t>
            </w:r>
          </w:p>
        </w:tc>
        <w:tc>
          <w:tcPr>
            <w:tcW w:w="312" w:type="pct"/>
            <w:tcBorders>
              <w:top w:val="nil"/>
              <w:left w:val="nil"/>
              <w:bottom w:val="nil"/>
              <w:right w:val="nil"/>
            </w:tcBorders>
          </w:tcPr>
          <w:p w14:paraId="7481B57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0.62**</w:t>
            </w:r>
          </w:p>
        </w:tc>
        <w:tc>
          <w:tcPr>
            <w:tcW w:w="312" w:type="pct"/>
            <w:tcBorders>
              <w:top w:val="nil"/>
              <w:left w:val="nil"/>
              <w:bottom w:val="nil"/>
              <w:right w:val="nil"/>
            </w:tcBorders>
          </w:tcPr>
          <w:p w14:paraId="2F1CB19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0.44**</w:t>
            </w:r>
          </w:p>
        </w:tc>
        <w:tc>
          <w:tcPr>
            <w:tcW w:w="335" w:type="pct"/>
            <w:tcBorders>
              <w:top w:val="nil"/>
              <w:left w:val="nil"/>
              <w:bottom w:val="nil"/>
              <w:right w:val="nil"/>
            </w:tcBorders>
          </w:tcPr>
          <w:p w14:paraId="7AD5A96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0.18**</w:t>
            </w:r>
          </w:p>
        </w:tc>
        <w:tc>
          <w:tcPr>
            <w:tcW w:w="312" w:type="pct"/>
            <w:tcBorders>
              <w:top w:val="nil"/>
              <w:left w:val="nil"/>
              <w:bottom w:val="nil"/>
              <w:right w:val="nil"/>
            </w:tcBorders>
          </w:tcPr>
          <w:p w14:paraId="71D17D9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0.41**</w:t>
            </w:r>
          </w:p>
        </w:tc>
        <w:tc>
          <w:tcPr>
            <w:tcW w:w="312" w:type="pct"/>
            <w:tcBorders>
              <w:top w:val="nil"/>
              <w:left w:val="nil"/>
              <w:bottom w:val="nil"/>
              <w:right w:val="nil"/>
            </w:tcBorders>
          </w:tcPr>
          <w:p w14:paraId="0CCBA5F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0.17**</w:t>
            </w:r>
          </w:p>
        </w:tc>
        <w:tc>
          <w:tcPr>
            <w:tcW w:w="312" w:type="pct"/>
            <w:tcBorders>
              <w:top w:val="nil"/>
              <w:left w:val="nil"/>
              <w:bottom w:val="nil"/>
              <w:right w:val="nil"/>
            </w:tcBorders>
          </w:tcPr>
          <w:p w14:paraId="7BAA5FF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0.12**</w:t>
            </w:r>
          </w:p>
        </w:tc>
        <w:tc>
          <w:tcPr>
            <w:tcW w:w="312" w:type="pct"/>
            <w:tcBorders>
              <w:top w:val="nil"/>
              <w:left w:val="nil"/>
              <w:bottom w:val="nil"/>
              <w:right w:val="nil"/>
            </w:tcBorders>
          </w:tcPr>
          <w:p w14:paraId="5230C79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3466010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842A8E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056C90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C6B48AB"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ACF9F4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A1DB0B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501070F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15687818" w14:textId="77777777" w:rsidTr="00984E59">
        <w:tc>
          <w:tcPr>
            <w:tcW w:w="365" w:type="pct"/>
            <w:tcBorders>
              <w:top w:val="nil"/>
              <w:left w:val="nil"/>
              <w:bottom w:val="nil"/>
              <w:right w:val="nil"/>
            </w:tcBorders>
          </w:tcPr>
          <w:p w14:paraId="6923393F"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PROF</w:t>
            </w:r>
          </w:p>
        </w:tc>
        <w:tc>
          <w:tcPr>
            <w:tcW w:w="312" w:type="pct"/>
            <w:tcBorders>
              <w:top w:val="nil"/>
              <w:left w:val="nil"/>
              <w:bottom w:val="nil"/>
              <w:right w:val="nil"/>
            </w:tcBorders>
          </w:tcPr>
          <w:p w14:paraId="0758251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0.57**</w:t>
            </w:r>
          </w:p>
        </w:tc>
        <w:tc>
          <w:tcPr>
            <w:tcW w:w="312" w:type="pct"/>
            <w:tcBorders>
              <w:top w:val="nil"/>
              <w:left w:val="nil"/>
              <w:bottom w:val="nil"/>
              <w:right w:val="nil"/>
            </w:tcBorders>
          </w:tcPr>
          <w:p w14:paraId="5B94B3B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-0.12**</w:t>
            </w:r>
          </w:p>
        </w:tc>
        <w:tc>
          <w:tcPr>
            <w:tcW w:w="312" w:type="pct"/>
            <w:tcBorders>
              <w:top w:val="nil"/>
              <w:left w:val="nil"/>
              <w:bottom w:val="nil"/>
              <w:right w:val="nil"/>
            </w:tcBorders>
          </w:tcPr>
          <w:p w14:paraId="72BF0F5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-0.07**</w:t>
            </w:r>
          </w:p>
        </w:tc>
        <w:tc>
          <w:tcPr>
            <w:tcW w:w="335" w:type="pct"/>
            <w:tcBorders>
              <w:top w:val="nil"/>
              <w:left w:val="nil"/>
              <w:bottom w:val="nil"/>
              <w:right w:val="nil"/>
            </w:tcBorders>
          </w:tcPr>
          <w:p w14:paraId="26BCDF6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-0.08**</w:t>
            </w:r>
          </w:p>
        </w:tc>
        <w:tc>
          <w:tcPr>
            <w:tcW w:w="312" w:type="pct"/>
            <w:tcBorders>
              <w:top w:val="nil"/>
              <w:left w:val="nil"/>
              <w:bottom w:val="nil"/>
              <w:right w:val="nil"/>
            </w:tcBorders>
          </w:tcPr>
          <w:p w14:paraId="36D3B8C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-0.05**</w:t>
            </w:r>
          </w:p>
        </w:tc>
        <w:tc>
          <w:tcPr>
            <w:tcW w:w="312" w:type="pct"/>
            <w:tcBorders>
              <w:top w:val="nil"/>
              <w:left w:val="nil"/>
              <w:bottom w:val="nil"/>
              <w:right w:val="nil"/>
            </w:tcBorders>
          </w:tcPr>
          <w:p w14:paraId="7363966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bottom w:val="nil"/>
              <w:right w:val="nil"/>
            </w:tcBorders>
          </w:tcPr>
          <w:p w14:paraId="4E8D186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nil"/>
              <w:right w:val="nil"/>
            </w:tcBorders>
          </w:tcPr>
          <w:p w14:paraId="15ECEE9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-0.07**</w:t>
            </w:r>
          </w:p>
        </w:tc>
        <w:tc>
          <w:tcPr>
            <w:tcW w:w="312" w:type="pct"/>
            <w:tcBorders>
              <w:top w:val="nil"/>
              <w:left w:val="nil"/>
              <w:bottom w:val="nil"/>
              <w:right w:val="nil"/>
            </w:tcBorders>
          </w:tcPr>
          <w:p w14:paraId="3D892CC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5286E086"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1B604A8D"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818BCD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8117818"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1391173"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655F55B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3F50DFFD" w14:textId="77777777" w:rsidTr="00984E59">
        <w:tc>
          <w:tcPr>
            <w:tcW w:w="365" w:type="pct"/>
            <w:tcBorders>
              <w:top w:val="nil"/>
              <w:left w:val="nil"/>
              <w:bottom w:val="nil"/>
              <w:right w:val="nil"/>
            </w:tcBorders>
          </w:tcPr>
          <w:p w14:paraId="63D3FB0C"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DEBT</w:t>
            </w:r>
          </w:p>
        </w:tc>
        <w:tc>
          <w:tcPr>
            <w:tcW w:w="312" w:type="pct"/>
            <w:tcBorders>
              <w:top w:val="nil"/>
              <w:left w:val="nil"/>
              <w:bottom w:val="nil"/>
              <w:right w:val="nil"/>
            </w:tcBorders>
          </w:tcPr>
          <w:p w14:paraId="5652DC6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-0.22**</w:t>
            </w:r>
          </w:p>
        </w:tc>
        <w:tc>
          <w:tcPr>
            <w:tcW w:w="312" w:type="pct"/>
            <w:tcBorders>
              <w:top w:val="nil"/>
              <w:left w:val="nil"/>
              <w:bottom w:val="nil"/>
              <w:right w:val="nil"/>
            </w:tcBorders>
          </w:tcPr>
          <w:p w14:paraId="43DDCAC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0.21**</w:t>
            </w:r>
          </w:p>
        </w:tc>
        <w:tc>
          <w:tcPr>
            <w:tcW w:w="312" w:type="pct"/>
            <w:tcBorders>
              <w:top w:val="nil"/>
              <w:left w:val="nil"/>
              <w:bottom w:val="nil"/>
              <w:right w:val="nil"/>
            </w:tcBorders>
          </w:tcPr>
          <w:p w14:paraId="2EB94E6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35" w:type="pct"/>
            <w:tcBorders>
              <w:top w:val="nil"/>
              <w:left w:val="nil"/>
              <w:bottom w:val="nil"/>
              <w:right w:val="nil"/>
            </w:tcBorders>
          </w:tcPr>
          <w:p w14:paraId="1602511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bottom w:val="nil"/>
              <w:right w:val="nil"/>
            </w:tcBorders>
          </w:tcPr>
          <w:p w14:paraId="71ECA5C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0.10**</w:t>
            </w:r>
          </w:p>
        </w:tc>
        <w:tc>
          <w:tcPr>
            <w:tcW w:w="312" w:type="pct"/>
            <w:tcBorders>
              <w:top w:val="nil"/>
              <w:left w:val="nil"/>
              <w:bottom w:val="nil"/>
              <w:right w:val="nil"/>
            </w:tcBorders>
          </w:tcPr>
          <w:p w14:paraId="1E9FE03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bottom w:val="nil"/>
              <w:right w:val="nil"/>
            </w:tcBorders>
          </w:tcPr>
          <w:p w14:paraId="766A593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bottom w:val="nil"/>
              <w:right w:val="nil"/>
            </w:tcBorders>
          </w:tcPr>
          <w:p w14:paraId="68ECFFF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0.18**</w:t>
            </w:r>
          </w:p>
        </w:tc>
        <w:tc>
          <w:tcPr>
            <w:tcW w:w="312" w:type="pct"/>
            <w:tcBorders>
              <w:top w:val="nil"/>
              <w:left w:val="nil"/>
              <w:bottom w:val="nil"/>
              <w:right w:val="nil"/>
            </w:tcBorders>
          </w:tcPr>
          <w:p w14:paraId="6723E20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-0.28**</w:t>
            </w:r>
          </w:p>
        </w:tc>
        <w:tc>
          <w:tcPr>
            <w:tcW w:w="312" w:type="pct"/>
            <w:tcBorders>
              <w:top w:val="nil"/>
              <w:left w:val="nil"/>
              <w:bottom w:val="nil"/>
              <w:right w:val="nil"/>
            </w:tcBorders>
          </w:tcPr>
          <w:p w14:paraId="66A2C45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0D5408D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6BE4E16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46A7DB1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08D2E3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3332CF8B"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72CA6DA4" w14:textId="77777777" w:rsidTr="00984E59">
        <w:tc>
          <w:tcPr>
            <w:tcW w:w="365" w:type="pct"/>
            <w:tcBorders>
              <w:top w:val="nil"/>
              <w:left w:val="nil"/>
              <w:bottom w:val="nil"/>
              <w:right w:val="nil"/>
            </w:tcBorders>
          </w:tcPr>
          <w:p w14:paraId="1CADB43F"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CASH</w:t>
            </w:r>
          </w:p>
        </w:tc>
        <w:tc>
          <w:tcPr>
            <w:tcW w:w="312" w:type="pct"/>
            <w:tcBorders>
              <w:top w:val="nil"/>
              <w:left w:val="nil"/>
              <w:bottom w:val="nil"/>
              <w:right w:val="nil"/>
            </w:tcBorders>
          </w:tcPr>
          <w:p w14:paraId="4EE8855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12" w:type="pct"/>
            <w:tcBorders>
              <w:top w:val="nil"/>
              <w:left w:val="nil"/>
              <w:bottom w:val="nil"/>
              <w:right w:val="nil"/>
            </w:tcBorders>
          </w:tcPr>
          <w:p w14:paraId="49512EA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-0.21**</w:t>
            </w:r>
          </w:p>
        </w:tc>
        <w:tc>
          <w:tcPr>
            <w:tcW w:w="312" w:type="pct"/>
            <w:tcBorders>
              <w:top w:val="nil"/>
              <w:left w:val="nil"/>
              <w:bottom w:val="nil"/>
              <w:right w:val="nil"/>
            </w:tcBorders>
          </w:tcPr>
          <w:p w14:paraId="4A76BB4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0.00</w:t>
            </w:r>
          </w:p>
        </w:tc>
        <w:tc>
          <w:tcPr>
            <w:tcW w:w="335" w:type="pct"/>
            <w:tcBorders>
              <w:top w:val="nil"/>
              <w:left w:val="nil"/>
              <w:bottom w:val="nil"/>
              <w:right w:val="nil"/>
            </w:tcBorders>
          </w:tcPr>
          <w:p w14:paraId="47FB054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nil"/>
              <w:right w:val="nil"/>
            </w:tcBorders>
          </w:tcPr>
          <w:p w14:paraId="040766D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-0.05**</w:t>
            </w:r>
          </w:p>
        </w:tc>
        <w:tc>
          <w:tcPr>
            <w:tcW w:w="312" w:type="pct"/>
            <w:tcBorders>
              <w:top w:val="nil"/>
              <w:left w:val="nil"/>
              <w:bottom w:val="nil"/>
              <w:right w:val="nil"/>
            </w:tcBorders>
          </w:tcPr>
          <w:p w14:paraId="2B020AD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0.00</w:t>
            </w:r>
          </w:p>
        </w:tc>
        <w:tc>
          <w:tcPr>
            <w:tcW w:w="312" w:type="pct"/>
            <w:tcBorders>
              <w:top w:val="nil"/>
              <w:left w:val="nil"/>
              <w:bottom w:val="nil"/>
              <w:right w:val="nil"/>
            </w:tcBorders>
          </w:tcPr>
          <w:p w14:paraId="0866E32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-0.18**</w:t>
            </w:r>
          </w:p>
        </w:tc>
        <w:tc>
          <w:tcPr>
            <w:tcW w:w="312" w:type="pct"/>
            <w:tcBorders>
              <w:top w:val="nil"/>
              <w:left w:val="nil"/>
              <w:bottom w:val="nil"/>
              <w:right w:val="nil"/>
            </w:tcBorders>
          </w:tcPr>
          <w:p w14:paraId="6E250B1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-0.15**</w:t>
            </w:r>
          </w:p>
        </w:tc>
        <w:tc>
          <w:tcPr>
            <w:tcW w:w="312" w:type="pct"/>
            <w:tcBorders>
              <w:top w:val="nil"/>
              <w:left w:val="nil"/>
              <w:bottom w:val="nil"/>
              <w:right w:val="nil"/>
            </w:tcBorders>
          </w:tcPr>
          <w:p w14:paraId="1E28170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nil"/>
              <w:right w:val="nil"/>
            </w:tcBorders>
          </w:tcPr>
          <w:p w14:paraId="03072F2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-0.27**</w:t>
            </w:r>
          </w:p>
        </w:tc>
        <w:tc>
          <w:tcPr>
            <w:tcW w:w="312" w:type="pct"/>
            <w:tcBorders>
              <w:top w:val="nil"/>
              <w:left w:val="nil"/>
              <w:bottom w:val="nil"/>
              <w:right w:val="nil"/>
            </w:tcBorders>
          </w:tcPr>
          <w:p w14:paraId="45A8779B"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6B0154F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2D268365"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398B7B8E"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370FC377"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31B83210" w14:textId="77777777" w:rsidTr="00984E59">
        <w:tc>
          <w:tcPr>
            <w:tcW w:w="365" w:type="pct"/>
            <w:tcBorders>
              <w:top w:val="nil"/>
              <w:left w:val="nil"/>
              <w:bottom w:val="nil"/>
              <w:right w:val="nil"/>
            </w:tcBorders>
          </w:tcPr>
          <w:p w14:paraId="5ADD1C5F"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CAPIN</w:t>
            </w:r>
          </w:p>
        </w:tc>
        <w:tc>
          <w:tcPr>
            <w:tcW w:w="312" w:type="pct"/>
            <w:tcBorders>
              <w:top w:val="nil"/>
              <w:left w:val="nil"/>
              <w:bottom w:val="nil"/>
              <w:right w:val="nil"/>
            </w:tcBorders>
          </w:tcPr>
          <w:p w14:paraId="6F9642A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nil"/>
              <w:right w:val="nil"/>
            </w:tcBorders>
          </w:tcPr>
          <w:p w14:paraId="7287C7D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0.44**</w:t>
            </w:r>
          </w:p>
        </w:tc>
        <w:tc>
          <w:tcPr>
            <w:tcW w:w="312" w:type="pct"/>
            <w:tcBorders>
              <w:top w:val="nil"/>
              <w:left w:val="nil"/>
              <w:bottom w:val="nil"/>
              <w:right w:val="nil"/>
            </w:tcBorders>
          </w:tcPr>
          <w:p w14:paraId="5E0ABF4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35" w:type="pct"/>
            <w:tcBorders>
              <w:top w:val="nil"/>
              <w:left w:val="nil"/>
              <w:bottom w:val="nil"/>
              <w:right w:val="nil"/>
            </w:tcBorders>
          </w:tcPr>
          <w:p w14:paraId="5D57D7F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bottom w:val="nil"/>
              <w:right w:val="nil"/>
            </w:tcBorders>
          </w:tcPr>
          <w:p w14:paraId="0E05C14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bottom w:val="nil"/>
              <w:right w:val="nil"/>
            </w:tcBorders>
          </w:tcPr>
          <w:p w14:paraId="0DD5904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bottom w:val="nil"/>
              <w:right w:val="nil"/>
            </w:tcBorders>
          </w:tcPr>
          <w:p w14:paraId="550BA29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bottom w:val="nil"/>
              <w:right w:val="nil"/>
            </w:tcBorders>
          </w:tcPr>
          <w:p w14:paraId="3A6975A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0.07**</w:t>
            </w:r>
          </w:p>
        </w:tc>
        <w:tc>
          <w:tcPr>
            <w:tcW w:w="312" w:type="pct"/>
            <w:tcBorders>
              <w:top w:val="nil"/>
              <w:left w:val="nil"/>
              <w:bottom w:val="nil"/>
              <w:right w:val="nil"/>
            </w:tcBorders>
          </w:tcPr>
          <w:p w14:paraId="7AD3C96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bottom w:val="nil"/>
              <w:right w:val="nil"/>
            </w:tcBorders>
          </w:tcPr>
          <w:p w14:paraId="29E3768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nil"/>
              <w:right w:val="nil"/>
            </w:tcBorders>
          </w:tcPr>
          <w:p w14:paraId="1646CC5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-0.19**</w:t>
            </w:r>
          </w:p>
        </w:tc>
        <w:tc>
          <w:tcPr>
            <w:tcW w:w="312" w:type="pct"/>
            <w:tcBorders>
              <w:top w:val="nil"/>
              <w:left w:val="nil"/>
              <w:bottom w:val="nil"/>
              <w:right w:val="nil"/>
            </w:tcBorders>
          </w:tcPr>
          <w:p w14:paraId="351B1C3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6C177E84"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312" w:type="pct"/>
            <w:tcBorders>
              <w:top w:val="nil"/>
              <w:left w:val="nil"/>
              <w:bottom w:val="nil"/>
              <w:right w:val="nil"/>
            </w:tcBorders>
          </w:tcPr>
          <w:p w14:paraId="5C5D81CA"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0A491BB2"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0BF90CC8" w14:textId="77777777" w:rsidTr="00984E59">
        <w:tc>
          <w:tcPr>
            <w:tcW w:w="365" w:type="pct"/>
            <w:tcBorders>
              <w:top w:val="nil"/>
              <w:left w:val="nil"/>
              <w:bottom w:val="nil"/>
              <w:right w:val="nil"/>
            </w:tcBorders>
          </w:tcPr>
          <w:p w14:paraId="026564B6"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WGI</w:t>
            </w:r>
          </w:p>
        </w:tc>
        <w:tc>
          <w:tcPr>
            <w:tcW w:w="312" w:type="pct"/>
            <w:tcBorders>
              <w:top w:val="nil"/>
              <w:left w:val="nil"/>
              <w:bottom w:val="nil"/>
              <w:right w:val="nil"/>
            </w:tcBorders>
          </w:tcPr>
          <w:p w14:paraId="06D545E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0.04**</w:t>
            </w:r>
          </w:p>
        </w:tc>
        <w:tc>
          <w:tcPr>
            <w:tcW w:w="312" w:type="pct"/>
            <w:tcBorders>
              <w:top w:val="nil"/>
              <w:left w:val="nil"/>
              <w:bottom w:val="nil"/>
              <w:right w:val="nil"/>
            </w:tcBorders>
          </w:tcPr>
          <w:p w14:paraId="3EE67F3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12" w:type="pct"/>
            <w:tcBorders>
              <w:top w:val="nil"/>
              <w:left w:val="nil"/>
              <w:bottom w:val="nil"/>
              <w:right w:val="nil"/>
            </w:tcBorders>
          </w:tcPr>
          <w:p w14:paraId="2BAB2D7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35" w:type="pct"/>
            <w:tcBorders>
              <w:top w:val="nil"/>
              <w:left w:val="nil"/>
              <w:bottom w:val="nil"/>
              <w:right w:val="nil"/>
            </w:tcBorders>
          </w:tcPr>
          <w:p w14:paraId="60FC56F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-0.08**</w:t>
            </w:r>
          </w:p>
        </w:tc>
        <w:tc>
          <w:tcPr>
            <w:tcW w:w="312" w:type="pct"/>
            <w:tcBorders>
              <w:top w:val="nil"/>
              <w:left w:val="nil"/>
              <w:bottom w:val="nil"/>
              <w:right w:val="nil"/>
            </w:tcBorders>
          </w:tcPr>
          <w:p w14:paraId="4BA1440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-0.21**</w:t>
            </w:r>
          </w:p>
        </w:tc>
        <w:tc>
          <w:tcPr>
            <w:tcW w:w="312" w:type="pct"/>
            <w:tcBorders>
              <w:top w:val="nil"/>
              <w:left w:val="nil"/>
              <w:bottom w:val="nil"/>
              <w:right w:val="nil"/>
            </w:tcBorders>
          </w:tcPr>
          <w:p w14:paraId="04BBBBE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0.07**</w:t>
            </w:r>
          </w:p>
        </w:tc>
        <w:tc>
          <w:tcPr>
            <w:tcW w:w="312" w:type="pct"/>
            <w:tcBorders>
              <w:top w:val="nil"/>
              <w:left w:val="nil"/>
              <w:bottom w:val="nil"/>
              <w:right w:val="nil"/>
            </w:tcBorders>
          </w:tcPr>
          <w:p w14:paraId="3123597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0.14**</w:t>
            </w:r>
          </w:p>
        </w:tc>
        <w:tc>
          <w:tcPr>
            <w:tcW w:w="312" w:type="pct"/>
            <w:tcBorders>
              <w:top w:val="nil"/>
              <w:left w:val="nil"/>
              <w:bottom w:val="nil"/>
              <w:right w:val="nil"/>
            </w:tcBorders>
          </w:tcPr>
          <w:p w14:paraId="342C02F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-0.12**</w:t>
            </w:r>
          </w:p>
        </w:tc>
        <w:tc>
          <w:tcPr>
            <w:tcW w:w="312" w:type="pct"/>
            <w:tcBorders>
              <w:top w:val="nil"/>
              <w:left w:val="nil"/>
              <w:bottom w:val="nil"/>
              <w:right w:val="nil"/>
            </w:tcBorders>
          </w:tcPr>
          <w:p w14:paraId="1779DA2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nil"/>
              <w:right w:val="nil"/>
            </w:tcBorders>
          </w:tcPr>
          <w:p w14:paraId="38B2D4A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-0.05**</w:t>
            </w:r>
          </w:p>
        </w:tc>
        <w:tc>
          <w:tcPr>
            <w:tcW w:w="312" w:type="pct"/>
            <w:tcBorders>
              <w:top w:val="nil"/>
              <w:left w:val="nil"/>
              <w:bottom w:val="nil"/>
              <w:right w:val="nil"/>
            </w:tcBorders>
          </w:tcPr>
          <w:p w14:paraId="3F94ACE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nil"/>
              <w:right w:val="nil"/>
            </w:tcBorders>
          </w:tcPr>
          <w:p w14:paraId="45BA40D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nil"/>
              <w:right w:val="nil"/>
            </w:tcBorders>
          </w:tcPr>
          <w:p w14:paraId="1557061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312" w:type="pct"/>
            <w:tcBorders>
              <w:top w:val="nil"/>
              <w:left w:val="nil"/>
              <w:bottom w:val="nil"/>
              <w:right w:val="nil"/>
            </w:tcBorders>
          </w:tcPr>
          <w:p w14:paraId="4690CBB0"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c>
          <w:tcPr>
            <w:tcW w:w="244" w:type="pct"/>
            <w:tcBorders>
              <w:top w:val="nil"/>
              <w:left w:val="nil"/>
              <w:bottom w:val="nil"/>
              <w:right w:val="nil"/>
            </w:tcBorders>
          </w:tcPr>
          <w:p w14:paraId="3BE2EF09" w14:textId="77777777" w:rsidR="00984E59" w:rsidRPr="008D1D53" w:rsidRDefault="00984E59" w:rsidP="00295B36">
            <w:pPr>
              <w:widowControl w:val="0"/>
              <w:autoSpaceDE w:val="0"/>
              <w:autoSpaceDN w:val="0"/>
              <w:adjustRightInd w:val="0"/>
              <w:spacing w:after="0" w:line="240" w:lineRule="auto"/>
              <w:jc w:val="right"/>
              <w:rPr>
                <w:rFonts w:ascii="Times New Roman" w:hAnsi="Times New Roman"/>
                <w:sz w:val="18"/>
                <w:szCs w:val="18"/>
                <w:lang w:val="en-US"/>
              </w:rPr>
            </w:pPr>
          </w:p>
        </w:tc>
      </w:tr>
      <w:tr w:rsidR="00984E59" w:rsidRPr="008D1D53" w14:paraId="5ECA42DE" w14:textId="77777777" w:rsidTr="00984E59">
        <w:tc>
          <w:tcPr>
            <w:tcW w:w="365" w:type="pct"/>
            <w:tcBorders>
              <w:top w:val="nil"/>
              <w:left w:val="nil"/>
              <w:right w:val="nil"/>
            </w:tcBorders>
          </w:tcPr>
          <w:p w14:paraId="6C6C0655"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GDP</w:t>
            </w:r>
          </w:p>
        </w:tc>
        <w:tc>
          <w:tcPr>
            <w:tcW w:w="312" w:type="pct"/>
            <w:tcBorders>
              <w:top w:val="nil"/>
              <w:left w:val="nil"/>
              <w:right w:val="nil"/>
            </w:tcBorders>
          </w:tcPr>
          <w:p w14:paraId="073BD52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0.15**</w:t>
            </w:r>
          </w:p>
        </w:tc>
        <w:tc>
          <w:tcPr>
            <w:tcW w:w="312" w:type="pct"/>
            <w:tcBorders>
              <w:top w:val="nil"/>
              <w:left w:val="nil"/>
              <w:right w:val="nil"/>
            </w:tcBorders>
          </w:tcPr>
          <w:p w14:paraId="1D6C1C5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0.04**</w:t>
            </w:r>
          </w:p>
        </w:tc>
        <w:tc>
          <w:tcPr>
            <w:tcW w:w="312" w:type="pct"/>
            <w:tcBorders>
              <w:top w:val="nil"/>
              <w:left w:val="nil"/>
              <w:right w:val="nil"/>
            </w:tcBorders>
          </w:tcPr>
          <w:p w14:paraId="57882F23"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-0.13**</w:t>
            </w:r>
          </w:p>
        </w:tc>
        <w:tc>
          <w:tcPr>
            <w:tcW w:w="335" w:type="pct"/>
            <w:tcBorders>
              <w:top w:val="nil"/>
              <w:left w:val="nil"/>
              <w:right w:val="nil"/>
            </w:tcBorders>
          </w:tcPr>
          <w:p w14:paraId="1E85436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right w:val="nil"/>
            </w:tcBorders>
          </w:tcPr>
          <w:p w14:paraId="7976CF2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right w:val="nil"/>
            </w:tcBorders>
          </w:tcPr>
          <w:p w14:paraId="5DF51E9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right w:val="nil"/>
            </w:tcBorders>
          </w:tcPr>
          <w:p w14:paraId="1FA3A5EE"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right w:val="nil"/>
            </w:tcBorders>
          </w:tcPr>
          <w:p w14:paraId="642166D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right w:val="nil"/>
            </w:tcBorders>
          </w:tcPr>
          <w:p w14:paraId="7073159A"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0.17**</w:t>
            </w:r>
          </w:p>
        </w:tc>
        <w:tc>
          <w:tcPr>
            <w:tcW w:w="312" w:type="pct"/>
            <w:tcBorders>
              <w:top w:val="nil"/>
              <w:left w:val="nil"/>
              <w:right w:val="nil"/>
            </w:tcBorders>
          </w:tcPr>
          <w:p w14:paraId="0A10AA7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right w:val="nil"/>
            </w:tcBorders>
          </w:tcPr>
          <w:p w14:paraId="3C6736F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right w:val="nil"/>
            </w:tcBorders>
          </w:tcPr>
          <w:p w14:paraId="5EB4AF58"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0.03**</w:t>
            </w:r>
          </w:p>
        </w:tc>
        <w:tc>
          <w:tcPr>
            <w:tcW w:w="312" w:type="pct"/>
            <w:tcBorders>
              <w:top w:val="nil"/>
              <w:left w:val="nil"/>
              <w:right w:val="nil"/>
            </w:tcBorders>
          </w:tcPr>
          <w:p w14:paraId="54B7A85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-0.05**</w:t>
            </w:r>
          </w:p>
        </w:tc>
        <w:tc>
          <w:tcPr>
            <w:tcW w:w="312" w:type="pct"/>
            <w:tcBorders>
              <w:top w:val="nil"/>
              <w:left w:val="nil"/>
              <w:right w:val="nil"/>
            </w:tcBorders>
          </w:tcPr>
          <w:p w14:paraId="24C22EF5"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c>
          <w:tcPr>
            <w:tcW w:w="244" w:type="pct"/>
            <w:tcBorders>
              <w:top w:val="nil"/>
              <w:left w:val="nil"/>
              <w:right w:val="nil"/>
            </w:tcBorders>
          </w:tcPr>
          <w:p w14:paraId="4890319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p>
        </w:tc>
      </w:tr>
      <w:tr w:rsidR="00984E59" w:rsidRPr="008D1D53" w14:paraId="33771553" w14:textId="77777777" w:rsidTr="00984E59">
        <w:tc>
          <w:tcPr>
            <w:tcW w:w="365" w:type="pct"/>
            <w:tcBorders>
              <w:top w:val="nil"/>
              <w:left w:val="nil"/>
              <w:bottom w:val="single" w:sz="12" w:space="0" w:color="auto"/>
              <w:right w:val="nil"/>
            </w:tcBorders>
          </w:tcPr>
          <w:p w14:paraId="10742B86" w14:textId="77777777" w:rsidR="00984E59" w:rsidRPr="008D1D53"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INF</w:t>
            </w:r>
          </w:p>
        </w:tc>
        <w:tc>
          <w:tcPr>
            <w:tcW w:w="312" w:type="pct"/>
            <w:tcBorders>
              <w:top w:val="nil"/>
              <w:left w:val="nil"/>
              <w:bottom w:val="single" w:sz="12" w:space="0" w:color="auto"/>
              <w:right w:val="nil"/>
            </w:tcBorders>
          </w:tcPr>
          <w:p w14:paraId="53B6643B"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single" w:sz="12" w:space="0" w:color="auto"/>
              <w:right w:val="nil"/>
            </w:tcBorders>
          </w:tcPr>
          <w:p w14:paraId="1730204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12" w:type="pct"/>
            <w:tcBorders>
              <w:top w:val="nil"/>
              <w:left w:val="nil"/>
              <w:bottom w:val="single" w:sz="12" w:space="0" w:color="auto"/>
              <w:right w:val="nil"/>
            </w:tcBorders>
          </w:tcPr>
          <w:p w14:paraId="2C51F18C"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-0.09**</w:t>
            </w:r>
          </w:p>
        </w:tc>
        <w:tc>
          <w:tcPr>
            <w:tcW w:w="335" w:type="pct"/>
            <w:tcBorders>
              <w:top w:val="nil"/>
              <w:left w:val="nil"/>
              <w:bottom w:val="single" w:sz="12" w:space="0" w:color="auto"/>
              <w:right w:val="nil"/>
            </w:tcBorders>
          </w:tcPr>
          <w:p w14:paraId="5EAC4779"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-0.06**</w:t>
            </w:r>
          </w:p>
        </w:tc>
        <w:tc>
          <w:tcPr>
            <w:tcW w:w="312" w:type="pct"/>
            <w:tcBorders>
              <w:top w:val="nil"/>
              <w:left w:val="nil"/>
              <w:bottom w:val="single" w:sz="12" w:space="0" w:color="auto"/>
              <w:right w:val="nil"/>
            </w:tcBorders>
          </w:tcPr>
          <w:p w14:paraId="123ECEF7"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single" w:sz="12" w:space="0" w:color="auto"/>
              <w:right w:val="nil"/>
            </w:tcBorders>
          </w:tcPr>
          <w:p w14:paraId="0E96A3B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0.01</w:t>
            </w:r>
          </w:p>
        </w:tc>
        <w:tc>
          <w:tcPr>
            <w:tcW w:w="312" w:type="pct"/>
            <w:tcBorders>
              <w:top w:val="nil"/>
              <w:left w:val="nil"/>
              <w:bottom w:val="single" w:sz="12" w:space="0" w:color="auto"/>
              <w:right w:val="nil"/>
            </w:tcBorders>
          </w:tcPr>
          <w:p w14:paraId="4412552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0.08**</w:t>
            </w:r>
          </w:p>
        </w:tc>
        <w:tc>
          <w:tcPr>
            <w:tcW w:w="312" w:type="pct"/>
            <w:tcBorders>
              <w:top w:val="nil"/>
              <w:left w:val="nil"/>
              <w:bottom w:val="single" w:sz="12" w:space="0" w:color="auto"/>
              <w:right w:val="nil"/>
            </w:tcBorders>
          </w:tcPr>
          <w:p w14:paraId="0E58A3B0"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bottom w:val="single" w:sz="12" w:space="0" w:color="auto"/>
              <w:right w:val="nil"/>
            </w:tcBorders>
          </w:tcPr>
          <w:p w14:paraId="798C6276"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0.15**</w:t>
            </w:r>
          </w:p>
        </w:tc>
        <w:tc>
          <w:tcPr>
            <w:tcW w:w="312" w:type="pct"/>
            <w:tcBorders>
              <w:top w:val="nil"/>
              <w:left w:val="nil"/>
              <w:bottom w:val="single" w:sz="12" w:space="0" w:color="auto"/>
              <w:right w:val="nil"/>
            </w:tcBorders>
          </w:tcPr>
          <w:p w14:paraId="19AA4CAB"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0.02</w:t>
            </w:r>
          </w:p>
        </w:tc>
        <w:tc>
          <w:tcPr>
            <w:tcW w:w="312" w:type="pct"/>
            <w:tcBorders>
              <w:top w:val="nil"/>
              <w:left w:val="nil"/>
              <w:bottom w:val="single" w:sz="12" w:space="0" w:color="auto"/>
              <w:right w:val="nil"/>
            </w:tcBorders>
          </w:tcPr>
          <w:p w14:paraId="354C0314"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-0.17**</w:t>
            </w:r>
          </w:p>
        </w:tc>
        <w:tc>
          <w:tcPr>
            <w:tcW w:w="312" w:type="pct"/>
            <w:tcBorders>
              <w:top w:val="nil"/>
              <w:left w:val="nil"/>
              <w:bottom w:val="single" w:sz="12" w:space="0" w:color="auto"/>
              <w:right w:val="nil"/>
            </w:tcBorders>
          </w:tcPr>
          <w:p w14:paraId="401EF0A1"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0.11**</w:t>
            </w:r>
          </w:p>
        </w:tc>
        <w:tc>
          <w:tcPr>
            <w:tcW w:w="312" w:type="pct"/>
            <w:tcBorders>
              <w:top w:val="nil"/>
              <w:left w:val="nil"/>
              <w:bottom w:val="single" w:sz="12" w:space="0" w:color="auto"/>
              <w:right w:val="nil"/>
            </w:tcBorders>
          </w:tcPr>
          <w:p w14:paraId="7E022C92"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-0.37**</w:t>
            </w:r>
          </w:p>
        </w:tc>
        <w:tc>
          <w:tcPr>
            <w:tcW w:w="312" w:type="pct"/>
            <w:tcBorders>
              <w:top w:val="nil"/>
              <w:left w:val="nil"/>
              <w:bottom w:val="single" w:sz="12" w:space="0" w:color="auto"/>
              <w:right w:val="nil"/>
            </w:tcBorders>
          </w:tcPr>
          <w:p w14:paraId="3474E64F"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0.17**</w:t>
            </w:r>
          </w:p>
        </w:tc>
        <w:tc>
          <w:tcPr>
            <w:tcW w:w="244" w:type="pct"/>
            <w:tcBorders>
              <w:top w:val="nil"/>
              <w:left w:val="nil"/>
              <w:bottom w:val="single" w:sz="12" w:space="0" w:color="auto"/>
              <w:right w:val="nil"/>
            </w:tcBorders>
          </w:tcPr>
          <w:p w14:paraId="03B4358D" w14:textId="77777777" w:rsidR="00984E59" w:rsidRPr="008D1D53" w:rsidRDefault="00984E59" w:rsidP="00295B36">
            <w:pPr>
              <w:widowControl w:val="0"/>
              <w:tabs>
                <w:tab w:val="decimal" w:pos="196"/>
              </w:tabs>
              <w:autoSpaceDE w:val="0"/>
              <w:autoSpaceDN w:val="0"/>
              <w:adjustRightInd w:val="0"/>
              <w:spacing w:after="0" w:line="240" w:lineRule="auto"/>
              <w:rPr>
                <w:rFonts w:ascii="Times New Roman" w:hAnsi="Times New Roman"/>
                <w:sz w:val="18"/>
                <w:szCs w:val="18"/>
                <w:lang w:val="en-US"/>
              </w:rPr>
            </w:pPr>
            <w:r w:rsidRPr="008D1D53">
              <w:rPr>
                <w:rFonts w:ascii="Times New Roman" w:hAnsi="Times New Roman"/>
                <w:sz w:val="18"/>
                <w:szCs w:val="18"/>
                <w:lang w:val="en-US"/>
              </w:rPr>
              <w:t>1.00</w:t>
            </w:r>
          </w:p>
        </w:tc>
      </w:tr>
      <w:tr w:rsidR="00984E59" w:rsidRPr="008E3FE6" w14:paraId="3186ABF7" w14:textId="77777777" w:rsidTr="00984E59">
        <w:tc>
          <w:tcPr>
            <w:tcW w:w="5000" w:type="pct"/>
            <w:gridSpan w:val="16"/>
            <w:tcBorders>
              <w:top w:val="single" w:sz="12" w:space="0" w:color="auto"/>
              <w:left w:val="nil"/>
              <w:right w:val="nil"/>
            </w:tcBorders>
          </w:tcPr>
          <w:p w14:paraId="7A79E658" w14:textId="77777777" w:rsidR="00984E59" w:rsidRPr="008D1D53" w:rsidRDefault="00984E59" w:rsidP="00295B36">
            <w:pPr>
              <w:autoSpaceDE w:val="0"/>
              <w:autoSpaceDN w:val="0"/>
              <w:adjustRightInd w:val="0"/>
              <w:spacing w:after="0" w:line="240" w:lineRule="auto"/>
              <w:jc w:val="both"/>
              <w:rPr>
                <w:rFonts w:ascii="Times New Roman" w:hAnsi="Times New Roman"/>
                <w:sz w:val="18"/>
                <w:szCs w:val="18"/>
                <w:lang w:val="en-US"/>
              </w:rPr>
            </w:pPr>
            <w:r w:rsidRPr="00AF4487">
              <w:rPr>
                <w:rFonts w:ascii="Times New Roman" w:hAnsi="Times New Roman"/>
                <w:sz w:val="20"/>
                <w:szCs w:val="20"/>
                <w:lang w:val="en-US"/>
              </w:rPr>
              <w:t xml:space="preserve">** Correlation is significant at the 0.01 level (2-tailed), * correlation is significant at the 0.05 level (2-tailed). </w:t>
            </w:r>
          </w:p>
        </w:tc>
      </w:tr>
    </w:tbl>
    <w:p w14:paraId="167FEF16" w14:textId="77777777" w:rsidR="00984E59" w:rsidRPr="00E22AA5" w:rsidRDefault="00984E59" w:rsidP="00984E59">
      <w:pPr>
        <w:rPr>
          <w:lang w:val="en-US"/>
        </w:rPr>
        <w:sectPr w:rsidR="00984E59" w:rsidRPr="00E22AA5" w:rsidSect="00295B36">
          <w:pgSz w:w="15840" w:h="12240" w:orient="landscape"/>
          <w:pgMar w:top="1699" w:right="1138" w:bottom="850" w:left="1138" w:header="720" w:footer="720" w:gutter="0"/>
          <w:cols w:space="720"/>
          <w:noEndnote/>
        </w:sectPr>
      </w:pPr>
    </w:p>
    <w:p w14:paraId="4503D5FD" w14:textId="77777777" w:rsidR="00984E59" w:rsidRPr="00AF4487" w:rsidRDefault="00984E59" w:rsidP="00984E59">
      <w:pPr>
        <w:spacing w:after="0" w:line="240" w:lineRule="auto"/>
        <w:jc w:val="both"/>
        <w:rPr>
          <w:rFonts w:ascii="Times New Roman" w:hAnsi="Times New Roman"/>
          <w:i/>
          <w:lang w:val="en-US"/>
        </w:rPr>
      </w:pPr>
      <w:r w:rsidRPr="00AF4487">
        <w:rPr>
          <w:rFonts w:ascii="Times New Roman" w:hAnsi="Times New Roman"/>
          <w:i/>
          <w:lang w:val="en-US"/>
        </w:rPr>
        <w:lastRenderedPageBreak/>
        <w:t>Table 6. Impacts of carbon performance, climate change initiatives, and board sustainability committees on market value</w:t>
      </w:r>
    </w:p>
    <w:p w14:paraId="3F353130" w14:textId="77777777" w:rsidR="00984E59" w:rsidRDefault="00984E59" w:rsidP="00984E59">
      <w:pPr>
        <w:spacing w:after="100" w:afterAutospacing="1"/>
        <w:contextualSpacing/>
        <w:jc w:val="both"/>
        <w:rPr>
          <w:lang w:val="en-US"/>
        </w:rPr>
      </w:pPr>
      <w:r w:rsidRPr="00AF4487">
        <w:rPr>
          <w:rFonts w:ascii="Times New Roman" w:hAnsi="Times New Roman"/>
          <w:lang w:val="en-US"/>
        </w:rPr>
        <w:t xml:space="preserve">This table reports the regression results of carbon performance, climate change initiatives, and sustainability committees on market value. All variables are defined and measured in Table 3. </w:t>
      </w:r>
      <w:r w:rsidRPr="00AF4487">
        <w:rPr>
          <w:rFonts w:ascii="Times New Roman" w:hAnsi="Times New Roman"/>
          <w:i/>
          <w:lang w:val="en-US"/>
        </w:rPr>
        <w:t>t</w:t>
      </w:r>
      <w:r w:rsidRPr="00AF4487">
        <w:rPr>
          <w:rFonts w:ascii="Times New Roman" w:hAnsi="Times New Roman"/>
          <w:lang w:val="en-US"/>
        </w:rPr>
        <w:t>-statistics estimated using robust standard errors are reported in parentheses.</w:t>
      </w:r>
    </w:p>
    <w:tbl>
      <w:tblPr>
        <w:tblW w:w="5000" w:type="pct"/>
        <w:tblLook w:val="0000" w:firstRow="0" w:lastRow="0" w:firstColumn="0" w:lastColumn="0" w:noHBand="0" w:noVBand="0"/>
      </w:tblPr>
      <w:tblGrid>
        <w:gridCol w:w="2705"/>
        <w:gridCol w:w="1330"/>
        <w:gridCol w:w="1330"/>
        <w:gridCol w:w="1330"/>
        <w:gridCol w:w="1330"/>
        <w:gridCol w:w="1330"/>
      </w:tblGrid>
      <w:tr w:rsidR="00984E59" w:rsidRPr="002C1DF6" w14:paraId="426E69C3" w14:textId="77777777" w:rsidTr="00984E59">
        <w:tc>
          <w:tcPr>
            <w:tcW w:w="1445" w:type="pct"/>
            <w:tcBorders>
              <w:top w:val="single" w:sz="12" w:space="0" w:color="auto"/>
              <w:left w:val="nil"/>
              <w:bottom w:val="nil"/>
              <w:right w:val="nil"/>
            </w:tcBorders>
          </w:tcPr>
          <w:p w14:paraId="76ACD5F3"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single" w:sz="12" w:space="0" w:color="auto"/>
              <w:left w:val="nil"/>
              <w:bottom w:val="nil"/>
              <w:right w:val="nil"/>
            </w:tcBorders>
          </w:tcPr>
          <w:p w14:paraId="5F98D17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w:t>
            </w:r>
          </w:p>
        </w:tc>
        <w:tc>
          <w:tcPr>
            <w:tcW w:w="711" w:type="pct"/>
            <w:tcBorders>
              <w:top w:val="single" w:sz="12" w:space="0" w:color="auto"/>
              <w:left w:val="nil"/>
              <w:bottom w:val="nil"/>
              <w:right w:val="nil"/>
            </w:tcBorders>
          </w:tcPr>
          <w:p w14:paraId="04A8F51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w:t>
            </w:r>
          </w:p>
        </w:tc>
        <w:tc>
          <w:tcPr>
            <w:tcW w:w="711" w:type="pct"/>
            <w:tcBorders>
              <w:top w:val="single" w:sz="12" w:space="0" w:color="auto"/>
              <w:left w:val="nil"/>
              <w:bottom w:val="nil"/>
              <w:right w:val="nil"/>
            </w:tcBorders>
          </w:tcPr>
          <w:p w14:paraId="60CF169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w:t>
            </w:r>
          </w:p>
        </w:tc>
        <w:tc>
          <w:tcPr>
            <w:tcW w:w="711" w:type="pct"/>
            <w:tcBorders>
              <w:top w:val="single" w:sz="12" w:space="0" w:color="auto"/>
              <w:left w:val="nil"/>
              <w:bottom w:val="nil"/>
              <w:right w:val="nil"/>
            </w:tcBorders>
          </w:tcPr>
          <w:p w14:paraId="03A1C71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w:t>
            </w:r>
          </w:p>
        </w:tc>
        <w:tc>
          <w:tcPr>
            <w:tcW w:w="711" w:type="pct"/>
            <w:tcBorders>
              <w:top w:val="single" w:sz="12" w:space="0" w:color="auto"/>
              <w:left w:val="nil"/>
              <w:bottom w:val="nil"/>
              <w:right w:val="nil"/>
            </w:tcBorders>
          </w:tcPr>
          <w:p w14:paraId="706088D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(5)</w:t>
            </w:r>
          </w:p>
        </w:tc>
      </w:tr>
      <w:tr w:rsidR="00984E59" w:rsidRPr="002C1DF6" w14:paraId="457CB506" w14:textId="77777777" w:rsidTr="00984E59">
        <w:tc>
          <w:tcPr>
            <w:tcW w:w="1445" w:type="pct"/>
            <w:tcBorders>
              <w:top w:val="nil"/>
              <w:left w:val="nil"/>
              <w:bottom w:val="single" w:sz="8" w:space="0" w:color="auto"/>
              <w:right w:val="nil"/>
            </w:tcBorders>
          </w:tcPr>
          <w:p w14:paraId="20DC2699"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single" w:sz="8" w:space="0" w:color="auto"/>
              <w:right w:val="nil"/>
            </w:tcBorders>
          </w:tcPr>
          <w:p w14:paraId="38C17D5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MV</w:t>
            </w:r>
          </w:p>
        </w:tc>
        <w:tc>
          <w:tcPr>
            <w:tcW w:w="711" w:type="pct"/>
            <w:tcBorders>
              <w:top w:val="nil"/>
              <w:left w:val="nil"/>
              <w:bottom w:val="single" w:sz="8" w:space="0" w:color="auto"/>
              <w:right w:val="nil"/>
            </w:tcBorders>
          </w:tcPr>
          <w:p w14:paraId="71F36B6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MV</w:t>
            </w:r>
          </w:p>
        </w:tc>
        <w:tc>
          <w:tcPr>
            <w:tcW w:w="711" w:type="pct"/>
            <w:tcBorders>
              <w:top w:val="nil"/>
              <w:left w:val="nil"/>
              <w:bottom w:val="single" w:sz="8" w:space="0" w:color="auto"/>
              <w:right w:val="nil"/>
            </w:tcBorders>
          </w:tcPr>
          <w:p w14:paraId="226CD3C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MV</w:t>
            </w:r>
          </w:p>
        </w:tc>
        <w:tc>
          <w:tcPr>
            <w:tcW w:w="711" w:type="pct"/>
            <w:tcBorders>
              <w:top w:val="nil"/>
              <w:left w:val="nil"/>
              <w:bottom w:val="single" w:sz="8" w:space="0" w:color="auto"/>
              <w:right w:val="nil"/>
            </w:tcBorders>
          </w:tcPr>
          <w:p w14:paraId="4404F59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MV</w:t>
            </w:r>
          </w:p>
        </w:tc>
        <w:tc>
          <w:tcPr>
            <w:tcW w:w="711" w:type="pct"/>
            <w:tcBorders>
              <w:top w:val="nil"/>
              <w:left w:val="nil"/>
              <w:bottom w:val="single" w:sz="8" w:space="0" w:color="auto"/>
              <w:right w:val="nil"/>
            </w:tcBorders>
          </w:tcPr>
          <w:p w14:paraId="0D4FB26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MV</w:t>
            </w:r>
          </w:p>
        </w:tc>
      </w:tr>
      <w:tr w:rsidR="00984E59" w:rsidRPr="002C1DF6" w14:paraId="2ACBB4DB" w14:textId="77777777" w:rsidTr="00984E59">
        <w:tc>
          <w:tcPr>
            <w:tcW w:w="1445" w:type="pct"/>
            <w:tcBorders>
              <w:top w:val="single" w:sz="8" w:space="0" w:color="auto"/>
              <w:left w:val="nil"/>
              <w:bottom w:val="nil"/>
              <w:right w:val="nil"/>
            </w:tcBorders>
          </w:tcPr>
          <w:p w14:paraId="5C396E36"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CCPE</w:t>
            </w:r>
          </w:p>
        </w:tc>
        <w:tc>
          <w:tcPr>
            <w:tcW w:w="711" w:type="pct"/>
            <w:tcBorders>
              <w:top w:val="single" w:sz="8" w:space="0" w:color="auto"/>
              <w:left w:val="nil"/>
              <w:bottom w:val="nil"/>
              <w:right w:val="nil"/>
            </w:tcBorders>
          </w:tcPr>
          <w:p w14:paraId="2245EEF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-0.067</w:t>
            </w:r>
            <w:r w:rsidRPr="002C1DF6">
              <w:rPr>
                <w:rFonts w:ascii="Times New Roman" w:hAnsi="Times New Roman"/>
                <w:sz w:val="18"/>
                <w:szCs w:val="18"/>
                <w:vertAlign w:val="superscript"/>
                <w:lang w:val="en-US"/>
              </w:rPr>
              <w:t>***</w:t>
            </w:r>
          </w:p>
        </w:tc>
        <w:tc>
          <w:tcPr>
            <w:tcW w:w="711" w:type="pct"/>
            <w:tcBorders>
              <w:top w:val="single" w:sz="8" w:space="0" w:color="auto"/>
              <w:left w:val="nil"/>
              <w:bottom w:val="nil"/>
              <w:right w:val="nil"/>
            </w:tcBorders>
          </w:tcPr>
          <w:p w14:paraId="6FECB83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single" w:sz="8" w:space="0" w:color="auto"/>
              <w:left w:val="nil"/>
              <w:bottom w:val="nil"/>
              <w:right w:val="nil"/>
            </w:tcBorders>
          </w:tcPr>
          <w:p w14:paraId="676505C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single" w:sz="8" w:space="0" w:color="auto"/>
              <w:left w:val="nil"/>
              <w:bottom w:val="nil"/>
              <w:right w:val="nil"/>
            </w:tcBorders>
          </w:tcPr>
          <w:p w14:paraId="299C7D3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-0.069</w:t>
            </w:r>
            <w:r w:rsidRPr="002C1DF6">
              <w:rPr>
                <w:rFonts w:ascii="Times New Roman" w:hAnsi="Times New Roman"/>
                <w:sz w:val="18"/>
                <w:szCs w:val="18"/>
                <w:vertAlign w:val="superscript"/>
                <w:lang w:val="en-US"/>
              </w:rPr>
              <w:t>***</w:t>
            </w:r>
          </w:p>
        </w:tc>
        <w:tc>
          <w:tcPr>
            <w:tcW w:w="711" w:type="pct"/>
            <w:tcBorders>
              <w:top w:val="single" w:sz="8" w:space="0" w:color="auto"/>
              <w:left w:val="nil"/>
              <w:bottom w:val="nil"/>
              <w:right w:val="nil"/>
            </w:tcBorders>
          </w:tcPr>
          <w:p w14:paraId="737D58F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2C1DF6" w14:paraId="5D098676" w14:textId="77777777" w:rsidTr="00984E59">
        <w:tc>
          <w:tcPr>
            <w:tcW w:w="1445" w:type="pct"/>
            <w:tcBorders>
              <w:top w:val="nil"/>
              <w:left w:val="nil"/>
              <w:bottom w:val="nil"/>
              <w:right w:val="nil"/>
            </w:tcBorders>
          </w:tcPr>
          <w:p w14:paraId="63E61265"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0C5C888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(-9.79)</w:t>
            </w:r>
          </w:p>
        </w:tc>
        <w:tc>
          <w:tcPr>
            <w:tcW w:w="711" w:type="pct"/>
            <w:tcBorders>
              <w:top w:val="nil"/>
              <w:left w:val="nil"/>
              <w:bottom w:val="nil"/>
              <w:right w:val="nil"/>
            </w:tcBorders>
          </w:tcPr>
          <w:p w14:paraId="54EF7D9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02B1C0B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783A91B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(-10.09)</w:t>
            </w:r>
          </w:p>
        </w:tc>
        <w:tc>
          <w:tcPr>
            <w:tcW w:w="711" w:type="pct"/>
            <w:tcBorders>
              <w:top w:val="nil"/>
              <w:left w:val="nil"/>
              <w:bottom w:val="nil"/>
              <w:right w:val="nil"/>
            </w:tcBorders>
          </w:tcPr>
          <w:p w14:paraId="79F592B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2C1DF6" w14:paraId="663DE73A" w14:textId="77777777" w:rsidTr="00984E59">
        <w:tc>
          <w:tcPr>
            <w:tcW w:w="1445" w:type="pct"/>
            <w:tcBorders>
              <w:top w:val="nil"/>
              <w:left w:val="nil"/>
              <w:bottom w:val="nil"/>
              <w:right w:val="nil"/>
            </w:tcBorders>
          </w:tcPr>
          <w:p w14:paraId="517847F0"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p>
        </w:tc>
        <w:tc>
          <w:tcPr>
            <w:tcW w:w="711" w:type="pct"/>
            <w:tcBorders>
              <w:top w:val="nil"/>
              <w:left w:val="nil"/>
              <w:bottom w:val="nil"/>
              <w:right w:val="nil"/>
            </w:tcBorders>
          </w:tcPr>
          <w:p w14:paraId="0E6CB1A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7AE944D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0.002</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6202C3C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1F1D4A7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1BF62C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r w:rsidRPr="002C1DF6">
              <w:rPr>
                <w:rFonts w:ascii="Times New Roman" w:hAnsi="Times New Roman"/>
                <w:sz w:val="18"/>
                <w:szCs w:val="18"/>
                <w:vertAlign w:val="superscript"/>
                <w:lang w:val="en-US"/>
              </w:rPr>
              <w:t>***</w:t>
            </w:r>
          </w:p>
        </w:tc>
      </w:tr>
      <w:tr w:rsidR="00984E59" w:rsidRPr="002C1DF6" w14:paraId="18349C2F" w14:textId="77777777" w:rsidTr="00984E59">
        <w:tc>
          <w:tcPr>
            <w:tcW w:w="1445" w:type="pct"/>
            <w:tcBorders>
              <w:top w:val="nil"/>
              <w:left w:val="nil"/>
              <w:bottom w:val="nil"/>
              <w:right w:val="nil"/>
            </w:tcBorders>
          </w:tcPr>
          <w:p w14:paraId="6FDC81F8"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7973087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D19BE4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(4.16)</w:t>
            </w:r>
          </w:p>
        </w:tc>
        <w:tc>
          <w:tcPr>
            <w:tcW w:w="711" w:type="pct"/>
            <w:tcBorders>
              <w:top w:val="nil"/>
              <w:left w:val="nil"/>
              <w:bottom w:val="nil"/>
              <w:right w:val="nil"/>
            </w:tcBorders>
          </w:tcPr>
          <w:p w14:paraId="6FA5E1B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9D20D1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1A4D07E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(3.59)</w:t>
            </w:r>
          </w:p>
        </w:tc>
      </w:tr>
      <w:tr w:rsidR="00984E59" w:rsidRPr="002C1DF6" w14:paraId="1ADC5D60" w14:textId="77777777" w:rsidTr="00984E59">
        <w:tc>
          <w:tcPr>
            <w:tcW w:w="1445" w:type="pct"/>
            <w:tcBorders>
              <w:top w:val="nil"/>
              <w:left w:val="nil"/>
              <w:bottom w:val="nil"/>
              <w:right w:val="nil"/>
            </w:tcBorders>
          </w:tcPr>
          <w:p w14:paraId="35586F32"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BSCOM</w:t>
            </w:r>
          </w:p>
        </w:tc>
        <w:tc>
          <w:tcPr>
            <w:tcW w:w="711" w:type="pct"/>
            <w:tcBorders>
              <w:top w:val="nil"/>
              <w:left w:val="nil"/>
              <w:bottom w:val="nil"/>
              <w:right w:val="nil"/>
            </w:tcBorders>
          </w:tcPr>
          <w:p w14:paraId="1CAEACE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742AF3C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2ED7E4E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0.055</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2B762FD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0.107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016197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0.063</w:t>
            </w:r>
            <w:r w:rsidRPr="002C1DF6">
              <w:rPr>
                <w:rFonts w:ascii="Times New Roman" w:hAnsi="Times New Roman"/>
                <w:sz w:val="18"/>
                <w:szCs w:val="18"/>
                <w:vertAlign w:val="superscript"/>
                <w:lang w:val="en-US"/>
              </w:rPr>
              <w:t>**</w:t>
            </w:r>
          </w:p>
        </w:tc>
      </w:tr>
      <w:tr w:rsidR="00984E59" w:rsidRPr="002C1DF6" w14:paraId="2CD599B5" w14:textId="77777777" w:rsidTr="00984E59">
        <w:tc>
          <w:tcPr>
            <w:tcW w:w="1445" w:type="pct"/>
            <w:tcBorders>
              <w:top w:val="nil"/>
              <w:left w:val="nil"/>
              <w:bottom w:val="nil"/>
              <w:right w:val="nil"/>
            </w:tcBorders>
          </w:tcPr>
          <w:p w14:paraId="12F6EFB0"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2655F52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AAB88B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31A8349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(2.14)</w:t>
            </w:r>
          </w:p>
        </w:tc>
        <w:tc>
          <w:tcPr>
            <w:tcW w:w="711" w:type="pct"/>
            <w:tcBorders>
              <w:top w:val="nil"/>
              <w:left w:val="nil"/>
              <w:bottom w:val="nil"/>
              <w:right w:val="nil"/>
            </w:tcBorders>
          </w:tcPr>
          <w:p w14:paraId="1CF5439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(4.15)</w:t>
            </w:r>
          </w:p>
        </w:tc>
        <w:tc>
          <w:tcPr>
            <w:tcW w:w="711" w:type="pct"/>
            <w:tcBorders>
              <w:top w:val="nil"/>
              <w:left w:val="nil"/>
              <w:bottom w:val="nil"/>
              <w:right w:val="nil"/>
            </w:tcBorders>
          </w:tcPr>
          <w:p w14:paraId="082FCCE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(2.21)</w:t>
            </w:r>
          </w:p>
        </w:tc>
      </w:tr>
      <w:tr w:rsidR="00984E59" w:rsidRPr="002C1DF6" w14:paraId="220AA57E" w14:textId="77777777" w:rsidTr="00984E59">
        <w:tc>
          <w:tcPr>
            <w:tcW w:w="1445" w:type="pct"/>
            <w:tcBorders>
              <w:top w:val="nil"/>
              <w:left w:val="nil"/>
              <w:bottom w:val="nil"/>
              <w:right w:val="nil"/>
            </w:tcBorders>
          </w:tcPr>
          <w:p w14:paraId="19768707"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CCPE*BSCOM</w:t>
            </w:r>
          </w:p>
        </w:tc>
        <w:tc>
          <w:tcPr>
            <w:tcW w:w="711" w:type="pct"/>
            <w:tcBorders>
              <w:top w:val="nil"/>
              <w:left w:val="nil"/>
              <w:bottom w:val="nil"/>
              <w:right w:val="nil"/>
            </w:tcBorders>
          </w:tcPr>
          <w:p w14:paraId="7326DBF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34D0F34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F11201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5F08E88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0.010</w:t>
            </w:r>
          </w:p>
        </w:tc>
        <w:tc>
          <w:tcPr>
            <w:tcW w:w="711" w:type="pct"/>
            <w:tcBorders>
              <w:top w:val="nil"/>
              <w:left w:val="nil"/>
              <w:bottom w:val="nil"/>
              <w:right w:val="nil"/>
            </w:tcBorders>
          </w:tcPr>
          <w:p w14:paraId="73CD322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2C1DF6" w14:paraId="724B35CB" w14:textId="77777777" w:rsidTr="00984E59">
        <w:tc>
          <w:tcPr>
            <w:tcW w:w="1445" w:type="pct"/>
            <w:tcBorders>
              <w:top w:val="nil"/>
              <w:left w:val="nil"/>
              <w:bottom w:val="nil"/>
              <w:right w:val="nil"/>
            </w:tcBorders>
          </w:tcPr>
          <w:p w14:paraId="0D7B8EA5"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581C087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67C88E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329BF19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238EE24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(0.90)</w:t>
            </w:r>
          </w:p>
        </w:tc>
        <w:tc>
          <w:tcPr>
            <w:tcW w:w="711" w:type="pct"/>
            <w:tcBorders>
              <w:top w:val="nil"/>
              <w:left w:val="nil"/>
              <w:bottom w:val="nil"/>
              <w:right w:val="nil"/>
            </w:tcBorders>
          </w:tcPr>
          <w:p w14:paraId="3B8B83C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2C1DF6" w14:paraId="47F91958" w14:textId="77777777" w:rsidTr="00984E59">
        <w:tc>
          <w:tcPr>
            <w:tcW w:w="1445" w:type="pct"/>
            <w:tcBorders>
              <w:top w:val="nil"/>
              <w:left w:val="nil"/>
              <w:bottom w:val="nil"/>
              <w:right w:val="nil"/>
            </w:tcBorders>
          </w:tcPr>
          <w:p w14:paraId="4A5B980B"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PCCIs*BSCOM</w:t>
            </w:r>
          </w:p>
        </w:tc>
        <w:tc>
          <w:tcPr>
            <w:tcW w:w="711" w:type="pct"/>
            <w:tcBorders>
              <w:top w:val="nil"/>
              <w:left w:val="nil"/>
              <w:bottom w:val="nil"/>
              <w:right w:val="nil"/>
            </w:tcBorders>
          </w:tcPr>
          <w:p w14:paraId="36E4BC0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000E572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1330BC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5E578E2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5FF4A8B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p>
        </w:tc>
      </w:tr>
      <w:tr w:rsidR="00984E59" w:rsidRPr="002C1DF6" w14:paraId="2F445780" w14:textId="77777777" w:rsidTr="00984E59">
        <w:tc>
          <w:tcPr>
            <w:tcW w:w="1445" w:type="pct"/>
            <w:tcBorders>
              <w:top w:val="nil"/>
              <w:left w:val="nil"/>
              <w:bottom w:val="nil"/>
              <w:right w:val="nil"/>
            </w:tcBorders>
          </w:tcPr>
          <w:p w14:paraId="3A4E2CE5"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641D248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4D1053D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066D73C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2FFEE81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711" w:type="pct"/>
            <w:tcBorders>
              <w:top w:val="nil"/>
              <w:left w:val="nil"/>
              <w:bottom w:val="nil"/>
              <w:right w:val="nil"/>
            </w:tcBorders>
          </w:tcPr>
          <w:p w14:paraId="6119A10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(1.27)</w:t>
            </w:r>
          </w:p>
        </w:tc>
      </w:tr>
      <w:tr w:rsidR="00984E59" w:rsidRPr="002C1DF6" w14:paraId="35450128" w14:textId="77777777" w:rsidTr="00984E59">
        <w:tc>
          <w:tcPr>
            <w:tcW w:w="1445" w:type="pct"/>
            <w:tcBorders>
              <w:top w:val="nil"/>
              <w:left w:val="nil"/>
              <w:bottom w:val="nil"/>
              <w:right w:val="nil"/>
            </w:tcBorders>
          </w:tcPr>
          <w:p w14:paraId="6BDD92ED"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BSIZE</w:t>
            </w:r>
          </w:p>
        </w:tc>
        <w:tc>
          <w:tcPr>
            <w:tcW w:w="711" w:type="pct"/>
            <w:tcBorders>
              <w:top w:val="nil"/>
              <w:left w:val="nil"/>
              <w:bottom w:val="nil"/>
              <w:right w:val="nil"/>
            </w:tcBorders>
          </w:tcPr>
          <w:p w14:paraId="2E5A8E9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0.050</w:t>
            </w:r>
          </w:p>
        </w:tc>
        <w:tc>
          <w:tcPr>
            <w:tcW w:w="711" w:type="pct"/>
            <w:tcBorders>
              <w:top w:val="nil"/>
              <w:left w:val="nil"/>
              <w:bottom w:val="nil"/>
              <w:right w:val="nil"/>
            </w:tcBorders>
          </w:tcPr>
          <w:p w14:paraId="631D713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0.047</w:t>
            </w:r>
          </w:p>
        </w:tc>
        <w:tc>
          <w:tcPr>
            <w:tcW w:w="711" w:type="pct"/>
            <w:tcBorders>
              <w:top w:val="nil"/>
              <w:left w:val="nil"/>
              <w:bottom w:val="nil"/>
              <w:right w:val="nil"/>
            </w:tcBorders>
          </w:tcPr>
          <w:p w14:paraId="7B8CA7C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0.053</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E0CD5C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0.048</w:t>
            </w:r>
          </w:p>
        </w:tc>
        <w:tc>
          <w:tcPr>
            <w:tcW w:w="711" w:type="pct"/>
            <w:tcBorders>
              <w:top w:val="nil"/>
              <w:left w:val="nil"/>
              <w:bottom w:val="nil"/>
              <w:right w:val="nil"/>
            </w:tcBorders>
          </w:tcPr>
          <w:p w14:paraId="2D73245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0.048</w:t>
            </w:r>
          </w:p>
        </w:tc>
      </w:tr>
      <w:tr w:rsidR="00984E59" w:rsidRPr="002C1DF6" w14:paraId="04C46506" w14:textId="77777777" w:rsidTr="00984E59">
        <w:tc>
          <w:tcPr>
            <w:tcW w:w="1445" w:type="pct"/>
            <w:tcBorders>
              <w:top w:val="nil"/>
              <w:left w:val="nil"/>
              <w:bottom w:val="nil"/>
              <w:right w:val="nil"/>
            </w:tcBorders>
          </w:tcPr>
          <w:p w14:paraId="334A2B2E"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3F6760C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(1.63)</w:t>
            </w:r>
          </w:p>
        </w:tc>
        <w:tc>
          <w:tcPr>
            <w:tcW w:w="711" w:type="pct"/>
            <w:tcBorders>
              <w:top w:val="nil"/>
              <w:left w:val="nil"/>
              <w:bottom w:val="nil"/>
              <w:right w:val="nil"/>
            </w:tcBorders>
          </w:tcPr>
          <w:p w14:paraId="7BF8565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(1.56)</w:t>
            </w:r>
          </w:p>
        </w:tc>
        <w:tc>
          <w:tcPr>
            <w:tcW w:w="711" w:type="pct"/>
            <w:tcBorders>
              <w:top w:val="nil"/>
              <w:left w:val="nil"/>
              <w:bottom w:val="nil"/>
              <w:right w:val="nil"/>
            </w:tcBorders>
          </w:tcPr>
          <w:p w14:paraId="0114E2E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(1.75)</w:t>
            </w:r>
          </w:p>
        </w:tc>
        <w:tc>
          <w:tcPr>
            <w:tcW w:w="711" w:type="pct"/>
            <w:tcBorders>
              <w:top w:val="nil"/>
              <w:left w:val="nil"/>
              <w:bottom w:val="nil"/>
              <w:right w:val="nil"/>
            </w:tcBorders>
          </w:tcPr>
          <w:p w14:paraId="1950B01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(1.57)</w:t>
            </w:r>
          </w:p>
        </w:tc>
        <w:tc>
          <w:tcPr>
            <w:tcW w:w="711" w:type="pct"/>
            <w:tcBorders>
              <w:top w:val="nil"/>
              <w:left w:val="nil"/>
              <w:bottom w:val="nil"/>
              <w:right w:val="nil"/>
            </w:tcBorders>
          </w:tcPr>
          <w:p w14:paraId="477F96A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(1.57)</w:t>
            </w:r>
          </w:p>
        </w:tc>
      </w:tr>
      <w:tr w:rsidR="00984E59" w:rsidRPr="002C1DF6" w14:paraId="60534F9B" w14:textId="77777777" w:rsidTr="00984E59">
        <w:tc>
          <w:tcPr>
            <w:tcW w:w="1445" w:type="pct"/>
            <w:tcBorders>
              <w:top w:val="nil"/>
              <w:left w:val="nil"/>
              <w:bottom w:val="nil"/>
              <w:right w:val="nil"/>
            </w:tcBorders>
          </w:tcPr>
          <w:p w14:paraId="7D643DD7"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INDIR</w:t>
            </w:r>
          </w:p>
        </w:tc>
        <w:tc>
          <w:tcPr>
            <w:tcW w:w="711" w:type="pct"/>
            <w:tcBorders>
              <w:top w:val="nil"/>
              <w:left w:val="nil"/>
              <w:bottom w:val="nil"/>
              <w:right w:val="nil"/>
            </w:tcBorders>
          </w:tcPr>
          <w:p w14:paraId="09A556D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2700778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7F73E1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431567A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273611B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r w:rsidRPr="002C1DF6">
              <w:rPr>
                <w:rFonts w:ascii="Times New Roman" w:hAnsi="Times New Roman"/>
                <w:sz w:val="18"/>
                <w:szCs w:val="18"/>
                <w:vertAlign w:val="superscript"/>
                <w:lang w:val="en-US"/>
              </w:rPr>
              <w:t>***</w:t>
            </w:r>
          </w:p>
        </w:tc>
      </w:tr>
      <w:tr w:rsidR="00984E59" w:rsidRPr="002C1DF6" w14:paraId="0BF0B26E" w14:textId="77777777" w:rsidTr="00984E59">
        <w:tc>
          <w:tcPr>
            <w:tcW w:w="1445" w:type="pct"/>
            <w:tcBorders>
              <w:top w:val="nil"/>
              <w:left w:val="nil"/>
              <w:bottom w:val="nil"/>
              <w:right w:val="nil"/>
            </w:tcBorders>
          </w:tcPr>
          <w:p w14:paraId="7721E63D"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6A8AB8C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(-0.70)</w:t>
            </w:r>
          </w:p>
        </w:tc>
        <w:tc>
          <w:tcPr>
            <w:tcW w:w="711" w:type="pct"/>
            <w:tcBorders>
              <w:top w:val="nil"/>
              <w:left w:val="nil"/>
              <w:bottom w:val="nil"/>
              <w:right w:val="nil"/>
            </w:tcBorders>
          </w:tcPr>
          <w:p w14:paraId="66E0A06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(-2.55)</w:t>
            </w:r>
          </w:p>
        </w:tc>
        <w:tc>
          <w:tcPr>
            <w:tcW w:w="711" w:type="pct"/>
            <w:tcBorders>
              <w:top w:val="nil"/>
              <w:left w:val="nil"/>
              <w:bottom w:val="nil"/>
              <w:right w:val="nil"/>
            </w:tcBorders>
          </w:tcPr>
          <w:p w14:paraId="5276B35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(-2.36)</w:t>
            </w:r>
          </w:p>
        </w:tc>
        <w:tc>
          <w:tcPr>
            <w:tcW w:w="711" w:type="pct"/>
            <w:tcBorders>
              <w:top w:val="nil"/>
              <w:left w:val="nil"/>
              <w:bottom w:val="nil"/>
              <w:right w:val="nil"/>
            </w:tcBorders>
          </w:tcPr>
          <w:p w14:paraId="2ECBBAB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(-0.92)</w:t>
            </w:r>
          </w:p>
        </w:tc>
        <w:tc>
          <w:tcPr>
            <w:tcW w:w="711" w:type="pct"/>
            <w:tcBorders>
              <w:top w:val="nil"/>
              <w:left w:val="nil"/>
              <w:bottom w:val="nil"/>
              <w:right w:val="nil"/>
            </w:tcBorders>
          </w:tcPr>
          <w:p w14:paraId="58C8018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(-2.65)</w:t>
            </w:r>
          </w:p>
        </w:tc>
      </w:tr>
      <w:tr w:rsidR="00984E59" w:rsidRPr="002C1DF6" w14:paraId="33ACF7FB" w14:textId="77777777" w:rsidTr="00984E59">
        <w:tc>
          <w:tcPr>
            <w:tcW w:w="1445" w:type="pct"/>
            <w:tcBorders>
              <w:top w:val="nil"/>
              <w:left w:val="nil"/>
              <w:bottom w:val="nil"/>
              <w:right w:val="nil"/>
            </w:tcBorders>
          </w:tcPr>
          <w:p w14:paraId="2BF9D385"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BGEN</w:t>
            </w:r>
          </w:p>
        </w:tc>
        <w:tc>
          <w:tcPr>
            <w:tcW w:w="711" w:type="pct"/>
            <w:tcBorders>
              <w:top w:val="nil"/>
              <w:left w:val="nil"/>
              <w:bottom w:val="nil"/>
              <w:right w:val="nil"/>
            </w:tcBorders>
          </w:tcPr>
          <w:p w14:paraId="2A34599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0.004</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355D487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0.004</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6B13AC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0.004</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68286CF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0.004</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1E9DC1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0.004</w:t>
            </w:r>
            <w:r w:rsidRPr="002C1DF6">
              <w:rPr>
                <w:rFonts w:ascii="Times New Roman" w:hAnsi="Times New Roman"/>
                <w:sz w:val="18"/>
                <w:szCs w:val="18"/>
                <w:vertAlign w:val="superscript"/>
                <w:lang w:val="en-US"/>
              </w:rPr>
              <w:t>***</w:t>
            </w:r>
          </w:p>
        </w:tc>
      </w:tr>
      <w:tr w:rsidR="00984E59" w:rsidRPr="002C1DF6" w14:paraId="552CD4DE" w14:textId="77777777" w:rsidTr="00984E59">
        <w:tc>
          <w:tcPr>
            <w:tcW w:w="1445" w:type="pct"/>
            <w:tcBorders>
              <w:top w:val="nil"/>
              <w:left w:val="nil"/>
              <w:bottom w:val="nil"/>
              <w:right w:val="nil"/>
            </w:tcBorders>
          </w:tcPr>
          <w:p w14:paraId="0DB236D2"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08EDD99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(3.22)</w:t>
            </w:r>
          </w:p>
        </w:tc>
        <w:tc>
          <w:tcPr>
            <w:tcW w:w="711" w:type="pct"/>
            <w:tcBorders>
              <w:top w:val="nil"/>
              <w:left w:val="nil"/>
              <w:bottom w:val="nil"/>
              <w:right w:val="nil"/>
            </w:tcBorders>
          </w:tcPr>
          <w:p w14:paraId="27C0BA9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(3.33)</w:t>
            </w:r>
          </w:p>
        </w:tc>
        <w:tc>
          <w:tcPr>
            <w:tcW w:w="711" w:type="pct"/>
            <w:tcBorders>
              <w:top w:val="nil"/>
              <w:left w:val="nil"/>
              <w:bottom w:val="nil"/>
              <w:right w:val="nil"/>
            </w:tcBorders>
          </w:tcPr>
          <w:p w14:paraId="27C2F2B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(3.33)</w:t>
            </w:r>
          </w:p>
        </w:tc>
        <w:tc>
          <w:tcPr>
            <w:tcW w:w="711" w:type="pct"/>
            <w:tcBorders>
              <w:top w:val="nil"/>
              <w:left w:val="nil"/>
              <w:bottom w:val="nil"/>
              <w:right w:val="nil"/>
            </w:tcBorders>
          </w:tcPr>
          <w:p w14:paraId="7CE5673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(3.12)</w:t>
            </w:r>
          </w:p>
        </w:tc>
        <w:tc>
          <w:tcPr>
            <w:tcW w:w="711" w:type="pct"/>
            <w:tcBorders>
              <w:top w:val="nil"/>
              <w:left w:val="nil"/>
              <w:bottom w:val="nil"/>
              <w:right w:val="nil"/>
            </w:tcBorders>
          </w:tcPr>
          <w:p w14:paraId="07B5669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(3.28)</w:t>
            </w:r>
          </w:p>
        </w:tc>
      </w:tr>
      <w:tr w:rsidR="00984E59" w:rsidRPr="002C1DF6" w14:paraId="0BEBEA4E" w14:textId="77777777" w:rsidTr="00984E59">
        <w:tc>
          <w:tcPr>
            <w:tcW w:w="1445" w:type="pct"/>
            <w:tcBorders>
              <w:top w:val="nil"/>
              <w:left w:val="nil"/>
              <w:bottom w:val="nil"/>
              <w:right w:val="nil"/>
            </w:tcBorders>
          </w:tcPr>
          <w:p w14:paraId="33EF1CB8"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SIZE</w:t>
            </w:r>
          </w:p>
        </w:tc>
        <w:tc>
          <w:tcPr>
            <w:tcW w:w="711" w:type="pct"/>
            <w:tcBorders>
              <w:top w:val="nil"/>
              <w:left w:val="nil"/>
              <w:bottom w:val="nil"/>
              <w:right w:val="nil"/>
            </w:tcBorders>
          </w:tcPr>
          <w:p w14:paraId="772D910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-0.049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2A22107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-0.133</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7DD706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-0.120</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052EFA5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-0.052</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6468F1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-0.134</w:t>
            </w:r>
            <w:r w:rsidRPr="002C1DF6">
              <w:rPr>
                <w:rFonts w:ascii="Times New Roman" w:hAnsi="Times New Roman"/>
                <w:sz w:val="18"/>
                <w:szCs w:val="18"/>
                <w:vertAlign w:val="superscript"/>
                <w:lang w:val="en-US"/>
              </w:rPr>
              <w:t>***</w:t>
            </w:r>
          </w:p>
        </w:tc>
      </w:tr>
      <w:tr w:rsidR="00984E59" w:rsidRPr="002C1DF6" w14:paraId="25DCA7AE" w14:textId="77777777" w:rsidTr="00984E59">
        <w:tc>
          <w:tcPr>
            <w:tcW w:w="1445" w:type="pct"/>
            <w:tcBorders>
              <w:top w:val="nil"/>
              <w:left w:val="nil"/>
              <w:bottom w:val="nil"/>
              <w:right w:val="nil"/>
            </w:tcBorders>
          </w:tcPr>
          <w:p w14:paraId="74886582"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2FAB2EC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(-4.49)</w:t>
            </w:r>
          </w:p>
        </w:tc>
        <w:tc>
          <w:tcPr>
            <w:tcW w:w="711" w:type="pct"/>
            <w:tcBorders>
              <w:top w:val="nil"/>
              <w:left w:val="nil"/>
              <w:bottom w:val="nil"/>
              <w:right w:val="nil"/>
            </w:tcBorders>
          </w:tcPr>
          <w:p w14:paraId="552D65C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(-14.28)</w:t>
            </w:r>
          </w:p>
        </w:tc>
        <w:tc>
          <w:tcPr>
            <w:tcW w:w="711" w:type="pct"/>
            <w:tcBorders>
              <w:top w:val="nil"/>
              <w:left w:val="nil"/>
              <w:bottom w:val="nil"/>
              <w:right w:val="nil"/>
            </w:tcBorders>
          </w:tcPr>
          <w:p w14:paraId="49A6379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(-14.47)</w:t>
            </w:r>
          </w:p>
        </w:tc>
        <w:tc>
          <w:tcPr>
            <w:tcW w:w="711" w:type="pct"/>
            <w:tcBorders>
              <w:top w:val="nil"/>
              <w:left w:val="nil"/>
              <w:bottom w:val="nil"/>
              <w:right w:val="nil"/>
            </w:tcBorders>
          </w:tcPr>
          <w:p w14:paraId="08AF93D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(-4.74)</w:t>
            </w:r>
          </w:p>
        </w:tc>
        <w:tc>
          <w:tcPr>
            <w:tcW w:w="711" w:type="pct"/>
            <w:tcBorders>
              <w:top w:val="nil"/>
              <w:left w:val="nil"/>
              <w:bottom w:val="nil"/>
              <w:right w:val="nil"/>
            </w:tcBorders>
          </w:tcPr>
          <w:p w14:paraId="52C68B5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(-14.34)</w:t>
            </w:r>
          </w:p>
        </w:tc>
      </w:tr>
      <w:tr w:rsidR="00984E59" w:rsidRPr="002C1DF6" w14:paraId="5EF993C7" w14:textId="77777777" w:rsidTr="00984E59">
        <w:tc>
          <w:tcPr>
            <w:tcW w:w="1445" w:type="pct"/>
            <w:tcBorders>
              <w:top w:val="nil"/>
              <w:left w:val="nil"/>
              <w:bottom w:val="nil"/>
              <w:right w:val="nil"/>
            </w:tcBorders>
          </w:tcPr>
          <w:p w14:paraId="1D198997"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PROF</w:t>
            </w:r>
          </w:p>
        </w:tc>
        <w:tc>
          <w:tcPr>
            <w:tcW w:w="711" w:type="pct"/>
            <w:tcBorders>
              <w:top w:val="nil"/>
              <w:left w:val="nil"/>
              <w:bottom w:val="nil"/>
              <w:right w:val="nil"/>
            </w:tcBorders>
          </w:tcPr>
          <w:p w14:paraId="77C0355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23CBB32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0.061</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8A5E4B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0.062</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6F444E1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0.059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2A74D41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0.061</w:t>
            </w:r>
            <w:r w:rsidRPr="002C1DF6">
              <w:rPr>
                <w:rFonts w:ascii="Times New Roman" w:hAnsi="Times New Roman"/>
                <w:sz w:val="18"/>
                <w:szCs w:val="18"/>
                <w:vertAlign w:val="superscript"/>
                <w:lang w:val="en-US"/>
              </w:rPr>
              <w:t>***</w:t>
            </w:r>
          </w:p>
        </w:tc>
      </w:tr>
      <w:tr w:rsidR="00984E59" w:rsidRPr="002C1DF6" w14:paraId="285E7826" w14:textId="77777777" w:rsidTr="00984E59">
        <w:tc>
          <w:tcPr>
            <w:tcW w:w="1445" w:type="pct"/>
            <w:tcBorders>
              <w:top w:val="nil"/>
              <w:left w:val="nil"/>
              <w:bottom w:val="nil"/>
              <w:right w:val="nil"/>
            </w:tcBorders>
          </w:tcPr>
          <w:p w14:paraId="27A72B30"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5330878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(15.65)</w:t>
            </w:r>
          </w:p>
        </w:tc>
        <w:tc>
          <w:tcPr>
            <w:tcW w:w="711" w:type="pct"/>
            <w:tcBorders>
              <w:top w:val="nil"/>
              <w:left w:val="nil"/>
              <w:bottom w:val="nil"/>
              <w:right w:val="nil"/>
            </w:tcBorders>
          </w:tcPr>
          <w:p w14:paraId="07CB737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(16.53)</w:t>
            </w:r>
          </w:p>
        </w:tc>
        <w:tc>
          <w:tcPr>
            <w:tcW w:w="711" w:type="pct"/>
            <w:tcBorders>
              <w:top w:val="nil"/>
              <w:left w:val="nil"/>
              <w:bottom w:val="nil"/>
              <w:right w:val="nil"/>
            </w:tcBorders>
          </w:tcPr>
          <w:p w14:paraId="2319BC5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(16.59)</w:t>
            </w:r>
          </w:p>
        </w:tc>
        <w:tc>
          <w:tcPr>
            <w:tcW w:w="711" w:type="pct"/>
            <w:tcBorders>
              <w:top w:val="nil"/>
              <w:left w:val="nil"/>
              <w:bottom w:val="nil"/>
              <w:right w:val="nil"/>
            </w:tcBorders>
          </w:tcPr>
          <w:p w14:paraId="2D5BA8E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(15.71)</w:t>
            </w:r>
          </w:p>
        </w:tc>
        <w:tc>
          <w:tcPr>
            <w:tcW w:w="711" w:type="pct"/>
            <w:tcBorders>
              <w:top w:val="nil"/>
              <w:left w:val="nil"/>
              <w:bottom w:val="nil"/>
              <w:right w:val="nil"/>
            </w:tcBorders>
          </w:tcPr>
          <w:p w14:paraId="306B887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(16.58)</w:t>
            </w:r>
          </w:p>
        </w:tc>
      </w:tr>
      <w:tr w:rsidR="00984E59" w:rsidRPr="002C1DF6" w14:paraId="6488C1E9" w14:textId="77777777" w:rsidTr="00984E59">
        <w:tc>
          <w:tcPr>
            <w:tcW w:w="1445" w:type="pct"/>
            <w:tcBorders>
              <w:top w:val="nil"/>
              <w:left w:val="nil"/>
              <w:bottom w:val="nil"/>
              <w:right w:val="nil"/>
            </w:tcBorders>
          </w:tcPr>
          <w:p w14:paraId="4B341183"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DEBT</w:t>
            </w:r>
          </w:p>
        </w:tc>
        <w:tc>
          <w:tcPr>
            <w:tcW w:w="711" w:type="pct"/>
            <w:tcBorders>
              <w:top w:val="nil"/>
              <w:left w:val="nil"/>
              <w:bottom w:val="nil"/>
              <w:right w:val="nil"/>
            </w:tcBorders>
          </w:tcPr>
          <w:p w14:paraId="2790A1E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72A040E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08E604C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7B51344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c>
          <w:tcPr>
            <w:tcW w:w="711" w:type="pct"/>
            <w:tcBorders>
              <w:top w:val="nil"/>
              <w:left w:val="nil"/>
              <w:bottom w:val="nil"/>
              <w:right w:val="nil"/>
            </w:tcBorders>
          </w:tcPr>
          <w:p w14:paraId="754EA12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0.000</w:t>
            </w:r>
          </w:p>
        </w:tc>
      </w:tr>
      <w:tr w:rsidR="00984E59" w:rsidRPr="002C1DF6" w14:paraId="52744F84" w14:textId="77777777" w:rsidTr="00984E59">
        <w:tc>
          <w:tcPr>
            <w:tcW w:w="1445" w:type="pct"/>
            <w:tcBorders>
              <w:top w:val="nil"/>
              <w:left w:val="nil"/>
              <w:bottom w:val="nil"/>
              <w:right w:val="nil"/>
            </w:tcBorders>
          </w:tcPr>
          <w:p w14:paraId="6D83EDC5"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79458E8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(0.57)</w:t>
            </w:r>
          </w:p>
        </w:tc>
        <w:tc>
          <w:tcPr>
            <w:tcW w:w="711" w:type="pct"/>
            <w:tcBorders>
              <w:top w:val="nil"/>
              <w:left w:val="nil"/>
              <w:bottom w:val="nil"/>
              <w:right w:val="nil"/>
            </w:tcBorders>
          </w:tcPr>
          <w:p w14:paraId="7C78F97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(0.44)</w:t>
            </w:r>
          </w:p>
        </w:tc>
        <w:tc>
          <w:tcPr>
            <w:tcW w:w="711" w:type="pct"/>
            <w:tcBorders>
              <w:top w:val="nil"/>
              <w:left w:val="nil"/>
              <w:bottom w:val="nil"/>
              <w:right w:val="nil"/>
            </w:tcBorders>
          </w:tcPr>
          <w:p w14:paraId="4806A41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(0.23)</w:t>
            </w:r>
          </w:p>
        </w:tc>
        <w:tc>
          <w:tcPr>
            <w:tcW w:w="711" w:type="pct"/>
            <w:tcBorders>
              <w:top w:val="nil"/>
              <w:left w:val="nil"/>
              <w:bottom w:val="nil"/>
              <w:right w:val="nil"/>
            </w:tcBorders>
          </w:tcPr>
          <w:p w14:paraId="41D1F52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(0.69)</w:t>
            </w:r>
          </w:p>
        </w:tc>
        <w:tc>
          <w:tcPr>
            <w:tcW w:w="711" w:type="pct"/>
            <w:tcBorders>
              <w:top w:val="nil"/>
              <w:left w:val="nil"/>
              <w:bottom w:val="nil"/>
              <w:right w:val="nil"/>
            </w:tcBorders>
          </w:tcPr>
          <w:p w14:paraId="2EB78BA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(0.47)</w:t>
            </w:r>
          </w:p>
        </w:tc>
      </w:tr>
      <w:tr w:rsidR="00984E59" w:rsidRPr="002C1DF6" w14:paraId="10C42235" w14:textId="77777777" w:rsidTr="00984E59">
        <w:tc>
          <w:tcPr>
            <w:tcW w:w="1445" w:type="pct"/>
            <w:tcBorders>
              <w:top w:val="nil"/>
              <w:left w:val="nil"/>
              <w:bottom w:val="nil"/>
              <w:right w:val="nil"/>
            </w:tcBorders>
          </w:tcPr>
          <w:p w14:paraId="531B655A"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CASH</w:t>
            </w:r>
          </w:p>
        </w:tc>
        <w:tc>
          <w:tcPr>
            <w:tcW w:w="711" w:type="pct"/>
            <w:tcBorders>
              <w:top w:val="nil"/>
              <w:left w:val="nil"/>
              <w:bottom w:val="nil"/>
              <w:right w:val="nil"/>
            </w:tcBorders>
          </w:tcPr>
          <w:p w14:paraId="5D0C04D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0.867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3122691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0.995</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1026B86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0.998</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387C21F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0.853</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0D304B4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0.994</w:t>
            </w:r>
            <w:r w:rsidRPr="002C1DF6">
              <w:rPr>
                <w:rFonts w:ascii="Times New Roman" w:hAnsi="Times New Roman"/>
                <w:sz w:val="18"/>
                <w:szCs w:val="18"/>
                <w:vertAlign w:val="superscript"/>
                <w:lang w:val="en-US"/>
              </w:rPr>
              <w:t>***</w:t>
            </w:r>
          </w:p>
        </w:tc>
      </w:tr>
      <w:tr w:rsidR="00984E59" w:rsidRPr="002C1DF6" w14:paraId="66167A2D" w14:textId="77777777" w:rsidTr="00984E59">
        <w:tc>
          <w:tcPr>
            <w:tcW w:w="1445" w:type="pct"/>
            <w:tcBorders>
              <w:top w:val="nil"/>
              <w:left w:val="nil"/>
              <w:bottom w:val="nil"/>
              <w:right w:val="nil"/>
            </w:tcBorders>
          </w:tcPr>
          <w:p w14:paraId="4F610F10"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598BC16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(4.99)</w:t>
            </w:r>
          </w:p>
        </w:tc>
        <w:tc>
          <w:tcPr>
            <w:tcW w:w="711" w:type="pct"/>
            <w:tcBorders>
              <w:top w:val="nil"/>
              <w:left w:val="nil"/>
              <w:bottom w:val="nil"/>
              <w:right w:val="nil"/>
            </w:tcBorders>
          </w:tcPr>
          <w:p w14:paraId="6187C8D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(5.89)</w:t>
            </w:r>
          </w:p>
        </w:tc>
        <w:tc>
          <w:tcPr>
            <w:tcW w:w="711" w:type="pct"/>
            <w:tcBorders>
              <w:top w:val="nil"/>
              <w:left w:val="nil"/>
              <w:bottom w:val="nil"/>
              <w:right w:val="nil"/>
            </w:tcBorders>
          </w:tcPr>
          <w:p w14:paraId="3131997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(5.90)</w:t>
            </w:r>
          </w:p>
        </w:tc>
        <w:tc>
          <w:tcPr>
            <w:tcW w:w="711" w:type="pct"/>
            <w:tcBorders>
              <w:top w:val="nil"/>
              <w:left w:val="nil"/>
              <w:bottom w:val="nil"/>
              <w:right w:val="nil"/>
            </w:tcBorders>
          </w:tcPr>
          <w:p w14:paraId="56D8E8C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(4.90)</w:t>
            </w:r>
          </w:p>
        </w:tc>
        <w:tc>
          <w:tcPr>
            <w:tcW w:w="711" w:type="pct"/>
            <w:tcBorders>
              <w:top w:val="nil"/>
              <w:left w:val="nil"/>
              <w:bottom w:val="nil"/>
              <w:right w:val="nil"/>
            </w:tcBorders>
          </w:tcPr>
          <w:p w14:paraId="5A6815B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(5.87)</w:t>
            </w:r>
          </w:p>
        </w:tc>
      </w:tr>
      <w:tr w:rsidR="00984E59" w:rsidRPr="002C1DF6" w14:paraId="77226669" w14:textId="77777777" w:rsidTr="00984E59">
        <w:tc>
          <w:tcPr>
            <w:tcW w:w="1445" w:type="pct"/>
            <w:tcBorders>
              <w:top w:val="nil"/>
              <w:left w:val="nil"/>
              <w:bottom w:val="nil"/>
              <w:right w:val="nil"/>
            </w:tcBorders>
          </w:tcPr>
          <w:p w14:paraId="075A08FC"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CAPIN</w:t>
            </w:r>
          </w:p>
        </w:tc>
        <w:tc>
          <w:tcPr>
            <w:tcW w:w="711" w:type="pct"/>
            <w:tcBorders>
              <w:top w:val="nil"/>
              <w:left w:val="nil"/>
              <w:bottom w:val="nil"/>
              <w:right w:val="nil"/>
            </w:tcBorders>
          </w:tcPr>
          <w:p w14:paraId="24176FF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-0.001</w:t>
            </w:r>
          </w:p>
        </w:tc>
        <w:tc>
          <w:tcPr>
            <w:tcW w:w="711" w:type="pct"/>
            <w:tcBorders>
              <w:top w:val="nil"/>
              <w:left w:val="nil"/>
              <w:bottom w:val="nil"/>
              <w:right w:val="nil"/>
            </w:tcBorders>
          </w:tcPr>
          <w:p w14:paraId="322EDDA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-0.155</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4AF911E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-0.158</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02F948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-0.009</w:t>
            </w:r>
          </w:p>
        </w:tc>
        <w:tc>
          <w:tcPr>
            <w:tcW w:w="711" w:type="pct"/>
            <w:tcBorders>
              <w:top w:val="nil"/>
              <w:left w:val="nil"/>
              <w:bottom w:val="nil"/>
              <w:right w:val="nil"/>
            </w:tcBorders>
          </w:tcPr>
          <w:p w14:paraId="4C626DF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-0.159</w:t>
            </w:r>
            <w:r w:rsidRPr="002C1DF6">
              <w:rPr>
                <w:rFonts w:ascii="Times New Roman" w:hAnsi="Times New Roman"/>
                <w:sz w:val="18"/>
                <w:szCs w:val="18"/>
                <w:vertAlign w:val="superscript"/>
                <w:lang w:val="en-US"/>
              </w:rPr>
              <w:t>***</w:t>
            </w:r>
          </w:p>
        </w:tc>
      </w:tr>
      <w:tr w:rsidR="00984E59" w:rsidRPr="002C1DF6" w14:paraId="7C512661" w14:textId="77777777" w:rsidTr="00984E59">
        <w:tc>
          <w:tcPr>
            <w:tcW w:w="1445" w:type="pct"/>
            <w:tcBorders>
              <w:top w:val="nil"/>
              <w:left w:val="nil"/>
              <w:bottom w:val="nil"/>
              <w:right w:val="nil"/>
            </w:tcBorders>
          </w:tcPr>
          <w:p w14:paraId="7DBFD2BC"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43047B9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(-0.03)</w:t>
            </w:r>
          </w:p>
        </w:tc>
        <w:tc>
          <w:tcPr>
            <w:tcW w:w="711" w:type="pct"/>
            <w:tcBorders>
              <w:top w:val="nil"/>
              <w:left w:val="nil"/>
              <w:bottom w:val="nil"/>
              <w:right w:val="nil"/>
            </w:tcBorders>
          </w:tcPr>
          <w:p w14:paraId="1E06557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(-4.11)</w:t>
            </w:r>
          </w:p>
        </w:tc>
        <w:tc>
          <w:tcPr>
            <w:tcW w:w="711" w:type="pct"/>
            <w:tcBorders>
              <w:top w:val="nil"/>
              <w:left w:val="nil"/>
              <w:bottom w:val="nil"/>
              <w:right w:val="nil"/>
            </w:tcBorders>
          </w:tcPr>
          <w:p w14:paraId="740917C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(-4.17)</w:t>
            </w:r>
          </w:p>
        </w:tc>
        <w:tc>
          <w:tcPr>
            <w:tcW w:w="711" w:type="pct"/>
            <w:tcBorders>
              <w:top w:val="nil"/>
              <w:left w:val="nil"/>
              <w:bottom w:val="nil"/>
              <w:right w:val="nil"/>
            </w:tcBorders>
          </w:tcPr>
          <w:p w14:paraId="1BE343C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(-0.24)</w:t>
            </w:r>
          </w:p>
        </w:tc>
        <w:tc>
          <w:tcPr>
            <w:tcW w:w="711" w:type="pct"/>
            <w:tcBorders>
              <w:top w:val="nil"/>
              <w:left w:val="nil"/>
              <w:bottom w:val="nil"/>
              <w:right w:val="nil"/>
            </w:tcBorders>
          </w:tcPr>
          <w:p w14:paraId="78AC129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(-4.20)</w:t>
            </w:r>
          </w:p>
        </w:tc>
      </w:tr>
      <w:tr w:rsidR="00984E59" w:rsidRPr="002C1DF6" w14:paraId="0CD69A25" w14:textId="77777777" w:rsidTr="00984E59">
        <w:tc>
          <w:tcPr>
            <w:tcW w:w="1445" w:type="pct"/>
            <w:tcBorders>
              <w:top w:val="nil"/>
              <w:left w:val="nil"/>
              <w:bottom w:val="nil"/>
              <w:right w:val="nil"/>
            </w:tcBorders>
          </w:tcPr>
          <w:p w14:paraId="503A520C"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WGI</w:t>
            </w:r>
          </w:p>
        </w:tc>
        <w:tc>
          <w:tcPr>
            <w:tcW w:w="711" w:type="pct"/>
            <w:tcBorders>
              <w:top w:val="nil"/>
              <w:left w:val="nil"/>
              <w:bottom w:val="nil"/>
              <w:right w:val="nil"/>
            </w:tcBorders>
          </w:tcPr>
          <w:p w14:paraId="686A651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-0.005</w:t>
            </w:r>
          </w:p>
        </w:tc>
        <w:tc>
          <w:tcPr>
            <w:tcW w:w="711" w:type="pct"/>
            <w:tcBorders>
              <w:top w:val="nil"/>
              <w:left w:val="nil"/>
              <w:bottom w:val="nil"/>
              <w:right w:val="nil"/>
            </w:tcBorders>
          </w:tcPr>
          <w:p w14:paraId="54B5B95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-0.006</w:t>
            </w:r>
          </w:p>
        </w:tc>
        <w:tc>
          <w:tcPr>
            <w:tcW w:w="711" w:type="pct"/>
            <w:tcBorders>
              <w:top w:val="nil"/>
              <w:left w:val="nil"/>
              <w:bottom w:val="nil"/>
              <w:right w:val="nil"/>
            </w:tcBorders>
          </w:tcPr>
          <w:p w14:paraId="5A94141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-0.006</w:t>
            </w:r>
          </w:p>
        </w:tc>
        <w:tc>
          <w:tcPr>
            <w:tcW w:w="711" w:type="pct"/>
            <w:tcBorders>
              <w:top w:val="nil"/>
              <w:left w:val="nil"/>
              <w:bottom w:val="nil"/>
              <w:right w:val="nil"/>
            </w:tcBorders>
          </w:tcPr>
          <w:p w14:paraId="7DD3E69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-0.005</w:t>
            </w:r>
          </w:p>
        </w:tc>
        <w:tc>
          <w:tcPr>
            <w:tcW w:w="711" w:type="pct"/>
            <w:tcBorders>
              <w:top w:val="nil"/>
              <w:left w:val="nil"/>
              <w:bottom w:val="nil"/>
              <w:right w:val="nil"/>
            </w:tcBorders>
          </w:tcPr>
          <w:p w14:paraId="4541EAB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-0.006</w:t>
            </w:r>
          </w:p>
        </w:tc>
      </w:tr>
      <w:tr w:rsidR="00984E59" w:rsidRPr="002C1DF6" w14:paraId="01B8C9FB" w14:textId="77777777" w:rsidTr="00984E59">
        <w:tc>
          <w:tcPr>
            <w:tcW w:w="1445" w:type="pct"/>
            <w:tcBorders>
              <w:top w:val="nil"/>
              <w:left w:val="nil"/>
              <w:bottom w:val="nil"/>
              <w:right w:val="nil"/>
            </w:tcBorders>
          </w:tcPr>
          <w:p w14:paraId="1FE4363D"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11018FD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(-0.80)</w:t>
            </w:r>
          </w:p>
        </w:tc>
        <w:tc>
          <w:tcPr>
            <w:tcW w:w="711" w:type="pct"/>
            <w:tcBorders>
              <w:top w:val="nil"/>
              <w:left w:val="nil"/>
              <w:bottom w:val="nil"/>
              <w:right w:val="nil"/>
            </w:tcBorders>
          </w:tcPr>
          <w:p w14:paraId="03F8D2A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(-1.08)</w:t>
            </w:r>
          </w:p>
        </w:tc>
        <w:tc>
          <w:tcPr>
            <w:tcW w:w="711" w:type="pct"/>
            <w:tcBorders>
              <w:top w:val="nil"/>
              <w:left w:val="nil"/>
              <w:bottom w:val="nil"/>
              <w:right w:val="nil"/>
            </w:tcBorders>
          </w:tcPr>
          <w:p w14:paraId="7BB5069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(-1.15)</w:t>
            </w:r>
          </w:p>
        </w:tc>
        <w:tc>
          <w:tcPr>
            <w:tcW w:w="711" w:type="pct"/>
            <w:tcBorders>
              <w:top w:val="nil"/>
              <w:left w:val="nil"/>
              <w:bottom w:val="nil"/>
              <w:right w:val="nil"/>
            </w:tcBorders>
          </w:tcPr>
          <w:p w14:paraId="6ACA86C0"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(-0.95)</w:t>
            </w:r>
          </w:p>
        </w:tc>
        <w:tc>
          <w:tcPr>
            <w:tcW w:w="711" w:type="pct"/>
            <w:tcBorders>
              <w:top w:val="nil"/>
              <w:left w:val="nil"/>
              <w:bottom w:val="nil"/>
              <w:right w:val="nil"/>
            </w:tcBorders>
          </w:tcPr>
          <w:p w14:paraId="76A0611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(-1.16)</w:t>
            </w:r>
          </w:p>
        </w:tc>
      </w:tr>
      <w:tr w:rsidR="00984E59" w:rsidRPr="002C1DF6" w14:paraId="04320F30" w14:textId="77777777" w:rsidTr="00984E59">
        <w:tc>
          <w:tcPr>
            <w:tcW w:w="1445" w:type="pct"/>
            <w:tcBorders>
              <w:top w:val="nil"/>
              <w:left w:val="nil"/>
              <w:bottom w:val="nil"/>
              <w:right w:val="nil"/>
            </w:tcBorders>
          </w:tcPr>
          <w:p w14:paraId="29295EF4"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GDP</w:t>
            </w:r>
          </w:p>
        </w:tc>
        <w:tc>
          <w:tcPr>
            <w:tcW w:w="711" w:type="pct"/>
            <w:tcBorders>
              <w:top w:val="nil"/>
              <w:left w:val="nil"/>
              <w:bottom w:val="nil"/>
              <w:right w:val="nil"/>
            </w:tcBorders>
          </w:tcPr>
          <w:p w14:paraId="332C760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4BB8F50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119C415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32838AD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0.027</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B72F51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0.027</w:t>
            </w:r>
            <w:r w:rsidRPr="002C1DF6">
              <w:rPr>
                <w:rFonts w:ascii="Times New Roman" w:hAnsi="Times New Roman"/>
                <w:sz w:val="18"/>
                <w:szCs w:val="18"/>
                <w:vertAlign w:val="superscript"/>
                <w:lang w:val="en-US"/>
              </w:rPr>
              <w:t>***</w:t>
            </w:r>
          </w:p>
        </w:tc>
      </w:tr>
      <w:tr w:rsidR="00984E59" w:rsidRPr="002C1DF6" w14:paraId="2155C26D" w14:textId="77777777" w:rsidTr="00984E59">
        <w:tc>
          <w:tcPr>
            <w:tcW w:w="1445" w:type="pct"/>
            <w:tcBorders>
              <w:top w:val="nil"/>
              <w:left w:val="nil"/>
              <w:bottom w:val="nil"/>
              <w:right w:val="nil"/>
            </w:tcBorders>
          </w:tcPr>
          <w:p w14:paraId="0F7D5A04"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56F2FA0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(3.74)</w:t>
            </w:r>
          </w:p>
        </w:tc>
        <w:tc>
          <w:tcPr>
            <w:tcW w:w="711" w:type="pct"/>
            <w:tcBorders>
              <w:top w:val="nil"/>
              <w:left w:val="nil"/>
              <w:bottom w:val="nil"/>
              <w:right w:val="nil"/>
            </w:tcBorders>
          </w:tcPr>
          <w:p w14:paraId="426FEA8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(3.88)</w:t>
            </w:r>
          </w:p>
        </w:tc>
        <w:tc>
          <w:tcPr>
            <w:tcW w:w="711" w:type="pct"/>
            <w:tcBorders>
              <w:top w:val="nil"/>
              <w:left w:val="nil"/>
              <w:bottom w:val="nil"/>
              <w:right w:val="nil"/>
            </w:tcBorders>
          </w:tcPr>
          <w:p w14:paraId="5A8588D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(3.81)</w:t>
            </w:r>
          </w:p>
        </w:tc>
        <w:tc>
          <w:tcPr>
            <w:tcW w:w="711" w:type="pct"/>
            <w:tcBorders>
              <w:top w:val="nil"/>
              <w:left w:val="nil"/>
              <w:bottom w:val="nil"/>
              <w:right w:val="nil"/>
            </w:tcBorders>
          </w:tcPr>
          <w:p w14:paraId="4FDFC91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(3.80)</w:t>
            </w:r>
          </w:p>
        </w:tc>
        <w:tc>
          <w:tcPr>
            <w:tcW w:w="711" w:type="pct"/>
            <w:tcBorders>
              <w:top w:val="nil"/>
              <w:left w:val="nil"/>
              <w:bottom w:val="nil"/>
              <w:right w:val="nil"/>
            </w:tcBorders>
          </w:tcPr>
          <w:p w14:paraId="5731820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(3.89)</w:t>
            </w:r>
          </w:p>
        </w:tc>
      </w:tr>
      <w:tr w:rsidR="00984E59" w:rsidRPr="002C1DF6" w14:paraId="6828ED2F" w14:textId="77777777" w:rsidTr="00984E59">
        <w:tc>
          <w:tcPr>
            <w:tcW w:w="1445" w:type="pct"/>
            <w:tcBorders>
              <w:top w:val="nil"/>
              <w:left w:val="nil"/>
              <w:bottom w:val="nil"/>
              <w:right w:val="nil"/>
            </w:tcBorders>
          </w:tcPr>
          <w:p w14:paraId="72108372"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2C1DF6">
              <w:rPr>
                <w:rFonts w:ascii="Times New Roman" w:hAnsi="Times New Roman"/>
                <w:sz w:val="18"/>
                <w:szCs w:val="18"/>
                <w:lang w:val="en-US"/>
              </w:rPr>
              <w:t>INF</w:t>
            </w:r>
          </w:p>
        </w:tc>
        <w:tc>
          <w:tcPr>
            <w:tcW w:w="711" w:type="pct"/>
            <w:tcBorders>
              <w:top w:val="nil"/>
              <w:left w:val="nil"/>
              <w:bottom w:val="nil"/>
              <w:right w:val="nil"/>
            </w:tcBorders>
          </w:tcPr>
          <w:p w14:paraId="7E8FA0E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0.019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671D8F5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0.020</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41013E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0.019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27D974D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0.019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5C634A5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0.020</w:t>
            </w:r>
            <w:r w:rsidRPr="002C1DF6">
              <w:rPr>
                <w:rFonts w:ascii="Times New Roman" w:hAnsi="Times New Roman"/>
                <w:sz w:val="18"/>
                <w:szCs w:val="18"/>
                <w:vertAlign w:val="superscript"/>
                <w:lang w:val="en-US"/>
              </w:rPr>
              <w:t>*</w:t>
            </w:r>
          </w:p>
        </w:tc>
      </w:tr>
      <w:tr w:rsidR="00984E59" w:rsidRPr="002C1DF6" w14:paraId="70D38D1D" w14:textId="77777777" w:rsidTr="00984E59">
        <w:tc>
          <w:tcPr>
            <w:tcW w:w="1445" w:type="pct"/>
            <w:tcBorders>
              <w:top w:val="nil"/>
              <w:left w:val="nil"/>
              <w:bottom w:val="nil"/>
              <w:right w:val="nil"/>
            </w:tcBorders>
          </w:tcPr>
          <w:p w14:paraId="052019A4"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bottom w:val="nil"/>
              <w:right w:val="nil"/>
            </w:tcBorders>
          </w:tcPr>
          <w:p w14:paraId="3B845BD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(1.71)</w:t>
            </w:r>
          </w:p>
        </w:tc>
        <w:tc>
          <w:tcPr>
            <w:tcW w:w="711" w:type="pct"/>
            <w:tcBorders>
              <w:top w:val="nil"/>
              <w:left w:val="nil"/>
              <w:bottom w:val="nil"/>
              <w:right w:val="nil"/>
            </w:tcBorders>
          </w:tcPr>
          <w:p w14:paraId="5FC3B725"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(1.90)</w:t>
            </w:r>
          </w:p>
        </w:tc>
        <w:tc>
          <w:tcPr>
            <w:tcW w:w="711" w:type="pct"/>
            <w:tcBorders>
              <w:top w:val="nil"/>
              <w:left w:val="nil"/>
              <w:bottom w:val="nil"/>
              <w:right w:val="nil"/>
            </w:tcBorders>
          </w:tcPr>
          <w:p w14:paraId="7255EC3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(1.82)</w:t>
            </w:r>
          </w:p>
        </w:tc>
        <w:tc>
          <w:tcPr>
            <w:tcW w:w="711" w:type="pct"/>
            <w:tcBorders>
              <w:top w:val="nil"/>
              <w:left w:val="nil"/>
              <w:bottom w:val="nil"/>
              <w:right w:val="nil"/>
            </w:tcBorders>
          </w:tcPr>
          <w:p w14:paraId="6553074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(1.78)</w:t>
            </w:r>
          </w:p>
        </w:tc>
        <w:tc>
          <w:tcPr>
            <w:tcW w:w="711" w:type="pct"/>
            <w:tcBorders>
              <w:top w:val="nil"/>
              <w:left w:val="nil"/>
              <w:bottom w:val="nil"/>
              <w:right w:val="nil"/>
            </w:tcBorders>
          </w:tcPr>
          <w:p w14:paraId="3D4A921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(1.91)</w:t>
            </w:r>
          </w:p>
        </w:tc>
      </w:tr>
      <w:tr w:rsidR="00984E59" w:rsidRPr="002C1DF6" w14:paraId="1A5BA283" w14:textId="77777777" w:rsidTr="00984E59">
        <w:tc>
          <w:tcPr>
            <w:tcW w:w="1445" w:type="pct"/>
            <w:tcBorders>
              <w:top w:val="nil"/>
              <w:left w:val="nil"/>
              <w:bottom w:val="nil"/>
              <w:right w:val="nil"/>
            </w:tcBorders>
          </w:tcPr>
          <w:p w14:paraId="7ED98F09"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Constant</w:t>
            </w:r>
          </w:p>
        </w:tc>
        <w:tc>
          <w:tcPr>
            <w:tcW w:w="711" w:type="pct"/>
            <w:tcBorders>
              <w:top w:val="nil"/>
              <w:left w:val="nil"/>
              <w:bottom w:val="nil"/>
              <w:right w:val="nil"/>
            </w:tcBorders>
          </w:tcPr>
          <w:p w14:paraId="7B51560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2.609</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7A5F7F26"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4.883</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3C9DBED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4.588</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0AAEA5C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2.821</w:t>
            </w:r>
            <w:r w:rsidRPr="002C1DF6">
              <w:rPr>
                <w:rFonts w:ascii="Times New Roman" w:hAnsi="Times New Roman"/>
                <w:sz w:val="18"/>
                <w:szCs w:val="18"/>
                <w:vertAlign w:val="superscript"/>
                <w:lang w:val="en-US"/>
              </w:rPr>
              <w:t>***</w:t>
            </w:r>
          </w:p>
        </w:tc>
        <w:tc>
          <w:tcPr>
            <w:tcW w:w="711" w:type="pct"/>
            <w:tcBorders>
              <w:top w:val="nil"/>
              <w:left w:val="nil"/>
              <w:bottom w:val="nil"/>
              <w:right w:val="nil"/>
            </w:tcBorders>
          </w:tcPr>
          <w:p w14:paraId="6919B5AD"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4.949</w:t>
            </w:r>
            <w:r w:rsidRPr="002C1DF6">
              <w:rPr>
                <w:rFonts w:ascii="Times New Roman" w:hAnsi="Times New Roman"/>
                <w:sz w:val="18"/>
                <w:szCs w:val="18"/>
                <w:vertAlign w:val="superscript"/>
                <w:lang w:val="en-US"/>
              </w:rPr>
              <w:t>***</w:t>
            </w:r>
          </w:p>
        </w:tc>
      </w:tr>
      <w:tr w:rsidR="00984E59" w:rsidRPr="002C1DF6" w14:paraId="48D611B8" w14:textId="77777777" w:rsidTr="00984E59">
        <w:tc>
          <w:tcPr>
            <w:tcW w:w="1445" w:type="pct"/>
            <w:tcBorders>
              <w:top w:val="nil"/>
              <w:left w:val="nil"/>
              <w:right w:val="nil"/>
            </w:tcBorders>
          </w:tcPr>
          <w:p w14:paraId="48764E4F"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711" w:type="pct"/>
            <w:tcBorders>
              <w:top w:val="nil"/>
              <w:left w:val="nil"/>
              <w:right w:val="nil"/>
            </w:tcBorders>
          </w:tcPr>
          <w:p w14:paraId="7DA71AE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(4.19)</w:t>
            </w:r>
          </w:p>
        </w:tc>
        <w:tc>
          <w:tcPr>
            <w:tcW w:w="711" w:type="pct"/>
            <w:tcBorders>
              <w:top w:val="nil"/>
              <w:left w:val="nil"/>
              <w:right w:val="nil"/>
            </w:tcBorders>
          </w:tcPr>
          <w:p w14:paraId="0EC08AA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(8.78)</w:t>
            </w:r>
          </w:p>
        </w:tc>
        <w:tc>
          <w:tcPr>
            <w:tcW w:w="711" w:type="pct"/>
            <w:tcBorders>
              <w:top w:val="nil"/>
              <w:left w:val="nil"/>
              <w:right w:val="nil"/>
            </w:tcBorders>
          </w:tcPr>
          <w:p w14:paraId="0B9313A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(8.42)</w:t>
            </w:r>
          </w:p>
        </w:tc>
        <w:tc>
          <w:tcPr>
            <w:tcW w:w="711" w:type="pct"/>
            <w:tcBorders>
              <w:top w:val="nil"/>
              <w:left w:val="nil"/>
              <w:right w:val="nil"/>
            </w:tcBorders>
          </w:tcPr>
          <w:p w14:paraId="2465233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(4.50)</w:t>
            </w:r>
          </w:p>
        </w:tc>
        <w:tc>
          <w:tcPr>
            <w:tcW w:w="711" w:type="pct"/>
            <w:tcBorders>
              <w:top w:val="nil"/>
              <w:left w:val="nil"/>
              <w:right w:val="nil"/>
            </w:tcBorders>
          </w:tcPr>
          <w:p w14:paraId="5703D38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(8.84)</w:t>
            </w:r>
          </w:p>
        </w:tc>
      </w:tr>
      <w:tr w:rsidR="00984E59" w:rsidRPr="002C1DF6" w14:paraId="5A795093" w14:textId="77777777" w:rsidTr="00984E59">
        <w:tc>
          <w:tcPr>
            <w:tcW w:w="1445" w:type="pct"/>
            <w:tcBorders>
              <w:top w:val="nil"/>
              <w:left w:val="nil"/>
              <w:right w:val="nil"/>
            </w:tcBorders>
          </w:tcPr>
          <w:p w14:paraId="5772A479"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Year fixed effects</w:t>
            </w:r>
          </w:p>
        </w:tc>
        <w:tc>
          <w:tcPr>
            <w:tcW w:w="711" w:type="pct"/>
            <w:tcBorders>
              <w:top w:val="nil"/>
              <w:left w:val="nil"/>
              <w:right w:val="nil"/>
            </w:tcBorders>
          </w:tcPr>
          <w:p w14:paraId="641C8D9F"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3671FA8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4DA5113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509254B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18C8628C"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2C1DF6" w14:paraId="5D258576" w14:textId="77777777" w:rsidTr="00984E59">
        <w:tc>
          <w:tcPr>
            <w:tcW w:w="1445" w:type="pct"/>
            <w:tcBorders>
              <w:top w:val="nil"/>
              <w:left w:val="nil"/>
              <w:right w:val="nil"/>
            </w:tcBorders>
          </w:tcPr>
          <w:p w14:paraId="7B150EAF"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Sector fixed effects</w:t>
            </w:r>
          </w:p>
        </w:tc>
        <w:tc>
          <w:tcPr>
            <w:tcW w:w="711" w:type="pct"/>
            <w:tcBorders>
              <w:top w:val="nil"/>
              <w:left w:val="nil"/>
              <w:right w:val="nil"/>
            </w:tcBorders>
          </w:tcPr>
          <w:p w14:paraId="71E1565E"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6CBB4BA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6852617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3B711E2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right w:val="nil"/>
            </w:tcBorders>
          </w:tcPr>
          <w:p w14:paraId="7D9F2398"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2C1DF6" w14:paraId="1CDD1F32" w14:textId="77777777" w:rsidTr="00984E59">
        <w:tc>
          <w:tcPr>
            <w:tcW w:w="1445" w:type="pct"/>
            <w:tcBorders>
              <w:top w:val="nil"/>
              <w:left w:val="nil"/>
              <w:bottom w:val="single" w:sz="8" w:space="0" w:color="auto"/>
              <w:right w:val="nil"/>
            </w:tcBorders>
          </w:tcPr>
          <w:p w14:paraId="037DFAD4"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Country fixed effects</w:t>
            </w:r>
          </w:p>
        </w:tc>
        <w:tc>
          <w:tcPr>
            <w:tcW w:w="711" w:type="pct"/>
            <w:tcBorders>
              <w:top w:val="nil"/>
              <w:left w:val="nil"/>
              <w:bottom w:val="single" w:sz="8" w:space="0" w:color="auto"/>
              <w:right w:val="nil"/>
            </w:tcBorders>
          </w:tcPr>
          <w:p w14:paraId="130C4D4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bottom w:val="single" w:sz="8" w:space="0" w:color="auto"/>
              <w:right w:val="nil"/>
            </w:tcBorders>
          </w:tcPr>
          <w:p w14:paraId="59FCF0A9"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bottom w:val="single" w:sz="8" w:space="0" w:color="auto"/>
              <w:right w:val="nil"/>
            </w:tcBorders>
          </w:tcPr>
          <w:p w14:paraId="57A95DC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bottom w:val="single" w:sz="8" w:space="0" w:color="auto"/>
              <w:right w:val="nil"/>
            </w:tcBorders>
          </w:tcPr>
          <w:p w14:paraId="177EB79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711" w:type="pct"/>
            <w:tcBorders>
              <w:top w:val="nil"/>
              <w:left w:val="nil"/>
              <w:bottom w:val="single" w:sz="8" w:space="0" w:color="auto"/>
              <w:right w:val="nil"/>
            </w:tcBorders>
          </w:tcPr>
          <w:p w14:paraId="7354F23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2C1DF6" w14:paraId="6502FBD8" w14:textId="77777777" w:rsidTr="00984E59">
        <w:tc>
          <w:tcPr>
            <w:tcW w:w="1445" w:type="pct"/>
            <w:tcBorders>
              <w:top w:val="single" w:sz="8" w:space="0" w:color="auto"/>
              <w:left w:val="nil"/>
              <w:bottom w:val="nil"/>
              <w:right w:val="nil"/>
            </w:tcBorders>
          </w:tcPr>
          <w:p w14:paraId="6A027456"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Observations</w:t>
            </w:r>
          </w:p>
        </w:tc>
        <w:tc>
          <w:tcPr>
            <w:tcW w:w="711" w:type="pct"/>
            <w:tcBorders>
              <w:top w:val="single" w:sz="8" w:space="0" w:color="auto"/>
              <w:left w:val="nil"/>
              <w:bottom w:val="nil"/>
              <w:right w:val="nil"/>
            </w:tcBorders>
          </w:tcPr>
          <w:p w14:paraId="7B3609C4"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7778</w:t>
            </w:r>
          </w:p>
        </w:tc>
        <w:tc>
          <w:tcPr>
            <w:tcW w:w="711" w:type="pct"/>
            <w:tcBorders>
              <w:top w:val="single" w:sz="8" w:space="0" w:color="auto"/>
              <w:left w:val="nil"/>
              <w:bottom w:val="nil"/>
              <w:right w:val="nil"/>
            </w:tcBorders>
          </w:tcPr>
          <w:p w14:paraId="63218E1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8408</w:t>
            </w:r>
          </w:p>
        </w:tc>
        <w:tc>
          <w:tcPr>
            <w:tcW w:w="711" w:type="pct"/>
            <w:tcBorders>
              <w:top w:val="single" w:sz="8" w:space="0" w:color="auto"/>
              <w:left w:val="nil"/>
              <w:bottom w:val="nil"/>
              <w:right w:val="nil"/>
            </w:tcBorders>
          </w:tcPr>
          <w:p w14:paraId="19546212"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8408</w:t>
            </w:r>
          </w:p>
        </w:tc>
        <w:tc>
          <w:tcPr>
            <w:tcW w:w="711" w:type="pct"/>
            <w:tcBorders>
              <w:top w:val="single" w:sz="8" w:space="0" w:color="auto"/>
              <w:left w:val="nil"/>
              <w:bottom w:val="nil"/>
              <w:right w:val="nil"/>
            </w:tcBorders>
          </w:tcPr>
          <w:p w14:paraId="554306FB"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7778</w:t>
            </w:r>
          </w:p>
        </w:tc>
        <w:tc>
          <w:tcPr>
            <w:tcW w:w="711" w:type="pct"/>
            <w:tcBorders>
              <w:top w:val="single" w:sz="8" w:space="0" w:color="auto"/>
              <w:left w:val="nil"/>
              <w:bottom w:val="nil"/>
              <w:right w:val="nil"/>
            </w:tcBorders>
          </w:tcPr>
          <w:p w14:paraId="076FBF1A"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8408</w:t>
            </w:r>
          </w:p>
        </w:tc>
      </w:tr>
      <w:tr w:rsidR="00984E59" w:rsidRPr="002C1DF6" w14:paraId="09294F20" w14:textId="77777777" w:rsidTr="00984E59">
        <w:tc>
          <w:tcPr>
            <w:tcW w:w="1445" w:type="pct"/>
            <w:tcBorders>
              <w:top w:val="nil"/>
              <w:left w:val="nil"/>
              <w:bottom w:val="single" w:sz="12" w:space="0" w:color="auto"/>
              <w:right w:val="nil"/>
            </w:tcBorders>
          </w:tcPr>
          <w:p w14:paraId="3E847E89" w14:textId="77777777" w:rsidR="00984E59" w:rsidRPr="002C1DF6"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R-squared</w:t>
            </w:r>
          </w:p>
        </w:tc>
        <w:tc>
          <w:tcPr>
            <w:tcW w:w="711" w:type="pct"/>
            <w:tcBorders>
              <w:top w:val="nil"/>
              <w:left w:val="nil"/>
              <w:bottom w:val="single" w:sz="12" w:space="0" w:color="auto"/>
              <w:right w:val="nil"/>
            </w:tcBorders>
          </w:tcPr>
          <w:p w14:paraId="7BF72B4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0.525</w:t>
            </w:r>
          </w:p>
        </w:tc>
        <w:tc>
          <w:tcPr>
            <w:tcW w:w="711" w:type="pct"/>
            <w:tcBorders>
              <w:top w:val="nil"/>
              <w:left w:val="nil"/>
              <w:bottom w:val="single" w:sz="12" w:space="0" w:color="auto"/>
              <w:right w:val="nil"/>
            </w:tcBorders>
          </w:tcPr>
          <w:p w14:paraId="54443701"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0.521</w:t>
            </w:r>
          </w:p>
        </w:tc>
        <w:tc>
          <w:tcPr>
            <w:tcW w:w="711" w:type="pct"/>
            <w:tcBorders>
              <w:top w:val="nil"/>
              <w:left w:val="nil"/>
              <w:bottom w:val="single" w:sz="12" w:space="0" w:color="auto"/>
              <w:right w:val="nil"/>
            </w:tcBorders>
          </w:tcPr>
          <w:p w14:paraId="57FF171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0.520</w:t>
            </w:r>
          </w:p>
        </w:tc>
        <w:tc>
          <w:tcPr>
            <w:tcW w:w="711" w:type="pct"/>
            <w:tcBorders>
              <w:top w:val="nil"/>
              <w:left w:val="nil"/>
              <w:bottom w:val="single" w:sz="12" w:space="0" w:color="auto"/>
              <w:right w:val="nil"/>
            </w:tcBorders>
          </w:tcPr>
          <w:p w14:paraId="70251B73"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0.526</w:t>
            </w:r>
          </w:p>
        </w:tc>
        <w:tc>
          <w:tcPr>
            <w:tcW w:w="711" w:type="pct"/>
            <w:tcBorders>
              <w:top w:val="nil"/>
              <w:left w:val="nil"/>
              <w:bottom w:val="single" w:sz="12" w:space="0" w:color="auto"/>
              <w:right w:val="nil"/>
            </w:tcBorders>
          </w:tcPr>
          <w:p w14:paraId="5A9B0C07" w14:textId="77777777" w:rsidR="00984E59" w:rsidRPr="002C1DF6"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2C1DF6">
              <w:rPr>
                <w:rFonts w:ascii="Times New Roman" w:hAnsi="Times New Roman"/>
                <w:sz w:val="18"/>
                <w:szCs w:val="18"/>
                <w:lang w:val="en-US"/>
              </w:rPr>
              <w:t>0.521</w:t>
            </w:r>
          </w:p>
        </w:tc>
      </w:tr>
    </w:tbl>
    <w:p w14:paraId="10CD254B" w14:textId="77777777" w:rsidR="00984E59" w:rsidRDefault="00984E59" w:rsidP="00984E59">
      <w:pPr>
        <w:rPr>
          <w:rFonts w:ascii="Times New Roman" w:hAnsi="Times New Roman"/>
          <w:lang w:val="en-US"/>
        </w:rPr>
      </w:pPr>
      <w:r w:rsidRPr="00AF4487">
        <w:rPr>
          <w:rFonts w:ascii="Times New Roman" w:hAnsi="Times New Roman"/>
          <w:lang w:val="en-US"/>
        </w:rPr>
        <w:t>***, **, and * indicate statistical significance at the 1%, 5%, and 10% levels, respectively</w:t>
      </w:r>
    </w:p>
    <w:p w14:paraId="291C573C" w14:textId="77777777" w:rsidR="00984E59" w:rsidRDefault="00984E59" w:rsidP="00984E59">
      <w:pPr>
        <w:rPr>
          <w:rFonts w:ascii="Times New Roman" w:hAnsi="Times New Roman"/>
          <w:lang w:val="en-US"/>
        </w:rPr>
      </w:pPr>
    </w:p>
    <w:p w14:paraId="3F4B59FC" w14:textId="77777777" w:rsidR="00984E59" w:rsidRDefault="00984E59" w:rsidP="00984E59">
      <w:pPr>
        <w:rPr>
          <w:rFonts w:ascii="Times New Roman" w:hAnsi="Times New Roman"/>
          <w:lang w:val="en-US"/>
        </w:rPr>
      </w:pPr>
    </w:p>
    <w:p w14:paraId="48C7F36F" w14:textId="77777777" w:rsidR="00984E59" w:rsidRDefault="00984E59" w:rsidP="00984E59">
      <w:pPr>
        <w:rPr>
          <w:rFonts w:ascii="Times New Roman" w:hAnsi="Times New Roman"/>
          <w:lang w:val="en-US"/>
        </w:rPr>
      </w:pPr>
    </w:p>
    <w:p w14:paraId="39D2CFD4" w14:textId="77777777" w:rsidR="00984E59" w:rsidRDefault="00984E59" w:rsidP="00984E59">
      <w:pPr>
        <w:rPr>
          <w:rFonts w:ascii="Times New Roman" w:hAnsi="Times New Roman"/>
          <w:lang w:val="en-US"/>
        </w:rPr>
      </w:pPr>
    </w:p>
    <w:p w14:paraId="677BBE12" w14:textId="77777777" w:rsidR="00984E59" w:rsidRDefault="00984E59" w:rsidP="00984E59">
      <w:pPr>
        <w:rPr>
          <w:rFonts w:ascii="Times New Roman" w:hAnsi="Times New Roman"/>
          <w:lang w:val="en-US"/>
        </w:rPr>
      </w:pPr>
    </w:p>
    <w:p w14:paraId="1137B260" w14:textId="77777777" w:rsidR="00984E59" w:rsidRDefault="00984E59" w:rsidP="00984E59">
      <w:pPr>
        <w:rPr>
          <w:rFonts w:ascii="Times New Roman" w:hAnsi="Times New Roman"/>
          <w:lang w:val="en-US"/>
        </w:rPr>
      </w:pPr>
    </w:p>
    <w:p w14:paraId="20C2CDB1" w14:textId="2EB5FDA9" w:rsidR="00984E59" w:rsidRDefault="00984E59" w:rsidP="00984E59">
      <w:pPr>
        <w:rPr>
          <w:rFonts w:ascii="Times New Roman" w:hAnsi="Times New Roman"/>
          <w:lang w:val="en-US"/>
        </w:rPr>
      </w:pPr>
    </w:p>
    <w:p w14:paraId="16D10348" w14:textId="77777777" w:rsidR="00984E59" w:rsidRDefault="00984E59" w:rsidP="00984E59">
      <w:pPr>
        <w:rPr>
          <w:rFonts w:ascii="Times New Roman" w:hAnsi="Times New Roman"/>
          <w:lang w:val="en-US"/>
        </w:rPr>
      </w:pPr>
    </w:p>
    <w:p w14:paraId="6C59B758" w14:textId="77777777" w:rsidR="00984E59" w:rsidRDefault="00984E59" w:rsidP="00984E59">
      <w:pPr>
        <w:rPr>
          <w:rFonts w:ascii="Times New Roman" w:hAnsi="Times New Roman"/>
          <w:lang w:val="en-US"/>
        </w:rPr>
      </w:pPr>
    </w:p>
    <w:p w14:paraId="48DBA613" w14:textId="77777777" w:rsidR="00984E59" w:rsidRDefault="00984E59" w:rsidP="00984E59">
      <w:pPr>
        <w:rPr>
          <w:rFonts w:ascii="Times New Roman" w:hAnsi="Times New Roman"/>
          <w:lang w:val="en-US"/>
        </w:rPr>
      </w:pPr>
    </w:p>
    <w:p w14:paraId="2D7F1187" w14:textId="77777777" w:rsidR="00984E59" w:rsidRPr="00AF4487" w:rsidRDefault="00984E59" w:rsidP="00984E59">
      <w:pPr>
        <w:spacing w:after="0" w:line="240" w:lineRule="auto"/>
        <w:jc w:val="both"/>
        <w:rPr>
          <w:rFonts w:ascii="Times New Roman" w:hAnsi="Times New Roman"/>
          <w:i/>
          <w:lang w:val="en-US"/>
        </w:rPr>
      </w:pPr>
      <w:r w:rsidRPr="00AF4487">
        <w:rPr>
          <w:rFonts w:ascii="Times New Roman" w:hAnsi="Times New Roman"/>
          <w:i/>
          <w:lang w:val="en-US"/>
        </w:rPr>
        <w:lastRenderedPageBreak/>
        <w:t xml:space="preserve">Table 7. Impacts of climate change initiatives and board sustainability committees on carbon performance </w:t>
      </w:r>
    </w:p>
    <w:p w14:paraId="7ED02DB9" w14:textId="77777777" w:rsidR="00984E59" w:rsidRPr="00AF4487" w:rsidRDefault="00984E59" w:rsidP="00984E59">
      <w:pPr>
        <w:spacing w:after="100" w:afterAutospacing="1"/>
        <w:contextualSpacing/>
        <w:jc w:val="both"/>
        <w:rPr>
          <w:rFonts w:ascii="Times New Roman" w:hAnsi="Times New Roman"/>
          <w:lang w:val="en-US"/>
        </w:rPr>
      </w:pPr>
      <w:r w:rsidRPr="00AF4487">
        <w:rPr>
          <w:rFonts w:ascii="Times New Roman" w:hAnsi="Times New Roman"/>
          <w:lang w:val="en-US"/>
        </w:rPr>
        <w:t xml:space="preserve">This table reports the regression results of climate change initiatives and sustainability committees on carbon performance. All variables are defined and measured in Table 3. </w:t>
      </w:r>
      <w:r w:rsidRPr="00AF4487">
        <w:rPr>
          <w:rFonts w:ascii="Times New Roman" w:hAnsi="Times New Roman"/>
          <w:i/>
          <w:lang w:val="en-US"/>
        </w:rPr>
        <w:t>t</w:t>
      </w:r>
      <w:r w:rsidRPr="00AF4487">
        <w:rPr>
          <w:rFonts w:ascii="Times New Roman" w:hAnsi="Times New Roman"/>
          <w:lang w:val="en-US"/>
        </w:rPr>
        <w:t>-statistics estimated using robust standard errors are reported in parentheses.</w:t>
      </w:r>
    </w:p>
    <w:tbl>
      <w:tblPr>
        <w:tblW w:w="5000" w:type="pct"/>
        <w:tblLook w:val="0000" w:firstRow="0" w:lastRow="0" w:firstColumn="0" w:lastColumn="0" w:noHBand="0" w:noVBand="0"/>
      </w:tblPr>
      <w:tblGrid>
        <w:gridCol w:w="2363"/>
        <w:gridCol w:w="1166"/>
        <w:gridCol w:w="1166"/>
        <w:gridCol w:w="1166"/>
        <w:gridCol w:w="1166"/>
        <w:gridCol w:w="1166"/>
        <w:gridCol w:w="1162"/>
      </w:tblGrid>
      <w:tr w:rsidR="00984E59" w:rsidRPr="00E24098" w14:paraId="10F07C4D" w14:textId="77777777" w:rsidTr="0064674F">
        <w:tc>
          <w:tcPr>
            <w:tcW w:w="1263" w:type="pct"/>
            <w:tcBorders>
              <w:top w:val="single" w:sz="12" w:space="0" w:color="auto"/>
              <w:left w:val="nil"/>
              <w:bottom w:val="nil"/>
              <w:right w:val="nil"/>
            </w:tcBorders>
          </w:tcPr>
          <w:p w14:paraId="13770F9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single" w:sz="12" w:space="0" w:color="auto"/>
              <w:left w:val="nil"/>
              <w:bottom w:val="nil"/>
              <w:right w:val="nil"/>
            </w:tcBorders>
          </w:tcPr>
          <w:p w14:paraId="599CDCC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w:t>
            </w:r>
          </w:p>
        </w:tc>
        <w:tc>
          <w:tcPr>
            <w:tcW w:w="623" w:type="pct"/>
            <w:tcBorders>
              <w:top w:val="single" w:sz="12" w:space="0" w:color="auto"/>
              <w:left w:val="nil"/>
              <w:bottom w:val="nil"/>
              <w:right w:val="nil"/>
            </w:tcBorders>
          </w:tcPr>
          <w:p w14:paraId="71CFAE5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w:t>
            </w:r>
          </w:p>
        </w:tc>
        <w:tc>
          <w:tcPr>
            <w:tcW w:w="623" w:type="pct"/>
            <w:tcBorders>
              <w:top w:val="single" w:sz="12" w:space="0" w:color="auto"/>
              <w:left w:val="nil"/>
              <w:bottom w:val="nil"/>
              <w:right w:val="nil"/>
            </w:tcBorders>
          </w:tcPr>
          <w:p w14:paraId="476021D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(3)</w:t>
            </w:r>
          </w:p>
        </w:tc>
        <w:tc>
          <w:tcPr>
            <w:tcW w:w="623" w:type="pct"/>
            <w:tcBorders>
              <w:top w:val="single" w:sz="12" w:space="0" w:color="auto"/>
              <w:left w:val="nil"/>
              <w:bottom w:val="nil"/>
              <w:right w:val="nil"/>
            </w:tcBorders>
          </w:tcPr>
          <w:p w14:paraId="4DFEEDA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(4)</w:t>
            </w:r>
          </w:p>
        </w:tc>
        <w:tc>
          <w:tcPr>
            <w:tcW w:w="623" w:type="pct"/>
            <w:tcBorders>
              <w:top w:val="single" w:sz="12" w:space="0" w:color="auto"/>
              <w:left w:val="nil"/>
              <w:bottom w:val="nil"/>
              <w:right w:val="nil"/>
            </w:tcBorders>
          </w:tcPr>
          <w:p w14:paraId="47F0E50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(5)</w:t>
            </w:r>
          </w:p>
        </w:tc>
        <w:tc>
          <w:tcPr>
            <w:tcW w:w="621" w:type="pct"/>
            <w:tcBorders>
              <w:top w:val="single" w:sz="12" w:space="0" w:color="auto"/>
              <w:left w:val="nil"/>
              <w:bottom w:val="nil"/>
              <w:right w:val="nil"/>
            </w:tcBorders>
          </w:tcPr>
          <w:p w14:paraId="7F8E4B6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(6)</w:t>
            </w:r>
          </w:p>
        </w:tc>
      </w:tr>
      <w:tr w:rsidR="00984E59" w:rsidRPr="00E24098" w14:paraId="15051B7D" w14:textId="77777777" w:rsidTr="0064674F">
        <w:tc>
          <w:tcPr>
            <w:tcW w:w="1263" w:type="pct"/>
            <w:tcBorders>
              <w:top w:val="nil"/>
              <w:left w:val="nil"/>
              <w:bottom w:val="single" w:sz="8" w:space="0" w:color="auto"/>
              <w:right w:val="nil"/>
            </w:tcBorders>
          </w:tcPr>
          <w:p w14:paraId="74DD586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single" w:sz="8" w:space="0" w:color="auto"/>
              <w:right w:val="nil"/>
            </w:tcBorders>
          </w:tcPr>
          <w:p w14:paraId="6A96789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c>
          <w:tcPr>
            <w:tcW w:w="623" w:type="pct"/>
            <w:tcBorders>
              <w:top w:val="nil"/>
              <w:left w:val="nil"/>
              <w:bottom w:val="single" w:sz="8" w:space="0" w:color="auto"/>
              <w:right w:val="nil"/>
            </w:tcBorders>
          </w:tcPr>
          <w:p w14:paraId="299CD97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c>
          <w:tcPr>
            <w:tcW w:w="623" w:type="pct"/>
            <w:tcBorders>
              <w:top w:val="nil"/>
              <w:left w:val="nil"/>
              <w:bottom w:val="single" w:sz="8" w:space="0" w:color="auto"/>
              <w:right w:val="nil"/>
            </w:tcBorders>
          </w:tcPr>
          <w:p w14:paraId="014EEB2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c>
          <w:tcPr>
            <w:tcW w:w="623" w:type="pct"/>
            <w:tcBorders>
              <w:top w:val="nil"/>
              <w:left w:val="nil"/>
              <w:bottom w:val="single" w:sz="8" w:space="0" w:color="auto"/>
              <w:right w:val="nil"/>
            </w:tcBorders>
          </w:tcPr>
          <w:p w14:paraId="4B9FA02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c>
          <w:tcPr>
            <w:tcW w:w="623" w:type="pct"/>
            <w:tcBorders>
              <w:top w:val="nil"/>
              <w:left w:val="nil"/>
              <w:bottom w:val="single" w:sz="8" w:space="0" w:color="auto"/>
              <w:right w:val="nil"/>
            </w:tcBorders>
          </w:tcPr>
          <w:p w14:paraId="45D04E2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c>
          <w:tcPr>
            <w:tcW w:w="621" w:type="pct"/>
            <w:tcBorders>
              <w:top w:val="nil"/>
              <w:left w:val="nil"/>
              <w:bottom w:val="single" w:sz="8" w:space="0" w:color="auto"/>
              <w:right w:val="nil"/>
            </w:tcBorders>
          </w:tcPr>
          <w:p w14:paraId="63537D9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CCPE</w:t>
            </w:r>
          </w:p>
        </w:tc>
      </w:tr>
      <w:tr w:rsidR="00984E59" w:rsidRPr="00E24098" w14:paraId="42CD505F" w14:textId="77777777" w:rsidTr="0064674F">
        <w:tc>
          <w:tcPr>
            <w:tcW w:w="1263" w:type="pct"/>
            <w:tcBorders>
              <w:top w:val="single" w:sz="8" w:space="0" w:color="auto"/>
              <w:left w:val="nil"/>
              <w:bottom w:val="nil"/>
              <w:right w:val="nil"/>
            </w:tcBorders>
          </w:tcPr>
          <w:p w14:paraId="7FFC4EE4"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p>
        </w:tc>
        <w:tc>
          <w:tcPr>
            <w:tcW w:w="623" w:type="pct"/>
            <w:tcBorders>
              <w:top w:val="single" w:sz="8" w:space="0" w:color="auto"/>
              <w:left w:val="nil"/>
              <w:bottom w:val="nil"/>
              <w:right w:val="nil"/>
            </w:tcBorders>
          </w:tcPr>
          <w:p w14:paraId="0D6B81C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0.008</w:t>
            </w:r>
            <w:r w:rsidRPr="00E24098">
              <w:rPr>
                <w:rFonts w:ascii="Times New Roman" w:hAnsi="Times New Roman"/>
                <w:sz w:val="18"/>
                <w:szCs w:val="18"/>
                <w:vertAlign w:val="superscript"/>
                <w:lang w:val="en-US"/>
              </w:rPr>
              <w:t>***</w:t>
            </w:r>
          </w:p>
        </w:tc>
        <w:tc>
          <w:tcPr>
            <w:tcW w:w="623" w:type="pct"/>
            <w:tcBorders>
              <w:top w:val="single" w:sz="8" w:space="0" w:color="auto"/>
              <w:left w:val="nil"/>
              <w:bottom w:val="nil"/>
              <w:right w:val="nil"/>
            </w:tcBorders>
          </w:tcPr>
          <w:p w14:paraId="705EA05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single" w:sz="8" w:space="0" w:color="auto"/>
              <w:left w:val="nil"/>
              <w:bottom w:val="nil"/>
              <w:right w:val="nil"/>
            </w:tcBorders>
          </w:tcPr>
          <w:p w14:paraId="793AC6E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single" w:sz="8" w:space="0" w:color="auto"/>
              <w:left w:val="nil"/>
              <w:bottom w:val="nil"/>
              <w:right w:val="nil"/>
            </w:tcBorders>
          </w:tcPr>
          <w:p w14:paraId="5EEE8CA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0.008</w:t>
            </w:r>
            <w:r w:rsidRPr="00E24098">
              <w:rPr>
                <w:rFonts w:ascii="Times New Roman" w:hAnsi="Times New Roman"/>
                <w:sz w:val="18"/>
                <w:szCs w:val="18"/>
                <w:vertAlign w:val="superscript"/>
                <w:lang w:val="en-US"/>
              </w:rPr>
              <w:t>***</w:t>
            </w:r>
          </w:p>
        </w:tc>
        <w:tc>
          <w:tcPr>
            <w:tcW w:w="623" w:type="pct"/>
            <w:tcBorders>
              <w:top w:val="single" w:sz="8" w:space="0" w:color="auto"/>
              <w:left w:val="nil"/>
              <w:bottom w:val="nil"/>
              <w:right w:val="nil"/>
            </w:tcBorders>
          </w:tcPr>
          <w:p w14:paraId="0097983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single" w:sz="8" w:space="0" w:color="auto"/>
              <w:left w:val="nil"/>
              <w:bottom w:val="nil"/>
              <w:right w:val="nil"/>
            </w:tcBorders>
          </w:tcPr>
          <w:p w14:paraId="52B69DB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5F0BC166" w14:textId="77777777" w:rsidTr="0064674F">
        <w:tc>
          <w:tcPr>
            <w:tcW w:w="1263" w:type="pct"/>
            <w:tcBorders>
              <w:top w:val="nil"/>
              <w:left w:val="nil"/>
              <w:bottom w:val="nil"/>
              <w:right w:val="nil"/>
            </w:tcBorders>
          </w:tcPr>
          <w:p w14:paraId="5991181D"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2E56F4F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(13.23)</w:t>
            </w:r>
          </w:p>
        </w:tc>
        <w:tc>
          <w:tcPr>
            <w:tcW w:w="623" w:type="pct"/>
            <w:tcBorders>
              <w:top w:val="nil"/>
              <w:left w:val="nil"/>
              <w:bottom w:val="nil"/>
              <w:right w:val="nil"/>
            </w:tcBorders>
          </w:tcPr>
          <w:p w14:paraId="58FF845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5D83C4D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322FC1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(12.95)</w:t>
            </w:r>
          </w:p>
        </w:tc>
        <w:tc>
          <w:tcPr>
            <w:tcW w:w="623" w:type="pct"/>
            <w:tcBorders>
              <w:top w:val="nil"/>
              <w:left w:val="nil"/>
              <w:bottom w:val="nil"/>
              <w:right w:val="nil"/>
            </w:tcBorders>
          </w:tcPr>
          <w:p w14:paraId="102CE61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258449B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64E8E9DE" w14:textId="77777777" w:rsidTr="0064674F">
        <w:tc>
          <w:tcPr>
            <w:tcW w:w="1263" w:type="pct"/>
            <w:tcBorders>
              <w:top w:val="nil"/>
              <w:left w:val="nil"/>
              <w:bottom w:val="nil"/>
              <w:right w:val="nil"/>
            </w:tcBorders>
          </w:tcPr>
          <w:p w14:paraId="61074570"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BSCOM</w:t>
            </w:r>
          </w:p>
        </w:tc>
        <w:tc>
          <w:tcPr>
            <w:tcW w:w="623" w:type="pct"/>
            <w:tcBorders>
              <w:top w:val="nil"/>
              <w:left w:val="nil"/>
              <w:bottom w:val="nil"/>
              <w:right w:val="nil"/>
            </w:tcBorders>
          </w:tcPr>
          <w:p w14:paraId="6EFFBC4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0.176</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63E7649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F0A922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395BCD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0.159</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27A08F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4EB7313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183C4422" w14:textId="77777777" w:rsidTr="0064674F">
        <w:tc>
          <w:tcPr>
            <w:tcW w:w="1263" w:type="pct"/>
            <w:tcBorders>
              <w:top w:val="nil"/>
              <w:left w:val="nil"/>
              <w:bottom w:val="nil"/>
              <w:right w:val="nil"/>
            </w:tcBorders>
          </w:tcPr>
          <w:p w14:paraId="5660DB63"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5CCD5AD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(4.14)</w:t>
            </w:r>
          </w:p>
        </w:tc>
        <w:tc>
          <w:tcPr>
            <w:tcW w:w="623" w:type="pct"/>
            <w:tcBorders>
              <w:top w:val="nil"/>
              <w:left w:val="nil"/>
              <w:bottom w:val="nil"/>
              <w:right w:val="nil"/>
            </w:tcBorders>
          </w:tcPr>
          <w:p w14:paraId="4D22462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6E9A5B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C87917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(3.50)</w:t>
            </w:r>
          </w:p>
        </w:tc>
        <w:tc>
          <w:tcPr>
            <w:tcW w:w="623" w:type="pct"/>
            <w:tcBorders>
              <w:top w:val="nil"/>
              <w:left w:val="nil"/>
              <w:bottom w:val="nil"/>
              <w:right w:val="nil"/>
            </w:tcBorders>
          </w:tcPr>
          <w:p w14:paraId="37E41AE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44E820B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5CE1A8E0" w14:textId="77777777" w:rsidTr="0064674F">
        <w:tc>
          <w:tcPr>
            <w:tcW w:w="1263" w:type="pct"/>
            <w:tcBorders>
              <w:top w:val="nil"/>
              <w:left w:val="nil"/>
              <w:bottom w:val="nil"/>
              <w:right w:val="nil"/>
            </w:tcBorders>
          </w:tcPr>
          <w:p w14:paraId="5B0E878B"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PCCIs*BSCOM</w:t>
            </w:r>
          </w:p>
        </w:tc>
        <w:tc>
          <w:tcPr>
            <w:tcW w:w="623" w:type="pct"/>
            <w:tcBorders>
              <w:top w:val="nil"/>
              <w:left w:val="nil"/>
              <w:bottom w:val="nil"/>
              <w:right w:val="nil"/>
            </w:tcBorders>
          </w:tcPr>
          <w:p w14:paraId="5772CC5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A17091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0C39FA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BCF9DC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-0.001</w:t>
            </w:r>
          </w:p>
        </w:tc>
        <w:tc>
          <w:tcPr>
            <w:tcW w:w="623" w:type="pct"/>
            <w:tcBorders>
              <w:top w:val="nil"/>
              <w:left w:val="nil"/>
              <w:bottom w:val="nil"/>
              <w:right w:val="nil"/>
            </w:tcBorders>
          </w:tcPr>
          <w:p w14:paraId="26E4E7A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369713D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77C131EB" w14:textId="77777777" w:rsidTr="0064674F">
        <w:tc>
          <w:tcPr>
            <w:tcW w:w="1263" w:type="pct"/>
            <w:tcBorders>
              <w:top w:val="nil"/>
              <w:left w:val="nil"/>
              <w:bottom w:val="nil"/>
              <w:right w:val="nil"/>
            </w:tcBorders>
          </w:tcPr>
          <w:p w14:paraId="58187DED"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3EA3E42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074C46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0AA040A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40DDCD5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(-0.68)</w:t>
            </w:r>
          </w:p>
        </w:tc>
        <w:tc>
          <w:tcPr>
            <w:tcW w:w="623" w:type="pct"/>
            <w:tcBorders>
              <w:top w:val="nil"/>
              <w:left w:val="nil"/>
              <w:bottom w:val="nil"/>
              <w:right w:val="nil"/>
            </w:tcBorders>
          </w:tcPr>
          <w:p w14:paraId="181C628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13FD4EB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3416FB42" w14:textId="77777777" w:rsidTr="0064674F">
        <w:tc>
          <w:tcPr>
            <w:tcW w:w="1263" w:type="pct"/>
            <w:tcBorders>
              <w:top w:val="nil"/>
              <w:left w:val="nil"/>
              <w:bottom w:val="nil"/>
              <w:right w:val="nil"/>
            </w:tcBorders>
          </w:tcPr>
          <w:p w14:paraId="49A4FF1A"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r w:rsidRPr="00AF4487">
              <w:rPr>
                <w:rFonts w:ascii="Times New Roman" w:hAnsi="Times New Roman"/>
                <w:i/>
                <w:sz w:val="18"/>
                <w:szCs w:val="18"/>
                <w:vertAlign w:val="subscript"/>
                <w:lang w:val="en-US"/>
              </w:rPr>
              <w:t xml:space="preserve"> t-1</w:t>
            </w:r>
          </w:p>
        </w:tc>
        <w:tc>
          <w:tcPr>
            <w:tcW w:w="623" w:type="pct"/>
            <w:tcBorders>
              <w:top w:val="nil"/>
              <w:left w:val="nil"/>
              <w:bottom w:val="nil"/>
              <w:right w:val="nil"/>
            </w:tcBorders>
          </w:tcPr>
          <w:p w14:paraId="59DB76A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5364390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6EC1F7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B7F662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17FBFA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c>
          <w:tcPr>
            <w:tcW w:w="621" w:type="pct"/>
            <w:tcBorders>
              <w:top w:val="nil"/>
              <w:left w:val="nil"/>
              <w:bottom w:val="nil"/>
              <w:right w:val="nil"/>
            </w:tcBorders>
          </w:tcPr>
          <w:p w14:paraId="6CE8A53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046B7837" w14:textId="77777777" w:rsidTr="0064674F">
        <w:tc>
          <w:tcPr>
            <w:tcW w:w="1263" w:type="pct"/>
            <w:tcBorders>
              <w:top w:val="nil"/>
              <w:left w:val="nil"/>
              <w:bottom w:val="nil"/>
              <w:right w:val="nil"/>
            </w:tcBorders>
          </w:tcPr>
          <w:p w14:paraId="70B1E984"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7458654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E3296E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(11.66)</w:t>
            </w:r>
          </w:p>
        </w:tc>
        <w:tc>
          <w:tcPr>
            <w:tcW w:w="623" w:type="pct"/>
            <w:tcBorders>
              <w:top w:val="nil"/>
              <w:left w:val="nil"/>
              <w:bottom w:val="nil"/>
              <w:right w:val="nil"/>
            </w:tcBorders>
          </w:tcPr>
          <w:p w14:paraId="75D51A9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0B696BD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65A18D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(11.35)</w:t>
            </w:r>
          </w:p>
        </w:tc>
        <w:tc>
          <w:tcPr>
            <w:tcW w:w="621" w:type="pct"/>
            <w:tcBorders>
              <w:top w:val="nil"/>
              <w:left w:val="nil"/>
              <w:bottom w:val="nil"/>
              <w:right w:val="nil"/>
            </w:tcBorders>
          </w:tcPr>
          <w:p w14:paraId="29783A9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0B74B859" w14:textId="77777777" w:rsidTr="0064674F">
        <w:tc>
          <w:tcPr>
            <w:tcW w:w="1263" w:type="pct"/>
            <w:tcBorders>
              <w:top w:val="nil"/>
              <w:left w:val="nil"/>
              <w:bottom w:val="nil"/>
              <w:right w:val="nil"/>
            </w:tcBorders>
          </w:tcPr>
          <w:p w14:paraId="29EF778D"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BSCOM</w:t>
            </w:r>
            <w:r w:rsidRPr="00AF4487">
              <w:rPr>
                <w:rFonts w:ascii="Times New Roman" w:hAnsi="Times New Roman"/>
                <w:i/>
                <w:sz w:val="18"/>
                <w:szCs w:val="18"/>
                <w:vertAlign w:val="subscript"/>
                <w:lang w:val="en-US"/>
              </w:rPr>
              <w:t xml:space="preserve"> t-1</w:t>
            </w:r>
          </w:p>
        </w:tc>
        <w:tc>
          <w:tcPr>
            <w:tcW w:w="623" w:type="pct"/>
            <w:tcBorders>
              <w:top w:val="nil"/>
              <w:left w:val="nil"/>
              <w:bottom w:val="nil"/>
              <w:right w:val="nil"/>
            </w:tcBorders>
          </w:tcPr>
          <w:p w14:paraId="62CA1E1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EF0FED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0.110</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E6E726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E28891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4208BA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0.104</w:t>
            </w:r>
            <w:r w:rsidRPr="00E24098">
              <w:rPr>
                <w:rFonts w:ascii="Times New Roman" w:hAnsi="Times New Roman"/>
                <w:sz w:val="18"/>
                <w:szCs w:val="18"/>
                <w:vertAlign w:val="superscript"/>
                <w:lang w:val="en-US"/>
              </w:rPr>
              <w:t>**</w:t>
            </w:r>
          </w:p>
        </w:tc>
        <w:tc>
          <w:tcPr>
            <w:tcW w:w="621" w:type="pct"/>
            <w:tcBorders>
              <w:top w:val="nil"/>
              <w:left w:val="nil"/>
              <w:bottom w:val="nil"/>
              <w:right w:val="nil"/>
            </w:tcBorders>
          </w:tcPr>
          <w:p w14:paraId="0F99699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6B66B6DA" w14:textId="77777777" w:rsidTr="0064674F">
        <w:tc>
          <w:tcPr>
            <w:tcW w:w="1263" w:type="pct"/>
            <w:tcBorders>
              <w:top w:val="nil"/>
              <w:left w:val="nil"/>
              <w:bottom w:val="nil"/>
              <w:right w:val="nil"/>
            </w:tcBorders>
          </w:tcPr>
          <w:p w14:paraId="17D0F6CA"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46986FA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1007CC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(2.59)</w:t>
            </w:r>
          </w:p>
        </w:tc>
        <w:tc>
          <w:tcPr>
            <w:tcW w:w="623" w:type="pct"/>
            <w:tcBorders>
              <w:top w:val="nil"/>
              <w:left w:val="nil"/>
              <w:bottom w:val="nil"/>
              <w:right w:val="nil"/>
            </w:tcBorders>
          </w:tcPr>
          <w:p w14:paraId="6AC0156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602810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091C337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(2.21)</w:t>
            </w:r>
          </w:p>
        </w:tc>
        <w:tc>
          <w:tcPr>
            <w:tcW w:w="621" w:type="pct"/>
            <w:tcBorders>
              <w:top w:val="nil"/>
              <w:left w:val="nil"/>
              <w:bottom w:val="nil"/>
              <w:right w:val="nil"/>
            </w:tcBorders>
          </w:tcPr>
          <w:p w14:paraId="19EE70B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49DB4F8A" w14:textId="77777777" w:rsidTr="0064674F">
        <w:tc>
          <w:tcPr>
            <w:tcW w:w="1263" w:type="pct"/>
            <w:tcBorders>
              <w:top w:val="nil"/>
              <w:left w:val="nil"/>
              <w:bottom w:val="nil"/>
              <w:right w:val="nil"/>
            </w:tcBorders>
          </w:tcPr>
          <w:p w14:paraId="5E81C700"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r w:rsidRPr="00AF4487">
              <w:rPr>
                <w:rFonts w:ascii="Times New Roman" w:hAnsi="Times New Roman"/>
                <w:i/>
                <w:sz w:val="18"/>
                <w:szCs w:val="18"/>
                <w:vertAlign w:val="subscript"/>
                <w:lang w:val="en-US"/>
              </w:rPr>
              <w:t xml:space="preserve"> t-1</w:t>
            </w:r>
            <w:r>
              <w:rPr>
                <w:rFonts w:ascii="Times New Roman" w:hAnsi="Times New Roman"/>
                <w:sz w:val="18"/>
                <w:szCs w:val="18"/>
                <w:lang w:val="en-US"/>
              </w:rPr>
              <w:t>*BSCOM</w:t>
            </w:r>
            <w:r w:rsidRPr="00AF4487">
              <w:rPr>
                <w:rFonts w:ascii="Times New Roman" w:hAnsi="Times New Roman"/>
                <w:i/>
                <w:sz w:val="18"/>
                <w:szCs w:val="18"/>
                <w:vertAlign w:val="subscript"/>
                <w:lang w:val="en-US"/>
              </w:rPr>
              <w:t xml:space="preserve"> t-1</w:t>
            </w:r>
          </w:p>
        </w:tc>
        <w:tc>
          <w:tcPr>
            <w:tcW w:w="623" w:type="pct"/>
            <w:tcBorders>
              <w:top w:val="nil"/>
              <w:left w:val="nil"/>
              <w:bottom w:val="nil"/>
              <w:right w:val="nil"/>
            </w:tcBorders>
          </w:tcPr>
          <w:p w14:paraId="33BC23F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53BB9F5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5FDC3DF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F43295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E96CAC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-0.000</w:t>
            </w:r>
          </w:p>
        </w:tc>
        <w:tc>
          <w:tcPr>
            <w:tcW w:w="621" w:type="pct"/>
            <w:tcBorders>
              <w:top w:val="nil"/>
              <w:left w:val="nil"/>
              <w:bottom w:val="nil"/>
              <w:right w:val="nil"/>
            </w:tcBorders>
          </w:tcPr>
          <w:p w14:paraId="29EED12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4A03FD50" w14:textId="77777777" w:rsidTr="0064674F">
        <w:tc>
          <w:tcPr>
            <w:tcW w:w="1263" w:type="pct"/>
            <w:tcBorders>
              <w:top w:val="nil"/>
              <w:left w:val="nil"/>
              <w:bottom w:val="nil"/>
              <w:right w:val="nil"/>
            </w:tcBorders>
          </w:tcPr>
          <w:p w14:paraId="7D8730B4"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466465D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4A4046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34ADE8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A48CB5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5ACEB9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(-0.24)</w:t>
            </w:r>
          </w:p>
        </w:tc>
        <w:tc>
          <w:tcPr>
            <w:tcW w:w="621" w:type="pct"/>
            <w:tcBorders>
              <w:top w:val="nil"/>
              <w:left w:val="nil"/>
              <w:bottom w:val="nil"/>
              <w:right w:val="nil"/>
            </w:tcBorders>
          </w:tcPr>
          <w:p w14:paraId="05D7FCA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E24098" w14:paraId="730E9634" w14:textId="77777777" w:rsidTr="0064674F">
        <w:tc>
          <w:tcPr>
            <w:tcW w:w="1263" w:type="pct"/>
            <w:tcBorders>
              <w:top w:val="nil"/>
              <w:left w:val="nil"/>
              <w:bottom w:val="nil"/>
              <w:right w:val="nil"/>
            </w:tcBorders>
          </w:tcPr>
          <w:p w14:paraId="1619C8D2"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r w:rsidRPr="00AF4487">
              <w:rPr>
                <w:rFonts w:ascii="Times New Roman" w:hAnsi="Times New Roman"/>
                <w:i/>
                <w:sz w:val="18"/>
                <w:szCs w:val="18"/>
                <w:vertAlign w:val="subscript"/>
                <w:lang w:val="en-US"/>
              </w:rPr>
              <w:t xml:space="preserve"> t-2</w:t>
            </w:r>
          </w:p>
        </w:tc>
        <w:tc>
          <w:tcPr>
            <w:tcW w:w="623" w:type="pct"/>
            <w:tcBorders>
              <w:top w:val="nil"/>
              <w:left w:val="nil"/>
              <w:bottom w:val="nil"/>
              <w:right w:val="nil"/>
            </w:tcBorders>
          </w:tcPr>
          <w:p w14:paraId="7639E33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5CDFD3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A78BB3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34B4083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9AB5BB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3DEAC82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r>
      <w:tr w:rsidR="00984E59" w:rsidRPr="00E24098" w14:paraId="2799A2D4" w14:textId="77777777" w:rsidTr="0064674F">
        <w:tc>
          <w:tcPr>
            <w:tcW w:w="1263" w:type="pct"/>
            <w:tcBorders>
              <w:top w:val="nil"/>
              <w:left w:val="nil"/>
              <w:bottom w:val="nil"/>
              <w:right w:val="nil"/>
            </w:tcBorders>
          </w:tcPr>
          <w:p w14:paraId="11A52EA5"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08FB3D3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967650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E9CA54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(10.48)</w:t>
            </w:r>
          </w:p>
        </w:tc>
        <w:tc>
          <w:tcPr>
            <w:tcW w:w="623" w:type="pct"/>
            <w:tcBorders>
              <w:top w:val="nil"/>
              <w:left w:val="nil"/>
              <w:bottom w:val="nil"/>
              <w:right w:val="nil"/>
            </w:tcBorders>
          </w:tcPr>
          <w:p w14:paraId="5A7D4A7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39DACF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23023AE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(10.30)</w:t>
            </w:r>
          </w:p>
        </w:tc>
      </w:tr>
      <w:tr w:rsidR="00984E59" w:rsidRPr="00E24098" w14:paraId="5BC43943" w14:textId="77777777" w:rsidTr="0064674F">
        <w:tc>
          <w:tcPr>
            <w:tcW w:w="1263" w:type="pct"/>
            <w:tcBorders>
              <w:top w:val="nil"/>
              <w:left w:val="nil"/>
              <w:bottom w:val="nil"/>
              <w:right w:val="nil"/>
            </w:tcBorders>
          </w:tcPr>
          <w:p w14:paraId="4C0877BB"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BSCOM</w:t>
            </w:r>
            <w:r w:rsidRPr="00AF4487">
              <w:rPr>
                <w:rFonts w:ascii="Times New Roman" w:hAnsi="Times New Roman"/>
                <w:i/>
                <w:sz w:val="18"/>
                <w:szCs w:val="18"/>
                <w:vertAlign w:val="subscript"/>
                <w:lang w:val="en-US"/>
              </w:rPr>
              <w:t xml:space="preserve"> t-2</w:t>
            </w:r>
          </w:p>
        </w:tc>
        <w:tc>
          <w:tcPr>
            <w:tcW w:w="623" w:type="pct"/>
            <w:tcBorders>
              <w:top w:val="nil"/>
              <w:left w:val="nil"/>
              <w:bottom w:val="nil"/>
              <w:right w:val="nil"/>
            </w:tcBorders>
          </w:tcPr>
          <w:p w14:paraId="7BE61D2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45F9EB7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FCAFCF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0.092</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95837B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585D93E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190123B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0.082</w:t>
            </w:r>
            <w:r w:rsidRPr="00E24098">
              <w:rPr>
                <w:rFonts w:ascii="Times New Roman" w:hAnsi="Times New Roman"/>
                <w:sz w:val="18"/>
                <w:szCs w:val="18"/>
                <w:vertAlign w:val="superscript"/>
                <w:lang w:val="en-US"/>
              </w:rPr>
              <w:t>*</w:t>
            </w:r>
          </w:p>
        </w:tc>
      </w:tr>
      <w:tr w:rsidR="00984E59" w:rsidRPr="00E24098" w14:paraId="23DD4335" w14:textId="77777777" w:rsidTr="0064674F">
        <w:tc>
          <w:tcPr>
            <w:tcW w:w="1263" w:type="pct"/>
            <w:tcBorders>
              <w:top w:val="nil"/>
              <w:left w:val="nil"/>
              <w:bottom w:val="nil"/>
              <w:right w:val="nil"/>
            </w:tcBorders>
          </w:tcPr>
          <w:p w14:paraId="11D59D0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4AF4E4C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FF9E06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202323D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(2.14)</w:t>
            </w:r>
          </w:p>
        </w:tc>
        <w:tc>
          <w:tcPr>
            <w:tcW w:w="623" w:type="pct"/>
            <w:tcBorders>
              <w:top w:val="nil"/>
              <w:left w:val="nil"/>
              <w:bottom w:val="nil"/>
              <w:right w:val="nil"/>
            </w:tcBorders>
          </w:tcPr>
          <w:p w14:paraId="7F22C71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743BE0D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382CA5B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(1.69)</w:t>
            </w:r>
          </w:p>
        </w:tc>
      </w:tr>
      <w:tr w:rsidR="00984E59" w:rsidRPr="00E24098" w14:paraId="53A0A6F9" w14:textId="77777777" w:rsidTr="0064674F">
        <w:tc>
          <w:tcPr>
            <w:tcW w:w="1263" w:type="pct"/>
            <w:tcBorders>
              <w:top w:val="nil"/>
              <w:left w:val="nil"/>
              <w:bottom w:val="nil"/>
              <w:right w:val="nil"/>
            </w:tcBorders>
          </w:tcPr>
          <w:p w14:paraId="7A67FBCD"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PCCIs</w:t>
            </w:r>
            <w:r w:rsidRPr="00AF4487">
              <w:rPr>
                <w:rFonts w:ascii="Times New Roman" w:hAnsi="Times New Roman"/>
                <w:i/>
                <w:sz w:val="18"/>
                <w:szCs w:val="18"/>
                <w:vertAlign w:val="subscript"/>
                <w:lang w:val="en-US"/>
              </w:rPr>
              <w:t xml:space="preserve"> t-2</w:t>
            </w:r>
            <w:r>
              <w:rPr>
                <w:rFonts w:ascii="Times New Roman" w:hAnsi="Times New Roman"/>
                <w:sz w:val="18"/>
                <w:szCs w:val="18"/>
                <w:lang w:val="en-US"/>
              </w:rPr>
              <w:t>*BSCOM</w:t>
            </w:r>
            <w:r w:rsidRPr="00AF4487">
              <w:rPr>
                <w:rFonts w:ascii="Times New Roman" w:hAnsi="Times New Roman"/>
                <w:i/>
                <w:sz w:val="18"/>
                <w:szCs w:val="18"/>
                <w:vertAlign w:val="subscript"/>
                <w:lang w:val="en-US"/>
              </w:rPr>
              <w:t xml:space="preserve"> t-2</w:t>
            </w:r>
          </w:p>
        </w:tc>
        <w:tc>
          <w:tcPr>
            <w:tcW w:w="623" w:type="pct"/>
            <w:tcBorders>
              <w:top w:val="nil"/>
              <w:left w:val="nil"/>
              <w:bottom w:val="nil"/>
              <w:right w:val="nil"/>
            </w:tcBorders>
          </w:tcPr>
          <w:p w14:paraId="0233E67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C1DABA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94F6E5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374867A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FBC608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28D0217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-0.001</w:t>
            </w:r>
          </w:p>
        </w:tc>
      </w:tr>
      <w:tr w:rsidR="00984E59" w:rsidRPr="00E24098" w14:paraId="1EDB217F" w14:textId="77777777" w:rsidTr="0064674F">
        <w:tc>
          <w:tcPr>
            <w:tcW w:w="1263" w:type="pct"/>
            <w:tcBorders>
              <w:top w:val="nil"/>
              <w:left w:val="nil"/>
              <w:bottom w:val="nil"/>
              <w:right w:val="nil"/>
            </w:tcBorders>
          </w:tcPr>
          <w:p w14:paraId="5532890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0EBED07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494F5A2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0442D24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128AB40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nil"/>
              <w:left w:val="nil"/>
              <w:bottom w:val="nil"/>
              <w:right w:val="nil"/>
            </w:tcBorders>
          </w:tcPr>
          <w:p w14:paraId="6E296B7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1" w:type="pct"/>
            <w:tcBorders>
              <w:top w:val="nil"/>
              <w:left w:val="nil"/>
              <w:bottom w:val="nil"/>
              <w:right w:val="nil"/>
            </w:tcBorders>
          </w:tcPr>
          <w:p w14:paraId="460DEA1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(-0.35)</w:t>
            </w:r>
          </w:p>
        </w:tc>
      </w:tr>
      <w:tr w:rsidR="00984E59" w:rsidRPr="00E24098" w14:paraId="24057FC0" w14:textId="77777777" w:rsidTr="0064674F">
        <w:tc>
          <w:tcPr>
            <w:tcW w:w="1263" w:type="pct"/>
            <w:tcBorders>
              <w:top w:val="nil"/>
              <w:left w:val="nil"/>
              <w:bottom w:val="nil"/>
              <w:right w:val="nil"/>
            </w:tcBorders>
          </w:tcPr>
          <w:p w14:paraId="57A0B923"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BSIZE</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4BEB4FC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-0.055</w:t>
            </w:r>
          </w:p>
        </w:tc>
        <w:tc>
          <w:tcPr>
            <w:tcW w:w="623" w:type="pct"/>
            <w:tcBorders>
              <w:top w:val="nil"/>
              <w:left w:val="nil"/>
              <w:bottom w:val="nil"/>
              <w:right w:val="nil"/>
            </w:tcBorders>
          </w:tcPr>
          <w:p w14:paraId="1D614E61"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-0.046</w:t>
            </w:r>
          </w:p>
        </w:tc>
        <w:tc>
          <w:tcPr>
            <w:tcW w:w="623" w:type="pct"/>
            <w:tcBorders>
              <w:top w:val="nil"/>
              <w:left w:val="nil"/>
              <w:bottom w:val="nil"/>
              <w:right w:val="nil"/>
            </w:tcBorders>
          </w:tcPr>
          <w:p w14:paraId="3908B016"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-0.076</w:t>
            </w:r>
          </w:p>
        </w:tc>
        <w:tc>
          <w:tcPr>
            <w:tcW w:w="623" w:type="pct"/>
            <w:tcBorders>
              <w:top w:val="nil"/>
              <w:left w:val="nil"/>
              <w:bottom w:val="nil"/>
              <w:right w:val="nil"/>
            </w:tcBorders>
          </w:tcPr>
          <w:p w14:paraId="1D58157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-0.056</w:t>
            </w:r>
          </w:p>
        </w:tc>
        <w:tc>
          <w:tcPr>
            <w:tcW w:w="623" w:type="pct"/>
            <w:tcBorders>
              <w:top w:val="nil"/>
              <w:left w:val="nil"/>
              <w:bottom w:val="nil"/>
              <w:right w:val="nil"/>
            </w:tcBorders>
          </w:tcPr>
          <w:p w14:paraId="573BFEB2"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-0.046</w:t>
            </w:r>
          </w:p>
        </w:tc>
        <w:tc>
          <w:tcPr>
            <w:tcW w:w="621" w:type="pct"/>
            <w:tcBorders>
              <w:top w:val="nil"/>
              <w:left w:val="nil"/>
              <w:bottom w:val="nil"/>
              <w:right w:val="nil"/>
            </w:tcBorders>
          </w:tcPr>
          <w:p w14:paraId="33A6E0A9"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-0.077</w:t>
            </w:r>
          </w:p>
        </w:tc>
      </w:tr>
      <w:tr w:rsidR="00984E59" w:rsidRPr="00E24098" w14:paraId="75D925FA" w14:textId="77777777" w:rsidTr="0064674F">
        <w:tc>
          <w:tcPr>
            <w:tcW w:w="1263" w:type="pct"/>
            <w:tcBorders>
              <w:top w:val="nil"/>
              <w:left w:val="nil"/>
              <w:bottom w:val="nil"/>
              <w:right w:val="nil"/>
            </w:tcBorders>
          </w:tcPr>
          <w:p w14:paraId="02029FC0"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39B748A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(-1.00)</w:t>
            </w:r>
          </w:p>
        </w:tc>
        <w:tc>
          <w:tcPr>
            <w:tcW w:w="623" w:type="pct"/>
            <w:tcBorders>
              <w:top w:val="nil"/>
              <w:left w:val="nil"/>
              <w:bottom w:val="nil"/>
              <w:right w:val="nil"/>
            </w:tcBorders>
          </w:tcPr>
          <w:p w14:paraId="476B7947"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(-0.80)</w:t>
            </w:r>
          </w:p>
        </w:tc>
        <w:tc>
          <w:tcPr>
            <w:tcW w:w="623" w:type="pct"/>
            <w:tcBorders>
              <w:top w:val="nil"/>
              <w:left w:val="nil"/>
              <w:bottom w:val="nil"/>
              <w:right w:val="nil"/>
            </w:tcBorders>
          </w:tcPr>
          <w:p w14:paraId="01186945"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(-1.33)</w:t>
            </w:r>
          </w:p>
        </w:tc>
        <w:tc>
          <w:tcPr>
            <w:tcW w:w="623" w:type="pct"/>
            <w:tcBorders>
              <w:top w:val="nil"/>
              <w:left w:val="nil"/>
              <w:bottom w:val="nil"/>
              <w:right w:val="nil"/>
            </w:tcBorders>
          </w:tcPr>
          <w:p w14:paraId="208B32B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(-1.01)</w:t>
            </w:r>
          </w:p>
        </w:tc>
        <w:tc>
          <w:tcPr>
            <w:tcW w:w="623" w:type="pct"/>
            <w:tcBorders>
              <w:top w:val="nil"/>
              <w:left w:val="nil"/>
              <w:bottom w:val="nil"/>
              <w:right w:val="nil"/>
            </w:tcBorders>
          </w:tcPr>
          <w:p w14:paraId="172473BE"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(-0.81)</w:t>
            </w:r>
          </w:p>
        </w:tc>
        <w:tc>
          <w:tcPr>
            <w:tcW w:w="621" w:type="pct"/>
            <w:tcBorders>
              <w:top w:val="nil"/>
              <w:left w:val="nil"/>
              <w:bottom w:val="nil"/>
              <w:right w:val="nil"/>
            </w:tcBorders>
          </w:tcPr>
          <w:p w14:paraId="6C78EAEB"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(-1.34)</w:t>
            </w:r>
          </w:p>
        </w:tc>
      </w:tr>
      <w:tr w:rsidR="00984E59" w:rsidRPr="00E24098" w14:paraId="0CDD5EE1" w14:textId="77777777" w:rsidTr="0064674F">
        <w:tc>
          <w:tcPr>
            <w:tcW w:w="1263" w:type="pct"/>
            <w:tcBorders>
              <w:top w:val="nil"/>
              <w:left w:val="nil"/>
              <w:bottom w:val="nil"/>
              <w:right w:val="nil"/>
            </w:tcBorders>
          </w:tcPr>
          <w:p w14:paraId="2692DFEF"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INDIR</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6BA58DE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0.003</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9415B43"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0.003</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6B5707DB"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0.002</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04D559B1"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0.003</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07DE9BF8"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0.003</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02122335"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0.002</w:t>
            </w:r>
            <w:r w:rsidRPr="00A42BC1">
              <w:rPr>
                <w:rFonts w:ascii="Times New Roman" w:hAnsi="Times New Roman"/>
                <w:sz w:val="18"/>
                <w:szCs w:val="18"/>
                <w:vertAlign w:val="superscript"/>
                <w:lang w:val="en-US"/>
              </w:rPr>
              <w:t>***</w:t>
            </w:r>
          </w:p>
        </w:tc>
      </w:tr>
      <w:tr w:rsidR="00984E59" w:rsidRPr="00E24098" w14:paraId="0B67089C" w14:textId="77777777" w:rsidTr="0064674F">
        <w:tc>
          <w:tcPr>
            <w:tcW w:w="1263" w:type="pct"/>
            <w:tcBorders>
              <w:top w:val="nil"/>
              <w:left w:val="nil"/>
              <w:bottom w:val="nil"/>
              <w:right w:val="nil"/>
            </w:tcBorders>
          </w:tcPr>
          <w:p w14:paraId="238DA12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0B6D181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(5.29)</w:t>
            </w:r>
          </w:p>
        </w:tc>
        <w:tc>
          <w:tcPr>
            <w:tcW w:w="623" w:type="pct"/>
            <w:tcBorders>
              <w:top w:val="nil"/>
              <w:left w:val="nil"/>
              <w:bottom w:val="nil"/>
              <w:right w:val="nil"/>
            </w:tcBorders>
          </w:tcPr>
          <w:p w14:paraId="73426317"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(5.32)</w:t>
            </w:r>
          </w:p>
        </w:tc>
        <w:tc>
          <w:tcPr>
            <w:tcW w:w="623" w:type="pct"/>
            <w:tcBorders>
              <w:top w:val="nil"/>
              <w:left w:val="nil"/>
              <w:bottom w:val="nil"/>
              <w:right w:val="nil"/>
            </w:tcBorders>
          </w:tcPr>
          <w:p w14:paraId="54E0500B"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(4.73)</w:t>
            </w:r>
          </w:p>
        </w:tc>
        <w:tc>
          <w:tcPr>
            <w:tcW w:w="623" w:type="pct"/>
            <w:tcBorders>
              <w:top w:val="nil"/>
              <w:left w:val="nil"/>
              <w:bottom w:val="nil"/>
              <w:right w:val="nil"/>
            </w:tcBorders>
          </w:tcPr>
          <w:p w14:paraId="3C6BA0C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(5.29)</w:t>
            </w:r>
          </w:p>
        </w:tc>
        <w:tc>
          <w:tcPr>
            <w:tcW w:w="623" w:type="pct"/>
            <w:tcBorders>
              <w:top w:val="nil"/>
              <w:left w:val="nil"/>
              <w:bottom w:val="nil"/>
              <w:right w:val="nil"/>
            </w:tcBorders>
          </w:tcPr>
          <w:p w14:paraId="08037931"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(5.32)</w:t>
            </w:r>
          </w:p>
        </w:tc>
        <w:tc>
          <w:tcPr>
            <w:tcW w:w="621" w:type="pct"/>
            <w:tcBorders>
              <w:top w:val="nil"/>
              <w:left w:val="nil"/>
              <w:bottom w:val="nil"/>
              <w:right w:val="nil"/>
            </w:tcBorders>
          </w:tcPr>
          <w:p w14:paraId="084CF531"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(4.73)</w:t>
            </w:r>
          </w:p>
        </w:tc>
      </w:tr>
      <w:tr w:rsidR="00984E59" w:rsidRPr="00E24098" w14:paraId="2E62D2E0" w14:textId="77777777" w:rsidTr="0064674F">
        <w:tc>
          <w:tcPr>
            <w:tcW w:w="1263" w:type="pct"/>
            <w:tcBorders>
              <w:top w:val="nil"/>
              <w:left w:val="nil"/>
              <w:bottom w:val="nil"/>
              <w:right w:val="nil"/>
            </w:tcBorders>
          </w:tcPr>
          <w:p w14:paraId="0AC1F7C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BGEN</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4E4C56F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0.002</w:t>
            </w:r>
          </w:p>
        </w:tc>
        <w:tc>
          <w:tcPr>
            <w:tcW w:w="623" w:type="pct"/>
            <w:tcBorders>
              <w:top w:val="nil"/>
              <w:left w:val="nil"/>
              <w:bottom w:val="nil"/>
              <w:right w:val="nil"/>
            </w:tcBorders>
          </w:tcPr>
          <w:p w14:paraId="61B1970D"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0.003</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74FCAC94"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0.003</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1C75A85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0.002</w:t>
            </w:r>
          </w:p>
        </w:tc>
        <w:tc>
          <w:tcPr>
            <w:tcW w:w="623" w:type="pct"/>
            <w:tcBorders>
              <w:top w:val="nil"/>
              <w:left w:val="nil"/>
              <w:bottom w:val="nil"/>
              <w:right w:val="nil"/>
            </w:tcBorders>
          </w:tcPr>
          <w:p w14:paraId="68C723AF"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0.003</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3AB0DEDF"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0.003</w:t>
            </w:r>
            <w:r w:rsidRPr="00A42BC1">
              <w:rPr>
                <w:rFonts w:ascii="Times New Roman" w:hAnsi="Times New Roman"/>
                <w:sz w:val="18"/>
                <w:szCs w:val="18"/>
                <w:vertAlign w:val="superscript"/>
                <w:lang w:val="en-US"/>
              </w:rPr>
              <w:t>*</w:t>
            </w:r>
          </w:p>
        </w:tc>
      </w:tr>
      <w:tr w:rsidR="00984E59" w:rsidRPr="00E24098" w14:paraId="2816082B" w14:textId="77777777" w:rsidTr="0064674F">
        <w:tc>
          <w:tcPr>
            <w:tcW w:w="1263" w:type="pct"/>
            <w:tcBorders>
              <w:top w:val="nil"/>
              <w:left w:val="nil"/>
              <w:bottom w:val="nil"/>
              <w:right w:val="nil"/>
            </w:tcBorders>
          </w:tcPr>
          <w:p w14:paraId="2040A84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6B83870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(1.60)</w:t>
            </w:r>
          </w:p>
        </w:tc>
        <w:tc>
          <w:tcPr>
            <w:tcW w:w="623" w:type="pct"/>
            <w:tcBorders>
              <w:top w:val="nil"/>
              <w:left w:val="nil"/>
              <w:bottom w:val="nil"/>
              <w:right w:val="nil"/>
            </w:tcBorders>
          </w:tcPr>
          <w:p w14:paraId="2FDFE0F9"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(1.85)</w:t>
            </w:r>
          </w:p>
        </w:tc>
        <w:tc>
          <w:tcPr>
            <w:tcW w:w="623" w:type="pct"/>
            <w:tcBorders>
              <w:top w:val="nil"/>
              <w:left w:val="nil"/>
              <w:bottom w:val="nil"/>
              <w:right w:val="nil"/>
            </w:tcBorders>
          </w:tcPr>
          <w:p w14:paraId="3AC68A99"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(1.73)</w:t>
            </w:r>
          </w:p>
        </w:tc>
        <w:tc>
          <w:tcPr>
            <w:tcW w:w="623" w:type="pct"/>
            <w:tcBorders>
              <w:top w:val="nil"/>
              <w:left w:val="nil"/>
              <w:bottom w:val="nil"/>
              <w:right w:val="nil"/>
            </w:tcBorders>
          </w:tcPr>
          <w:p w14:paraId="6DBFD6C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(1.60)</w:t>
            </w:r>
          </w:p>
        </w:tc>
        <w:tc>
          <w:tcPr>
            <w:tcW w:w="623" w:type="pct"/>
            <w:tcBorders>
              <w:top w:val="nil"/>
              <w:left w:val="nil"/>
              <w:bottom w:val="nil"/>
              <w:right w:val="nil"/>
            </w:tcBorders>
          </w:tcPr>
          <w:p w14:paraId="739EE61B"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(1.85)</w:t>
            </w:r>
          </w:p>
        </w:tc>
        <w:tc>
          <w:tcPr>
            <w:tcW w:w="621" w:type="pct"/>
            <w:tcBorders>
              <w:top w:val="nil"/>
              <w:left w:val="nil"/>
              <w:bottom w:val="nil"/>
              <w:right w:val="nil"/>
            </w:tcBorders>
          </w:tcPr>
          <w:p w14:paraId="31EE8FF9"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(1.73)</w:t>
            </w:r>
          </w:p>
        </w:tc>
      </w:tr>
      <w:tr w:rsidR="00984E59" w:rsidRPr="00E24098" w14:paraId="1E10B05E" w14:textId="77777777" w:rsidTr="0064674F">
        <w:tc>
          <w:tcPr>
            <w:tcW w:w="1263" w:type="pct"/>
            <w:tcBorders>
              <w:top w:val="nil"/>
              <w:left w:val="nil"/>
              <w:bottom w:val="nil"/>
              <w:right w:val="nil"/>
            </w:tcBorders>
          </w:tcPr>
          <w:p w14:paraId="704422C0"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SIZE</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00F6046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0.868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912D4FA"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0.878</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62816F8F"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0.885</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1AA1A62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0.868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670F566"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0.878</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768316DA"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0.885</w:t>
            </w:r>
            <w:r w:rsidRPr="00A42BC1">
              <w:rPr>
                <w:rFonts w:ascii="Times New Roman" w:hAnsi="Times New Roman"/>
                <w:sz w:val="18"/>
                <w:szCs w:val="18"/>
                <w:vertAlign w:val="superscript"/>
                <w:lang w:val="en-US"/>
              </w:rPr>
              <w:t>***</w:t>
            </w:r>
          </w:p>
        </w:tc>
      </w:tr>
      <w:tr w:rsidR="00984E59" w:rsidRPr="00E24098" w14:paraId="2E3D30DC" w14:textId="77777777" w:rsidTr="0064674F">
        <w:tc>
          <w:tcPr>
            <w:tcW w:w="1263" w:type="pct"/>
            <w:tcBorders>
              <w:top w:val="nil"/>
              <w:left w:val="nil"/>
              <w:bottom w:val="nil"/>
              <w:right w:val="nil"/>
            </w:tcBorders>
          </w:tcPr>
          <w:p w14:paraId="014AD3B4"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2EA853C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(65.83)</w:t>
            </w:r>
          </w:p>
        </w:tc>
        <w:tc>
          <w:tcPr>
            <w:tcW w:w="623" w:type="pct"/>
            <w:tcBorders>
              <w:top w:val="nil"/>
              <w:left w:val="nil"/>
              <w:bottom w:val="nil"/>
              <w:right w:val="nil"/>
            </w:tcBorders>
          </w:tcPr>
          <w:p w14:paraId="0AA35D74"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(64.50)</w:t>
            </w:r>
          </w:p>
        </w:tc>
        <w:tc>
          <w:tcPr>
            <w:tcW w:w="623" w:type="pct"/>
            <w:tcBorders>
              <w:top w:val="nil"/>
              <w:left w:val="nil"/>
              <w:bottom w:val="nil"/>
              <w:right w:val="nil"/>
            </w:tcBorders>
          </w:tcPr>
          <w:p w14:paraId="3844EDCA"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(63.98)</w:t>
            </w:r>
          </w:p>
        </w:tc>
        <w:tc>
          <w:tcPr>
            <w:tcW w:w="623" w:type="pct"/>
            <w:tcBorders>
              <w:top w:val="nil"/>
              <w:left w:val="nil"/>
              <w:bottom w:val="nil"/>
              <w:right w:val="nil"/>
            </w:tcBorders>
          </w:tcPr>
          <w:p w14:paraId="47633AE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(65.80)</w:t>
            </w:r>
          </w:p>
        </w:tc>
        <w:tc>
          <w:tcPr>
            <w:tcW w:w="623" w:type="pct"/>
            <w:tcBorders>
              <w:top w:val="nil"/>
              <w:left w:val="nil"/>
              <w:bottom w:val="nil"/>
              <w:right w:val="nil"/>
            </w:tcBorders>
          </w:tcPr>
          <w:p w14:paraId="44D6BFD3"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(64.50)</w:t>
            </w:r>
          </w:p>
        </w:tc>
        <w:tc>
          <w:tcPr>
            <w:tcW w:w="621" w:type="pct"/>
            <w:tcBorders>
              <w:top w:val="nil"/>
              <w:left w:val="nil"/>
              <w:bottom w:val="nil"/>
              <w:right w:val="nil"/>
            </w:tcBorders>
          </w:tcPr>
          <w:p w14:paraId="7D89E5AE"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(64.00)</w:t>
            </w:r>
          </w:p>
        </w:tc>
      </w:tr>
      <w:tr w:rsidR="00984E59" w:rsidRPr="00E24098" w14:paraId="183ADBD0" w14:textId="77777777" w:rsidTr="0064674F">
        <w:tc>
          <w:tcPr>
            <w:tcW w:w="1263" w:type="pct"/>
            <w:tcBorders>
              <w:top w:val="nil"/>
              <w:left w:val="nil"/>
              <w:bottom w:val="nil"/>
              <w:right w:val="nil"/>
            </w:tcBorders>
          </w:tcPr>
          <w:p w14:paraId="7C882A15"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PROF</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0EC3506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-0.006</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5EF70AD"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-0.005</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7DC29C13"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-0.005</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2DEA6F3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-0.006</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15B9D452"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-0.005</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151315DF"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-0.005</w:t>
            </w:r>
            <w:r w:rsidRPr="00A42BC1">
              <w:rPr>
                <w:rFonts w:ascii="Times New Roman" w:hAnsi="Times New Roman"/>
                <w:sz w:val="18"/>
                <w:szCs w:val="18"/>
                <w:vertAlign w:val="superscript"/>
                <w:lang w:val="en-US"/>
              </w:rPr>
              <w:t>**</w:t>
            </w:r>
          </w:p>
        </w:tc>
      </w:tr>
      <w:tr w:rsidR="00984E59" w:rsidRPr="00E24098" w14:paraId="6B2EF99D" w14:textId="77777777" w:rsidTr="0064674F">
        <w:tc>
          <w:tcPr>
            <w:tcW w:w="1263" w:type="pct"/>
            <w:tcBorders>
              <w:top w:val="nil"/>
              <w:left w:val="nil"/>
              <w:bottom w:val="nil"/>
              <w:right w:val="nil"/>
            </w:tcBorders>
          </w:tcPr>
          <w:p w14:paraId="250F7F33"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5E8F89B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(-2.99)</w:t>
            </w:r>
          </w:p>
        </w:tc>
        <w:tc>
          <w:tcPr>
            <w:tcW w:w="623" w:type="pct"/>
            <w:tcBorders>
              <w:top w:val="nil"/>
              <w:left w:val="nil"/>
              <w:bottom w:val="nil"/>
              <w:right w:val="nil"/>
            </w:tcBorders>
          </w:tcPr>
          <w:p w14:paraId="43A20DB0"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(-2.50)</w:t>
            </w:r>
          </w:p>
        </w:tc>
        <w:tc>
          <w:tcPr>
            <w:tcW w:w="623" w:type="pct"/>
            <w:tcBorders>
              <w:top w:val="nil"/>
              <w:left w:val="nil"/>
              <w:bottom w:val="nil"/>
              <w:right w:val="nil"/>
            </w:tcBorders>
          </w:tcPr>
          <w:p w14:paraId="3AF3F03B"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(-2.33)</w:t>
            </w:r>
          </w:p>
        </w:tc>
        <w:tc>
          <w:tcPr>
            <w:tcW w:w="623" w:type="pct"/>
            <w:tcBorders>
              <w:top w:val="nil"/>
              <w:left w:val="nil"/>
              <w:bottom w:val="nil"/>
              <w:right w:val="nil"/>
            </w:tcBorders>
          </w:tcPr>
          <w:p w14:paraId="3B53D25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(-2.98)</w:t>
            </w:r>
          </w:p>
        </w:tc>
        <w:tc>
          <w:tcPr>
            <w:tcW w:w="623" w:type="pct"/>
            <w:tcBorders>
              <w:top w:val="nil"/>
              <w:left w:val="nil"/>
              <w:bottom w:val="nil"/>
              <w:right w:val="nil"/>
            </w:tcBorders>
          </w:tcPr>
          <w:p w14:paraId="19BA05D7"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(-2.50)</w:t>
            </w:r>
          </w:p>
        </w:tc>
        <w:tc>
          <w:tcPr>
            <w:tcW w:w="621" w:type="pct"/>
            <w:tcBorders>
              <w:top w:val="nil"/>
              <w:left w:val="nil"/>
              <w:bottom w:val="nil"/>
              <w:right w:val="nil"/>
            </w:tcBorders>
          </w:tcPr>
          <w:p w14:paraId="107ECA99"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(-2.32)</w:t>
            </w:r>
          </w:p>
        </w:tc>
      </w:tr>
      <w:tr w:rsidR="00984E59" w:rsidRPr="00E24098" w14:paraId="71EFED11" w14:textId="77777777" w:rsidTr="0064674F">
        <w:tc>
          <w:tcPr>
            <w:tcW w:w="1263" w:type="pct"/>
            <w:tcBorders>
              <w:top w:val="nil"/>
              <w:left w:val="nil"/>
              <w:bottom w:val="nil"/>
              <w:right w:val="nil"/>
            </w:tcBorders>
          </w:tcPr>
          <w:p w14:paraId="042AF86C"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DEBT</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7F88E86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2498958"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0.006</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1A26D69A"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0.006</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5F039F6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0.007</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2907C508"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0.006</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2A1E92BC"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0.006</w:t>
            </w:r>
            <w:r w:rsidRPr="00A42BC1">
              <w:rPr>
                <w:rFonts w:ascii="Times New Roman" w:hAnsi="Times New Roman"/>
                <w:sz w:val="18"/>
                <w:szCs w:val="18"/>
                <w:vertAlign w:val="superscript"/>
                <w:lang w:val="en-US"/>
              </w:rPr>
              <w:t>***</w:t>
            </w:r>
          </w:p>
        </w:tc>
      </w:tr>
      <w:tr w:rsidR="00984E59" w:rsidRPr="00E24098" w14:paraId="6922D95C" w14:textId="77777777" w:rsidTr="0064674F">
        <w:tc>
          <w:tcPr>
            <w:tcW w:w="1263" w:type="pct"/>
            <w:tcBorders>
              <w:top w:val="nil"/>
              <w:left w:val="nil"/>
              <w:bottom w:val="nil"/>
              <w:right w:val="nil"/>
            </w:tcBorders>
          </w:tcPr>
          <w:p w14:paraId="1C669CEA"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279E7AA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(6.26)</w:t>
            </w:r>
          </w:p>
        </w:tc>
        <w:tc>
          <w:tcPr>
            <w:tcW w:w="623" w:type="pct"/>
            <w:tcBorders>
              <w:top w:val="nil"/>
              <w:left w:val="nil"/>
              <w:bottom w:val="nil"/>
              <w:right w:val="nil"/>
            </w:tcBorders>
          </w:tcPr>
          <w:p w14:paraId="05D50522"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(5.96)</w:t>
            </w:r>
          </w:p>
        </w:tc>
        <w:tc>
          <w:tcPr>
            <w:tcW w:w="623" w:type="pct"/>
            <w:tcBorders>
              <w:top w:val="nil"/>
              <w:left w:val="nil"/>
              <w:bottom w:val="nil"/>
              <w:right w:val="nil"/>
            </w:tcBorders>
          </w:tcPr>
          <w:p w14:paraId="5832AB5D"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(5.40)</w:t>
            </w:r>
          </w:p>
        </w:tc>
        <w:tc>
          <w:tcPr>
            <w:tcW w:w="623" w:type="pct"/>
            <w:tcBorders>
              <w:top w:val="nil"/>
              <w:left w:val="nil"/>
              <w:bottom w:val="nil"/>
              <w:right w:val="nil"/>
            </w:tcBorders>
          </w:tcPr>
          <w:p w14:paraId="2AE4E99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(6.25)</w:t>
            </w:r>
          </w:p>
        </w:tc>
        <w:tc>
          <w:tcPr>
            <w:tcW w:w="623" w:type="pct"/>
            <w:tcBorders>
              <w:top w:val="nil"/>
              <w:left w:val="nil"/>
              <w:bottom w:val="nil"/>
              <w:right w:val="nil"/>
            </w:tcBorders>
          </w:tcPr>
          <w:p w14:paraId="2AE2721E"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(5.96)</w:t>
            </w:r>
          </w:p>
        </w:tc>
        <w:tc>
          <w:tcPr>
            <w:tcW w:w="621" w:type="pct"/>
            <w:tcBorders>
              <w:top w:val="nil"/>
              <w:left w:val="nil"/>
              <w:bottom w:val="nil"/>
              <w:right w:val="nil"/>
            </w:tcBorders>
          </w:tcPr>
          <w:p w14:paraId="4C40B314"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(5.40)</w:t>
            </w:r>
          </w:p>
        </w:tc>
      </w:tr>
      <w:tr w:rsidR="00984E59" w:rsidRPr="00E24098" w14:paraId="66CF56BA" w14:textId="77777777" w:rsidTr="0064674F">
        <w:tc>
          <w:tcPr>
            <w:tcW w:w="1263" w:type="pct"/>
            <w:tcBorders>
              <w:top w:val="nil"/>
              <w:left w:val="nil"/>
              <w:bottom w:val="nil"/>
              <w:right w:val="nil"/>
            </w:tcBorders>
          </w:tcPr>
          <w:p w14:paraId="78F9891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CASH</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180E36E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-0.659</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45D81F3"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-0.657</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424F4A67"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-0.664</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76E6267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-0.662</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65E5CEC"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-0.658</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1D1FC4D8"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-0.665</w:t>
            </w:r>
            <w:r w:rsidRPr="00A42BC1">
              <w:rPr>
                <w:rFonts w:ascii="Times New Roman" w:hAnsi="Times New Roman"/>
                <w:sz w:val="18"/>
                <w:szCs w:val="18"/>
                <w:vertAlign w:val="superscript"/>
                <w:lang w:val="en-US"/>
              </w:rPr>
              <w:t>***</w:t>
            </w:r>
          </w:p>
        </w:tc>
      </w:tr>
      <w:tr w:rsidR="00984E59" w:rsidRPr="00E24098" w14:paraId="69D50455" w14:textId="77777777" w:rsidTr="0064674F">
        <w:tc>
          <w:tcPr>
            <w:tcW w:w="1263" w:type="pct"/>
            <w:tcBorders>
              <w:top w:val="nil"/>
              <w:left w:val="nil"/>
              <w:bottom w:val="nil"/>
              <w:right w:val="nil"/>
            </w:tcBorders>
          </w:tcPr>
          <w:p w14:paraId="3B3F099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7C60C96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(-3.70)</w:t>
            </w:r>
          </w:p>
        </w:tc>
        <w:tc>
          <w:tcPr>
            <w:tcW w:w="623" w:type="pct"/>
            <w:tcBorders>
              <w:top w:val="nil"/>
              <w:left w:val="nil"/>
              <w:bottom w:val="nil"/>
              <w:right w:val="nil"/>
            </w:tcBorders>
          </w:tcPr>
          <w:p w14:paraId="281AD6C0"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(-3.56)</w:t>
            </w:r>
          </w:p>
        </w:tc>
        <w:tc>
          <w:tcPr>
            <w:tcW w:w="623" w:type="pct"/>
            <w:tcBorders>
              <w:top w:val="nil"/>
              <w:left w:val="nil"/>
              <w:bottom w:val="nil"/>
              <w:right w:val="nil"/>
            </w:tcBorders>
          </w:tcPr>
          <w:p w14:paraId="28AD39ED"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(-3.47)</w:t>
            </w:r>
          </w:p>
        </w:tc>
        <w:tc>
          <w:tcPr>
            <w:tcW w:w="623" w:type="pct"/>
            <w:tcBorders>
              <w:top w:val="nil"/>
              <w:left w:val="nil"/>
              <w:bottom w:val="nil"/>
              <w:right w:val="nil"/>
            </w:tcBorders>
          </w:tcPr>
          <w:p w14:paraId="1893F91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(-3.71)</w:t>
            </w:r>
          </w:p>
        </w:tc>
        <w:tc>
          <w:tcPr>
            <w:tcW w:w="623" w:type="pct"/>
            <w:tcBorders>
              <w:top w:val="nil"/>
              <w:left w:val="nil"/>
              <w:bottom w:val="nil"/>
              <w:right w:val="nil"/>
            </w:tcBorders>
          </w:tcPr>
          <w:p w14:paraId="7FC79F79"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(-3.56)</w:t>
            </w:r>
          </w:p>
        </w:tc>
        <w:tc>
          <w:tcPr>
            <w:tcW w:w="621" w:type="pct"/>
            <w:tcBorders>
              <w:top w:val="nil"/>
              <w:left w:val="nil"/>
              <w:bottom w:val="nil"/>
              <w:right w:val="nil"/>
            </w:tcBorders>
          </w:tcPr>
          <w:p w14:paraId="283DE709"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(-3.48)</w:t>
            </w:r>
          </w:p>
        </w:tc>
      </w:tr>
      <w:tr w:rsidR="00984E59" w:rsidRPr="00E24098" w14:paraId="6D618994" w14:textId="77777777" w:rsidTr="0064674F">
        <w:tc>
          <w:tcPr>
            <w:tcW w:w="1263" w:type="pct"/>
            <w:tcBorders>
              <w:top w:val="nil"/>
              <w:left w:val="nil"/>
              <w:bottom w:val="nil"/>
              <w:right w:val="nil"/>
            </w:tcBorders>
          </w:tcPr>
          <w:p w14:paraId="2C141655"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CAPIN</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19A9927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2.164</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1964EC66"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2.143</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4FCDC09F"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2.145</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23637D1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2.164</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3AC383D9"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2.143</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79A5EC27"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2.145</w:t>
            </w:r>
            <w:r w:rsidRPr="00A42BC1">
              <w:rPr>
                <w:rFonts w:ascii="Times New Roman" w:hAnsi="Times New Roman"/>
                <w:sz w:val="18"/>
                <w:szCs w:val="18"/>
                <w:vertAlign w:val="superscript"/>
                <w:lang w:val="en-US"/>
              </w:rPr>
              <w:t>***</w:t>
            </w:r>
          </w:p>
        </w:tc>
      </w:tr>
      <w:tr w:rsidR="00984E59" w:rsidRPr="00E24098" w14:paraId="35836683" w14:textId="77777777" w:rsidTr="0064674F">
        <w:tc>
          <w:tcPr>
            <w:tcW w:w="1263" w:type="pct"/>
            <w:tcBorders>
              <w:top w:val="nil"/>
              <w:left w:val="nil"/>
              <w:bottom w:val="nil"/>
              <w:right w:val="nil"/>
            </w:tcBorders>
          </w:tcPr>
          <w:p w14:paraId="51E7E4E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48447E2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(23.53)</w:t>
            </w:r>
          </w:p>
        </w:tc>
        <w:tc>
          <w:tcPr>
            <w:tcW w:w="623" w:type="pct"/>
            <w:tcBorders>
              <w:top w:val="nil"/>
              <w:left w:val="nil"/>
              <w:bottom w:val="nil"/>
              <w:right w:val="nil"/>
            </w:tcBorders>
          </w:tcPr>
          <w:p w14:paraId="06A88606"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(22.54)</w:t>
            </w:r>
          </w:p>
        </w:tc>
        <w:tc>
          <w:tcPr>
            <w:tcW w:w="623" w:type="pct"/>
            <w:tcBorders>
              <w:top w:val="nil"/>
              <w:left w:val="nil"/>
              <w:bottom w:val="nil"/>
              <w:right w:val="nil"/>
            </w:tcBorders>
          </w:tcPr>
          <w:p w14:paraId="0A2A3E38"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(21.94)</w:t>
            </w:r>
          </w:p>
        </w:tc>
        <w:tc>
          <w:tcPr>
            <w:tcW w:w="623" w:type="pct"/>
            <w:tcBorders>
              <w:top w:val="nil"/>
              <w:left w:val="nil"/>
              <w:bottom w:val="nil"/>
              <w:right w:val="nil"/>
            </w:tcBorders>
          </w:tcPr>
          <w:p w14:paraId="11A19A0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(23.53)</w:t>
            </w:r>
          </w:p>
        </w:tc>
        <w:tc>
          <w:tcPr>
            <w:tcW w:w="623" w:type="pct"/>
            <w:tcBorders>
              <w:top w:val="nil"/>
              <w:left w:val="nil"/>
              <w:bottom w:val="nil"/>
              <w:right w:val="nil"/>
            </w:tcBorders>
          </w:tcPr>
          <w:p w14:paraId="7F9DB98E"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(22.54)</w:t>
            </w:r>
          </w:p>
        </w:tc>
        <w:tc>
          <w:tcPr>
            <w:tcW w:w="621" w:type="pct"/>
            <w:tcBorders>
              <w:top w:val="nil"/>
              <w:left w:val="nil"/>
              <w:bottom w:val="nil"/>
              <w:right w:val="nil"/>
            </w:tcBorders>
          </w:tcPr>
          <w:p w14:paraId="60E46855"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(21.94)</w:t>
            </w:r>
          </w:p>
        </w:tc>
      </w:tr>
      <w:tr w:rsidR="00984E59" w:rsidRPr="00E24098" w14:paraId="0949F11F" w14:textId="77777777" w:rsidTr="0064674F">
        <w:tc>
          <w:tcPr>
            <w:tcW w:w="1263" w:type="pct"/>
            <w:tcBorders>
              <w:top w:val="nil"/>
              <w:left w:val="nil"/>
              <w:bottom w:val="nil"/>
              <w:right w:val="nil"/>
            </w:tcBorders>
          </w:tcPr>
          <w:p w14:paraId="0D007D12"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WGI</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66CAC7F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0.018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0C666A49"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0.016</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5008294B"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0.013</w:t>
            </w:r>
          </w:p>
        </w:tc>
        <w:tc>
          <w:tcPr>
            <w:tcW w:w="623" w:type="pct"/>
            <w:tcBorders>
              <w:top w:val="nil"/>
              <w:left w:val="nil"/>
              <w:bottom w:val="nil"/>
              <w:right w:val="nil"/>
            </w:tcBorders>
          </w:tcPr>
          <w:p w14:paraId="6424F39E"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0.018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8A2D846"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0.016</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1A4FFA81"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0.013</w:t>
            </w:r>
          </w:p>
        </w:tc>
      </w:tr>
      <w:tr w:rsidR="00984E59" w:rsidRPr="00E24098" w14:paraId="3DACA296" w14:textId="77777777" w:rsidTr="0064674F">
        <w:tc>
          <w:tcPr>
            <w:tcW w:w="1263" w:type="pct"/>
            <w:tcBorders>
              <w:top w:val="nil"/>
              <w:left w:val="nil"/>
              <w:bottom w:val="nil"/>
              <w:right w:val="nil"/>
            </w:tcBorders>
          </w:tcPr>
          <w:p w14:paraId="74B3E5F6"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3489F4F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(2.38)</w:t>
            </w:r>
          </w:p>
        </w:tc>
        <w:tc>
          <w:tcPr>
            <w:tcW w:w="623" w:type="pct"/>
            <w:tcBorders>
              <w:top w:val="nil"/>
              <w:left w:val="nil"/>
              <w:bottom w:val="nil"/>
              <w:right w:val="nil"/>
            </w:tcBorders>
          </w:tcPr>
          <w:p w14:paraId="2B86B504"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(1.97)</w:t>
            </w:r>
          </w:p>
        </w:tc>
        <w:tc>
          <w:tcPr>
            <w:tcW w:w="623" w:type="pct"/>
            <w:tcBorders>
              <w:top w:val="nil"/>
              <w:left w:val="nil"/>
              <w:bottom w:val="nil"/>
              <w:right w:val="nil"/>
            </w:tcBorders>
          </w:tcPr>
          <w:p w14:paraId="69DB30C5"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(1.40)</w:t>
            </w:r>
          </w:p>
        </w:tc>
        <w:tc>
          <w:tcPr>
            <w:tcW w:w="623" w:type="pct"/>
            <w:tcBorders>
              <w:top w:val="nil"/>
              <w:left w:val="nil"/>
              <w:bottom w:val="nil"/>
              <w:right w:val="nil"/>
            </w:tcBorders>
          </w:tcPr>
          <w:p w14:paraId="18EAD90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(2.38)</w:t>
            </w:r>
          </w:p>
        </w:tc>
        <w:tc>
          <w:tcPr>
            <w:tcW w:w="623" w:type="pct"/>
            <w:tcBorders>
              <w:top w:val="nil"/>
              <w:left w:val="nil"/>
              <w:bottom w:val="nil"/>
              <w:right w:val="nil"/>
            </w:tcBorders>
          </w:tcPr>
          <w:p w14:paraId="049389E7"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(1.97)</w:t>
            </w:r>
          </w:p>
        </w:tc>
        <w:tc>
          <w:tcPr>
            <w:tcW w:w="621" w:type="pct"/>
            <w:tcBorders>
              <w:top w:val="nil"/>
              <w:left w:val="nil"/>
              <w:bottom w:val="nil"/>
              <w:right w:val="nil"/>
            </w:tcBorders>
          </w:tcPr>
          <w:p w14:paraId="2B1E1F89"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(1.40)</w:t>
            </w:r>
          </w:p>
        </w:tc>
      </w:tr>
      <w:tr w:rsidR="00984E59" w:rsidRPr="00E24098" w14:paraId="7592855C" w14:textId="77777777" w:rsidTr="0064674F">
        <w:tc>
          <w:tcPr>
            <w:tcW w:w="1263" w:type="pct"/>
            <w:tcBorders>
              <w:top w:val="nil"/>
              <w:left w:val="nil"/>
              <w:bottom w:val="nil"/>
              <w:right w:val="nil"/>
            </w:tcBorders>
          </w:tcPr>
          <w:p w14:paraId="22E629D6"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GDP</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72DFCC4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0.004</w:t>
            </w:r>
          </w:p>
        </w:tc>
        <w:tc>
          <w:tcPr>
            <w:tcW w:w="623" w:type="pct"/>
            <w:tcBorders>
              <w:top w:val="nil"/>
              <w:left w:val="nil"/>
              <w:bottom w:val="nil"/>
              <w:right w:val="nil"/>
            </w:tcBorders>
          </w:tcPr>
          <w:p w14:paraId="0EADDD2D"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0.008</w:t>
            </w:r>
          </w:p>
        </w:tc>
        <w:tc>
          <w:tcPr>
            <w:tcW w:w="623" w:type="pct"/>
            <w:tcBorders>
              <w:top w:val="nil"/>
              <w:left w:val="nil"/>
              <w:bottom w:val="nil"/>
              <w:right w:val="nil"/>
            </w:tcBorders>
          </w:tcPr>
          <w:p w14:paraId="3F0ABF2B"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0.013</w:t>
            </w:r>
          </w:p>
        </w:tc>
        <w:tc>
          <w:tcPr>
            <w:tcW w:w="623" w:type="pct"/>
            <w:tcBorders>
              <w:top w:val="nil"/>
              <w:left w:val="nil"/>
              <w:bottom w:val="nil"/>
              <w:right w:val="nil"/>
            </w:tcBorders>
          </w:tcPr>
          <w:p w14:paraId="1A54BAD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0.004</w:t>
            </w:r>
          </w:p>
        </w:tc>
        <w:tc>
          <w:tcPr>
            <w:tcW w:w="623" w:type="pct"/>
            <w:tcBorders>
              <w:top w:val="nil"/>
              <w:left w:val="nil"/>
              <w:bottom w:val="nil"/>
              <w:right w:val="nil"/>
            </w:tcBorders>
          </w:tcPr>
          <w:p w14:paraId="3F900133"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0.008</w:t>
            </w:r>
          </w:p>
        </w:tc>
        <w:tc>
          <w:tcPr>
            <w:tcW w:w="621" w:type="pct"/>
            <w:tcBorders>
              <w:top w:val="nil"/>
              <w:left w:val="nil"/>
              <w:bottom w:val="nil"/>
              <w:right w:val="nil"/>
            </w:tcBorders>
          </w:tcPr>
          <w:p w14:paraId="128AE57C"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0.013</w:t>
            </w:r>
          </w:p>
        </w:tc>
      </w:tr>
      <w:tr w:rsidR="00984E59" w:rsidRPr="00E24098" w14:paraId="789E15C0" w14:textId="77777777" w:rsidTr="0064674F">
        <w:tc>
          <w:tcPr>
            <w:tcW w:w="1263" w:type="pct"/>
            <w:tcBorders>
              <w:top w:val="nil"/>
              <w:left w:val="nil"/>
              <w:bottom w:val="nil"/>
              <w:right w:val="nil"/>
            </w:tcBorders>
          </w:tcPr>
          <w:p w14:paraId="111306EC"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21FD3FD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(0.45)</w:t>
            </w:r>
          </w:p>
        </w:tc>
        <w:tc>
          <w:tcPr>
            <w:tcW w:w="623" w:type="pct"/>
            <w:tcBorders>
              <w:top w:val="nil"/>
              <w:left w:val="nil"/>
              <w:bottom w:val="nil"/>
              <w:right w:val="nil"/>
            </w:tcBorders>
          </w:tcPr>
          <w:p w14:paraId="0B85CB42"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(0.85)</w:t>
            </w:r>
          </w:p>
        </w:tc>
        <w:tc>
          <w:tcPr>
            <w:tcW w:w="623" w:type="pct"/>
            <w:tcBorders>
              <w:top w:val="nil"/>
              <w:left w:val="nil"/>
              <w:bottom w:val="nil"/>
              <w:right w:val="nil"/>
            </w:tcBorders>
          </w:tcPr>
          <w:p w14:paraId="26D35B66"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(1.39)</w:t>
            </w:r>
          </w:p>
        </w:tc>
        <w:tc>
          <w:tcPr>
            <w:tcW w:w="623" w:type="pct"/>
            <w:tcBorders>
              <w:top w:val="nil"/>
              <w:left w:val="nil"/>
              <w:bottom w:val="nil"/>
              <w:right w:val="nil"/>
            </w:tcBorders>
          </w:tcPr>
          <w:p w14:paraId="1566294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(0.44)</w:t>
            </w:r>
          </w:p>
        </w:tc>
        <w:tc>
          <w:tcPr>
            <w:tcW w:w="623" w:type="pct"/>
            <w:tcBorders>
              <w:top w:val="nil"/>
              <w:left w:val="nil"/>
              <w:bottom w:val="nil"/>
              <w:right w:val="nil"/>
            </w:tcBorders>
          </w:tcPr>
          <w:p w14:paraId="0B4A5EBD"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(0.84)</w:t>
            </w:r>
          </w:p>
        </w:tc>
        <w:tc>
          <w:tcPr>
            <w:tcW w:w="621" w:type="pct"/>
            <w:tcBorders>
              <w:top w:val="nil"/>
              <w:left w:val="nil"/>
              <w:bottom w:val="nil"/>
              <w:right w:val="nil"/>
            </w:tcBorders>
          </w:tcPr>
          <w:p w14:paraId="3F213940"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(1.38)</w:t>
            </w:r>
          </w:p>
        </w:tc>
      </w:tr>
      <w:tr w:rsidR="00984E59" w:rsidRPr="00E24098" w14:paraId="018770F7" w14:textId="77777777" w:rsidTr="0064674F">
        <w:tc>
          <w:tcPr>
            <w:tcW w:w="1263" w:type="pct"/>
            <w:tcBorders>
              <w:top w:val="nil"/>
              <w:left w:val="nil"/>
              <w:bottom w:val="nil"/>
              <w:right w:val="nil"/>
            </w:tcBorders>
          </w:tcPr>
          <w:p w14:paraId="63B56E38"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E24098">
              <w:rPr>
                <w:rFonts w:ascii="Times New Roman" w:hAnsi="Times New Roman"/>
                <w:sz w:val="18"/>
                <w:szCs w:val="18"/>
                <w:lang w:val="en-US"/>
              </w:rPr>
              <w:t>INF</w:t>
            </w:r>
            <w:r w:rsidRPr="00AF4487">
              <w:rPr>
                <w:rFonts w:ascii="Times New Roman" w:hAnsi="Times New Roman"/>
                <w:sz w:val="18"/>
                <w:szCs w:val="18"/>
                <w:vertAlign w:val="subscript"/>
                <w:lang w:val="en-US"/>
              </w:rPr>
              <w:t>[</w:t>
            </w:r>
            <w:r w:rsidRPr="00AF4487">
              <w:rPr>
                <w:rFonts w:ascii="Times New Roman" w:hAnsi="Times New Roman"/>
                <w:i/>
                <w:sz w:val="18"/>
                <w:szCs w:val="18"/>
                <w:vertAlign w:val="subscript"/>
                <w:lang w:val="en-US"/>
              </w:rPr>
              <w:t>t;t-1;t-2</w:t>
            </w:r>
            <w:r w:rsidRPr="00AF4487">
              <w:rPr>
                <w:rFonts w:ascii="Times New Roman" w:hAnsi="Times New Roman"/>
                <w:sz w:val="18"/>
                <w:szCs w:val="18"/>
                <w:vertAlign w:val="subscript"/>
                <w:lang w:val="en-US"/>
              </w:rPr>
              <w:t>]</w:t>
            </w:r>
          </w:p>
        </w:tc>
        <w:tc>
          <w:tcPr>
            <w:tcW w:w="623" w:type="pct"/>
            <w:tcBorders>
              <w:top w:val="nil"/>
              <w:left w:val="nil"/>
              <w:bottom w:val="nil"/>
              <w:right w:val="nil"/>
            </w:tcBorders>
          </w:tcPr>
          <w:p w14:paraId="425243C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0.038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68FEA5D8"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0.042</w:t>
            </w:r>
            <w:r w:rsidRPr="00F80660">
              <w:rPr>
                <w:rFonts w:ascii="Times New Roman" w:hAnsi="Times New Roman"/>
                <w:sz w:val="18"/>
                <w:szCs w:val="18"/>
                <w:vertAlign w:val="superscript"/>
                <w:lang w:val="en-US"/>
              </w:rPr>
              <w:t>***</w:t>
            </w:r>
          </w:p>
        </w:tc>
        <w:tc>
          <w:tcPr>
            <w:tcW w:w="623" w:type="pct"/>
            <w:tcBorders>
              <w:top w:val="nil"/>
              <w:left w:val="nil"/>
              <w:bottom w:val="nil"/>
              <w:right w:val="nil"/>
            </w:tcBorders>
          </w:tcPr>
          <w:p w14:paraId="0C2D420A"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0.048</w:t>
            </w:r>
            <w:r w:rsidRPr="009613E1">
              <w:rPr>
                <w:rFonts w:ascii="Times New Roman" w:hAnsi="Times New Roman"/>
                <w:sz w:val="18"/>
                <w:szCs w:val="18"/>
                <w:vertAlign w:val="superscript"/>
                <w:lang w:val="en-US"/>
              </w:rPr>
              <w:t>***</w:t>
            </w:r>
          </w:p>
        </w:tc>
        <w:tc>
          <w:tcPr>
            <w:tcW w:w="623" w:type="pct"/>
            <w:tcBorders>
              <w:top w:val="nil"/>
              <w:left w:val="nil"/>
              <w:bottom w:val="nil"/>
              <w:right w:val="nil"/>
            </w:tcBorders>
          </w:tcPr>
          <w:p w14:paraId="3F4B22B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0.038</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407ECED2"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0.042</w:t>
            </w:r>
            <w:r w:rsidRPr="00FA0BDF">
              <w:rPr>
                <w:rFonts w:ascii="Times New Roman" w:hAnsi="Times New Roman"/>
                <w:sz w:val="18"/>
                <w:szCs w:val="18"/>
                <w:vertAlign w:val="superscript"/>
                <w:lang w:val="en-US"/>
              </w:rPr>
              <w:t>***</w:t>
            </w:r>
          </w:p>
        </w:tc>
        <w:tc>
          <w:tcPr>
            <w:tcW w:w="621" w:type="pct"/>
            <w:tcBorders>
              <w:top w:val="nil"/>
              <w:left w:val="nil"/>
              <w:bottom w:val="nil"/>
              <w:right w:val="nil"/>
            </w:tcBorders>
          </w:tcPr>
          <w:p w14:paraId="5BD1250E"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0.048</w:t>
            </w:r>
            <w:r w:rsidRPr="00A42BC1">
              <w:rPr>
                <w:rFonts w:ascii="Times New Roman" w:hAnsi="Times New Roman"/>
                <w:sz w:val="18"/>
                <w:szCs w:val="18"/>
                <w:vertAlign w:val="superscript"/>
                <w:lang w:val="en-US"/>
              </w:rPr>
              <w:t>***</w:t>
            </w:r>
          </w:p>
        </w:tc>
      </w:tr>
      <w:tr w:rsidR="00984E59" w:rsidRPr="00E24098" w14:paraId="6527C1FB" w14:textId="77777777" w:rsidTr="0064674F">
        <w:tc>
          <w:tcPr>
            <w:tcW w:w="1263" w:type="pct"/>
            <w:tcBorders>
              <w:top w:val="nil"/>
              <w:left w:val="nil"/>
              <w:bottom w:val="nil"/>
              <w:right w:val="nil"/>
            </w:tcBorders>
          </w:tcPr>
          <w:p w14:paraId="44057644"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bottom w:val="nil"/>
              <w:right w:val="nil"/>
            </w:tcBorders>
          </w:tcPr>
          <w:p w14:paraId="2096F3E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(2.88)</w:t>
            </w:r>
          </w:p>
        </w:tc>
        <w:tc>
          <w:tcPr>
            <w:tcW w:w="623" w:type="pct"/>
            <w:tcBorders>
              <w:top w:val="nil"/>
              <w:left w:val="nil"/>
              <w:bottom w:val="nil"/>
              <w:right w:val="nil"/>
            </w:tcBorders>
          </w:tcPr>
          <w:p w14:paraId="5A18E5F9" w14:textId="77777777" w:rsidR="00984E59" w:rsidRPr="00F80660"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80660">
              <w:rPr>
                <w:rFonts w:ascii="Times New Roman" w:hAnsi="Times New Roman"/>
                <w:sz w:val="18"/>
                <w:szCs w:val="18"/>
                <w:lang w:val="en-US"/>
              </w:rPr>
              <w:t>(3.13)</w:t>
            </w:r>
          </w:p>
        </w:tc>
        <w:tc>
          <w:tcPr>
            <w:tcW w:w="623" w:type="pct"/>
            <w:tcBorders>
              <w:top w:val="nil"/>
              <w:left w:val="nil"/>
              <w:bottom w:val="nil"/>
              <w:right w:val="nil"/>
            </w:tcBorders>
          </w:tcPr>
          <w:p w14:paraId="083B6C9C" w14:textId="77777777" w:rsidR="00984E59" w:rsidRPr="009613E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9613E1">
              <w:rPr>
                <w:rFonts w:ascii="Times New Roman" w:hAnsi="Times New Roman"/>
                <w:sz w:val="18"/>
                <w:szCs w:val="18"/>
                <w:lang w:val="en-US"/>
              </w:rPr>
              <w:t>(3.38)</w:t>
            </w:r>
          </w:p>
        </w:tc>
        <w:tc>
          <w:tcPr>
            <w:tcW w:w="623" w:type="pct"/>
            <w:tcBorders>
              <w:top w:val="nil"/>
              <w:left w:val="nil"/>
              <w:bottom w:val="nil"/>
              <w:right w:val="nil"/>
            </w:tcBorders>
          </w:tcPr>
          <w:p w14:paraId="6AC2466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(2.88)</w:t>
            </w:r>
          </w:p>
        </w:tc>
        <w:tc>
          <w:tcPr>
            <w:tcW w:w="623" w:type="pct"/>
            <w:tcBorders>
              <w:top w:val="nil"/>
              <w:left w:val="nil"/>
              <w:bottom w:val="nil"/>
              <w:right w:val="nil"/>
            </w:tcBorders>
          </w:tcPr>
          <w:p w14:paraId="3A13E44A" w14:textId="77777777" w:rsidR="00984E59" w:rsidRPr="00FA0BDF"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FA0BDF">
              <w:rPr>
                <w:rFonts w:ascii="Times New Roman" w:hAnsi="Times New Roman"/>
                <w:sz w:val="18"/>
                <w:szCs w:val="18"/>
                <w:lang w:val="en-US"/>
              </w:rPr>
              <w:t>(3.13)</w:t>
            </w:r>
          </w:p>
        </w:tc>
        <w:tc>
          <w:tcPr>
            <w:tcW w:w="621" w:type="pct"/>
            <w:tcBorders>
              <w:top w:val="nil"/>
              <w:left w:val="nil"/>
              <w:bottom w:val="nil"/>
              <w:right w:val="nil"/>
            </w:tcBorders>
          </w:tcPr>
          <w:p w14:paraId="2829C2ED" w14:textId="77777777" w:rsidR="00984E59" w:rsidRPr="00A42BC1"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A42BC1">
              <w:rPr>
                <w:rFonts w:ascii="Times New Roman" w:hAnsi="Times New Roman"/>
                <w:sz w:val="18"/>
                <w:szCs w:val="18"/>
                <w:lang w:val="en-US"/>
              </w:rPr>
              <w:t>(3.39)</w:t>
            </w:r>
          </w:p>
        </w:tc>
      </w:tr>
      <w:tr w:rsidR="00984E59" w:rsidRPr="00E24098" w14:paraId="6A690FAC" w14:textId="77777777" w:rsidTr="0064674F">
        <w:tc>
          <w:tcPr>
            <w:tcW w:w="1263" w:type="pct"/>
            <w:tcBorders>
              <w:top w:val="nil"/>
              <w:left w:val="nil"/>
              <w:bottom w:val="nil"/>
              <w:right w:val="nil"/>
            </w:tcBorders>
          </w:tcPr>
          <w:p w14:paraId="4149A9C1"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Constant</w:t>
            </w:r>
          </w:p>
        </w:tc>
        <w:tc>
          <w:tcPr>
            <w:tcW w:w="623" w:type="pct"/>
            <w:tcBorders>
              <w:top w:val="nil"/>
              <w:left w:val="nil"/>
              <w:bottom w:val="nil"/>
              <w:right w:val="nil"/>
            </w:tcBorders>
          </w:tcPr>
          <w:p w14:paraId="4202165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-9.483</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652027E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-9.619</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1DA6AA8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-9.525</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1DE88A9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-9.464</w:t>
            </w:r>
            <w:r w:rsidRPr="00E24098">
              <w:rPr>
                <w:rFonts w:ascii="Times New Roman" w:hAnsi="Times New Roman"/>
                <w:sz w:val="18"/>
                <w:szCs w:val="18"/>
                <w:vertAlign w:val="superscript"/>
                <w:lang w:val="en-US"/>
              </w:rPr>
              <w:t>***</w:t>
            </w:r>
          </w:p>
        </w:tc>
        <w:tc>
          <w:tcPr>
            <w:tcW w:w="623" w:type="pct"/>
            <w:tcBorders>
              <w:top w:val="nil"/>
              <w:left w:val="nil"/>
              <w:bottom w:val="nil"/>
              <w:right w:val="nil"/>
            </w:tcBorders>
          </w:tcPr>
          <w:p w14:paraId="7D1A316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-9.611</w:t>
            </w:r>
            <w:r w:rsidRPr="00E24098">
              <w:rPr>
                <w:rFonts w:ascii="Times New Roman" w:hAnsi="Times New Roman"/>
                <w:sz w:val="18"/>
                <w:szCs w:val="18"/>
                <w:vertAlign w:val="superscript"/>
                <w:lang w:val="en-US"/>
              </w:rPr>
              <w:t>***</w:t>
            </w:r>
          </w:p>
        </w:tc>
        <w:tc>
          <w:tcPr>
            <w:tcW w:w="621" w:type="pct"/>
            <w:tcBorders>
              <w:top w:val="nil"/>
              <w:left w:val="nil"/>
              <w:bottom w:val="nil"/>
              <w:right w:val="nil"/>
            </w:tcBorders>
          </w:tcPr>
          <w:p w14:paraId="70E7099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-9.515</w:t>
            </w:r>
            <w:r w:rsidRPr="00E24098">
              <w:rPr>
                <w:rFonts w:ascii="Times New Roman" w:hAnsi="Times New Roman"/>
                <w:sz w:val="18"/>
                <w:szCs w:val="18"/>
                <w:vertAlign w:val="superscript"/>
                <w:lang w:val="en-US"/>
              </w:rPr>
              <w:t>***</w:t>
            </w:r>
          </w:p>
        </w:tc>
      </w:tr>
      <w:tr w:rsidR="00984E59" w:rsidRPr="00E24098" w14:paraId="13C5734B" w14:textId="77777777" w:rsidTr="0064674F">
        <w:tc>
          <w:tcPr>
            <w:tcW w:w="1263" w:type="pct"/>
            <w:tcBorders>
              <w:top w:val="nil"/>
              <w:left w:val="nil"/>
              <w:right w:val="nil"/>
            </w:tcBorders>
          </w:tcPr>
          <w:p w14:paraId="5B8B1D83"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623" w:type="pct"/>
            <w:tcBorders>
              <w:top w:val="nil"/>
              <w:left w:val="nil"/>
              <w:right w:val="nil"/>
            </w:tcBorders>
          </w:tcPr>
          <w:p w14:paraId="02F8173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(-11.66)</w:t>
            </w:r>
          </w:p>
        </w:tc>
        <w:tc>
          <w:tcPr>
            <w:tcW w:w="623" w:type="pct"/>
            <w:tcBorders>
              <w:top w:val="nil"/>
              <w:left w:val="nil"/>
              <w:right w:val="nil"/>
            </w:tcBorders>
          </w:tcPr>
          <w:p w14:paraId="02A0412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(-11.21)</w:t>
            </w:r>
          </w:p>
        </w:tc>
        <w:tc>
          <w:tcPr>
            <w:tcW w:w="623" w:type="pct"/>
            <w:tcBorders>
              <w:top w:val="nil"/>
              <w:left w:val="nil"/>
              <w:right w:val="nil"/>
            </w:tcBorders>
          </w:tcPr>
          <w:p w14:paraId="58F10FCC"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(-10.09)</w:t>
            </w:r>
          </w:p>
        </w:tc>
        <w:tc>
          <w:tcPr>
            <w:tcW w:w="623" w:type="pct"/>
            <w:tcBorders>
              <w:top w:val="nil"/>
              <w:left w:val="nil"/>
              <w:right w:val="nil"/>
            </w:tcBorders>
          </w:tcPr>
          <w:p w14:paraId="32F7FBA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(-11.63)</w:t>
            </w:r>
          </w:p>
        </w:tc>
        <w:tc>
          <w:tcPr>
            <w:tcW w:w="623" w:type="pct"/>
            <w:tcBorders>
              <w:top w:val="nil"/>
              <w:left w:val="nil"/>
              <w:right w:val="nil"/>
            </w:tcBorders>
          </w:tcPr>
          <w:p w14:paraId="6E7DA26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(-11.20)</w:t>
            </w:r>
          </w:p>
        </w:tc>
        <w:tc>
          <w:tcPr>
            <w:tcW w:w="621" w:type="pct"/>
            <w:tcBorders>
              <w:top w:val="nil"/>
              <w:left w:val="nil"/>
              <w:right w:val="nil"/>
            </w:tcBorders>
          </w:tcPr>
          <w:p w14:paraId="64CC7C3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(-10.08)</w:t>
            </w:r>
          </w:p>
        </w:tc>
      </w:tr>
      <w:tr w:rsidR="00984E59" w:rsidRPr="00E24098" w14:paraId="36EF9FD0" w14:textId="77777777" w:rsidTr="0064674F">
        <w:tc>
          <w:tcPr>
            <w:tcW w:w="1263" w:type="pct"/>
            <w:tcBorders>
              <w:top w:val="nil"/>
              <w:left w:val="nil"/>
              <w:right w:val="nil"/>
            </w:tcBorders>
          </w:tcPr>
          <w:p w14:paraId="18E4B1A8"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Year fixed effects</w:t>
            </w:r>
          </w:p>
        </w:tc>
        <w:tc>
          <w:tcPr>
            <w:tcW w:w="623" w:type="pct"/>
            <w:tcBorders>
              <w:top w:val="nil"/>
              <w:left w:val="nil"/>
              <w:right w:val="nil"/>
            </w:tcBorders>
          </w:tcPr>
          <w:p w14:paraId="1880305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08CBE0F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1082F9C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0BB596D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5068BBDA"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1" w:type="pct"/>
            <w:tcBorders>
              <w:top w:val="nil"/>
              <w:left w:val="nil"/>
              <w:right w:val="nil"/>
            </w:tcBorders>
          </w:tcPr>
          <w:p w14:paraId="5CFB7CCD"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E24098" w14:paraId="4962C8B1" w14:textId="77777777" w:rsidTr="0064674F">
        <w:tc>
          <w:tcPr>
            <w:tcW w:w="1263" w:type="pct"/>
            <w:tcBorders>
              <w:top w:val="nil"/>
              <w:left w:val="nil"/>
              <w:right w:val="nil"/>
            </w:tcBorders>
          </w:tcPr>
          <w:p w14:paraId="21D2B226"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Sector fixed effects</w:t>
            </w:r>
          </w:p>
        </w:tc>
        <w:tc>
          <w:tcPr>
            <w:tcW w:w="623" w:type="pct"/>
            <w:tcBorders>
              <w:top w:val="nil"/>
              <w:left w:val="nil"/>
              <w:right w:val="nil"/>
            </w:tcBorders>
          </w:tcPr>
          <w:p w14:paraId="2B092F8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1A701738"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5937916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43D17F32"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right w:val="nil"/>
            </w:tcBorders>
          </w:tcPr>
          <w:p w14:paraId="5709812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1" w:type="pct"/>
            <w:tcBorders>
              <w:top w:val="nil"/>
              <w:left w:val="nil"/>
              <w:right w:val="nil"/>
            </w:tcBorders>
          </w:tcPr>
          <w:p w14:paraId="22AC5C6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E24098" w14:paraId="13FFE08D" w14:textId="77777777" w:rsidTr="0064674F">
        <w:tc>
          <w:tcPr>
            <w:tcW w:w="1263" w:type="pct"/>
            <w:tcBorders>
              <w:top w:val="nil"/>
              <w:left w:val="nil"/>
              <w:bottom w:val="single" w:sz="8" w:space="0" w:color="auto"/>
              <w:right w:val="nil"/>
            </w:tcBorders>
          </w:tcPr>
          <w:p w14:paraId="6DBA1B3E" w14:textId="77777777" w:rsidR="00984E59" w:rsidRPr="00AF4487"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AF4487">
              <w:rPr>
                <w:rFonts w:ascii="Times New Roman" w:hAnsi="Times New Roman"/>
                <w:sz w:val="18"/>
                <w:szCs w:val="18"/>
                <w:lang w:val="en-US"/>
              </w:rPr>
              <w:t>Country fixed effects</w:t>
            </w:r>
          </w:p>
        </w:tc>
        <w:tc>
          <w:tcPr>
            <w:tcW w:w="623" w:type="pct"/>
            <w:tcBorders>
              <w:top w:val="nil"/>
              <w:left w:val="nil"/>
              <w:bottom w:val="single" w:sz="8" w:space="0" w:color="auto"/>
              <w:right w:val="nil"/>
            </w:tcBorders>
          </w:tcPr>
          <w:p w14:paraId="17B41DC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bottom w:val="single" w:sz="8" w:space="0" w:color="auto"/>
              <w:right w:val="nil"/>
            </w:tcBorders>
          </w:tcPr>
          <w:p w14:paraId="73E6FF5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bottom w:val="single" w:sz="8" w:space="0" w:color="auto"/>
              <w:right w:val="nil"/>
            </w:tcBorders>
          </w:tcPr>
          <w:p w14:paraId="7FDE47E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bottom w:val="single" w:sz="8" w:space="0" w:color="auto"/>
              <w:right w:val="nil"/>
            </w:tcBorders>
          </w:tcPr>
          <w:p w14:paraId="0D78611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3" w:type="pct"/>
            <w:tcBorders>
              <w:top w:val="nil"/>
              <w:left w:val="nil"/>
              <w:bottom w:val="single" w:sz="8" w:space="0" w:color="auto"/>
              <w:right w:val="nil"/>
            </w:tcBorders>
          </w:tcPr>
          <w:p w14:paraId="5E30E3C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c>
          <w:tcPr>
            <w:tcW w:w="621" w:type="pct"/>
            <w:tcBorders>
              <w:top w:val="nil"/>
              <w:left w:val="nil"/>
              <w:bottom w:val="single" w:sz="8" w:space="0" w:color="auto"/>
              <w:right w:val="nil"/>
            </w:tcBorders>
          </w:tcPr>
          <w:p w14:paraId="149E3264"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Yes</w:t>
            </w:r>
          </w:p>
        </w:tc>
      </w:tr>
      <w:tr w:rsidR="00984E59" w:rsidRPr="00E24098" w14:paraId="204BA8FD" w14:textId="77777777" w:rsidTr="0064674F">
        <w:tc>
          <w:tcPr>
            <w:tcW w:w="1263" w:type="pct"/>
            <w:tcBorders>
              <w:top w:val="single" w:sz="8" w:space="0" w:color="auto"/>
              <w:left w:val="nil"/>
              <w:bottom w:val="nil"/>
              <w:right w:val="nil"/>
            </w:tcBorders>
          </w:tcPr>
          <w:p w14:paraId="5A5639DE"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Observations</w:t>
            </w:r>
          </w:p>
        </w:tc>
        <w:tc>
          <w:tcPr>
            <w:tcW w:w="623" w:type="pct"/>
            <w:tcBorders>
              <w:top w:val="single" w:sz="8" w:space="0" w:color="auto"/>
              <w:left w:val="nil"/>
              <w:bottom w:val="nil"/>
              <w:right w:val="nil"/>
            </w:tcBorders>
          </w:tcPr>
          <w:p w14:paraId="38F6DFC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7778</w:t>
            </w:r>
          </w:p>
        </w:tc>
        <w:tc>
          <w:tcPr>
            <w:tcW w:w="623" w:type="pct"/>
            <w:tcBorders>
              <w:top w:val="single" w:sz="8" w:space="0" w:color="auto"/>
              <w:left w:val="nil"/>
              <w:bottom w:val="nil"/>
              <w:right w:val="nil"/>
            </w:tcBorders>
          </w:tcPr>
          <w:p w14:paraId="71F39EDF"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7212</w:t>
            </w:r>
          </w:p>
        </w:tc>
        <w:tc>
          <w:tcPr>
            <w:tcW w:w="623" w:type="pct"/>
            <w:tcBorders>
              <w:top w:val="single" w:sz="8" w:space="0" w:color="auto"/>
              <w:left w:val="nil"/>
              <w:bottom w:val="nil"/>
              <w:right w:val="nil"/>
            </w:tcBorders>
          </w:tcPr>
          <w:p w14:paraId="2A22B91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6779</w:t>
            </w:r>
          </w:p>
        </w:tc>
        <w:tc>
          <w:tcPr>
            <w:tcW w:w="623" w:type="pct"/>
            <w:tcBorders>
              <w:top w:val="single" w:sz="8" w:space="0" w:color="auto"/>
              <w:left w:val="nil"/>
              <w:bottom w:val="nil"/>
              <w:right w:val="nil"/>
            </w:tcBorders>
          </w:tcPr>
          <w:p w14:paraId="1123666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7778</w:t>
            </w:r>
          </w:p>
        </w:tc>
        <w:tc>
          <w:tcPr>
            <w:tcW w:w="623" w:type="pct"/>
            <w:tcBorders>
              <w:top w:val="single" w:sz="8" w:space="0" w:color="auto"/>
              <w:left w:val="nil"/>
              <w:bottom w:val="nil"/>
              <w:right w:val="nil"/>
            </w:tcBorders>
          </w:tcPr>
          <w:p w14:paraId="161B1B23"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7212</w:t>
            </w:r>
          </w:p>
        </w:tc>
        <w:tc>
          <w:tcPr>
            <w:tcW w:w="621" w:type="pct"/>
            <w:tcBorders>
              <w:top w:val="single" w:sz="8" w:space="0" w:color="auto"/>
              <w:left w:val="nil"/>
              <w:bottom w:val="nil"/>
              <w:right w:val="nil"/>
            </w:tcBorders>
          </w:tcPr>
          <w:p w14:paraId="28ECD247"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Pr>
                <w:rFonts w:ascii="Times New Roman" w:hAnsi="Times New Roman"/>
                <w:sz w:val="18"/>
                <w:szCs w:val="18"/>
                <w:lang w:val="en-US"/>
              </w:rPr>
              <w:t>6779</w:t>
            </w:r>
          </w:p>
        </w:tc>
      </w:tr>
      <w:tr w:rsidR="00984E59" w:rsidRPr="00E24098" w14:paraId="470ADDFF" w14:textId="77777777" w:rsidTr="0064674F">
        <w:tc>
          <w:tcPr>
            <w:tcW w:w="1263" w:type="pct"/>
            <w:tcBorders>
              <w:top w:val="nil"/>
              <w:left w:val="nil"/>
              <w:bottom w:val="single" w:sz="12" w:space="0" w:color="auto"/>
              <w:right w:val="nil"/>
            </w:tcBorders>
          </w:tcPr>
          <w:p w14:paraId="119EB86C" w14:textId="77777777" w:rsidR="00984E59" w:rsidRPr="00E24098" w:rsidRDefault="00984E59" w:rsidP="00295B36">
            <w:pPr>
              <w:widowControl w:val="0"/>
              <w:autoSpaceDE w:val="0"/>
              <w:autoSpaceDN w:val="0"/>
              <w:adjustRightInd w:val="0"/>
              <w:spacing w:after="0" w:line="240" w:lineRule="auto"/>
              <w:rPr>
                <w:rFonts w:ascii="Times New Roman" w:hAnsi="Times New Roman"/>
                <w:sz w:val="18"/>
                <w:szCs w:val="18"/>
                <w:lang w:val="en-US"/>
              </w:rPr>
            </w:pPr>
            <w:r>
              <w:rPr>
                <w:rFonts w:ascii="Times New Roman" w:hAnsi="Times New Roman"/>
                <w:sz w:val="18"/>
                <w:szCs w:val="18"/>
                <w:lang w:val="en-US"/>
              </w:rPr>
              <w:t>R-squared</w:t>
            </w:r>
          </w:p>
        </w:tc>
        <w:tc>
          <w:tcPr>
            <w:tcW w:w="623" w:type="pct"/>
            <w:tcBorders>
              <w:top w:val="nil"/>
              <w:left w:val="nil"/>
              <w:bottom w:val="single" w:sz="12" w:space="0" w:color="auto"/>
              <w:right w:val="nil"/>
            </w:tcBorders>
          </w:tcPr>
          <w:p w14:paraId="1115B7CB"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0.769</w:t>
            </w:r>
          </w:p>
        </w:tc>
        <w:tc>
          <w:tcPr>
            <w:tcW w:w="623" w:type="pct"/>
            <w:tcBorders>
              <w:top w:val="nil"/>
              <w:left w:val="nil"/>
              <w:bottom w:val="single" w:sz="12" w:space="0" w:color="auto"/>
              <w:right w:val="nil"/>
            </w:tcBorders>
          </w:tcPr>
          <w:p w14:paraId="09388ED6"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0.771</w:t>
            </w:r>
          </w:p>
        </w:tc>
        <w:tc>
          <w:tcPr>
            <w:tcW w:w="623" w:type="pct"/>
            <w:tcBorders>
              <w:top w:val="nil"/>
              <w:left w:val="nil"/>
              <w:bottom w:val="single" w:sz="12" w:space="0" w:color="auto"/>
              <w:right w:val="nil"/>
            </w:tcBorders>
          </w:tcPr>
          <w:p w14:paraId="59CC6209"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0.773</w:t>
            </w:r>
          </w:p>
        </w:tc>
        <w:tc>
          <w:tcPr>
            <w:tcW w:w="623" w:type="pct"/>
            <w:tcBorders>
              <w:top w:val="nil"/>
              <w:left w:val="nil"/>
              <w:bottom w:val="single" w:sz="12" w:space="0" w:color="auto"/>
              <w:right w:val="nil"/>
            </w:tcBorders>
          </w:tcPr>
          <w:p w14:paraId="10D9D940"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0.769</w:t>
            </w:r>
          </w:p>
        </w:tc>
        <w:tc>
          <w:tcPr>
            <w:tcW w:w="623" w:type="pct"/>
            <w:tcBorders>
              <w:top w:val="nil"/>
              <w:left w:val="nil"/>
              <w:bottom w:val="single" w:sz="12" w:space="0" w:color="auto"/>
              <w:right w:val="nil"/>
            </w:tcBorders>
          </w:tcPr>
          <w:p w14:paraId="107027E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0.771</w:t>
            </w:r>
          </w:p>
        </w:tc>
        <w:tc>
          <w:tcPr>
            <w:tcW w:w="621" w:type="pct"/>
            <w:tcBorders>
              <w:top w:val="nil"/>
              <w:left w:val="nil"/>
              <w:bottom w:val="single" w:sz="12" w:space="0" w:color="auto"/>
              <w:right w:val="nil"/>
            </w:tcBorders>
          </w:tcPr>
          <w:p w14:paraId="39B74625" w14:textId="77777777" w:rsidR="00984E59" w:rsidRPr="00E24098"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E24098">
              <w:rPr>
                <w:rFonts w:ascii="Times New Roman" w:hAnsi="Times New Roman"/>
                <w:sz w:val="18"/>
                <w:szCs w:val="18"/>
                <w:lang w:val="en-US"/>
              </w:rPr>
              <w:t>0.773</w:t>
            </w:r>
          </w:p>
        </w:tc>
      </w:tr>
    </w:tbl>
    <w:p w14:paraId="06F35057" w14:textId="77777777" w:rsidR="00984E59" w:rsidRPr="00AF4487" w:rsidRDefault="00984E59" w:rsidP="00984E59">
      <w:pPr>
        <w:rPr>
          <w:lang w:val="en-US"/>
        </w:rPr>
      </w:pPr>
      <w:r w:rsidRPr="00AF4487">
        <w:rPr>
          <w:rFonts w:ascii="Times New Roman" w:hAnsi="Times New Roman"/>
          <w:lang w:val="en-US"/>
        </w:rPr>
        <w:t>***, **, and * indicate statistical significance at the 1%, 5%, and 10% levels, respectively</w:t>
      </w:r>
    </w:p>
    <w:p w14:paraId="3F5DBEC5" w14:textId="77777777" w:rsidR="00984E59" w:rsidRDefault="00984E59" w:rsidP="00984E59">
      <w:pPr>
        <w:rPr>
          <w:rFonts w:ascii="Times New Roman" w:hAnsi="Times New Roman"/>
          <w:lang w:val="en-US"/>
        </w:rPr>
      </w:pPr>
    </w:p>
    <w:p w14:paraId="0A6C6901" w14:textId="77777777" w:rsidR="00984E59" w:rsidRDefault="00984E59" w:rsidP="00984E59">
      <w:pPr>
        <w:rPr>
          <w:rFonts w:ascii="Times New Roman" w:hAnsi="Times New Roman"/>
          <w:lang w:val="en-US"/>
        </w:rPr>
      </w:pPr>
    </w:p>
    <w:p w14:paraId="7C05123E" w14:textId="77777777" w:rsidR="00984E59" w:rsidRDefault="00984E59" w:rsidP="00984E59">
      <w:pPr>
        <w:rPr>
          <w:rFonts w:ascii="Times New Roman" w:hAnsi="Times New Roman"/>
          <w:lang w:val="en-US"/>
        </w:rPr>
      </w:pPr>
    </w:p>
    <w:p w14:paraId="6999CE48" w14:textId="77777777" w:rsidR="00984E59" w:rsidRDefault="00984E59" w:rsidP="00984E59">
      <w:pPr>
        <w:rPr>
          <w:rFonts w:ascii="Times New Roman" w:hAnsi="Times New Roman"/>
          <w:lang w:val="en-US"/>
        </w:rPr>
      </w:pPr>
    </w:p>
    <w:p w14:paraId="4C8B8070" w14:textId="77777777" w:rsidR="00984E59" w:rsidRDefault="00984E59" w:rsidP="00984E59">
      <w:pPr>
        <w:rPr>
          <w:rFonts w:ascii="Times New Roman" w:hAnsi="Times New Roman"/>
          <w:lang w:val="en-US"/>
        </w:rPr>
      </w:pPr>
    </w:p>
    <w:p w14:paraId="1ECB3230" w14:textId="77777777" w:rsidR="00984E59" w:rsidRDefault="00984E59" w:rsidP="00984E59">
      <w:pPr>
        <w:rPr>
          <w:rFonts w:ascii="Times New Roman" w:hAnsi="Times New Roman"/>
          <w:lang w:val="en-US"/>
        </w:rPr>
      </w:pPr>
    </w:p>
    <w:p w14:paraId="74512BAF" w14:textId="77777777" w:rsidR="00984E59" w:rsidRPr="00AF4487" w:rsidRDefault="00984E59" w:rsidP="00984E59">
      <w:pPr>
        <w:spacing w:after="0" w:line="240" w:lineRule="auto"/>
        <w:jc w:val="both"/>
        <w:rPr>
          <w:rFonts w:ascii="Times New Roman" w:hAnsi="Times New Roman"/>
          <w:i/>
          <w:lang w:val="en-US"/>
        </w:rPr>
      </w:pPr>
      <w:r w:rsidRPr="00AF4487">
        <w:rPr>
          <w:rFonts w:ascii="Times New Roman" w:hAnsi="Times New Roman"/>
          <w:i/>
          <w:lang w:val="en-US"/>
        </w:rPr>
        <w:lastRenderedPageBreak/>
        <w:t xml:space="preserve">Table 8. Additional analysis: carbon performance, climate change initiatives, board sustainability committees, and market value in shareholder-based and stakeholder-based countries </w:t>
      </w:r>
    </w:p>
    <w:p w14:paraId="6905C704" w14:textId="77777777" w:rsidR="00984E59" w:rsidRPr="00AF4487" w:rsidRDefault="00984E59" w:rsidP="00984E59">
      <w:pPr>
        <w:spacing w:after="100" w:afterAutospacing="1"/>
        <w:contextualSpacing/>
        <w:jc w:val="both"/>
        <w:rPr>
          <w:rFonts w:ascii="Times New Roman" w:hAnsi="Times New Roman"/>
          <w:lang w:val="en-US"/>
        </w:rPr>
      </w:pPr>
      <w:r w:rsidRPr="00AF4487">
        <w:rPr>
          <w:rFonts w:ascii="Times New Roman" w:hAnsi="Times New Roman"/>
          <w:lang w:val="en-US"/>
        </w:rPr>
        <w:t xml:space="preserve">This table reports the regression results for the effects of carbon performance, sustainability committees, and climate change initiatives on market value and for the effects of climate change initiatives and sustainability committees on carbon performance for shareholder-based and stakeholder-based countries. The SHARE is a dummy variable that equals one if firms belong to shareholder-based countries, and zero if firms are operating in stakeholder-based countries. All variables are defined and measured in Table 3. </w:t>
      </w:r>
      <w:r w:rsidRPr="00AF4487">
        <w:rPr>
          <w:rFonts w:ascii="Times New Roman" w:hAnsi="Times New Roman"/>
          <w:i/>
          <w:lang w:val="en-US"/>
        </w:rPr>
        <w:t>t</w:t>
      </w:r>
      <w:r w:rsidRPr="00AF4487">
        <w:rPr>
          <w:rFonts w:ascii="Times New Roman" w:hAnsi="Times New Roman"/>
          <w:lang w:val="en-US"/>
        </w:rPr>
        <w:t>-statistics estimated using robust standard errors are reported in parentheses.</w:t>
      </w:r>
    </w:p>
    <w:tbl>
      <w:tblPr>
        <w:tblW w:w="5000" w:type="pct"/>
        <w:tblLook w:val="0000" w:firstRow="0" w:lastRow="0" w:firstColumn="0" w:lastColumn="0" w:noHBand="0" w:noVBand="0"/>
      </w:tblPr>
      <w:tblGrid>
        <w:gridCol w:w="3165"/>
        <w:gridCol w:w="1005"/>
        <w:gridCol w:w="1080"/>
        <w:gridCol w:w="1010"/>
        <w:gridCol w:w="1005"/>
        <w:gridCol w:w="1080"/>
        <w:gridCol w:w="1010"/>
      </w:tblGrid>
      <w:tr w:rsidR="00984E59" w:rsidRPr="008E3FE6" w14:paraId="24C563C7" w14:textId="77777777" w:rsidTr="0064674F">
        <w:tc>
          <w:tcPr>
            <w:tcW w:w="5000" w:type="pct"/>
            <w:gridSpan w:val="7"/>
            <w:tcBorders>
              <w:top w:val="single" w:sz="12" w:space="0" w:color="auto"/>
              <w:left w:val="nil"/>
              <w:bottom w:val="single" w:sz="8" w:space="0" w:color="auto"/>
              <w:right w:val="nil"/>
            </w:tcBorders>
          </w:tcPr>
          <w:p w14:paraId="1DB0DAC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i/>
                <w:sz w:val="16"/>
                <w:szCs w:val="16"/>
                <w:lang w:val="en-US"/>
              </w:rPr>
              <w:t>Panel A: Impacts of CCPE, PCCIs, and BSCOM on MV</w:t>
            </w:r>
          </w:p>
        </w:tc>
      </w:tr>
      <w:tr w:rsidR="00984E59" w:rsidRPr="004D4CA2" w14:paraId="5F6AC14E" w14:textId="77777777" w:rsidTr="0064674F">
        <w:tc>
          <w:tcPr>
            <w:tcW w:w="1692" w:type="pct"/>
            <w:tcBorders>
              <w:top w:val="single" w:sz="8" w:space="0" w:color="auto"/>
              <w:left w:val="nil"/>
              <w:bottom w:val="nil"/>
              <w:right w:val="nil"/>
            </w:tcBorders>
          </w:tcPr>
          <w:p w14:paraId="4391833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single" w:sz="8" w:space="0" w:color="auto"/>
              <w:left w:val="nil"/>
              <w:bottom w:val="nil"/>
              <w:right w:val="nil"/>
            </w:tcBorders>
          </w:tcPr>
          <w:p w14:paraId="4063981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single" w:sz="8" w:space="0" w:color="auto"/>
              <w:left w:val="nil"/>
              <w:bottom w:val="nil"/>
              <w:right w:val="nil"/>
            </w:tcBorders>
          </w:tcPr>
          <w:p w14:paraId="47CF872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w:t>
            </w:r>
          </w:p>
        </w:tc>
        <w:tc>
          <w:tcPr>
            <w:tcW w:w="540" w:type="pct"/>
            <w:tcBorders>
              <w:top w:val="single" w:sz="8" w:space="0" w:color="auto"/>
              <w:left w:val="nil"/>
              <w:bottom w:val="nil"/>
              <w:right w:val="nil"/>
            </w:tcBorders>
          </w:tcPr>
          <w:p w14:paraId="7F8084E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w:t>
            </w:r>
          </w:p>
        </w:tc>
        <w:tc>
          <w:tcPr>
            <w:tcW w:w="537" w:type="pct"/>
            <w:tcBorders>
              <w:top w:val="single" w:sz="8" w:space="0" w:color="auto"/>
              <w:left w:val="nil"/>
              <w:bottom w:val="nil"/>
              <w:right w:val="nil"/>
            </w:tcBorders>
          </w:tcPr>
          <w:p w14:paraId="0076C84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w:t>
            </w:r>
          </w:p>
        </w:tc>
        <w:tc>
          <w:tcPr>
            <w:tcW w:w="577" w:type="pct"/>
            <w:tcBorders>
              <w:top w:val="single" w:sz="8" w:space="0" w:color="auto"/>
              <w:left w:val="nil"/>
              <w:bottom w:val="nil"/>
              <w:right w:val="nil"/>
            </w:tcBorders>
          </w:tcPr>
          <w:p w14:paraId="67ED9D6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(4)</w:t>
            </w:r>
          </w:p>
        </w:tc>
        <w:tc>
          <w:tcPr>
            <w:tcW w:w="540" w:type="pct"/>
            <w:tcBorders>
              <w:top w:val="single" w:sz="8" w:space="0" w:color="auto"/>
              <w:left w:val="nil"/>
              <w:bottom w:val="nil"/>
              <w:right w:val="nil"/>
            </w:tcBorders>
          </w:tcPr>
          <w:p w14:paraId="21BCB4A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(5)</w:t>
            </w:r>
          </w:p>
        </w:tc>
      </w:tr>
      <w:tr w:rsidR="00984E59" w:rsidRPr="004D4CA2" w14:paraId="462E0B9B" w14:textId="77777777" w:rsidTr="0064674F">
        <w:tc>
          <w:tcPr>
            <w:tcW w:w="1692" w:type="pct"/>
            <w:tcBorders>
              <w:top w:val="nil"/>
              <w:left w:val="nil"/>
              <w:bottom w:val="nil"/>
              <w:right w:val="nil"/>
            </w:tcBorders>
          </w:tcPr>
          <w:p w14:paraId="1D86C35A"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56010A6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0F88F1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MV</w:t>
            </w:r>
          </w:p>
        </w:tc>
        <w:tc>
          <w:tcPr>
            <w:tcW w:w="540" w:type="pct"/>
            <w:tcBorders>
              <w:top w:val="nil"/>
              <w:left w:val="nil"/>
              <w:bottom w:val="nil"/>
              <w:right w:val="nil"/>
            </w:tcBorders>
          </w:tcPr>
          <w:p w14:paraId="5A9673B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MV</w:t>
            </w:r>
          </w:p>
        </w:tc>
        <w:tc>
          <w:tcPr>
            <w:tcW w:w="537" w:type="pct"/>
            <w:tcBorders>
              <w:top w:val="nil"/>
              <w:left w:val="nil"/>
              <w:bottom w:val="nil"/>
              <w:right w:val="nil"/>
            </w:tcBorders>
          </w:tcPr>
          <w:p w14:paraId="58E2382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MV</w:t>
            </w:r>
          </w:p>
        </w:tc>
        <w:tc>
          <w:tcPr>
            <w:tcW w:w="577" w:type="pct"/>
            <w:tcBorders>
              <w:top w:val="nil"/>
              <w:left w:val="nil"/>
              <w:bottom w:val="nil"/>
              <w:right w:val="nil"/>
            </w:tcBorders>
          </w:tcPr>
          <w:p w14:paraId="799215F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MV</w:t>
            </w:r>
          </w:p>
        </w:tc>
        <w:tc>
          <w:tcPr>
            <w:tcW w:w="540" w:type="pct"/>
            <w:tcBorders>
              <w:top w:val="nil"/>
              <w:left w:val="nil"/>
              <w:bottom w:val="nil"/>
              <w:right w:val="nil"/>
            </w:tcBorders>
          </w:tcPr>
          <w:p w14:paraId="7460F1E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MV</w:t>
            </w:r>
          </w:p>
        </w:tc>
      </w:tr>
      <w:tr w:rsidR="00984E59" w:rsidRPr="004D4CA2" w14:paraId="66A997F3" w14:textId="77777777" w:rsidTr="0064674F">
        <w:tc>
          <w:tcPr>
            <w:tcW w:w="1692" w:type="pct"/>
            <w:tcBorders>
              <w:top w:val="single" w:sz="4" w:space="0" w:color="auto"/>
              <w:left w:val="nil"/>
              <w:bottom w:val="nil"/>
              <w:right w:val="nil"/>
            </w:tcBorders>
          </w:tcPr>
          <w:p w14:paraId="6F80128C"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CCPE</w:t>
            </w:r>
          </w:p>
        </w:tc>
        <w:tc>
          <w:tcPr>
            <w:tcW w:w="537" w:type="pct"/>
            <w:tcBorders>
              <w:top w:val="single" w:sz="4" w:space="0" w:color="auto"/>
              <w:left w:val="nil"/>
              <w:bottom w:val="nil"/>
              <w:right w:val="nil"/>
            </w:tcBorders>
          </w:tcPr>
          <w:p w14:paraId="1F546B8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single" w:sz="4" w:space="0" w:color="auto"/>
              <w:left w:val="nil"/>
              <w:bottom w:val="nil"/>
              <w:right w:val="nil"/>
            </w:tcBorders>
          </w:tcPr>
          <w:p w14:paraId="04AD54B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-0.067</w:t>
            </w:r>
            <w:r w:rsidRPr="004D4CA2">
              <w:rPr>
                <w:rFonts w:ascii="Times New Roman" w:hAnsi="Times New Roman"/>
                <w:sz w:val="16"/>
                <w:szCs w:val="16"/>
                <w:vertAlign w:val="superscript"/>
                <w:lang w:val="en-US"/>
              </w:rPr>
              <w:t>***</w:t>
            </w:r>
          </w:p>
        </w:tc>
        <w:tc>
          <w:tcPr>
            <w:tcW w:w="540" w:type="pct"/>
            <w:tcBorders>
              <w:top w:val="single" w:sz="4" w:space="0" w:color="auto"/>
              <w:left w:val="nil"/>
              <w:bottom w:val="nil"/>
              <w:right w:val="nil"/>
            </w:tcBorders>
          </w:tcPr>
          <w:p w14:paraId="0898897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single" w:sz="4" w:space="0" w:color="auto"/>
              <w:left w:val="nil"/>
              <w:bottom w:val="nil"/>
              <w:right w:val="nil"/>
            </w:tcBorders>
          </w:tcPr>
          <w:p w14:paraId="5EDE538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single" w:sz="4" w:space="0" w:color="auto"/>
              <w:left w:val="nil"/>
              <w:bottom w:val="nil"/>
              <w:right w:val="nil"/>
            </w:tcBorders>
          </w:tcPr>
          <w:p w14:paraId="1238205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-0.070</w:t>
            </w:r>
            <w:r w:rsidRPr="004D4CA2">
              <w:rPr>
                <w:rFonts w:ascii="Times New Roman" w:hAnsi="Times New Roman"/>
                <w:sz w:val="16"/>
                <w:szCs w:val="16"/>
                <w:vertAlign w:val="superscript"/>
                <w:lang w:val="en-US"/>
              </w:rPr>
              <w:t>***</w:t>
            </w:r>
          </w:p>
        </w:tc>
        <w:tc>
          <w:tcPr>
            <w:tcW w:w="540" w:type="pct"/>
            <w:tcBorders>
              <w:top w:val="single" w:sz="4" w:space="0" w:color="auto"/>
              <w:left w:val="nil"/>
              <w:bottom w:val="nil"/>
              <w:right w:val="nil"/>
            </w:tcBorders>
          </w:tcPr>
          <w:p w14:paraId="0E3D747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3027DE26" w14:textId="77777777" w:rsidTr="0064674F">
        <w:tc>
          <w:tcPr>
            <w:tcW w:w="1692" w:type="pct"/>
            <w:tcBorders>
              <w:top w:val="nil"/>
              <w:left w:val="nil"/>
              <w:bottom w:val="nil"/>
              <w:right w:val="nil"/>
            </w:tcBorders>
          </w:tcPr>
          <w:p w14:paraId="13373141"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4769344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2A073AF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(-9.56)</w:t>
            </w:r>
          </w:p>
        </w:tc>
        <w:tc>
          <w:tcPr>
            <w:tcW w:w="540" w:type="pct"/>
            <w:tcBorders>
              <w:top w:val="nil"/>
              <w:left w:val="nil"/>
              <w:bottom w:val="nil"/>
              <w:right w:val="nil"/>
            </w:tcBorders>
          </w:tcPr>
          <w:p w14:paraId="726E184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04A55F7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74D0B3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(-10.04)</w:t>
            </w:r>
          </w:p>
        </w:tc>
        <w:tc>
          <w:tcPr>
            <w:tcW w:w="540" w:type="pct"/>
            <w:tcBorders>
              <w:top w:val="nil"/>
              <w:left w:val="nil"/>
              <w:bottom w:val="nil"/>
              <w:right w:val="nil"/>
            </w:tcBorders>
          </w:tcPr>
          <w:p w14:paraId="41B3F7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5A607E05" w14:textId="77777777" w:rsidTr="0064674F">
        <w:tc>
          <w:tcPr>
            <w:tcW w:w="1692" w:type="pct"/>
            <w:tcBorders>
              <w:top w:val="nil"/>
              <w:left w:val="nil"/>
              <w:bottom w:val="nil"/>
              <w:right w:val="nil"/>
            </w:tcBorders>
          </w:tcPr>
          <w:p w14:paraId="04823193"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CCPE*SHARE</w:t>
            </w:r>
          </w:p>
        </w:tc>
        <w:tc>
          <w:tcPr>
            <w:tcW w:w="537" w:type="pct"/>
            <w:tcBorders>
              <w:top w:val="nil"/>
              <w:left w:val="nil"/>
              <w:bottom w:val="nil"/>
              <w:right w:val="nil"/>
            </w:tcBorders>
          </w:tcPr>
          <w:p w14:paraId="11B478B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388EE8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0.009</w:t>
            </w:r>
          </w:p>
        </w:tc>
        <w:tc>
          <w:tcPr>
            <w:tcW w:w="540" w:type="pct"/>
            <w:tcBorders>
              <w:top w:val="nil"/>
              <w:left w:val="nil"/>
              <w:bottom w:val="nil"/>
              <w:right w:val="nil"/>
            </w:tcBorders>
          </w:tcPr>
          <w:p w14:paraId="4733CB9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2917620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118D3D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0.007</w:t>
            </w:r>
          </w:p>
        </w:tc>
        <w:tc>
          <w:tcPr>
            <w:tcW w:w="540" w:type="pct"/>
            <w:tcBorders>
              <w:top w:val="nil"/>
              <w:left w:val="nil"/>
              <w:bottom w:val="nil"/>
              <w:right w:val="nil"/>
            </w:tcBorders>
          </w:tcPr>
          <w:p w14:paraId="3084313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738A197D" w14:textId="77777777" w:rsidTr="0064674F">
        <w:tc>
          <w:tcPr>
            <w:tcW w:w="1692" w:type="pct"/>
            <w:tcBorders>
              <w:top w:val="nil"/>
              <w:left w:val="nil"/>
              <w:bottom w:val="nil"/>
              <w:right w:val="nil"/>
            </w:tcBorders>
          </w:tcPr>
          <w:p w14:paraId="42CF5AE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27DEF9E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024FBC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(1.07)</w:t>
            </w:r>
          </w:p>
        </w:tc>
        <w:tc>
          <w:tcPr>
            <w:tcW w:w="540" w:type="pct"/>
            <w:tcBorders>
              <w:top w:val="nil"/>
              <w:left w:val="nil"/>
              <w:bottom w:val="nil"/>
              <w:right w:val="nil"/>
            </w:tcBorders>
          </w:tcPr>
          <w:p w14:paraId="15DC401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3D926AD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518DF4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(0.87)</w:t>
            </w:r>
          </w:p>
        </w:tc>
        <w:tc>
          <w:tcPr>
            <w:tcW w:w="540" w:type="pct"/>
            <w:tcBorders>
              <w:top w:val="nil"/>
              <w:left w:val="nil"/>
              <w:bottom w:val="nil"/>
              <w:right w:val="nil"/>
            </w:tcBorders>
          </w:tcPr>
          <w:p w14:paraId="163B146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0F0F3D64" w14:textId="77777777" w:rsidTr="0064674F">
        <w:tc>
          <w:tcPr>
            <w:tcW w:w="1692" w:type="pct"/>
            <w:tcBorders>
              <w:top w:val="nil"/>
              <w:left w:val="nil"/>
              <w:bottom w:val="nil"/>
              <w:right w:val="nil"/>
            </w:tcBorders>
          </w:tcPr>
          <w:p w14:paraId="1400D67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p>
        </w:tc>
        <w:tc>
          <w:tcPr>
            <w:tcW w:w="537" w:type="pct"/>
            <w:tcBorders>
              <w:top w:val="nil"/>
              <w:left w:val="nil"/>
              <w:bottom w:val="nil"/>
              <w:right w:val="nil"/>
            </w:tcBorders>
          </w:tcPr>
          <w:p w14:paraId="7F301EB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416647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A19D06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0.002</w:t>
            </w:r>
            <w:r w:rsidRPr="004D4CA2">
              <w:rPr>
                <w:rFonts w:ascii="Times New Roman" w:hAnsi="Times New Roman"/>
                <w:sz w:val="16"/>
                <w:szCs w:val="16"/>
                <w:vertAlign w:val="superscript"/>
                <w:lang w:val="en-US"/>
              </w:rPr>
              <w:t>***</w:t>
            </w:r>
          </w:p>
        </w:tc>
        <w:tc>
          <w:tcPr>
            <w:tcW w:w="537" w:type="pct"/>
            <w:tcBorders>
              <w:top w:val="nil"/>
              <w:left w:val="nil"/>
              <w:bottom w:val="nil"/>
              <w:right w:val="nil"/>
            </w:tcBorders>
          </w:tcPr>
          <w:p w14:paraId="6B5BB8E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8D27C4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DF7309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0.001</w:t>
            </w:r>
            <w:r w:rsidRPr="004D4CA2">
              <w:rPr>
                <w:rFonts w:ascii="Times New Roman" w:hAnsi="Times New Roman"/>
                <w:sz w:val="16"/>
                <w:szCs w:val="16"/>
                <w:vertAlign w:val="superscript"/>
                <w:lang w:val="en-US"/>
              </w:rPr>
              <w:t>***</w:t>
            </w:r>
          </w:p>
        </w:tc>
      </w:tr>
      <w:tr w:rsidR="00984E59" w:rsidRPr="004D4CA2" w14:paraId="71BCA5D6" w14:textId="77777777" w:rsidTr="0064674F">
        <w:tc>
          <w:tcPr>
            <w:tcW w:w="1692" w:type="pct"/>
            <w:tcBorders>
              <w:top w:val="nil"/>
              <w:left w:val="nil"/>
              <w:bottom w:val="nil"/>
              <w:right w:val="nil"/>
            </w:tcBorders>
          </w:tcPr>
          <w:p w14:paraId="56B2CB9E"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243A3F4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99A0FD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65F43F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(4.15)</w:t>
            </w:r>
          </w:p>
        </w:tc>
        <w:tc>
          <w:tcPr>
            <w:tcW w:w="537" w:type="pct"/>
            <w:tcBorders>
              <w:top w:val="nil"/>
              <w:left w:val="nil"/>
              <w:bottom w:val="nil"/>
              <w:right w:val="nil"/>
            </w:tcBorders>
          </w:tcPr>
          <w:p w14:paraId="1FBE1FF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BDBF42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033792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(3.48)</w:t>
            </w:r>
          </w:p>
        </w:tc>
      </w:tr>
      <w:tr w:rsidR="00984E59" w:rsidRPr="004D4CA2" w14:paraId="054E662A" w14:textId="77777777" w:rsidTr="0064674F">
        <w:tc>
          <w:tcPr>
            <w:tcW w:w="1692" w:type="pct"/>
            <w:tcBorders>
              <w:top w:val="nil"/>
              <w:left w:val="nil"/>
              <w:bottom w:val="nil"/>
              <w:right w:val="nil"/>
            </w:tcBorders>
          </w:tcPr>
          <w:p w14:paraId="6D32F18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PCCIs*SHARE</w:t>
            </w:r>
          </w:p>
        </w:tc>
        <w:tc>
          <w:tcPr>
            <w:tcW w:w="537" w:type="pct"/>
            <w:tcBorders>
              <w:top w:val="nil"/>
              <w:left w:val="nil"/>
              <w:bottom w:val="nil"/>
              <w:right w:val="nil"/>
            </w:tcBorders>
          </w:tcPr>
          <w:p w14:paraId="5669EDA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8CF703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90FF50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c>
          <w:tcPr>
            <w:tcW w:w="537" w:type="pct"/>
            <w:tcBorders>
              <w:top w:val="nil"/>
              <w:left w:val="nil"/>
              <w:bottom w:val="nil"/>
              <w:right w:val="nil"/>
            </w:tcBorders>
          </w:tcPr>
          <w:p w14:paraId="4438A0C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B7BEC5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C25E85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r>
      <w:tr w:rsidR="00984E59" w:rsidRPr="004D4CA2" w14:paraId="00399796" w14:textId="77777777" w:rsidTr="0064674F">
        <w:tc>
          <w:tcPr>
            <w:tcW w:w="1692" w:type="pct"/>
            <w:tcBorders>
              <w:top w:val="nil"/>
              <w:left w:val="nil"/>
              <w:bottom w:val="nil"/>
              <w:right w:val="nil"/>
            </w:tcBorders>
          </w:tcPr>
          <w:p w14:paraId="2BB1FAC1"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65ED790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24812B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2032A9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(0.33)</w:t>
            </w:r>
          </w:p>
        </w:tc>
        <w:tc>
          <w:tcPr>
            <w:tcW w:w="537" w:type="pct"/>
            <w:tcBorders>
              <w:top w:val="nil"/>
              <w:left w:val="nil"/>
              <w:bottom w:val="nil"/>
              <w:right w:val="nil"/>
            </w:tcBorders>
          </w:tcPr>
          <w:p w14:paraId="4E866F9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675158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4C6F88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(0.27)</w:t>
            </w:r>
          </w:p>
        </w:tc>
      </w:tr>
      <w:tr w:rsidR="00984E59" w:rsidRPr="004D4CA2" w14:paraId="0B73D6CC" w14:textId="77777777" w:rsidTr="0064674F">
        <w:tc>
          <w:tcPr>
            <w:tcW w:w="1692" w:type="pct"/>
            <w:tcBorders>
              <w:top w:val="nil"/>
              <w:left w:val="nil"/>
              <w:bottom w:val="nil"/>
              <w:right w:val="nil"/>
            </w:tcBorders>
          </w:tcPr>
          <w:p w14:paraId="3C78F39D"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w:t>
            </w:r>
          </w:p>
        </w:tc>
        <w:tc>
          <w:tcPr>
            <w:tcW w:w="537" w:type="pct"/>
            <w:tcBorders>
              <w:top w:val="nil"/>
              <w:left w:val="nil"/>
              <w:bottom w:val="nil"/>
              <w:right w:val="nil"/>
            </w:tcBorders>
          </w:tcPr>
          <w:p w14:paraId="0726A8A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11FDB2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E26C5D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6080101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0.055</w:t>
            </w:r>
            <w:r w:rsidRPr="004D4CA2">
              <w:rPr>
                <w:rFonts w:ascii="Times New Roman" w:hAnsi="Times New Roman"/>
                <w:sz w:val="16"/>
                <w:szCs w:val="16"/>
                <w:vertAlign w:val="superscript"/>
                <w:lang w:val="en-US"/>
              </w:rPr>
              <w:t>**</w:t>
            </w:r>
          </w:p>
        </w:tc>
        <w:tc>
          <w:tcPr>
            <w:tcW w:w="577" w:type="pct"/>
            <w:tcBorders>
              <w:top w:val="nil"/>
              <w:left w:val="nil"/>
              <w:bottom w:val="nil"/>
              <w:right w:val="nil"/>
            </w:tcBorders>
          </w:tcPr>
          <w:p w14:paraId="2BF5ED2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0.100</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14974D0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0.070</w:t>
            </w:r>
            <w:r w:rsidRPr="004D4CA2">
              <w:rPr>
                <w:rFonts w:ascii="Times New Roman" w:hAnsi="Times New Roman"/>
                <w:sz w:val="16"/>
                <w:szCs w:val="16"/>
                <w:vertAlign w:val="superscript"/>
                <w:lang w:val="en-US"/>
              </w:rPr>
              <w:t>**</w:t>
            </w:r>
          </w:p>
        </w:tc>
      </w:tr>
      <w:tr w:rsidR="00984E59" w:rsidRPr="004D4CA2" w14:paraId="09BEA64A" w14:textId="77777777" w:rsidTr="0064674F">
        <w:tc>
          <w:tcPr>
            <w:tcW w:w="1692" w:type="pct"/>
            <w:tcBorders>
              <w:top w:val="nil"/>
              <w:left w:val="nil"/>
              <w:bottom w:val="nil"/>
              <w:right w:val="nil"/>
            </w:tcBorders>
          </w:tcPr>
          <w:p w14:paraId="7604193D"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16491DC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E08A62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CD9E7F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4EA621B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(2.13)</w:t>
            </w:r>
          </w:p>
        </w:tc>
        <w:tc>
          <w:tcPr>
            <w:tcW w:w="577" w:type="pct"/>
            <w:tcBorders>
              <w:top w:val="nil"/>
              <w:left w:val="nil"/>
              <w:bottom w:val="nil"/>
              <w:right w:val="nil"/>
            </w:tcBorders>
          </w:tcPr>
          <w:p w14:paraId="5667471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(3.84)</w:t>
            </w:r>
          </w:p>
        </w:tc>
        <w:tc>
          <w:tcPr>
            <w:tcW w:w="540" w:type="pct"/>
            <w:tcBorders>
              <w:top w:val="nil"/>
              <w:left w:val="nil"/>
              <w:bottom w:val="nil"/>
              <w:right w:val="nil"/>
            </w:tcBorders>
          </w:tcPr>
          <w:p w14:paraId="531FE5C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(2.30)</w:t>
            </w:r>
          </w:p>
        </w:tc>
      </w:tr>
      <w:tr w:rsidR="00984E59" w:rsidRPr="004D4CA2" w14:paraId="373FB5B4" w14:textId="77777777" w:rsidTr="0064674F">
        <w:tc>
          <w:tcPr>
            <w:tcW w:w="1692" w:type="pct"/>
            <w:tcBorders>
              <w:top w:val="nil"/>
              <w:left w:val="nil"/>
              <w:bottom w:val="nil"/>
              <w:right w:val="nil"/>
            </w:tcBorders>
          </w:tcPr>
          <w:p w14:paraId="71FE11B0"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BSCOM*SHARE</w:t>
            </w:r>
          </w:p>
        </w:tc>
        <w:tc>
          <w:tcPr>
            <w:tcW w:w="537" w:type="pct"/>
            <w:tcBorders>
              <w:top w:val="nil"/>
              <w:left w:val="nil"/>
              <w:bottom w:val="nil"/>
              <w:right w:val="nil"/>
            </w:tcBorders>
          </w:tcPr>
          <w:p w14:paraId="3AF97E9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07AC8E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17A933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666EBFD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-0.013</w:t>
            </w:r>
          </w:p>
        </w:tc>
        <w:tc>
          <w:tcPr>
            <w:tcW w:w="577" w:type="pct"/>
            <w:tcBorders>
              <w:top w:val="nil"/>
              <w:left w:val="nil"/>
              <w:bottom w:val="nil"/>
              <w:right w:val="nil"/>
            </w:tcBorders>
          </w:tcPr>
          <w:p w14:paraId="41C31FB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-0.050</w:t>
            </w:r>
          </w:p>
        </w:tc>
        <w:tc>
          <w:tcPr>
            <w:tcW w:w="540" w:type="pct"/>
            <w:tcBorders>
              <w:top w:val="nil"/>
              <w:left w:val="nil"/>
              <w:bottom w:val="nil"/>
              <w:right w:val="nil"/>
            </w:tcBorders>
          </w:tcPr>
          <w:p w14:paraId="75A432D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0.034</w:t>
            </w:r>
          </w:p>
        </w:tc>
      </w:tr>
      <w:tr w:rsidR="00984E59" w:rsidRPr="004D4CA2" w14:paraId="3A499E5D" w14:textId="77777777" w:rsidTr="0064674F">
        <w:tc>
          <w:tcPr>
            <w:tcW w:w="1692" w:type="pct"/>
            <w:tcBorders>
              <w:top w:val="nil"/>
              <w:left w:val="nil"/>
              <w:bottom w:val="nil"/>
              <w:right w:val="nil"/>
            </w:tcBorders>
          </w:tcPr>
          <w:p w14:paraId="222A926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5640703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11D90D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649B3E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3486DF0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(-0.30)</w:t>
            </w:r>
          </w:p>
        </w:tc>
        <w:tc>
          <w:tcPr>
            <w:tcW w:w="577" w:type="pct"/>
            <w:tcBorders>
              <w:top w:val="nil"/>
              <w:left w:val="nil"/>
              <w:bottom w:val="nil"/>
              <w:right w:val="nil"/>
            </w:tcBorders>
          </w:tcPr>
          <w:p w14:paraId="3526495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(-1.12)</w:t>
            </w:r>
          </w:p>
        </w:tc>
        <w:tc>
          <w:tcPr>
            <w:tcW w:w="540" w:type="pct"/>
            <w:tcBorders>
              <w:top w:val="nil"/>
              <w:left w:val="nil"/>
              <w:bottom w:val="nil"/>
              <w:right w:val="nil"/>
            </w:tcBorders>
          </w:tcPr>
          <w:p w14:paraId="18D83A8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(0.57)</w:t>
            </w:r>
          </w:p>
        </w:tc>
      </w:tr>
      <w:tr w:rsidR="00984E59" w:rsidRPr="004D4CA2" w14:paraId="322413A7" w14:textId="77777777" w:rsidTr="0064674F">
        <w:tc>
          <w:tcPr>
            <w:tcW w:w="1692" w:type="pct"/>
            <w:tcBorders>
              <w:top w:val="nil"/>
              <w:left w:val="nil"/>
              <w:bottom w:val="nil"/>
              <w:right w:val="nil"/>
            </w:tcBorders>
          </w:tcPr>
          <w:p w14:paraId="354D2968"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CCPE*BSCOM</w:t>
            </w:r>
          </w:p>
        </w:tc>
        <w:tc>
          <w:tcPr>
            <w:tcW w:w="537" w:type="pct"/>
            <w:tcBorders>
              <w:top w:val="nil"/>
              <w:left w:val="nil"/>
              <w:bottom w:val="nil"/>
              <w:right w:val="nil"/>
            </w:tcBorders>
          </w:tcPr>
          <w:p w14:paraId="6C3A498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323BC9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D06290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0617C7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6EFAEA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0.011</w:t>
            </w:r>
          </w:p>
        </w:tc>
        <w:tc>
          <w:tcPr>
            <w:tcW w:w="540" w:type="pct"/>
            <w:tcBorders>
              <w:top w:val="nil"/>
              <w:left w:val="nil"/>
              <w:bottom w:val="nil"/>
              <w:right w:val="nil"/>
            </w:tcBorders>
          </w:tcPr>
          <w:p w14:paraId="740D027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323A6425" w14:textId="77777777" w:rsidTr="0064674F">
        <w:tc>
          <w:tcPr>
            <w:tcW w:w="1692" w:type="pct"/>
            <w:tcBorders>
              <w:top w:val="nil"/>
              <w:left w:val="nil"/>
              <w:bottom w:val="nil"/>
              <w:right w:val="nil"/>
            </w:tcBorders>
          </w:tcPr>
          <w:p w14:paraId="2D12BCB8"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42DEAA8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3409BB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0A193F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21B558B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5187DD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(1.02)</w:t>
            </w:r>
          </w:p>
        </w:tc>
        <w:tc>
          <w:tcPr>
            <w:tcW w:w="540" w:type="pct"/>
            <w:tcBorders>
              <w:top w:val="nil"/>
              <w:left w:val="nil"/>
              <w:bottom w:val="nil"/>
              <w:right w:val="nil"/>
            </w:tcBorders>
          </w:tcPr>
          <w:p w14:paraId="57A00DB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1E198B89" w14:textId="77777777" w:rsidTr="0064674F">
        <w:tc>
          <w:tcPr>
            <w:tcW w:w="1692" w:type="pct"/>
            <w:tcBorders>
              <w:top w:val="nil"/>
              <w:left w:val="nil"/>
              <w:bottom w:val="nil"/>
              <w:right w:val="nil"/>
            </w:tcBorders>
          </w:tcPr>
          <w:p w14:paraId="0520AA4C"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CCPE*BSCOM*SHARE</w:t>
            </w:r>
          </w:p>
        </w:tc>
        <w:tc>
          <w:tcPr>
            <w:tcW w:w="537" w:type="pct"/>
            <w:tcBorders>
              <w:top w:val="nil"/>
              <w:left w:val="nil"/>
              <w:bottom w:val="nil"/>
              <w:right w:val="nil"/>
            </w:tcBorders>
          </w:tcPr>
          <w:p w14:paraId="5131EAB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305744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34A717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9EF48A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BC42E5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0.080</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4033CBA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1B625C58" w14:textId="77777777" w:rsidTr="0064674F">
        <w:tc>
          <w:tcPr>
            <w:tcW w:w="1692" w:type="pct"/>
            <w:tcBorders>
              <w:top w:val="nil"/>
              <w:left w:val="nil"/>
              <w:bottom w:val="nil"/>
              <w:right w:val="nil"/>
            </w:tcBorders>
          </w:tcPr>
          <w:p w14:paraId="550AB885"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1755B78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E6EC7D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AF5E22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15F25BA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DB2A27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(3.68)</w:t>
            </w:r>
          </w:p>
        </w:tc>
        <w:tc>
          <w:tcPr>
            <w:tcW w:w="540" w:type="pct"/>
            <w:tcBorders>
              <w:top w:val="nil"/>
              <w:left w:val="nil"/>
              <w:bottom w:val="nil"/>
              <w:right w:val="nil"/>
            </w:tcBorders>
          </w:tcPr>
          <w:p w14:paraId="191024D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0D5E82D9" w14:textId="77777777" w:rsidTr="0064674F">
        <w:tc>
          <w:tcPr>
            <w:tcW w:w="1692" w:type="pct"/>
            <w:tcBorders>
              <w:top w:val="nil"/>
              <w:left w:val="nil"/>
              <w:bottom w:val="nil"/>
              <w:right w:val="nil"/>
            </w:tcBorders>
          </w:tcPr>
          <w:p w14:paraId="277D68B2"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PCCIs*BSCOM</w:t>
            </w:r>
          </w:p>
        </w:tc>
        <w:tc>
          <w:tcPr>
            <w:tcW w:w="537" w:type="pct"/>
            <w:tcBorders>
              <w:top w:val="nil"/>
              <w:left w:val="nil"/>
              <w:bottom w:val="nil"/>
              <w:right w:val="nil"/>
            </w:tcBorders>
          </w:tcPr>
          <w:p w14:paraId="11264E8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59E7C8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C1C6D2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9948C1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2D04D0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C275E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0.001</w:t>
            </w:r>
          </w:p>
        </w:tc>
      </w:tr>
      <w:tr w:rsidR="00984E59" w:rsidRPr="004D4CA2" w14:paraId="30005D83" w14:textId="77777777" w:rsidTr="0064674F">
        <w:tc>
          <w:tcPr>
            <w:tcW w:w="1692" w:type="pct"/>
            <w:tcBorders>
              <w:top w:val="nil"/>
              <w:left w:val="nil"/>
              <w:bottom w:val="nil"/>
              <w:right w:val="nil"/>
            </w:tcBorders>
          </w:tcPr>
          <w:p w14:paraId="7DCE6D0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733ADB6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400AB8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8C2410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6F45663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46FEA9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48727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(1.30)</w:t>
            </w:r>
          </w:p>
        </w:tc>
      </w:tr>
      <w:tr w:rsidR="00984E59" w:rsidRPr="004D4CA2" w14:paraId="5262F292" w14:textId="77777777" w:rsidTr="0064674F">
        <w:tc>
          <w:tcPr>
            <w:tcW w:w="1692" w:type="pct"/>
            <w:tcBorders>
              <w:top w:val="nil"/>
              <w:left w:val="nil"/>
              <w:bottom w:val="nil"/>
              <w:right w:val="nil"/>
            </w:tcBorders>
          </w:tcPr>
          <w:p w14:paraId="1910270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PCCIs*BSCOM*SHARE</w:t>
            </w:r>
          </w:p>
        </w:tc>
        <w:tc>
          <w:tcPr>
            <w:tcW w:w="537" w:type="pct"/>
            <w:tcBorders>
              <w:top w:val="nil"/>
              <w:left w:val="nil"/>
              <w:bottom w:val="nil"/>
              <w:right w:val="nil"/>
            </w:tcBorders>
          </w:tcPr>
          <w:p w14:paraId="1BB7345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E5F581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AC3B24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109AA5D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7D9A38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362DA7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0.002</w:t>
            </w:r>
          </w:p>
        </w:tc>
      </w:tr>
      <w:tr w:rsidR="00984E59" w:rsidRPr="004D4CA2" w14:paraId="0D9821A1" w14:textId="77777777" w:rsidTr="0064674F">
        <w:tc>
          <w:tcPr>
            <w:tcW w:w="1692" w:type="pct"/>
            <w:tcBorders>
              <w:top w:val="nil"/>
              <w:left w:val="nil"/>
              <w:bottom w:val="nil"/>
              <w:right w:val="nil"/>
            </w:tcBorders>
          </w:tcPr>
          <w:p w14:paraId="3900BCDB"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6C59F40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1F37B8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4D77CF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9E1875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C11E14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4FB73D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(0.91)</w:t>
            </w:r>
          </w:p>
        </w:tc>
      </w:tr>
      <w:tr w:rsidR="00984E59" w:rsidRPr="004D4CA2" w14:paraId="23B71C84" w14:textId="77777777" w:rsidTr="0064674F">
        <w:tc>
          <w:tcPr>
            <w:tcW w:w="1692" w:type="pct"/>
            <w:tcBorders>
              <w:top w:val="nil"/>
              <w:left w:val="nil"/>
              <w:bottom w:val="nil"/>
              <w:right w:val="nil"/>
            </w:tcBorders>
          </w:tcPr>
          <w:p w14:paraId="204ED02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SHARE</w:t>
            </w:r>
          </w:p>
        </w:tc>
        <w:tc>
          <w:tcPr>
            <w:tcW w:w="537" w:type="pct"/>
            <w:tcBorders>
              <w:top w:val="nil"/>
              <w:left w:val="nil"/>
              <w:bottom w:val="nil"/>
              <w:right w:val="nil"/>
            </w:tcBorders>
          </w:tcPr>
          <w:p w14:paraId="0A93C6D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23F6D0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0.733</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3645D63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0.791</w:t>
            </w:r>
            <w:r w:rsidRPr="004D4CA2">
              <w:rPr>
                <w:rFonts w:ascii="Times New Roman" w:hAnsi="Times New Roman"/>
                <w:sz w:val="16"/>
                <w:szCs w:val="16"/>
                <w:vertAlign w:val="superscript"/>
                <w:lang w:val="en-US"/>
              </w:rPr>
              <w:t>***</w:t>
            </w:r>
          </w:p>
        </w:tc>
        <w:tc>
          <w:tcPr>
            <w:tcW w:w="537" w:type="pct"/>
            <w:tcBorders>
              <w:top w:val="nil"/>
              <w:left w:val="nil"/>
              <w:bottom w:val="nil"/>
              <w:right w:val="nil"/>
            </w:tcBorders>
          </w:tcPr>
          <w:p w14:paraId="3037084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0.761</w:t>
            </w:r>
            <w:r w:rsidRPr="004D4CA2">
              <w:rPr>
                <w:rFonts w:ascii="Times New Roman" w:hAnsi="Times New Roman"/>
                <w:sz w:val="16"/>
                <w:szCs w:val="16"/>
                <w:vertAlign w:val="superscript"/>
                <w:lang w:val="en-US"/>
              </w:rPr>
              <w:t>***</w:t>
            </w:r>
          </w:p>
        </w:tc>
        <w:tc>
          <w:tcPr>
            <w:tcW w:w="577" w:type="pct"/>
            <w:tcBorders>
              <w:top w:val="nil"/>
              <w:left w:val="nil"/>
              <w:bottom w:val="nil"/>
              <w:right w:val="nil"/>
            </w:tcBorders>
          </w:tcPr>
          <w:p w14:paraId="4A45EDB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0.847</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77BCDEA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0.798</w:t>
            </w:r>
            <w:r w:rsidRPr="004D4CA2">
              <w:rPr>
                <w:rFonts w:ascii="Times New Roman" w:hAnsi="Times New Roman"/>
                <w:sz w:val="16"/>
                <w:szCs w:val="16"/>
                <w:vertAlign w:val="superscript"/>
                <w:lang w:val="en-US"/>
              </w:rPr>
              <w:t>***</w:t>
            </w:r>
          </w:p>
        </w:tc>
      </w:tr>
      <w:tr w:rsidR="00984E59" w:rsidRPr="004D4CA2" w14:paraId="3811D05C" w14:textId="77777777" w:rsidTr="0064674F">
        <w:tc>
          <w:tcPr>
            <w:tcW w:w="1692" w:type="pct"/>
            <w:tcBorders>
              <w:top w:val="nil"/>
              <w:left w:val="nil"/>
              <w:bottom w:val="nil"/>
              <w:right w:val="nil"/>
            </w:tcBorders>
          </w:tcPr>
          <w:p w14:paraId="42CDB810"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691B1BE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00B0BF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(2.48)</w:t>
            </w:r>
          </w:p>
        </w:tc>
        <w:tc>
          <w:tcPr>
            <w:tcW w:w="540" w:type="pct"/>
            <w:tcBorders>
              <w:top w:val="nil"/>
              <w:left w:val="nil"/>
              <w:bottom w:val="nil"/>
              <w:right w:val="nil"/>
            </w:tcBorders>
          </w:tcPr>
          <w:p w14:paraId="52D6FDC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(2.75)</w:t>
            </w:r>
          </w:p>
        </w:tc>
        <w:tc>
          <w:tcPr>
            <w:tcW w:w="537" w:type="pct"/>
            <w:tcBorders>
              <w:top w:val="nil"/>
              <w:left w:val="nil"/>
              <w:bottom w:val="nil"/>
              <w:right w:val="nil"/>
            </w:tcBorders>
          </w:tcPr>
          <w:p w14:paraId="1CD2056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(2.66)</w:t>
            </w:r>
          </w:p>
        </w:tc>
        <w:tc>
          <w:tcPr>
            <w:tcW w:w="577" w:type="pct"/>
            <w:tcBorders>
              <w:top w:val="nil"/>
              <w:left w:val="nil"/>
              <w:bottom w:val="nil"/>
              <w:right w:val="nil"/>
            </w:tcBorders>
          </w:tcPr>
          <w:p w14:paraId="4026C31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(2.83)</w:t>
            </w:r>
          </w:p>
        </w:tc>
        <w:tc>
          <w:tcPr>
            <w:tcW w:w="540" w:type="pct"/>
            <w:tcBorders>
              <w:top w:val="nil"/>
              <w:left w:val="nil"/>
              <w:bottom w:val="nil"/>
              <w:right w:val="nil"/>
            </w:tcBorders>
          </w:tcPr>
          <w:p w14:paraId="2A16644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(2.76)</w:t>
            </w:r>
          </w:p>
        </w:tc>
      </w:tr>
      <w:tr w:rsidR="00984E59" w:rsidRPr="004D4CA2" w14:paraId="59B80554" w14:textId="77777777" w:rsidTr="0064674F">
        <w:tc>
          <w:tcPr>
            <w:tcW w:w="1692" w:type="pct"/>
            <w:tcBorders>
              <w:top w:val="nil"/>
              <w:left w:val="nil"/>
              <w:bottom w:val="nil"/>
              <w:right w:val="nil"/>
            </w:tcBorders>
          </w:tcPr>
          <w:p w14:paraId="1E7327B9"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Controls</w:t>
            </w:r>
          </w:p>
        </w:tc>
        <w:tc>
          <w:tcPr>
            <w:tcW w:w="537" w:type="pct"/>
            <w:tcBorders>
              <w:top w:val="nil"/>
              <w:left w:val="nil"/>
              <w:bottom w:val="nil"/>
              <w:right w:val="nil"/>
            </w:tcBorders>
          </w:tcPr>
          <w:p w14:paraId="42C7B6E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2C1905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56CA54A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37" w:type="pct"/>
            <w:tcBorders>
              <w:top w:val="nil"/>
              <w:left w:val="nil"/>
              <w:bottom w:val="nil"/>
              <w:right w:val="nil"/>
            </w:tcBorders>
          </w:tcPr>
          <w:p w14:paraId="2B1F8E9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bottom w:val="nil"/>
              <w:right w:val="nil"/>
            </w:tcBorders>
          </w:tcPr>
          <w:p w14:paraId="74AD757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3D7F5A4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r>
      <w:tr w:rsidR="00984E59" w:rsidRPr="004D4CA2" w14:paraId="02B280B8" w14:textId="77777777" w:rsidTr="0064674F">
        <w:tc>
          <w:tcPr>
            <w:tcW w:w="1692" w:type="pct"/>
            <w:tcBorders>
              <w:top w:val="nil"/>
              <w:left w:val="nil"/>
              <w:right w:val="nil"/>
            </w:tcBorders>
          </w:tcPr>
          <w:p w14:paraId="03B13AB1"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Year/Sector/Country FE</w:t>
            </w:r>
          </w:p>
        </w:tc>
        <w:tc>
          <w:tcPr>
            <w:tcW w:w="537" w:type="pct"/>
            <w:tcBorders>
              <w:top w:val="nil"/>
              <w:left w:val="nil"/>
              <w:right w:val="nil"/>
            </w:tcBorders>
          </w:tcPr>
          <w:p w14:paraId="41253D3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right w:val="nil"/>
            </w:tcBorders>
          </w:tcPr>
          <w:p w14:paraId="4CAB3C0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right w:val="nil"/>
            </w:tcBorders>
          </w:tcPr>
          <w:p w14:paraId="602BB85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37" w:type="pct"/>
            <w:tcBorders>
              <w:top w:val="nil"/>
              <w:left w:val="nil"/>
              <w:right w:val="nil"/>
            </w:tcBorders>
          </w:tcPr>
          <w:p w14:paraId="084B672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right w:val="nil"/>
            </w:tcBorders>
          </w:tcPr>
          <w:p w14:paraId="4FC1079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right w:val="nil"/>
            </w:tcBorders>
          </w:tcPr>
          <w:p w14:paraId="3B4C8C6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r>
      <w:tr w:rsidR="00984E59" w:rsidRPr="004D4CA2" w14:paraId="0FD5E32E" w14:textId="77777777" w:rsidTr="0064674F">
        <w:tc>
          <w:tcPr>
            <w:tcW w:w="1692" w:type="pct"/>
            <w:tcBorders>
              <w:left w:val="nil"/>
              <w:bottom w:val="nil"/>
              <w:right w:val="nil"/>
            </w:tcBorders>
          </w:tcPr>
          <w:p w14:paraId="1500C2A7"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Observations</w:t>
            </w:r>
          </w:p>
        </w:tc>
        <w:tc>
          <w:tcPr>
            <w:tcW w:w="537" w:type="pct"/>
            <w:tcBorders>
              <w:left w:val="nil"/>
              <w:bottom w:val="nil"/>
              <w:right w:val="nil"/>
            </w:tcBorders>
          </w:tcPr>
          <w:p w14:paraId="59382FC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left w:val="nil"/>
              <w:bottom w:val="nil"/>
              <w:right w:val="nil"/>
            </w:tcBorders>
          </w:tcPr>
          <w:p w14:paraId="5B8E9F9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7778</w:t>
            </w:r>
          </w:p>
        </w:tc>
        <w:tc>
          <w:tcPr>
            <w:tcW w:w="540" w:type="pct"/>
            <w:tcBorders>
              <w:left w:val="nil"/>
              <w:bottom w:val="nil"/>
              <w:right w:val="nil"/>
            </w:tcBorders>
          </w:tcPr>
          <w:p w14:paraId="098E499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8408</w:t>
            </w:r>
          </w:p>
        </w:tc>
        <w:tc>
          <w:tcPr>
            <w:tcW w:w="537" w:type="pct"/>
            <w:tcBorders>
              <w:left w:val="nil"/>
              <w:bottom w:val="nil"/>
              <w:right w:val="nil"/>
            </w:tcBorders>
          </w:tcPr>
          <w:p w14:paraId="32A8F8F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8408</w:t>
            </w:r>
          </w:p>
        </w:tc>
        <w:tc>
          <w:tcPr>
            <w:tcW w:w="577" w:type="pct"/>
            <w:tcBorders>
              <w:left w:val="nil"/>
              <w:bottom w:val="nil"/>
              <w:right w:val="nil"/>
            </w:tcBorders>
          </w:tcPr>
          <w:p w14:paraId="176526C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7778</w:t>
            </w:r>
          </w:p>
        </w:tc>
        <w:tc>
          <w:tcPr>
            <w:tcW w:w="540" w:type="pct"/>
            <w:tcBorders>
              <w:left w:val="nil"/>
              <w:bottom w:val="nil"/>
              <w:right w:val="nil"/>
            </w:tcBorders>
          </w:tcPr>
          <w:p w14:paraId="1E8C84F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8408</w:t>
            </w:r>
          </w:p>
        </w:tc>
      </w:tr>
      <w:tr w:rsidR="00984E59" w:rsidRPr="004D4CA2" w14:paraId="335FB3BC" w14:textId="77777777" w:rsidTr="0064674F">
        <w:tc>
          <w:tcPr>
            <w:tcW w:w="1692" w:type="pct"/>
            <w:tcBorders>
              <w:top w:val="nil"/>
              <w:left w:val="nil"/>
              <w:bottom w:val="single" w:sz="12" w:space="0" w:color="auto"/>
              <w:right w:val="nil"/>
            </w:tcBorders>
          </w:tcPr>
          <w:p w14:paraId="1B792152"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R-squared</w:t>
            </w:r>
          </w:p>
        </w:tc>
        <w:tc>
          <w:tcPr>
            <w:tcW w:w="537" w:type="pct"/>
            <w:tcBorders>
              <w:top w:val="nil"/>
              <w:left w:val="nil"/>
              <w:bottom w:val="single" w:sz="12" w:space="0" w:color="auto"/>
              <w:right w:val="nil"/>
            </w:tcBorders>
          </w:tcPr>
          <w:p w14:paraId="110016D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single" w:sz="12" w:space="0" w:color="auto"/>
              <w:right w:val="nil"/>
            </w:tcBorders>
          </w:tcPr>
          <w:p w14:paraId="4B78031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0.525</w:t>
            </w:r>
          </w:p>
        </w:tc>
        <w:tc>
          <w:tcPr>
            <w:tcW w:w="540" w:type="pct"/>
            <w:tcBorders>
              <w:top w:val="nil"/>
              <w:left w:val="nil"/>
              <w:bottom w:val="single" w:sz="12" w:space="0" w:color="auto"/>
              <w:right w:val="nil"/>
            </w:tcBorders>
          </w:tcPr>
          <w:p w14:paraId="561BD89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0.521</w:t>
            </w:r>
          </w:p>
        </w:tc>
        <w:tc>
          <w:tcPr>
            <w:tcW w:w="537" w:type="pct"/>
            <w:tcBorders>
              <w:top w:val="nil"/>
              <w:left w:val="nil"/>
              <w:bottom w:val="single" w:sz="12" w:space="0" w:color="auto"/>
              <w:right w:val="nil"/>
            </w:tcBorders>
          </w:tcPr>
          <w:p w14:paraId="05519C3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0.520</w:t>
            </w:r>
          </w:p>
        </w:tc>
        <w:tc>
          <w:tcPr>
            <w:tcW w:w="577" w:type="pct"/>
            <w:tcBorders>
              <w:top w:val="nil"/>
              <w:left w:val="nil"/>
              <w:bottom w:val="single" w:sz="12" w:space="0" w:color="auto"/>
              <w:right w:val="nil"/>
            </w:tcBorders>
          </w:tcPr>
          <w:p w14:paraId="26E183C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0.527</w:t>
            </w:r>
          </w:p>
        </w:tc>
        <w:tc>
          <w:tcPr>
            <w:tcW w:w="540" w:type="pct"/>
            <w:tcBorders>
              <w:top w:val="nil"/>
              <w:left w:val="nil"/>
              <w:bottom w:val="single" w:sz="12" w:space="0" w:color="auto"/>
              <w:right w:val="nil"/>
            </w:tcBorders>
          </w:tcPr>
          <w:p w14:paraId="348A295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0.521</w:t>
            </w:r>
          </w:p>
        </w:tc>
      </w:tr>
      <w:tr w:rsidR="00984E59" w:rsidRPr="008E3FE6" w14:paraId="1A168A2A" w14:textId="77777777" w:rsidTr="0064674F">
        <w:tc>
          <w:tcPr>
            <w:tcW w:w="5000" w:type="pct"/>
            <w:gridSpan w:val="7"/>
            <w:tcBorders>
              <w:top w:val="single" w:sz="12" w:space="0" w:color="auto"/>
              <w:left w:val="nil"/>
              <w:bottom w:val="single" w:sz="8" w:space="0" w:color="auto"/>
              <w:right w:val="nil"/>
            </w:tcBorders>
          </w:tcPr>
          <w:p w14:paraId="797F0CA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i/>
                <w:sz w:val="16"/>
                <w:szCs w:val="16"/>
                <w:lang w:val="en-US"/>
              </w:rPr>
              <w:t>Panel B: Impacts of PCCIs, and BSCOM on CCPE</w:t>
            </w:r>
          </w:p>
        </w:tc>
      </w:tr>
      <w:tr w:rsidR="00984E59" w:rsidRPr="004D4CA2" w14:paraId="605B41CD" w14:textId="77777777" w:rsidTr="0064674F">
        <w:tc>
          <w:tcPr>
            <w:tcW w:w="1692" w:type="pct"/>
            <w:tcBorders>
              <w:top w:val="single" w:sz="8" w:space="0" w:color="auto"/>
              <w:left w:val="nil"/>
              <w:right w:val="nil"/>
            </w:tcBorders>
          </w:tcPr>
          <w:p w14:paraId="6DBF3902"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single" w:sz="8" w:space="0" w:color="auto"/>
              <w:left w:val="nil"/>
              <w:right w:val="nil"/>
            </w:tcBorders>
          </w:tcPr>
          <w:p w14:paraId="5BFAF41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w:t>
            </w:r>
          </w:p>
        </w:tc>
        <w:tc>
          <w:tcPr>
            <w:tcW w:w="577" w:type="pct"/>
            <w:tcBorders>
              <w:top w:val="single" w:sz="8" w:space="0" w:color="auto"/>
              <w:left w:val="nil"/>
              <w:right w:val="nil"/>
            </w:tcBorders>
          </w:tcPr>
          <w:p w14:paraId="4572113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w:t>
            </w:r>
          </w:p>
        </w:tc>
        <w:tc>
          <w:tcPr>
            <w:tcW w:w="540" w:type="pct"/>
            <w:tcBorders>
              <w:top w:val="single" w:sz="8" w:space="0" w:color="auto"/>
              <w:left w:val="nil"/>
              <w:right w:val="nil"/>
            </w:tcBorders>
          </w:tcPr>
          <w:p w14:paraId="440B00B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w:t>
            </w:r>
          </w:p>
        </w:tc>
        <w:tc>
          <w:tcPr>
            <w:tcW w:w="537" w:type="pct"/>
            <w:tcBorders>
              <w:top w:val="single" w:sz="8" w:space="0" w:color="auto"/>
              <w:left w:val="nil"/>
              <w:right w:val="nil"/>
            </w:tcBorders>
          </w:tcPr>
          <w:p w14:paraId="7527138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(4)</w:t>
            </w:r>
          </w:p>
        </w:tc>
        <w:tc>
          <w:tcPr>
            <w:tcW w:w="577" w:type="pct"/>
            <w:tcBorders>
              <w:top w:val="single" w:sz="8" w:space="0" w:color="auto"/>
              <w:left w:val="nil"/>
              <w:right w:val="nil"/>
            </w:tcBorders>
          </w:tcPr>
          <w:p w14:paraId="7724A12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(5)</w:t>
            </w:r>
          </w:p>
        </w:tc>
        <w:tc>
          <w:tcPr>
            <w:tcW w:w="540" w:type="pct"/>
            <w:tcBorders>
              <w:top w:val="single" w:sz="8" w:space="0" w:color="auto"/>
              <w:left w:val="nil"/>
              <w:right w:val="nil"/>
            </w:tcBorders>
          </w:tcPr>
          <w:p w14:paraId="5346DB6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(6)</w:t>
            </w:r>
          </w:p>
        </w:tc>
      </w:tr>
      <w:tr w:rsidR="00984E59" w:rsidRPr="004D4CA2" w14:paraId="1DD94C19" w14:textId="77777777" w:rsidTr="0064674F">
        <w:tc>
          <w:tcPr>
            <w:tcW w:w="1692" w:type="pct"/>
            <w:tcBorders>
              <w:top w:val="nil"/>
              <w:left w:val="nil"/>
              <w:bottom w:val="single" w:sz="8" w:space="0" w:color="auto"/>
              <w:right w:val="nil"/>
            </w:tcBorders>
          </w:tcPr>
          <w:p w14:paraId="27F8315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single" w:sz="8" w:space="0" w:color="auto"/>
              <w:right w:val="nil"/>
            </w:tcBorders>
          </w:tcPr>
          <w:p w14:paraId="77897E3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c>
          <w:tcPr>
            <w:tcW w:w="577" w:type="pct"/>
            <w:tcBorders>
              <w:top w:val="nil"/>
              <w:left w:val="nil"/>
              <w:bottom w:val="single" w:sz="8" w:space="0" w:color="auto"/>
              <w:right w:val="nil"/>
            </w:tcBorders>
          </w:tcPr>
          <w:p w14:paraId="70BCEDB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c>
          <w:tcPr>
            <w:tcW w:w="540" w:type="pct"/>
            <w:tcBorders>
              <w:top w:val="nil"/>
              <w:left w:val="nil"/>
              <w:bottom w:val="single" w:sz="8" w:space="0" w:color="auto"/>
              <w:right w:val="nil"/>
            </w:tcBorders>
          </w:tcPr>
          <w:p w14:paraId="1AF91DA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c>
          <w:tcPr>
            <w:tcW w:w="537" w:type="pct"/>
            <w:tcBorders>
              <w:top w:val="nil"/>
              <w:left w:val="nil"/>
              <w:bottom w:val="single" w:sz="8" w:space="0" w:color="auto"/>
              <w:right w:val="nil"/>
            </w:tcBorders>
          </w:tcPr>
          <w:p w14:paraId="61F2D60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c>
          <w:tcPr>
            <w:tcW w:w="577" w:type="pct"/>
            <w:tcBorders>
              <w:top w:val="nil"/>
              <w:left w:val="nil"/>
              <w:bottom w:val="single" w:sz="8" w:space="0" w:color="auto"/>
              <w:right w:val="nil"/>
            </w:tcBorders>
          </w:tcPr>
          <w:p w14:paraId="3C0A706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c>
          <w:tcPr>
            <w:tcW w:w="540" w:type="pct"/>
            <w:tcBorders>
              <w:top w:val="nil"/>
              <w:left w:val="nil"/>
              <w:bottom w:val="single" w:sz="8" w:space="0" w:color="auto"/>
              <w:right w:val="nil"/>
            </w:tcBorders>
          </w:tcPr>
          <w:p w14:paraId="7787551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CCPE</w:t>
            </w:r>
          </w:p>
        </w:tc>
      </w:tr>
      <w:tr w:rsidR="00984E59" w:rsidRPr="004D4CA2" w14:paraId="499D5020" w14:textId="77777777" w:rsidTr="0064674F">
        <w:tc>
          <w:tcPr>
            <w:tcW w:w="1692" w:type="pct"/>
            <w:tcBorders>
              <w:top w:val="single" w:sz="8" w:space="0" w:color="auto"/>
              <w:left w:val="nil"/>
              <w:bottom w:val="nil"/>
              <w:right w:val="nil"/>
            </w:tcBorders>
          </w:tcPr>
          <w:p w14:paraId="344919A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t-1</w:t>
            </w:r>
          </w:p>
        </w:tc>
        <w:tc>
          <w:tcPr>
            <w:tcW w:w="537" w:type="pct"/>
            <w:tcBorders>
              <w:top w:val="single" w:sz="8" w:space="0" w:color="auto"/>
              <w:left w:val="nil"/>
              <w:bottom w:val="nil"/>
              <w:right w:val="nil"/>
            </w:tcBorders>
          </w:tcPr>
          <w:p w14:paraId="7369C27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0.008</w:t>
            </w:r>
            <w:r w:rsidRPr="004D4CA2">
              <w:rPr>
                <w:rFonts w:ascii="Times New Roman" w:hAnsi="Times New Roman"/>
                <w:sz w:val="16"/>
                <w:szCs w:val="16"/>
                <w:vertAlign w:val="superscript"/>
                <w:lang w:val="en-US"/>
              </w:rPr>
              <w:t>***</w:t>
            </w:r>
          </w:p>
        </w:tc>
        <w:tc>
          <w:tcPr>
            <w:tcW w:w="577" w:type="pct"/>
            <w:tcBorders>
              <w:top w:val="single" w:sz="8" w:space="0" w:color="auto"/>
              <w:left w:val="nil"/>
              <w:bottom w:val="nil"/>
              <w:right w:val="nil"/>
            </w:tcBorders>
          </w:tcPr>
          <w:p w14:paraId="3B56C5F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single" w:sz="8" w:space="0" w:color="auto"/>
              <w:left w:val="nil"/>
              <w:bottom w:val="nil"/>
              <w:right w:val="nil"/>
            </w:tcBorders>
          </w:tcPr>
          <w:p w14:paraId="0AF59A7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0.007</w:t>
            </w:r>
            <w:r w:rsidRPr="004D4CA2">
              <w:rPr>
                <w:rFonts w:ascii="Times New Roman" w:hAnsi="Times New Roman"/>
                <w:sz w:val="16"/>
                <w:szCs w:val="16"/>
                <w:vertAlign w:val="superscript"/>
                <w:lang w:val="en-US"/>
              </w:rPr>
              <w:t>***</w:t>
            </w:r>
          </w:p>
        </w:tc>
        <w:tc>
          <w:tcPr>
            <w:tcW w:w="537" w:type="pct"/>
            <w:tcBorders>
              <w:top w:val="single" w:sz="8" w:space="0" w:color="auto"/>
              <w:left w:val="nil"/>
              <w:bottom w:val="nil"/>
              <w:right w:val="nil"/>
            </w:tcBorders>
          </w:tcPr>
          <w:p w14:paraId="0B341CE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single" w:sz="8" w:space="0" w:color="auto"/>
              <w:left w:val="nil"/>
              <w:bottom w:val="nil"/>
              <w:right w:val="nil"/>
            </w:tcBorders>
          </w:tcPr>
          <w:p w14:paraId="69468B6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single" w:sz="8" w:space="0" w:color="auto"/>
              <w:left w:val="nil"/>
              <w:bottom w:val="nil"/>
              <w:right w:val="nil"/>
            </w:tcBorders>
          </w:tcPr>
          <w:p w14:paraId="52600B4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094FF29A" w14:textId="77777777" w:rsidTr="0064674F">
        <w:tc>
          <w:tcPr>
            <w:tcW w:w="1692" w:type="pct"/>
            <w:tcBorders>
              <w:top w:val="nil"/>
              <w:left w:val="nil"/>
              <w:bottom w:val="nil"/>
              <w:right w:val="nil"/>
            </w:tcBorders>
          </w:tcPr>
          <w:p w14:paraId="3317B158"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2EFB4F0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(12.12)</w:t>
            </w:r>
          </w:p>
        </w:tc>
        <w:tc>
          <w:tcPr>
            <w:tcW w:w="577" w:type="pct"/>
            <w:tcBorders>
              <w:top w:val="nil"/>
              <w:left w:val="nil"/>
              <w:bottom w:val="nil"/>
              <w:right w:val="nil"/>
            </w:tcBorders>
          </w:tcPr>
          <w:p w14:paraId="7A13225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B1883C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(11.28)</w:t>
            </w:r>
          </w:p>
        </w:tc>
        <w:tc>
          <w:tcPr>
            <w:tcW w:w="537" w:type="pct"/>
            <w:tcBorders>
              <w:top w:val="nil"/>
              <w:left w:val="nil"/>
              <w:bottom w:val="nil"/>
              <w:right w:val="nil"/>
            </w:tcBorders>
          </w:tcPr>
          <w:p w14:paraId="068410A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37ED83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438924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37AD556D" w14:textId="77777777" w:rsidTr="0064674F">
        <w:tc>
          <w:tcPr>
            <w:tcW w:w="1692" w:type="pct"/>
            <w:tcBorders>
              <w:top w:val="nil"/>
              <w:left w:val="nil"/>
              <w:bottom w:val="nil"/>
              <w:right w:val="nil"/>
            </w:tcBorders>
          </w:tcPr>
          <w:p w14:paraId="5B1AC4C0"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t-1</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2CFAEC8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c>
          <w:tcPr>
            <w:tcW w:w="577" w:type="pct"/>
            <w:tcBorders>
              <w:top w:val="nil"/>
              <w:left w:val="nil"/>
              <w:bottom w:val="nil"/>
              <w:right w:val="nil"/>
            </w:tcBorders>
          </w:tcPr>
          <w:p w14:paraId="31514E7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73BE70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0.001</w:t>
            </w:r>
          </w:p>
        </w:tc>
        <w:tc>
          <w:tcPr>
            <w:tcW w:w="537" w:type="pct"/>
            <w:tcBorders>
              <w:top w:val="nil"/>
              <w:left w:val="nil"/>
              <w:bottom w:val="nil"/>
              <w:right w:val="nil"/>
            </w:tcBorders>
          </w:tcPr>
          <w:p w14:paraId="701AA91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9D4F3D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99BC3A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6A9641B6" w14:textId="77777777" w:rsidTr="0064674F">
        <w:tc>
          <w:tcPr>
            <w:tcW w:w="1692" w:type="pct"/>
            <w:tcBorders>
              <w:top w:val="nil"/>
              <w:left w:val="nil"/>
              <w:bottom w:val="nil"/>
              <w:right w:val="nil"/>
            </w:tcBorders>
          </w:tcPr>
          <w:p w14:paraId="0FB31130"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63A7291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(-0.15)</w:t>
            </w:r>
          </w:p>
        </w:tc>
        <w:tc>
          <w:tcPr>
            <w:tcW w:w="577" w:type="pct"/>
            <w:tcBorders>
              <w:top w:val="nil"/>
              <w:left w:val="nil"/>
              <w:bottom w:val="nil"/>
              <w:right w:val="nil"/>
            </w:tcBorders>
          </w:tcPr>
          <w:p w14:paraId="1EDF47B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6CF2FD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(1.38)</w:t>
            </w:r>
          </w:p>
        </w:tc>
        <w:tc>
          <w:tcPr>
            <w:tcW w:w="537" w:type="pct"/>
            <w:tcBorders>
              <w:top w:val="nil"/>
              <w:left w:val="nil"/>
              <w:bottom w:val="nil"/>
              <w:right w:val="nil"/>
            </w:tcBorders>
          </w:tcPr>
          <w:p w14:paraId="056A33D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65309D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AAD049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73B38A4E" w14:textId="77777777" w:rsidTr="0064674F">
        <w:tc>
          <w:tcPr>
            <w:tcW w:w="1692" w:type="pct"/>
            <w:tcBorders>
              <w:top w:val="nil"/>
              <w:left w:val="nil"/>
              <w:bottom w:val="nil"/>
              <w:right w:val="nil"/>
            </w:tcBorders>
          </w:tcPr>
          <w:p w14:paraId="2163E50C"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1056AF7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89715B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0.177</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0729F0D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0.094</w:t>
            </w:r>
            <w:r w:rsidRPr="004D4CA2">
              <w:rPr>
                <w:rFonts w:ascii="Times New Roman" w:hAnsi="Times New Roman"/>
                <w:sz w:val="16"/>
                <w:szCs w:val="16"/>
                <w:vertAlign w:val="superscript"/>
                <w:lang w:val="en-US"/>
              </w:rPr>
              <w:t>*</w:t>
            </w:r>
          </w:p>
        </w:tc>
        <w:tc>
          <w:tcPr>
            <w:tcW w:w="537" w:type="pct"/>
            <w:tcBorders>
              <w:top w:val="nil"/>
              <w:left w:val="nil"/>
              <w:bottom w:val="nil"/>
              <w:right w:val="nil"/>
            </w:tcBorders>
          </w:tcPr>
          <w:p w14:paraId="6F0A3C2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6B1A2C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7BE1EE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753BF0B2" w14:textId="77777777" w:rsidTr="0064674F">
        <w:tc>
          <w:tcPr>
            <w:tcW w:w="1692" w:type="pct"/>
            <w:tcBorders>
              <w:top w:val="nil"/>
              <w:left w:val="nil"/>
              <w:bottom w:val="nil"/>
              <w:right w:val="nil"/>
            </w:tcBorders>
          </w:tcPr>
          <w:p w14:paraId="49CDDA1B"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79351CB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59C843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(4.17)</w:t>
            </w:r>
          </w:p>
        </w:tc>
        <w:tc>
          <w:tcPr>
            <w:tcW w:w="540" w:type="pct"/>
            <w:tcBorders>
              <w:top w:val="nil"/>
              <w:left w:val="nil"/>
              <w:bottom w:val="nil"/>
              <w:right w:val="nil"/>
            </w:tcBorders>
          </w:tcPr>
          <w:p w14:paraId="6087CCE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(1.90)</w:t>
            </w:r>
          </w:p>
        </w:tc>
        <w:tc>
          <w:tcPr>
            <w:tcW w:w="537" w:type="pct"/>
            <w:tcBorders>
              <w:top w:val="nil"/>
              <w:left w:val="nil"/>
              <w:bottom w:val="nil"/>
              <w:right w:val="nil"/>
            </w:tcBorders>
          </w:tcPr>
          <w:p w14:paraId="54CD6F5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836701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B7727B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629BB99C" w14:textId="77777777" w:rsidTr="0064674F">
        <w:tc>
          <w:tcPr>
            <w:tcW w:w="1692" w:type="pct"/>
            <w:tcBorders>
              <w:top w:val="nil"/>
              <w:left w:val="nil"/>
              <w:bottom w:val="nil"/>
              <w:right w:val="nil"/>
            </w:tcBorders>
          </w:tcPr>
          <w:p w14:paraId="178DCC9C"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t-1</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35EF3E8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63EDAA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-0.236</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2456D3B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-0.239</w:t>
            </w:r>
            <w:r w:rsidRPr="004D4CA2">
              <w:rPr>
                <w:rFonts w:ascii="Times New Roman" w:hAnsi="Times New Roman"/>
                <w:sz w:val="16"/>
                <w:szCs w:val="16"/>
                <w:vertAlign w:val="superscript"/>
                <w:lang w:val="en-US"/>
              </w:rPr>
              <w:t>**</w:t>
            </w:r>
          </w:p>
        </w:tc>
        <w:tc>
          <w:tcPr>
            <w:tcW w:w="537" w:type="pct"/>
            <w:tcBorders>
              <w:top w:val="nil"/>
              <w:left w:val="nil"/>
              <w:bottom w:val="nil"/>
              <w:right w:val="nil"/>
            </w:tcBorders>
          </w:tcPr>
          <w:p w14:paraId="3205034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55B6E9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FAD9E3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4194682A" w14:textId="77777777" w:rsidTr="0064674F">
        <w:tc>
          <w:tcPr>
            <w:tcW w:w="1692" w:type="pct"/>
            <w:tcBorders>
              <w:top w:val="nil"/>
              <w:left w:val="nil"/>
              <w:bottom w:val="nil"/>
              <w:right w:val="nil"/>
            </w:tcBorders>
          </w:tcPr>
          <w:p w14:paraId="0B2C8BC3"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46FA758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17AC28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(-3.33)</w:t>
            </w:r>
          </w:p>
        </w:tc>
        <w:tc>
          <w:tcPr>
            <w:tcW w:w="540" w:type="pct"/>
            <w:tcBorders>
              <w:top w:val="nil"/>
              <w:left w:val="nil"/>
              <w:bottom w:val="nil"/>
              <w:right w:val="nil"/>
            </w:tcBorders>
          </w:tcPr>
          <w:p w14:paraId="2D84DD9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(-2.45)</w:t>
            </w:r>
          </w:p>
        </w:tc>
        <w:tc>
          <w:tcPr>
            <w:tcW w:w="537" w:type="pct"/>
            <w:tcBorders>
              <w:top w:val="nil"/>
              <w:left w:val="nil"/>
              <w:bottom w:val="nil"/>
              <w:right w:val="nil"/>
            </w:tcBorders>
          </w:tcPr>
          <w:p w14:paraId="5D3637C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405ED0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262564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51AADEB0" w14:textId="77777777" w:rsidTr="0064674F">
        <w:tc>
          <w:tcPr>
            <w:tcW w:w="1692" w:type="pct"/>
            <w:tcBorders>
              <w:top w:val="nil"/>
              <w:left w:val="nil"/>
              <w:bottom w:val="nil"/>
              <w:right w:val="nil"/>
            </w:tcBorders>
          </w:tcPr>
          <w:p w14:paraId="756CD7AA"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t-1</w:t>
            </w: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6B9A8EB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2362DDC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2E2CB2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-0.001</w:t>
            </w:r>
          </w:p>
        </w:tc>
        <w:tc>
          <w:tcPr>
            <w:tcW w:w="537" w:type="pct"/>
            <w:tcBorders>
              <w:top w:val="nil"/>
              <w:left w:val="nil"/>
              <w:bottom w:val="nil"/>
              <w:right w:val="nil"/>
            </w:tcBorders>
          </w:tcPr>
          <w:p w14:paraId="7199337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D577BC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03523C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1113C53F" w14:textId="77777777" w:rsidTr="0064674F">
        <w:tc>
          <w:tcPr>
            <w:tcW w:w="1692" w:type="pct"/>
            <w:tcBorders>
              <w:top w:val="nil"/>
              <w:left w:val="nil"/>
              <w:bottom w:val="nil"/>
              <w:right w:val="nil"/>
            </w:tcBorders>
          </w:tcPr>
          <w:p w14:paraId="232DEBC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33BA924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78A59A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319D32E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(-0.81)</w:t>
            </w:r>
          </w:p>
        </w:tc>
        <w:tc>
          <w:tcPr>
            <w:tcW w:w="537" w:type="pct"/>
            <w:tcBorders>
              <w:top w:val="nil"/>
              <w:left w:val="nil"/>
              <w:bottom w:val="nil"/>
              <w:right w:val="nil"/>
            </w:tcBorders>
          </w:tcPr>
          <w:p w14:paraId="76B7AC3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F56154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47AAB8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66748558" w14:textId="77777777" w:rsidTr="0064674F">
        <w:tc>
          <w:tcPr>
            <w:tcW w:w="1692" w:type="pct"/>
            <w:tcBorders>
              <w:top w:val="nil"/>
              <w:left w:val="nil"/>
              <w:bottom w:val="nil"/>
              <w:right w:val="nil"/>
            </w:tcBorders>
          </w:tcPr>
          <w:p w14:paraId="3E82BBE2"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t-1</w:t>
            </w: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t-1</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386E973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5AB986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301B00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c>
          <w:tcPr>
            <w:tcW w:w="537" w:type="pct"/>
            <w:tcBorders>
              <w:top w:val="nil"/>
              <w:left w:val="nil"/>
              <w:bottom w:val="nil"/>
              <w:right w:val="nil"/>
            </w:tcBorders>
          </w:tcPr>
          <w:p w14:paraId="12CBFBB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684E4F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3509BC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63E04A9E" w14:textId="77777777" w:rsidTr="0064674F">
        <w:tc>
          <w:tcPr>
            <w:tcW w:w="1692" w:type="pct"/>
            <w:tcBorders>
              <w:top w:val="nil"/>
              <w:left w:val="nil"/>
              <w:bottom w:val="nil"/>
              <w:right w:val="nil"/>
            </w:tcBorders>
          </w:tcPr>
          <w:p w14:paraId="1F2C6453"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0511987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F12348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875836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(0.11)</w:t>
            </w:r>
          </w:p>
        </w:tc>
        <w:tc>
          <w:tcPr>
            <w:tcW w:w="537" w:type="pct"/>
            <w:tcBorders>
              <w:top w:val="nil"/>
              <w:left w:val="nil"/>
              <w:bottom w:val="nil"/>
              <w:right w:val="nil"/>
            </w:tcBorders>
          </w:tcPr>
          <w:p w14:paraId="5F3E928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E893BC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1C66A1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57A009CE" w14:textId="77777777" w:rsidTr="0064674F">
        <w:tc>
          <w:tcPr>
            <w:tcW w:w="1692" w:type="pct"/>
            <w:tcBorders>
              <w:top w:val="nil"/>
              <w:left w:val="nil"/>
              <w:bottom w:val="nil"/>
              <w:right w:val="nil"/>
            </w:tcBorders>
          </w:tcPr>
          <w:p w14:paraId="2E9B8902"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t-1</w:t>
            </w:r>
          </w:p>
        </w:tc>
        <w:tc>
          <w:tcPr>
            <w:tcW w:w="537" w:type="pct"/>
            <w:tcBorders>
              <w:top w:val="nil"/>
              <w:left w:val="nil"/>
              <w:bottom w:val="nil"/>
              <w:right w:val="nil"/>
            </w:tcBorders>
          </w:tcPr>
          <w:p w14:paraId="1FE3E40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0.220</w:t>
            </w:r>
          </w:p>
        </w:tc>
        <w:tc>
          <w:tcPr>
            <w:tcW w:w="577" w:type="pct"/>
            <w:tcBorders>
              <w:top w:val="nil"/>
              <w:left w:val="nil"/>
              <w:bottom w:val="nil"/>
              <w:right w:val="nil"/>
            </w:tcBorders>
          </w:tcPr>
          <w:p w14:paraId="04AE986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0.148</w:t>
            </w:r>
          </w:p>
        </w:tc>
        <w:tc>
          <w:tcPr>
            <w:tcW w:w="540" w:type="pct"/>
            <w:tcBorders>
              <w:top w:val="nil"/>
              <w:left w:val="nil"/>
              <w:bottom w:val="nil"/>
              <w:right w:val="nil"/>
            </w:tcBorders>
          </w:tcPr>
          <w:p w14:paraId="3919C7C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0.323</w:t>
            </w:r>
          </w:p>
        </w:tc>
        <w:tc>
          <w:tcPr>
            <w:tcW w:w="537" w:type="pct"/>
            <w:tcBorders>
              <w:top w:val="nil"/>
              <w:left w:val="nil"/>
              <w:bottom w:val="nil"/>
              <w:right w:val="nil"/>
            </w:tcBorders>
          </w:tcPr>
          <w:p w14:paraId="2D1178F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259FED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19120B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391D06FD" w14:textId="77777777" w:rsidTr="0064674F">
        <w:tc>
          <w:tcPr>
            <w:tcW w:w="1692" w:type="pct"/>
            <w:tcBorders>
              <w:top w:val="nil"/>
              <w:left w:val="nil"/>
              <w:bottom w:val="nil"/>
              <w:right w:val="nil"/>
            </w:tcBorders>
          </w:tcPr>
          <w:p w14:paraId="31A50611"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22E6990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(0.60)</w:t>
            </w:r>
          </w:p>
        </w:tc>
        <w:tc>
          <w:tcPr>
            <w:tcW w:w="577" w:type="pct"/>
            <w:tcBorders>
              <w:top w:val="nil"/>
              <w:left w:val="nil"/>
              <w:bottom w:val="nil"/>
              <w:right w:val="nil"/>
            </w:tcBorders>
          </w:tcPr>
          <w:p w14:paraId="0389C67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(0.40)</w:t>
            </w:r>
          </w:p>
        </w:tc>
        <w:tc>
          <w:tcPr>
            <w:tcW w:w="540" w:type="pct"/>
            <w:tcBorders>
              <w:top w:val="nil"/>
              <w:left w:val="nil"/>
              <w:bottom w:val="nil"/>
              <w:right w:val="nil"/>
            </w:tcBorders>
          </w:tcPr>
          <w:p w14:paraId="578F6EB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(0.88)</w:t>
            </w:r>
          </w:p>
        </w:tc>
        <w:tc>
          <w:tcPr>
            <w:tcW w:w="537" w:type="pct"/>
            <w:tcBorders>
              <w:top w:val="nil"/>
              <w:left w:val="nil"/>
              <w:bottom w:val="nil"/>
              <w:right w:val="nil"/>
            </w:tcBorders>
          </w:tcPr>
          <w:p w14:paraId="34963D4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2B91FB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3016F7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D4CA2" w14:paraId="2F6CC1CC" w14:textId="77777777" w:rsidTr="0064674F">
        <w:tc>
          <w:tcPr>
            <w:tcW w:w="1692" w:type="pct"/>
            <w:tcBorders>
              <w:top w:val="nil"/>
              <w:left w:val="nil"/>
              <w:bottom w:val="nil"/>
              <w:right w:val="nil"/>
            </w:tcBorders>
          </w:tcPr>
          <w:p w14:paraId="29A1E69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t-2</w:t>
            </w:r>
          </w:p>
        </w:tc>
        <w:tc>
          <w:tcPr>
            <w:tcW w:w="537" w:type="pct"/>
            <w:tcBorders>
              <w:top w:val="nil"/>
              <w:left w:val="nil"/>
              <w:bottom w:val="nil"/>
              <w:right w:val="nil"/>
            </w:tcBorders>
          </w:tcPr>
          <w:p w14:paraId="4317D7B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4BA7AE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10A462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0231927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0.007</w:t>
            </w:r>
            <w:r w:rsidRPr="004D4CA2">
              <w:rPr>
                <w:rFonts w:ascii="Times New Roman" w:hAnsi="Times New Roman"/>
                <w:sz w:val="16"/>
                <w:szCs w:val="16"/>
                <w:vertAlign w:val="superscript"/>
                <w:lang w:val="en-US"/>
              </w:rPr>
              <w:t>***</w:t>
            </w:r>
          </w:p>
        </w:tc>
        <w:tc>
          <w:tcPr>
            <w:tcW w:w="577" w:type="pct"/>
            <w:tcBorders>
              <w:top w:val="nil"/>
              <w:left w:val="nil"/>
              <w:bottom w:val="nil"/>
              <w:right w:val="nil"/>
            </w:tcBorders>
          </w:tcPr>
          <w:p w14:paraId="42CCD2B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6BBD87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0.007</w:t>
            </w:r>
            <w:r w:rsidRPr="004D4CA2">
              <w:rPr>
                <w:rFonts w:ascii="Times New Roman" w:hAnsi="Times New Roman"/>
                <w:sz w:val="16"/>
                <w:szCs w:val="16"/>
                <w:vertAlign w:val="superscript"/>
                <w:lang w:val="en-US"/>
              </w:rPr>
              <w:t>***</w:t>
            </w:r>
          </w:p>
        </w:tc>
      </w:tr>
      <w:tr w:rsidR="00984E59" w:rsidRPr="004D4CA2" w14:paraId="3E9C5C39" w14:textId="77777777" w:rsidTr="0064674F">
        <w:tc>
          <w:tcPr>
            <w:tcW w:w="1692" w:type="pct"/>
            <w:tcBorders>
              <w:top w:val="nil"/>
              <w:left w:val="nil"/>
              <w:bottom w:val="nil"/>
              <w:right w:val="nil"/>
            </w:tcBorders>
          </w:tcPr>
          <w:p w14:paraId="7A538426"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7101AC3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83901D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E07732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2EDABE1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(10.88)</w:t>
            </w:r>
          </w:p>
        </w:tc>
        <w:tc>
          <w:tcPr>
            <w:tcW w:w="577" w:type="pct"/>
            <w:tcBorders>
              <w:top w:val="nil"/>
              <w:left w:val="nil"/>
              <w:bottom w:val="nil"/>
              <w:right w:val="nil"/>
            </w:tcBorders>
          </w:tcPr>
          <w:p w14:paraId="18BC826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2E38CC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(10.21)</w:t>
            </w:r>
          </w:p>
        </w:tc>
      </w:tr>
      <w:tr w:rsidR="00984E59" w:rsidRPr="004D4CA2" w14:paraId="0E850C48" w14:textId="77777777" w:rsidTr="0064674F">
        <w:tc>
          <w:tcPr>
            <w:tcW w:w="1692" w:type="pct"/>
            <w:tcBorders>
              <w:top w:val="nil"/>
              <w:left w:val="nil"/>
              <w:bottom w:val="nil"/>
              <w:right w:val="nil"/>
            </w:tcBorders>
          </w:tcPr>
          <w:p w14:paraId="0F8ADDD0"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t-2</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5D6C25A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8ECDD7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1F8223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3745CD4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c>
          <w:tcPr>
            <w:tcW w:w="577" w:type="pct"/>
            <w:tcBorders>
              <w:top w:val="nil"/>
              <w:left w:val="nil"/>
              <w:bottom w:val="nil"/>
              <w:right w:val="nil"/>
            </w:tcBorders>
          </w:tcPr>
          <w:p w14:paraId="0BE2190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BE8014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0.002</w:t>
            </w:r>
            <w:r w:rsidRPr="004D4CA2">
              <w:rPr>
                <w:rFonts w:ascii="Times New Roman" w:hAnsi="Times New Roman"/>
                <w:sz w:val="16"/>
                <w:szCs w:val="16"/>
                <w:vertAlign w:val="superscript"/>
                <w:lang w:val="en-US"/>
              </w:rPr>
              <w:t>*</w:t>
            </w:r>
          </w:p>
        </w:tc>
      </w:tr>
      <w:tr w:rsidR="00984E59" w:rsidRPr="004D4CA2" w14:paraId="5B4C396B" w14:textId="77777777" w:rsidTr="0064674F">
        <w:tc>
          <w:tcPr>
            <w:tcW w:w="1692" w:type="pct"/>
            <w:tcBorders>
              <w:top w:val="nil"/>
              <w:left w:val="nil"/>
              <w:bottom w:val="nil"/>
              <w:right w:val="nil"/>
            </w:tcBorders>
          </w:tcPr>
          <w:p w14:paraId="2134EEC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06B8890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06EAC3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60D264F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0277682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(0.10)</w:t>
            </w:r>
          </w:p>
        </w:tc>
        <w:tc>
          <w:tcPr>
            <w:tcW w:w="577" w:type="pct"/>
            <w:tcBorders>
              <w:top w:val="nil"/>
              <w:left w:val="nil"/>
              <w:bottom w:val="nil"/>
              <w:right w:val="nil"/>
            </w:tcBorders>
          </w:tcPr>
          <w:p w14:paraId="39E3DB5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562686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(1.66)</w:t>
            </w:r>
          </w:p>
        </w:tc>
      </w:tr>
      <w:tr w:rsidR="00984E59" w:rsidRPr="004D4CA2" w14:paraId="52F41F91" w14:textId="77777777" w:rsidTr="0064674F">
        <w:tc>
          <w:tcPr>
            <w:tcW w:w="1692" w:type="pct"/>
            <w:tcBorders>
              <w:top w:val="nil"/>
              <w:left w:val="nil"/>
              <w:bottom w:val="nil"/>
              <w:right w:val="nil"/>
            </w:tcBorders>
          </w:tcPr>
          <w:p w14:paraId="16439D68"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3AFA68F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399787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1AF319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90D545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6F68ED6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0.154</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2767C4C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0.072</w:t>
            </w:r>
          </w:p>
        </w:tc>
      </w:tr>
      <w:tr w:rsidR="00984E59" w:rsidRPr="004D4CA2" w14:paraId="7B5E58B2" w14:textId="77777777" w:rsidTr="0064674F">
        <w:tc>
          <w:tcPr>
            <w:tcW w:w="1692" w:type="pct"/>
            <w:tcBorders>
              <w:top w:val="nil"/>
              <w:left w:val="nil"/>
              <w:bottom w:val="nil"/>
              <w:right w:val="nil"/>
            </w:tcBorders>
          </w:tcPr>
          <w:p w14:paraId="7A6BD663"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160C969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7BF9033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AFDBE0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136F28F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2A838E8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(3.61)</w:t>
            </w:r>
          </w:p>
        </w:tc>
        <w:tc>
          <w:tcPr>
            <w:tcW w:w="540" w:type="pct"/>
            <w:tcBorders>
              <w:top w:val="nil"/>
              <w:left w:val="nil"/>
              <w:bottom w:val="nil"/>
              <w:right w:val="nil"/>
            </w:tcBorders>
          </w:tcPr>
          <w:p w14:paraId="1400BCF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(1.41)</w:t>
            </w:r>
          </w:p>
        </w:tc>
      </w:tr>
      <w:tr w:rsidR="00984E59" w:rsidRPr="004D4CA2" w14:paraId="38D3BB24" w14:textId="77777777" w:rsidTr="0064674F">
        <w:tc>
          <w:tcPr>
            <w:tcW w:w="1692" w:type="pct"/>
            <w:tcBorders>
              <w:top w:val="nil"/>
              <w:left w:val="nil"/>
              <w:bottom w:val="nil"/>
              <w:right w:val="nil"/>
            </w:tcBorders>
          </w:tcPr>
          <w:p w14:paraId="6D7DA65D"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t-2</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086427D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05580AF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DA871C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6220C76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E8F003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-0.221</w:t>
            </w:r>
            <w:r w:rsidRPr="004D4CA2">
              <w:rPr>
                <w:rFonts w:ascii="Times New Roman" w:hAnsi="Times New Roman"/>
                <w:sz w:val="16"/>
                <w:szCs w:val="16"/>
                <w:vertAlign w:val="superscript"/>
                <w:lang w:val="en-US"/>
              </w:rPr>
              <w:t>***</w:t>
            </w:r>
          </w:p>
        </w:tc>
        <w:tc>
          <w:tcPr>
            <w:tcW w:w="540" w:type="pct"/>
            <w:tcBorders>
              <w:top w:val="nil"/>
              <w:left w:val="nil"/>
              <w:bottom w:val="nil"/>
              <w:right w:val="nil"/>
            </w:tcBorders>
          </w:tcPr>
          <w:p w14:paraId="6F089F4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-0.244</w:t>
            </w:r>
            <w:r w:rsidRPr="004D4CA2">
              <w:rPr>
                <w:rFonts w:ascii="Times New Roman" w:hAnsi="Times New Roman"/>
                <w:sz w:val="16"/>
                <w:szCs w:val="16"/>
                <w:vertAlign w:val="superscript"/>
                <w:lang w:val="en-US"/>
              </w:rPr>
              <w:t>**</w:t>
            </w:r>
          </w:p>
        </w:tc>
      </w:tr>
      <w:tr w:rsidR="00984E59" w:rsidRPr="004D4CA2" w14:paraId="1D76857F" w14:textId="77777777" w:rsidTr="0064674F">
        <w:tc>
          <w:tcPr>
            <w:tcW w:w="1692" w:type="pct"/>
            <w:tcBorders>
              <w:top w:val="nil"/>
              <w:left w:val="nil"/>
              <w:bottom w:val="nil"/>
              <w:right w:val="nil"/>
            </w:tcBorders>
          </w:tcPr>
          <w:p w14:paraId="2DBF253A"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1903F10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7431E1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4E561A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1EE0C1C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2F75BA7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(-3.16)</w:t>
            </w:r>
          </w:p>
        </w:tc>
        <w:tc>
          <w:tcPr>
            <w:tcW w:w="540" w:type="pct"/>
            <w:tcBorders>
              <w:top w:val="nil"/>
              <w:left w:val="nil"/>
              <w:bottom w:val="nil"/>
              <w:right w:val="nil"/>
            </w:tcBorders>
          </w:tcPr>
          <w:p w14:paraId="5280422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(-2.41)</w:t>
            </w:r>
          </w:p>
        </w:tc>
      </w:tr>
      <w:tr w:rsidR="00984E59" w:rsidRPr="004D4CA2" w14:paraId="36FB3D99" w14:textId="77777777" w:rsidTr="0064674F">
        <w:tc>
          <w:tcPr>
            <w:tcW w:w="1692" w:type="pct"/>
            <w:tcBorders>
              <w:top w:val="nil"/>
              <w:left w:val="nil"/>
              <w:bottom w:val="nil"/>
              <w:right w:val="nil"/>
            </w:tcBorders>
          </w:tcPr>
          <w:p w14:paraId="66EC1CDF"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t-2</w:t>
            </w: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0B1C78A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E4D1F6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FBB1EAB"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589454F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4D8BA50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147B51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-0.002</w:t>
            </w:r>
          </w:p>
        </w:tc>
      </w:tr>
      <w:tr w:rsidR="00984E59" w:rsidRPr="004D4CA2" w14:paraId="09E8B124" w14:textId="77777777" w:rsidTr="0064674F">
        <w:tc>
          <w:tcPr>
            <w:tcW w:w="1692" w:type="pct"/>
            <w:tcBorders>
              <w:top w:val="nil"/>
              <w:left w:val="nil"/>
              <w:bottom w:val="nil"/>
              <w:right w:val="nil"/>
            </w:tcBorders>
          </w:tcPr>
          <w:p w14:paraId="5F76F54A"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71AD13F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7E3BCC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16CDF43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761F88BF"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2CDF74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229359CC"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(-0.99)</w:t>
            </w:r>
          </w:p>
        </w:tc>
      </w:tr>
      <w:tr w:rsidR="00984E59" w:rsidRPr="004D4CA2" w14:paraId="7922BDE7" w14:textId="77777777" w:rsidTr="0064674F">
        <w:tc>
          <w:tcPr>
            <w:tcW w:w="1692" w:type="pct"/>
            <w:tcBorders>
              <w:top w:val="nil"/>
              <w:left w:val="nil"/>
              <w:bottom w:val="nil"/>
              <w:right w:val="nil"/>
            </w:tcBorders>
          </w:tcPr>
          <w:p w14:paraId="3EE0773D"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PCCIs</w:t>
            </w:r>
            <w:r w:rsidRPr="004D4CA2">
              <w:rPr>
                <w:rFonts w:ascii="Times New Roman" w:hAnsi="Times New Roman"/>
                <w:i/>
                <w:sz w:val="16"/>
                <w:szCs w:val="16"/>
                <w:vertAlign w:val="subscript"/>
                <w:lang w:val="en-US"/>
              </w:rPr>
              <w:t xml:space="preserve"> t-2</w:t>
            </w:r>
            <w:r w:rsidRPr="004D4CA2">
              <w:rPr>
                <w:rFonts w:ascii="Times New Roman" w:hAnsi="Times New Roman"/>
                <w:sz w:val="16"/>
                <w:szCs w:val="16"/>
                <w:lang w:val="en-US"/>
              </w:rPr>
              <w:t>*BSCOM</w:t>
            </w:r>
            <w:r w:rsidRPr="004D4CA2">
              <w:rPr>
                <w:rFonts w:ascii="Times New Roman" w:hAnsi="Times New Roman"/>
                <w:i/>
                <w:sz w:val="16"/>
                <w:szCs w:val="16"/>
                <w:vertAlign w:val="subscript"/>
                <w:lang w:val="en-US"/>
              </w:rPr>
              <w:t xml:space="preserve"> t-2</w:t>
            </w: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444B2BB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2D9BD9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64A173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2369E4B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077EF6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04277792"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0.000</w:t>
            </w:r>
          </w:p>
        </w:tc>
      </w:tr>
      <w:tr w:rsidR="00984E59" w:rsidRPr="004D4CA2" w14:paraId="3AB8741B" w14:textId="77777777" w:rsidTr="0064674F">
        <w:tc>
          <w:tcPr>
            <w:tcW w:w="1692" w:type="pct"/>
            <w:tcBorders>
              <w:top w:val="nil"/>
              <w:left w:val="nil"/>
              <w:bottom w:val="nil"/>
              <w:right w:val="nil"/>
            </w:tcBorders>
          </w:tcPr>
          <w:p w14:paraId="44DC4B0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5236BB4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18BBA96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725E8BA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301FE76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2FCFF3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4ED7753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(0.03)</w:t>
            </w:r>
          </w:p>
        </w:tc>
      </w:tr>
      <w:tr w:rsidR="00984E59" w:rsidRPr="004D4CA2" w14:paraId="0A463790" w14:textId="77777777" w:rsidTr="0064674F">
        <w:tc>
          <w:tcPr>
            <w:tcW w:w="1692" w:type="pct"/>
            <w:tcBorders>
              <w:top w:val="nil"/>
              <w:left w:val="nil"/>
              <w:bottom w:val="nil"/>
              <w:right w:val="nil"/>
            </w:tcBorders>
          </w:tcPr>
          <w:p w14:paraId="514B015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SHARE</w:t>
            </w:r>
            <w:r w:rsidRPr="004D4CA2">
              <w:rPr>
                <w:rFonts w:ascii="Times New Roman" w:hAnsi="Times New Roman"/>
                <w:i/>
                <w:sz w:val="16"/>
                <w:szCs w:val="16"/>
                <w:vertAlign w:val="subscript"/>
                <w:lang w:val="en-US"/>
              </w:rPr>
              <w:t xml:space="preserve"> t-2</w:t>
            </w:r>
          </w:p>
        </w:tc>
        <w:tc>
          <w:tcPr>
            <w:tcW w:w="537" w:type="pct"/>
            <w:tcBorders>
              <w:top w:val="nil"/>
              <w:left w:val="nil"/>
              <w:bottom w:val="nil"/>
              <w:right w:val="nil"/>
            </w:tcBorders>
          </w:tcPr>
          <w:p w14:paraId="457EE55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3030C45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9E95556"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677B974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0.344</w:t>
            </w:r>
          </w:p>
        </w:tc>
        <w:tc>
          <w:tcPr>
            <w:tcW w:w="577" w:type="pct"/>
            <w:tcBorders>
              <w:top w:val="nil"/>
              <w:left w:val="nil"/>
              <w:bottom w:val="nil"/>
              <w:right w:val="nil"/>
            </w:tcBorders>
          </w:tcPr>
          <w:p w14:paraId="0B66C91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0.288</w:t>
            </w:r>
          </w:p>
        </w:tc>
        <w:tc>
          <w:tcPr>
            <w:tcW w:w="540" w:type="pct"/>
            <w:tcBorders>
              <w:top w:val="nil"/>
              <w:left w:val="nil"/>
              <w:bottom w:val="nil"/>
              <w:right w:val="nil"/>
            </w:tcBorders>
          </w:tcPr>
          <w:p w14:paraId="013C885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0.441</w:t>
            </w:r>
          </w:p>
        </w:tc>
      </w:tr>
      <w:tr w:rsidR="00984E59" w:rsidRPr="004D4CA2" w14:paraId="2B704B6B" w14:textId="77777777" w:rsidTr="0064674F">
        <w:tc>
          <w:tcPr>
            <w:tcW w:w="1692" w:type="pct"/>
            <w:tcBorders>
              <w:top w:val="nil"/>
              <w:left w:val="nil"/>
              <w:bottom w:val="nil"/>
              <w:right w:val="nil"/>
            </w:tcBorders>
          </w:tcPr>
          <w:p w14:paraId="42CE424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37" w:type="pct"/>
            <w:tcBorders>
              <w:top w:val="nil"/>
              <w:left w:val="nil"/>
              <w:bottom w:val="nil"/>
              <w:right w:val="nil"/>
            </w:tcBorders>
          </w:tcPr>
          <w:p w14:paraId="7DD0FD75"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77" w:type="pct"/>
            <w:tcBorders>
              <w:top w:val="nil"/>
              <w:left w:val="nil"/>
              <w:bottom w:val="nil"/>
              <w:right w:val="nil"/>
            </w:tcBorders>
          </w:tcPr>
          <w:p w14:paraId="559876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40" w:type="pct"/>
            <w:tcBorders>
              <w:top w:val="nil"/>
              <w:left w:val="nil"/>
              <w:bottom w:val="nil"/>
              <w:right w:val="nil"/>
            </w:tcBorders>
          </w:tcPr>
          <w:p w14:paraId="550416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37" w:type="pct"/>
            <w:tcBorders>
              <w:top w:val="nil"/>
              <w:left w:val="nil"/>
              <w:bottom w:val="nil"/>
              <w:right w:val="nil"/>
            </w:tcBorders>
          </w:tcPr>
          <w:p w14:paraId="18DD43D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(0.89)</w:t>
            </w:r>
          </w:p>
        </w:tc>
        <w:tc>
          <w:tcPr>
            <w:tcW w:w="577" w:type="pct"/>
            <w:tcBorders>
              <w:top w:val="nil"/>
              <w:left w:val="nil"/>
              <w:bottom w:val="nil"/>
              <w:right w:val="nil"/>
            </w:tcBorders>
          </w:tcPr>
          <w:p w14:paraId="7B806CB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(0.74)</w:t>
            </w:r>
          </w:p>
        </w:tc>
        <w:tc>
          <w:tcPr>
            <w:tcW w:w="540" w:type="pct"/>
            <w:tcBorders>
              <w:top w:val="nil"/>
              <w:left w:val="nil"/>
              <w:bottom w:val="nil"/>
              <w:right w:val="nil"/>
            </w:tcBorders>
          </w:tcPr>
          <w:p w14:paraId="08D6972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(1.14)</w:t>
            </w:r>
          </w:p>
        </w:tc>
      </w:tr>
      <w:tr w:rsidR="00984E59" w:rsidRPr="004D4CA2" w14:paraId="3A332221" w14:textId="77777777" w:rsidTr="0064674F">
        <w:tc>
          <w:tcPr>
            <w:tcW w:w="1692" w:type="pct"/>
            <w:tcBorders>
              <w:top w:val="nil"/>
              <w:left w:val="nil"/>
              <w:bottom w:val="nil"/>
              <w:right w:val="nil"/>
            </w:tcBorders>
          </w:tcPr>
          <w:p w14:paraId="0E0A0278"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Controls</w:t>
            </w:r>
          </w:p>
        </w:tc>
        <w:tc>
          <w:tcPr>
            <w:tcW w:w="537" w:type="pct"/>
            <w:tcBorders>
              <w:top w:val="nil"/>
              <w:left w:val="nil"/>
              <w:bottom w:val="nil"/>
              <w:right w:val="nil"/>
            </w:tcBorders>
          </w:tcPr>
          <w:p w14:paraId="310D6AB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bottom w:val="nil"/>
              <w:right w:val="nil"/>
            </w:tcBorders>
          </w:tcPr>
          <w:p w14:paraId="6AC3E65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78696F9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37" w:type="pct"/>
            <w:tcBorders>
              <w:top w:val="nil"/>
              <w:left w:val="nil"/>
              <w:bottom w:val="nil"/>
              <w:right w:val="nil"/>
            </w:tcBorders>
          </w:tcPr>
          <w:p w14:paraId="7FEB3D69"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bottom w:val="nil"/>
              <w:right w:val="nil"/>
            </w:tcBorders>
          </w:tcPr>
          <w:p w14:paraId="7E9FD6A8"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54FAF26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r>
      <w:tr w:rsidR="00984E59" w:rsidRPr="004D4CA2" w14:paraId="17AC646A" w14:textId="77777777" w:rsidTr="0064674F">
        <w:tc>
          <w:tcPr>
            <w:tcW w:w="1692" w:type="pct"/>
            <w:tcBorders>
              <w:top w:val="nil"/>
              <w:left w:val="nil"/>
              <w:bottom w:val="nil"/>
              <w:right w:val="nil"/>
            </w:tcBorders>
          </w:tcPr>
          <w:p w14:paraId="56B1205B"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Year/Sector/Country FE</w:t>
            </w:r>
          </w:p>
        </w:tc>
        <w:tc>
          <w:tcPr>
            <w:tcW w:w="537" w:type="pct"/>
            <w:tcBorders>
              <w:top w:val="nil"/>
              <w:left w:val="nil"/>
              <w:bottom w:val="nil"/>
              <w:right w:val="nil"/>
            </w:tcBorders>
          </w:tcPr>
          <w:p w14:paraId="6433312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bottom w:val="nil"/>
              <w:right w:val="nil"/>
            </w:tcBorders>
          </w:tcPr>
          <w:p w14:paraId="1AF09250"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1A29B9F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37" w:type="pct"/>
            <w:tcBorders>
              <w:top w:val="nil"/>
              <w:left w:val="nil"/>
              <w:bottom w:val="nil"/>
              <w:right w:val="nil"/>
            </w:tcBorders>
          </w:tcPr>
          <w:p w14:paraId="4DCF12D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77" w:type="pct"/>
            <w:tcBorders>
              <w:top w:val="nil"/>
              <w:left w:val="nil"/>
              <w:bottom w:val="nil"/>
              <w:right w:val="nil"/>
            </w:tcBorders>
          </w:tcPr>
          <w:p w14:paraId="1C12961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c>
          <w:tcPr>
            <w:tcW w:w="540" w:type="pct"/>
            <w:tcBorders>
              <w:top w:val="nil"/>
              <w:left w:val="nil"/>
              <w:bottom w:val="nil"/>
              <w:right w:val="nil"/>
            </w:tcBorders>
          </w:tcPr>
          <w:p w14:paraId="10152EA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Yes</w:t>
            </w:r>
          </w:p>
        </w:tc>
      </w:tr>
      <w:tr w:rsidR="00984E59" w:rsidRPr="004D4CA2" w14:paraId="2E56D89E" w14:textId="77777777" w:rsidTr="0064674F">
        <w:tc>
          <w:tcPr>
            <w:tcW w:w="1692" w:type="pct"/>
            <w:tcBorders>
              <w:top w:val="nil"/>
              <w:left w:val="nil"/>
              <w:right w:val="nil"/>
            </w:tcBorders>
          </w:tcPr>
          <w:p w14:paraId="4B94E783"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Observations</w:t>
            </w:r>
          </w:p>
        </w:tc>
        <w:tc>
          <w:tcPr>
            <w:tcW w:w="537" w:type="pct"/>
            <w:tcBorders>
              <w:top w:val="nil"/>
              <w:left w:val="nil"/>
              <w:right w:val="nil"/>
            </w:tcBorders>
          </w:tcPr>
          <w:p w14:paraId="2A825E7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7212</w:t>
            </w:r>
          </w:p>
        </w:tc>
        <w:tc>
          <w:tcPr>
            <w:tcW w:w="577" w:type="pct"/>
            <w:tcBorders>
              <w:top w:val="nil"/>
              <w:left w:val="nil"/>
              <w:right w:val="nil"/>
            </w:tcBorders>
          </w:tcPr>
          <w:p w14:paraId="666FA95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7212</w:t>
            </w:r>
          </w:p>
        </w:tc>
        <w:tc>
          <w:tcPr>
            <w:tcW w:w="540" w:type="pct"/>
            <w:tcBorders>
              <w:top w:val="nil"/>
              <w:left w:val="nil"/>
              <w:right w:val="nil"/>
            </w:tcBorders>
          </w:tcPr>
          <w:p w14:paraId="64C056D4"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7212</w:t>
            </w:r>
          </w:p>
        </w:tc>
        <w:tc>
          <w:tcPr>
            <w:tcW w:w="537" w:type="pct"/>
            <w:tcBorders>
              <w:top w:val="nil"/>
              <w:left w:val="nil"/>
              <w:right w:val="nil"/>
            </w:tcBorders>
          </w:tcPr>
          <w:p w14:paraId="41CFF641"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6779</w:t>
            </w:r>
          </w:p>
        </w:tc>
        <w:tc>
          <w:tcPr>
            <w:tcW w:w="577" w:type="pct"/>
            <w:tcBorders>
              <w:top w:val="nil"/>
              <w:left w:val="nil"/>
              <w:right w:val="nil"/>
            </w:tcBorders>
          </w:tcPr>
          <w:p w14:paraId="6227036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6779</w:t>
            </w:r>
          </w:p>
        </w:tc>
        <w:tc>
          <w:tcPr>
            <w:tcW w:w="540" w:type="pct"/>
            <w:tcBorders>
              <w:top w:val="nil"/>
              <w:left w:val="nil"/>
              <w:right w:val="nil"/>
            </w:tcBorders>
          </w:tcPr>
          <w:p w14:paraId="0DB9DCC3"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6779</w:t>
            </w:r>
          </w:p>
        </w:tc>
      </w:tr>
      <w:tr w:rsidR="00984E59" w:rsidRPr="004D4CA2" w14:paraId="3DC9BE8F" w14:textId="77777777" w:rsidTr="0064674F">
        <w:tc>
          <w:tcPr>
            <w:tcW w:w="1692" w:type="pct"/>
            <w:tcBorders>
              <w:top w:val="nil"/>
              <w:left w:val="nil"/>
              <w:bottom w:val="single" w:sz="12" w:space="0" w:color="auto"/>
              <w:right w:val="nil"/>
            </w:tcBorders>
          </w:tcPr>
          <w:p w14:paraId="54C0EC94" w14:textId="77777777" w:rsidR="00984E59" w:rsidRPr="004D4CA2"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R-squared</w:t>
            </w:r>
          </w:p>
        </w:tc>
        <w:tc>
          <w:tcPr>
            <w:tcW w:w="537" w:type="pct"/>
            <w:tcBorders>
              <w:top w:val="nil"/>
              <w:left w:val="nil"/>
              <w:bottom w:val="single" w:sz="12" w:space="0" w:color="auto"/>
              <w:right w:val="nil"/>
            </w:tcBorders>
          </w:tcPr>
          <w:p w14:paraId="0840D90A"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0.771</w:t>
            </w:r>
          </w:p>
        </w:tc>
        <w:tc>
          <w:tcPr>
            <w:tcW w:w="577" w:type="pct"/>
            <w:tcBorders>
              <w:top w:val="nil"/>
              <w:left w:val="nil"/>
              <w:bottom w:val="single" w:sz="12" w:space="0" w:color="auto"/>
              <w:right w:val="nil"/>
            </w:tcBorders>
          </w:tcPr>
          <w:p w14:paraId="3AD2FDF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0.768</w:t>
            </w:r>
          </w:p>
        </w:tc>
        <w:tc>
          <w:tcPr>
            <w:tcW w:w="540" w:type="pct"/>
            <w:tcBorders>
              <w:top w:val="nil"/>
              <w:left w:val="nil"/>
              <w:bottom w:val="single" w:sz="12" w:space="0" w:color="auto"/>
              <w:right w:val="nil"/>
            </w:tcBorders>
          </w:tcPr>
          <w:p w14:paraId="4B66DD4D"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0.772</w:t>
            </w:r>
          </w:p>
        </w:tc>
        <w:tc>
          <w:tcPr>
            <w:tcW w:w="537" w:type="pct"/>
            <w:tcBorders>
              <w:top w:val="nil"/>
              <w:left w:val="nil"/>
              <w:bottom w:val="single" w:sz="12" w:space="0" w:color="auto"/>
              <w:right w:val="nil"/>
            </w:tcBorders>
          </w:tcPr>
          <w:p w14:paraId="4444BF9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0.773</w:t>
            </w:r>
          </w:p>
        </w:tc>
        <w:tc>
          <w:tcPr>
            <w:tcW w:w="577" w:type="pct"/>
            <w:tcBorders>
              <w:top w:val="nil"/>
              <w:left w:val="nil"/>
              <w:bottom w:val="single" w:sz="12" w:space="0" w:color="auto"/>
              <w:right w:val="nil"/>
            </w:tcBorders>
          </w:tcPr>
          <w:p w14:paraId="1C77F8C7"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0.770</w:t>
            </w:r>
          </w:p>
        </w:tc>
        <w:tc>
          <w:tcPr>
            <w:tcW w:w="540" w:type="pct"/>
            <w:tcBorders>
              <w:top w:val="nil"/>
              <w:left w:val="nil"/>
              <w:bottom w:val="single" w:sz="12" w:space="0" w:color="auto"/>
              <w:right w:val="nil"/>
            </w:tcBorders>
          </w:tcPr>
          <w:p w14:paraId="418F9EBE" w14:textId="77777777" w:rsidR="00984E59" w:rsidRPr="004D4CA2"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D4CA2">
              <w:rPr>
                <w:rFonts w:ascii="Times New Roman" w:hAnsi="Times New Roman"/>
                <w:sz w:val="16"/>
                <w:szCs w:val="16"/>
                <w:lang w:val="en-US"/>
              </w:rPr>
              <w:t>0.773</w:t>
            </w:r>
          </w:p>
        </w:tc>
      </w:tr>
    </w:tbl>
    <w:p w14:paraId="7FA03E20" w14:textId="77777777" w:rsidR="00984E59" w:rsidRPr="00AF4487" w:rsidRDefault="00984E59" w:rsidP="00984E59">
      <w:pPr>
        <w:rPr>
          <w:lang w:val="en-US"/>
        </w:rPr>
      </w:pPr>
      <w:r w:rsidRPr="00AF4487">
        <w:rPr>
          <w:rFonts w:ascii="Times New Roman" w:hAnsi="Times New Roman"/>
          <w:lang w:val="en-US"/>
        </w:rPr>
        <w:t>***, **, and * indicate statistical significance at the 1%, 5%, and 10% levels, respectively</w:t>
      </w:r>
    </w:p>
    <w:p w14:paraId="417C4B16" w14:textId="77777777" w:rsidR="00984E59" w:rsidRPr="00AF4487" w:rsidRDefault="00984E59" w:rsidP="00984E59">
      <w:pPr>
        <w:spacing w:after="0" w:line="240" w:lineRule="auto"/>
        <w:jc w:val="both"/>
        <w:rPr>
          <w:rFonts w:ascii="Times New Roman" w:hAnsi="Times New Roman"/>
          <w:i/>
          <w:lang w:val="en-US"/>
        </w:rPr>
      </w:pPr>
      <w:r w:rsidRPr="00AF4487">
        <w:rPr>
          <w:rFonts w:ascii="Times New Roman" w:hAnsi="Times New Roman"/>
          <w:i/>
          <w:lang w:val="en-US"/>
        </w:rPr>
        <w:lastRenderedPageBreak/>
        <w:t xml:space="preserve">Table 9. Additional analysis: carbon performance, climate change initiatives, board sustainability committees, and market value in EU ETS and non-EU ETS countries </w:t>
      </w:r>
    </w:p>
    <w:p w14:paraId="58594F67" w14:textId="77777777" w:rsidR="00984E59" w:rsidRPr="00AF4487" w:rsidRDefault="00984E59" w:rsidP="00984E59">
      <w:pPr>
        <w:spacing w:after="100" w:afterAutospacing="1"/>
        <w:contextualSpacing/>
        <w:jc w:val="both"/>
        <w:rPr>
          <w:rFonts w:ascii="Times New Roman" w:hAnsi="Times New Roman"/>
          <w:lang w:val="en-US"/>
        </w:rPr>
      </w:pPr>
      <w:r w:rsidRPr="00AF4487">
        <w:rPr>
          <w:rFonts w:ascii="Times New Roman" w:hAnsi="Times New Roman"/>
          <w:lang w:val="en-US"/>
        </w:rPr>
        <w:t xml:space="preserve">This table reports the regression results for the effects of carbon performance, sustainability committees, and climate change initiatives on market value and for the effects of climate change initiatives and sustainability committees on carbon performance for EU ETS and non-EU ETS countries. The EUETS is a dummy that equals one if firms belong to EU ETS counties, and zero if firms are operating in non-EU ETS countries. All variables are defined and measured in Table 3. </w:t>
      </w:r>
      <w:r w:rsidRPr="00AF4487">
        <w:rPr>
          <w:rFonts w:ascii="Times New Roman" w:hAnsi="Times New Roman"/>
          <w:i/>
          <w:lang w:val="en-US"/>
        </w:rPr>
        <w:t>t</w:t>
      </w:r>
      <w:r w:rsidRPr="00AF4487">
        <w:rPr>
          <w:rFonts w:ascii="Times New Roman" w:hAnsi="Times New Roman"/>
          <w:lang w:val="en-US"/>
        </w:rPr>
        <w:t>-statistics estimated using robust standard errors are reported in parentheses.</w:t>
      </w:r>
    </w:p>
    <w:tbl>
      <w:tblPr>
        <w:tblW w:w="5000" w:type="pct"/>
        <w:tblLook w:val="0000" w:firstRow="0" w:lastRow="0" w:firstColumn="0" w:lastColumn="0" w:noHBand="0" w:noVBand="0"/>
      </w:tblPr>
      <w:tblGrid>
        <w:gridCol w:w="3034"/>
        <w:gridCol w:w="1054"/>
        <w:gridCol w:w="1053"/>
        <w:gridCol w:w="1053"/>
        <w:gridCol w:w="1053"/>
        <w:gridCol w:w="1053"/>
        <w:gridCol w:w="1055"/>
      </w:tblGrid>
      <w:tr w:rsidR="00984E59" w:rsidRPr="008E3FE6" w14:paraId="64B6AC61" w14:textId="77777777" w:rsidTr="004B57AB">
        <w:tc>
          <w:tcPr>
            <w:tcW w:w="5000" w:type="pct"/>
            <w:gridSpan w:val="7"/>
            <w:tcBorders>
              <w:top w:val="single" w:sz="12" w:space="0" w:color="auto"/>
              <w:left w:val="nil"/>
              <w:bottom w:val="single" w:sz="8" w:space="0" w:color="auto"/>
              <w:right w:val="nil"/>
            </w:tcBorders>
          </w:tcPr>
          <w:p w14:paraId="7547F609"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i/>
                <w:sz w:val="16"/>
                <w:szCs w:val="16"/>
                <w:lang w:val="en-US"/>
              </w:rPr>
              <w:t>Panel A: Impacts of CCPE, PCCIs, and BSCOM on MV</w:t>
            </w:r>
          </w:p>
        </w:tc>
      </w:tr>
      <w:tr w:rsidR="00984E59" w:rsidRPr="006C74D8" w14:paraId="152E125F" w14:textId="77777777" w:rsidTr="004B57AB">
        <w:tc>
          <w:tcPr>
            <w:tcW w:w="1621" w:type="pct"/>
            <w:tcBorders>
              <w:top w:val="single" w:sz="8" w:space="0" w:color="auto"/>
              <w:left w:val="nil"/>
              <w:right w:val="nil"/>
            </w:tcBorders>
          </w:tcPr>
          <w:p w14:paraId="4F0001D8"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single" w:sz="8" w:space="0" w:color="auto"/>
              <w:left w:val="nil"/>
              <w:right w:val="nil"/>
            </w:tcBorders>
          </w:tcPr>
          <w:p w14:paraId="4E5397E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right w:val="nil"/>
            </w:tcBorders>
          </w:tcPr>
          <w:p w14:paraId="77F864D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w:t>
            </w:r>
          </w:p>
        </w:tc>
        <w:tc>
          <w:tcPr>
            <w:tcW w:w="563" w:type="pct"/>
            <w:tcBorders>
              <w:top w:val="single" w:sz="8" w:space="0" w:color="auto"/>
              <w:left w:val="nil"/>
              <w:right w:val="nil"/>
            </w:tcBorders>
          </w:tcPr>
          <w:p w14:paraId="0F41951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(2)</w:t>
            </w:r>
          </w:p>
        </w:tc>
        <w:tc>
          <w:tcPr>
            <w:tcW w:w="563" w:type="pct"/>
            <w:tcBorders>
              <w:top w:val="single" w:sz="8" w:space="0" w:color="auto"/>
              <w:left w:val="nil"/>
              <w:right w:val="nil"/>
            </w:tcBorders>
          </w:tcPr>
          <w:p w14:paraId="6200D53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(3)</w:t>
            </w:r>
          </w:p>
        </w:tc>
        <w:tc>
          <w:tcPr>
            <w:tcW w:w="563" w:type="pct"/>
            <w:tcBorders>
              <w:top w:val="single" w:sz="8" w:space="0" w:color="auto"/>
              <w:left w:val="nil"/>
              <w:right w:val="nil"/>
            </w:tcBorders>
          </w:tcPr>
          <w:p w14:paraId="55016F1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(4)</w:t>
            </w:r>
          </w:p>
        </w:tc>
        <w:tc>
          <w:tcPr>
            <w:tcW w:w="563" w:type="pct"/>
            <w:tcBorders>
              <w:top w:val="single" w:sz="8" w:space="0" w:color="auto"/>
              <w:left w:val="nil"/>
              <w:right w:val="nil"/>
            </w:tcBorders>
          </w:tcPr>
          <w:p w14:paraId="331058D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(5)</w:t>
            </w:r>
          </w:p>
        </w:tc>
      </w:tr>
      <w:tr w:rsidR="00984E59" w:rsidRPr="006C74D8" w14:paraId="5B800228" w14:textId="77777777" w:rsidTr="004B57AB">
        <w:tc>
          <w:tcPr>
            <w:tcW w:w="1621" w:type="pct"/>
            <w:tcBorders>
              <w:top w:val="nil"/>
              <w:left w:val="nil"/>
              <w:bottom w:val="single" w:sz="8" w:space="0" w:color="auto"/>
              <w:right w:val="nil"/>
            </w:tcBorders>
          </w:tcPr>
          <w:p w14:paraId="23837232"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single" w:sz="8" w:space="0" w:color="auto"/>
              <w:right w:val="nil"/>
            </w:tcBorders>
          </w:tcPr>
          <w:p w14:paraId="04C0BE0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single" w:sz="8" w:space="0" w:color="auto"/>
              <w:right w:val="nil"/>
            </w:tcBorders>
          </w:tcPr>
          <w:p w14:paraId="714718E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MV</w:t>
            </w:r>
          </w:p>
        </w:tc>
        <w:tc>
          <w:tcPr>
            <w:tcW w:w="563" w:type="pct"/>
            <w:tcBorders>
              <w:top w:val="nil"/>
              <w:left w:val="nil"/>
              <w:bottom w:val="single" w:sz="8" w:space="0" w:color="auto"/>
              <w:right w:val="nil"/>
            </w:tcBorders>
          </w:tcPr>
          <w:p w14:paraId="4F92B07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MV</w:t>
            </w:r>
          </w:p>
        </w:tc>
        <w:tc>
          <w:tcPr>
            <w:tcW w:w="563" w:type="pct"/>
            <w:tcBorders>
              <w:top w:val="nil"/>
              <w:left w:val="nil"/>
              <w:bottom w:val="single" w:sz="8" w:space="0" w:color="auto"/>
              <w:right w:val="nil"/>
            </w:tcBorders>
          </w:tcPr>
          <w:p w14:paraId="498832D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MV</w:t>
            </w:r>
          </w:p>
        </w:tc>
        <w:tc>
          <w:tcPr>
            <w:tcW w:w="563" w:type="pct"/>
            <w:tcBorders>
              <w:top w:val="nil"/>
              <w:left w:val="nil"/>
              <w:bottom w:val="single" w:sz="8" w:space="0" w:color="auto"/>
              <w:right w:val="nil"/>
            </w:tcBorders>
          </w:tcPr>
          <w:p w14:paraId="091481F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MV</w:t>
            </w:r>
          </w:p>
        </w:tc>
        <w:tc>
          <w:tcPr>
            <w:tcW w:w="563" w:type="pct"/>
            <w:tcBorders>
              <w:top w:val="nil"/>
              <w:left w:val="nil"/>
              <w:bottom w:val="single" w:sz="8" w:space="0" w:color="auto"/>
              <w:right w:val="nil"/>
            </w:tcBorders>
          </w:tcPr>
          <w:p w14:paraId="72CA71E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MV</w:t>
            </w:r>
          </w:p>
        </w:tc>
      </w:tr>
      <w:tr w:rsidR="00984E59" w:rsidRPr="006C74D8" w14:paraId="2ED36FD2" w14:textId="77777777" w:rsidTr="004B57AB">
        <w:tc>
          <w:tcPr>
            <w:tcW w:w="1621" w:type="pct"/>
            <w:tcBorders>
              <w:top w:val="single" w:sz="8" w:space="0" w:color="auto"/>
              <w:left w:val="nil"/>
              <w:bottom w:val="nil"/>
              <w:right w:val="nil"/>
            </w:tcBorders>
          </w:tcPr>
          <w:p w14:paraId="58DF9990"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single" w:sz="8" w:space="0" w:color="auto"/>
              <w:left w:val="nil"/>
              <w:bottom w:val="nil"/>
              <w:right w:val="nil"/>
            </w:tcBorders>
          </w:tcPr>
          <w:p w14:paraId="15130BC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16B751F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-0.066</w:t>
            </w:r>
            <w:r w:rsidRPr="006C74D8">
              <w:rPr>
                <w:rFonts w:ascii="Times New Roman" w:hAnsi="Times New Roman"/>
                <w:sz w:val="16"/>
                <w:szCs w:val="16"/>
                <w:vertAlign w:val="superscript"/>
                <w:lang w:val="en-US"/>
              </w:rPr>
              <w:t>***</w:t>
            </w:r>
          </w:p>
        </w:tc>
        <w:tc>
          <w:tcPr>
            <w:tcW w:w="563" w:type="pct"/>
            <w:tcBorders>
              <w:top w:val="single" w:sz="8" w:space="0" w:color="auto"/>
              <w:left w:val="nil"/>
              <w:bottom w:val="nil"/>
              <w:right w:val="nil"/>
            </w:tcBorders>
          </w:tcPr>
          <w:p w14:paraId="11D062E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026FCAA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15BF51F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-0.068</w:t>
            </w:r>
            <w:r w:rsidRPr="006C74D8">
              <w:rPr>
                <w:rFonts w:ascii="Times New Roman" w:hAnsi="Times New Roman"/>
                <w:sz w:val="16"/>
                <w:szCs w:val="16"/>
                <w:vertAlign w:val="superscript"/>
                <w:lang w:val="en-US"/>
              </w:rPr>
              <w:t>***</w:t>
            </w:r>
          </w:p>
        </w:tc>
        <w:tc>
          <w:tcPr>
            <w:tcW w:w="563" w:type="pct"/>
            <w:tcBorders>
              <w:top w:val="single" w:sz="8" w:space="0" w:color="auto"/>
              <w:left w:val="nil"/>
              <w:bottom w:val="nil"/>
              <w:right w:val="nil"/>
            </w:tcBorders>
          </w:tcPr>
          <w:p w14:paraId="67B8925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294C3212" w14:textId="77777777" w:rsidTr="004B57AB">
        <w:tc>
          <w:tcPr>
            <w:tcW w:w="1621" w:type="pct"/>
            <w:tcBorders>
              <w:top w:val="nil"/>
              <w:left w:val="nil"/>
              <w:bottom w:val="nil"/>
              <w:right w:val="nil"/>
            </w:tcBorders>
          </w:tcPr>
          <w:p w14:paraId="00759F10"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3B63DF2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1740FA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(-9.63)</w:t>
            </w:r>
          </w:p>
        </w:tc>
        <w:tc>
          <w:tcPr>
            <w:tcW w:w="563" w:type="pct"/>
            <w:tcBorders>
              <w:top w:val="nil"/>
              <w:left w:val="nil"/>
              <w:bottom w:val="nil"/>
              <w:right w:val="nil"/>
            </w:tcBorders>
          </w:tcPr>
          <w:p w14:paraId="5C88E84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B440CF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CB239D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(-9.88)</w:t>
            </w:r>
          </w:p>
        </w:tc>
        <w:tc>
          <w:tcPr>
            <w:tcW w:w="563" w:type="pct"/>
            <w:tcBorders>
              <w:top w:val="nil"/>
              <w:left w:val="nil"/>
              <w:bottom w:val="nil"/>
              <w:right w:val="nil"/>
            </w:tcBorders>
          </w:tcPr>
          <w:p w14:paraId="6C62E73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72EFA5AB" w14:textId="77777777" w:rsidTr="004B57AB">
        <w:tc>
          <w:tcPr>
            <w:tcW w:w="1621" w:type="pct"/>
            <w:tcBorders>
              <w:top w:val="nil"/>
              <w:left w:val="nil"/>
              <w:bottom w:val="nil"/>
              <w:right w:val="nil"/>
            </w:tcBorders>
          </w:tcPr>
          <w:p w14:paraId="6B29AC56"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CCPE*EUETS</w:t>
            </w:r>
          </w:p>
        </w:tc>
        <w:tc>
          <w:tcPr>
            <w:tcW w:w="563" w:type="pct"/>
            <w:tcBorders>
              <w:top w:val="nil"/>
              <w:left w:val="nil"/>
              <w:bottom w:val="nil"/>
              <w:right w:val="nil"/>
            </w:tcBorders>
          </w:tcPr>
          <w:p w14:paraId="38C54A3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3BDEEB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-0.038</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287A985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2327F7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650035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-0.040</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269D130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333748B0" w14:textId="77777777" w:rsidTr="004B57AB">
        <w:tc>
          <w:tcPr>
            <w:tcW w:w="1621" w:type="pct"/>
            <w:tcBorders>
              <w:top w:val="nil"/>
              <w:left w:val="nil"/>
              <w:bottom w:val="nil"/>
              <w:right w:val="nil"/>
            </w:tcBorders>
          </w:tcPr>
          <w:p w14:paraId="6EB37ED0"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7714EEC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918C31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(-4.63)</w:t>
            </w:r>
          </w:p>
        </w:tc>
        <w:tc>
          <w:tcPr>
            <w:tcW w:w="563" w:type="pct"/>
            <w:tcBorders>
              <w:top w:val="nil"/>
              <w:left w:val="nil"/>
              <w:bottom w:val="nil"/>
              <w:right w:val="nil"/>
            </w:tcBorders>
          </w:tcPr>
          <w:p w14:paraId="4602681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55FD62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8A77EEB"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(-4.75)</w:t>
            </w:r>
          </w:p>
        </w:tc>
        <w:tc>
          <w:tcPr>
            <w:tcW w:w="563" w:type="pct"/>
            <w:tcBorders>
              <w:top w:val="nil"/>
              <w:left w:val="nil"/>
              <w:bottom w:val="nil"/>
              <w:right w:val="nil"/>
            </w:tcBorders>
          </w:tcPr>
          <w:p w14:paraId="3CBCD4A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7188D7C4" w14:textId="77777777" w:rsidTr="004B57AB">
        <w:tc>
          <w:tcPr>
            <w:tcW w:w="1621" w:type="pct"/>
            <w:tcBorders>
              <w:top w:val="nil"/>
              <w:left w:val="nil"/>
              <w:bottom w:val="nil"/>
              <w:right w:val="nil"/>
            </w:tcBorders>
          </w:tcPr>
          <w:p w14:paraId="6AEC53FD"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w:t>
            </w:r>
          </w:p>
        </w:tc>
        <w:tc>
          <w:tcPr>
            <w:tcW w:w="563" w:type="pct"/>
            <w:tcBorders>
              <w:top w:val="nil"/>
              <w:left w:val="nil"/>
              <w:bottom w:val="nil"/>
              <w:right w:val="nil"/>
            </w:tcBorders>
          </w:tcPr>
          <w:p w14:paraId="075EF8C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17A216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55FB6E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0.002</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63F93B0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B5B27D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314D70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0.001</w:t>
            </w:r>
            <w:r w:rsidRPr="006C74D8">
              <w:rPr>
                <w:rFonts w:ascii="Times New Roman" w:hAnsi="Times New Roman"/>
                <w:sz w:val="16"/>
                <w:szCs w:val="16"/>
                <w:vertAlign w:val="superscript"/>
                <w:lang w:val="en-US"/>
              </w:rPr>
              <w:t>***</w:t>
            </w:r>
          </w:p>
        </w:tc>
      </w:tr>
      <w:tr w:rsidR="00984E59" w:rsidRPr="006C74D8" w14:paraId="0671187D" w14:textId="77777777" w:rsidTr="004B57AB">
        <w:tc>
          <w:tcPr>
            <w:tcW w:w="1621" w:type="pct"/>
            <w:tcBorders>
              <w:top w:val="nil"/>
              <w:left w:val="nil"/>
              <w:bottom w:val="nil"/>
              <w:right w:val="nil"/>
            </w:tcBorders>
          </w:tcPr>
          <w:p w14:paraId="29CA5FF5"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53D0074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EB32CD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ACD1BD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(4.19)</w:t>
            </w:r>
          </w:p>
        </w:tc>
        <w:tc>
          <w:tcPr>
            <w:tcW w:w="563" w:type="pct"/>
            <w:tcBorders>
              <w:top w:val="nil"/>
              <w:left w:val="nil"/>
              <w:bottom w:val="nil"/>
              <w:right w:val="nil"/>
            </w:tcBorders>
          </w:tcPr>
          <w:p w14:paraId="59B1BCD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2A5F40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38E557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(3.34)</w:t>
            </w:r>
          </w:p>
        </w:tc>
      </w:tr>
      <w:tr w:rsidR="00984E59" w:rsidRPr="006C74D8" w14:paraId="0AABBE58" w14:textId="77777777" w:rsidTr="004B57AB">
        <w:tc>
          <w:tcPr>
            <w:tcW w:w="1621" w:type="pct"/>
            <w:tcBorders>
              <w:top w:val="nil"/>
              <w:left w:val="nil"/>
              <w:bottom w:val="nil"/>
              <w:right w:val="nil"/>
            </w:tcBorders>
          </w:tcPr>
          <w:p w14:paraId="3BC5229E"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PCCIs*EUETS</w:t>
            </w:r>
          </w:p>
        </w:tc>
        <w:tc>
          <w:tcPr>
            <w:tcW w:w="563" w:type="pct"/>
            <w:tcBorders>
              <w:top w:val="nil"/>
              <w:left w:val="nil"/>
              <w:bottom w:val="nil"/>
              <w:right w:val="nil"/>
            </w:tcBorders>
          </w:tcPr>
          <w:p w14:paraId="14CDCB8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605185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C837A7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0.001</w:t>
            </w:r>
          </w:p>
        </w:tc>
        <w:tc>
          <w:tcPr>
            <w:tcW w:w="563" w:type="pct"/>
            <w:tcBorders>
              <w:top w:val="nil"/>
              <w:left w:val="nil"/>
              <w:bottom w:val="nil"/>
              <w:right w:val="nil"/>
            </w:tcBorders>
          </w:tcPr>
          <w:p w14:paraId="5AFE6EF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DF4C3A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2023B5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-0.000</w:t>
            </w:r>
          </w:p>
        </w:tc>
      </w:tr>
      <w:tr w:rsidR="00984E59" w:rsidRPr="006C74D8" w14:paraId="7BEEADF9" w14:textId="77777777" w:rsidTr="004B57AB">
        <w:tc>
          <w:tcPr>
            <w:tcW w:w="1621" w:type="pct"/>
            <w:tcBorders>
              <w:top w:val="nil"/>
              <w:left w:val="nil"/>
              <w:bottom w:val="nil"/>
              <w:right w:val="nil"/>
            </w:tcBorders>
          </w:tcPr>
          <w:p w14:paraId="79B1F6DA"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3B5814F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D280BE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45CCEF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(1.07)</w:t>
            </w:r>
          </w:p>
        </w:tc>
        <w:tc>
          <w:tcPr>
            <w:tcW w:w="563" w:type="pct"/>
            <w:tcBorders>
              <w:top w:val="nil"/>
              <w:left w:val="nil"/>
              <w:bottom w:val="nil"/>
              <w:right w:val="nil"/>
            </w:tcBorders>
          </w:tcPr>
          <w:p w14:paraId="377DC3B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EC9E3F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23CA76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(-0.64)</w:t>
            </w:r>
          </w:p>
        </w:tc>
      </w:tr>
      <w:tr w:rsidR="00984E59" w:rsidRPr="006C74D8" w14:paraId="256C8BF1" w14:textId="77777777" w:rsidTr="004B57AB">
        <w:tc>
          <w:tcPr>
            <w:tcW w:w="1621" w:type="pct"/>
            <w:tcBorders>
              <w:top w:val="nil"/>
              <w:left w:val="nil"/>
              <w:bottom w:val="nil"/>
              <w:right w:val="nil"/>
            </w:tcBorders>
          </w:tcPr>
          <w:p w14:paraId="0E9512F6"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BSCOM</w:t>
            </w:r>
          </w:p>
        </w:tc>
        <w:tc>
          <w:tcPr>
            <w:tcW w:w="563" w:type="pct"/>
            <w:tcBorders>
              <w:top w:val="nil"/>
              <w:left w:val="nil"/>
              <w:bottom w:val="nil"/>
              <w:right w:val="nil"/>
            </w:tcBorders>
          </w:tcPr>
          <w:p w14:paraId="0805114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573B2B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29B267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51F67D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0.049</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70E071C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0.099</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6D7B11F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0.062</w:t>
            </w:r>
            <w:r w:rsidRPr="006C74D8">
              <w:rPr>
                <w:rFonts w:ascii="Times New Roman" w:hAnsi="Times New Roman"/>
                <w:sz w:val="16"/>
                <w:szCs w:val="16"/>
                <w:vertAlign w:val="superscript"/>
                <w:lang w:val="en-US"/>
              </w:rPr>
              <w:t>**</w:t>
            </w:r>
          </w:p>
        </w:tc>
      </w:tr>
      <w:tr w:rsidR="00984E59" w:rsidRPr="006C74D8" w14:paraId="53092839" w14:textId="77777777" w:rsidTr="004B57AB">
        <w:tc>
          <w:tcPr>
            <w:tcW w:w="1621" w:type="pct"/>
            <w:tcBorders>
              <w:top w:val="nil"/>
              <w:left w:val="nil"/>
              <w:bottom w:val="nil"/>
              <w:right w:val="nil"/>
            </w:tcBorders>
          </w:tcPr>
          <w:p w14:paraId="50416F59"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7959782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86373A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A59389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BDBFD9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(1.90)</w:t>
            </w:r>
          </w:p>
        </w:tc>
        <w:tc>
          <w:tcPr>
            <w:tcW w:w="563" w:type="pct"/>
            <w:tcBorders>
              <w:top w:val="nil"/>
              <w:left w:val="nil"/>
              <w:bottom w:val="nil"/>
              <w:right w:val="nil"/>
            </w:tcBorders>
          </w:tcPr>
          <w:p w14:paraId="719CB82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(3.77)</w:t>
            </w:r>
          </w:p>
        </w:tc>
        <w:tc>
          <w:tcPr>
            <w:tcW w:w="563" w:type="pct"/>
            <w:tcBorders>
              <w:top w:val="nil"/>
              <w:left w:val="nil"/>
              <w:bottom w:val="nil"/>
              <w:right w:val="nil"/>
            </w:tcBorders>
          </w:tcPr>
          <w:p w14:paraId="245103B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(2.15)</w:t>
            </w:r>
          </w:p>
        </w:tc>
      </w:tr>
      <w:tr w:rsidR="00984E59" w:rsidRPr="006C74D8" w14:paraId="4B3E5963" w14:textId="77777777" w:rsidTr="004B57AB">
        <w:tc>
          <w:tcPr>
            <w:tcW w:w="1621" w:type="pct"/>
            <w:tcBorders>
              <w:top w:val="nil"/>
              <w:left w:val="nil"/>
              <w:bottom w:val="nil"/>
              <w:right w:val="nil"/>
            </w:tcBorders>
          </w:tcPr>
          <w:p w14:paraId="21590640"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BSCOM*EUETS</w:t>
            </w:r>
          </w:p>
        </w:tc>
        <w:tc>
          <w:tcPr>
            <w:tcW w:w="563" w:type="pct"/>
            <w:tcBorders>
              <w:top w:val="nil"/>
              <w:left w:val="nil"/>
              <w:bottom w:val="nil"/>
              <w:right w:val="nil"/>
            </w:tcBorders>
          </w:tcPr>
          <w:p w14:paraId="6F517C2B"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415834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85AAFE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A1A508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0.123</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5E91678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0.116</w:t>
            </w:r>
            <w:r w:rsidRPr="006C74D8">
              <w:rPr>
                <w:rFonts w:ascii="Times New Roman" w:hAnsi="Times New Roman"/>
                <w:sz w:val="16"/>
                <w:szCs w:val="16"/>
                <w:vertAlign w:val="superscript"/>
                <w:lang w:val="en-US"/>
              </w:rPr>
              <w:t>***</w:t>
            </w:r>
          </w:p>
        </w:tc>
        <w:tc>
          <w:tcPr>
            <w:tcW w:w="563" w:type="pct"/>
            <w:tcBorders>
              <w:top w:val="nil"/>
              <w:left w:val="nil"/>
              <w:bottom w:val="nil"/>
              <w:right w:val="nil"/>
            </w:tcBorders>
          </w:tcPr>
          <w:p w14:paraId="0B3D56F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0.148</w:t>
            </w:r>
            <w:r w:rsidRPr="006C74D8">
              <w:rPr>
                <w:rFonts w:ascii="Times New Roman" w:hAnsi="Times New Roman"/>
                <w:sz w:val="16"/>
                <w:szCs w:val="16"/>
                <w:vertAlign w:val="superscript"/>
                <w:lang w:val="en-US"/>
              </w:rPr>
              <w:t>***</w:t>
            </w:r>
          </w:p>
        </w:tc>
      </w:tr>
      <w:tr w:rsidR="00984E59" w:rsidRPr="006C74D8" w14:paraId="6E7FDA73" w14:textId="77777777" w:rsidTr="004B57AB">
        <w:tc>
          <w:tcPr>
            <w:tcW w:w="1621" w:type="pct"/>
            <w:tcBorders>
              <w:top w:val="nil"/>
              <w:left w:val="nil"/>
              <w:bottom w:val="nil"/>
              <w:right w:val="nil"/>
            </w:tcBorders>
          </w:tcPr>
          <w:p w14:paraId="31F7F705"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10CC3C4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6324CB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2B69E5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2E450F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(2.79)</w:t>
            </w:r>
          </w:p>
        </w:tc>
        <w:tc>
          <w:tcPr>
            <w:tcW w:w="563" w:type="pct"/>
            <w:tcBorders>
              <w:top w:val="nil"/>
              <w:left w:val="nil"/>
              <w:bottom w:val="nil"/>
              <w:right w:val="nil"/>
            </w:tcBorders>
          </w:tcPr>
          <w:p w14:paraId="4C0398E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(2.60)</w:t>
            </w:r>
          </w:p>
        </w:tc>
        <w:tc>
          <w:tcPr>
            <w:tcW w:w="563" w:type="pct"/>
            <w:tcBorders>
              <w:top w:val="nil"/>
              <w:left w:val="nil"/>
              <w:bottom w:val="nil"/>
              <w:right w:val="nil"/>
            </w:tcBorders>
          </w:tcPr>
          <w:p w14:paraId="410EC3F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(2.60)</w:t>
            </w:r>
          </w:p>
        </w:tc>
      </w:tr>
      <w:tr w:rsidR="00984E59" w:rsidRPr="006C74D8" w14:paraId="6CD536EB" w14:textId="77777777" w:rsidTr="004B57AB">
        <w:tc>
          <w:tcPr>
            <w:tcW w:w="1621" w:type="pct"/>
            <w:tcBorders>
              <w:top w:val="nil"/>
              <w:left w:val="nil"/>
              <w:bottom w:val="nil"/>
              <w:right w:val="nil"/>
            </w:tcBorders>
          </w:tcPr>
          <w:p w14:paraId="39EC6F2E"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CCPE*BSCOM</w:t>
            </w:r>
          </w:p>
        </w:tc>
        <w:tc>
          <w:tcPr>
            <w:tcW w:w="563" w:type="pct"/>
            <w:tcBorders>
              <w:top w:val="nil"/>
              <w:left w:val="nil"/>
              <w:bottom w:val="nil"/>
              <w:right w:val="nil"/>
            </w:tcBorders>
          </w:tcPr>
          <w:p w14:paraId="3E7205D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757B41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AA3E6A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CD3DBB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6A1204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0.015</w:t>
            </w:r>
          </w:p>
        </w:tc>
        <w:tc>
          <w:tcPr>
            <w:tcW w:w="563" w:type="pct"/>
            <w:tcBorders>
              <w:top w:val="nil"/>
              <w:left w:val="nil"/>
              <w:bottom w:val="nil"/>
              <w:right w:val="nil"/>
            </w:tcBorders>
          </w:tcPr>
          <w:p w14:paraId="0E5EFB2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465B4D9C" w14:textId="77777777" w:rsidTr="004B57AB">
        <w:tc>
          <w:tcPr>
            <w:tcW w:w="1621" w:type="pct"/>
            <w:tcBorders>
              <w:top w:val="nil"/>
              <w:left w:val="nil"/>
              <w:bottom w:val="nil"/>
              <w:right w:val="nil"/>
            </w:tcBorders>
          </w:tcPr>
          <w:p w14:paraId="4AA8C0F8"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46FFBDA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C1B045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38317B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731763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F91C2D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(1.42)</w:t>
            </w:r>
          </w:p>
        </w:tc>
        <w:tc>
          <w:tcPr>
            <w:tcW w:w="563" w:type="pct"/>
            <w:tcBorders>
              <w:top w:val="nil"/>
              <w:left w:val="nil"/>
              <w:bottom w:val="nil"/>
              <w:right w:val="nil"/>
            </w:tcBorders>
          </w:tcPr>
          <w:p w14:paraId="05EBE92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0D276384" w14:textId="77777777" w:rsidTr="004B57AB">
        <w:tc>
          <w:tcPr>
            <w:tcW w:w="1621" w:type="pct"/>
            <w:tcBorders>
              <w:top w:val="nil"/>
              <w:left w:val="nil"/>
              <w:bottom w:val="nil"/>
              <w:right w:val="nil"/>
            </w:tcBorders>
          </w:tcPr>
          <w:p w14:paraId="37BD4379"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CCPE*BSCOM*EUETS</w:t>
            </w:r>
          </w:p>
        </w:tc>
        <w:tc>
          <w:tcPr>
            <w:tcW w:w="563" w:type="pct"/>
            <w:tcBorders>
              <w:top w:val="nil"/>
              <w:left w:val="nil"/>
              <w:bottom w:val="nil"/>
              <w:right w:val="nil"/>
            </w:tcBorders>
          </w:tcPr>
          <w:p w14:paraId="72D23EB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6BCD07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495508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F3E02F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905582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-0.014</w:t>
            </w:r>
          </w:p>
        </w:tc>
        <w:tc>
          <w:tcPr>
            <w:tcW w:w="563" w:type="pct"/>
            <w:tcBorders>
              <w:top w:val="nil"/>
              <w:left w:val="nil"/>
              <w:bottom w:val="nil"/>
              <w:right w:val="nil"/>
            </w:tcBorders>
          </w:tcPr>
          <w:p w14:paraId="6D13015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5CA6023E" w14:textId="77777777" w:rsidTr="004B57AB">
        <w:tc>
          <w:tcPr>
            <w:tcW w:w="1621" w:type="pct"/>
            <w:tcBorders>
              <w:top w:val="nil"/>
              <w:left w:val="nil"/>
              <w:bottom w:val="nil"/>
              <w:right w:val="nil"/>
            </w:tcBorders>
          </w:tcPr>
          <w:p w14:paraId="3B216AA3"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0C04C51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E09969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0E3D2A9"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F157E2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6947E9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(-0.68)</w:t>
            </w:r>
          </w:p>
        </w:tc>
        <w:tc>
          <w:tcPr>
            <w:tcW w:w="563" w:type="pct"/>
            <w:tcBorders>
              <w:top w:val="nil"/>
              <w:left w:val="nil"/>
              <w:bottom w:val="nil"/>
              <w:right w:val="nil"/>
            </w:tcBorders>
          </w:tcPr>
          <w:p w14:paraId="39C8851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6C74D8" w14:paraId="2D677AF6" w14:textId="77777777" w:rsidTr="004B57AB">
        <w:tc>
          <w:tcPr>
            <w:tcW w:w="1621" w:type="pct"/>
            <w:tcBorders>
              <w:top w:val="nil"/>
              <w:left w:val="nil"/>
              <w:bottom w:val="nil"/>
              <w:right w:val="nil"/>
            </w:tcBorders>
          </w:tcPr>
          <w:p w14:paraId="67B0E448"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PCCIs*BSCOM</w:t>
            </w:r>
          </w:p>
        </w:tc>
        <w:tc>
          <w:tcPr>
            <w:tcW w:w="563" w:type="pct"/>
            <w:tcBorders>
              <w:top w:val="nil"/>
              <w:left w:val="nil"/>
              <w:bottom w:val="nil"/>
              <w:right w:val="nil"/>
            </w:tcBorders>
          </w:tcPr>
          <w:p w14:paraId="08327D3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3FB7A4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18DFB7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EF3B9C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72AC2B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E7C9B8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0.001</w:t>
            </w:r>
          </w:p>
        </w:tc>
      </w:tr>
      <w:tr w:rsidR="00984E59" w:rsidRPr="006C74D8" w14:paraId="6EB4D990" w14:textId="77777777" w:rsidTr="004B57AB">
        <w:tc>
          <w:tcPr>
            <w:tcW w:w="1621" w:type="pct"/>
            <w:tcBorders>
              <w:top w:val="nil"/>
              <w:left w:val="nil"/>
              <w:bottom w:val="nil"/>
              <w:right w:val="nil"/>
            </w:tcBorders>
          </w:tcPr>
          <w:p w14:paraId="75E4FEF0"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6D1539A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2513D8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1B2C5C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25B2E2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F0752F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70750D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(1.46)</w:t>
            </w:r>
          </w:p>
        </w:tc>
      </w:tr>
      <w:tr w:rsidR="00984E59" w:rsidRPr="006C74D8" w14:paraId="555499FF" w14:textId="77777777" w:rsidTr="004B57AB">
        <w:tc>
          <w:tcPr>
            <w:tcW w:w="1621" w:type="pct"/>
            <w:tcBorders>
              <w:top w:val="nil"/>
              <w:left w:val="nil"/>
              <w:bottom w:val="nil"/>
              <w:right w:val="nil"/>
            </w:tcBorders>
          </w:tcPr>
          <w:p w14:paraId="2B0B4F97"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PCCIs*BSCOM*EUETS</w:t>
            </w:r>
          </w:p>
        </w:tc>
        <w:tc>
          <w:tcPr>
            <w:tcW w:w="563" w:type="pct"/>
            <w:tcBorders>
              <w:top w:val="nil"/>
              <w:left w:val="nil"/>
              <w:bottom w:val="nil"/>
              <w:right w:val="nil"/>
            </w:tcBorders>
          </w:tcPr>
          <w:p w14:paraId="6BF92B7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1049B3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8C36EE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C82C9F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08BFDF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59A239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0.001</w:t>
            </w:r>
          </w:p>
        </w:tc>
      </w:tr>
      <w:tr w:rsidR="00984E59" w:rsidRPr="006C74D8" w14:paraId="6291F575" w14:textId="77777777" w:rsidTr="004B57AB">
        <w:tc>
          <w:tcPr>
            <w:tcW w:w="1621" w:type="pct"/>
            <w:tcBorders>
              <w:top w:val="nil"/>
              <w:left w:val="nil"/>
              <w:bottom w:val="nil"/>
              <w:right w:val="nil"/>
            </w:tcBorders>
          </w:tcPr>
          <w:p w14:paraId="29A4A2D1"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2C06FF8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3866C9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70172D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D9F779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9BC0C2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E2B6A1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(0.31)</w:t>
            </w:r>
          </w:p>
        </w:tc>
      </w:tr>
      <w:tr w:rsidR="00984E59" w:rsidRPr="006C74D8" w14:paraId="584FACEE" w14:textId="77777777" w:rsidTr="004B57AB">
        <w:tc>
          <w:tcPr>
            <w:tcW w:w="1621" w:type="pct"/>
            <w:tcBorders>
              <w:top w:val="nil"/>
              <w:left w:val="nil"/>
              <w:bottom w:val="nil"/>
              <w:right w:val="nil"/>
            </w:tcBorders>
          </w:tcPr>
          <w:p w14:paraId="14826226"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EUETS</w:t>
            </w:r>
          </w:p>
        </w:tc>
        <w:tc>
          <w:tcPr>
            <w:tcW w:w="563" w:type="pct"/>
            <w:tcBorders>
              <w:top w:val="nil"/>
              <w:left w:val="nil"/>
              <w:bottom w:val="nil"/>
              <w:right w:val="nil"/>
            </w:tcBorders>
          </w:tcPr>
          <w:p w14:paraId="68FBFAB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5CDE6B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-0.066</w:t>
            </w:r>
          </w:p>
        </w:tc>
        <w:tc>
          <w:tcPr>
            <w:tcW w:w="563" w:type="pct"/>
            <w:tcBorders>
              <w:top w:val="nil"/>
              <w:left w:val="nil"/>
              <w:bottom w:val="nil"/>
              <w:right w:val="nil"/>
            </w:tcBorders>
          </w:tcPr>
          <w:p w14:paraId="6718E91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-0.034</w:t>
            </w:r>
          </w:p>
        </w:tc>
        <w:tc>
          <w:tcPr>
            <w:tcW w:w="563" w:type="pct"/>
            <w:tcBorders>
              <w:top w:val="nil"/>
              <w:left w:val="nil"/>
              <w:bottom w:val="nil"/>
              <w:right w:val="nil"/>
            </w:tcBorders>
          </w:tcPr>
          <w:p w14:paraId="41B25BA3"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-0.044</w:t>
            </w:r>
          </w:p>
        </w:tc>
        <w:tc>
          <w:tcPr>
            <w:tcW w:w="563" w:type="pct"/>
            <w:tcBorders>
              <w:top w:val="nil"/>
              <w:left w:val="nil"/>
              <w:bottom w:val="nil"/>
              <w:right w:val="nil"/>
            </w:tcBorders>
          </w:tcPr>
          <w:p w14:paraId="72725EF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-0.077</w:t>
            </w:r>
          </w:p>
        </w:tc>
        <w:tc>
          <w:tcPr>
            <w:tcW w:w="563" w:type="pct"/>
            <w:tcBorders>
              <w:top w:val="nil"/>
              <w:left w:val="nil"/>
              <w:bottom w:val="nil"/>
              <w:right w:val="nil"/>
            </w:tcBorders>
          </w:tcPr>
          <w:p w14:paraId="28B2395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-0.048</w:t>
            </w:r>
          </w:p>
        </w:tc>
      </w:tr>
      <w:tr w:rsidR="00984E59" w:rsidRPr="006C74D8" w14:paraId="440F764F" w14:textId="77777777" w:rsidTr="004B57AB">
        <w:tc>
          <w:tcPr>
            <w:tcW w:w="1621" w:type="pct"/>
            <w:tcBorders>
              <w:top w:val="nil"/>
              <w:left w:val="nil"/>
              <w:bottom w:val="nil"/>
              <w:right w:val="nil"/>
            </w:tcBorders>
          </w:tcPr>
          <w:p w14:paraId="03AA01E1"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2C16B8E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EC15208"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(-1.32)</w:t>
            </w:r>
          </w:p>
        </w:tc>
        <w:tc>
          <w:tcPr>
            <w:tcW w:w="563" w:type="pct"/>
            <w:tcBorders>
              <w:top w:val="nil"/>
              <w:left w:val="nil"/>
              <w:bottom w:val="nil"/>
              <w:right w:val="nil"/>
            </w:tcBorders>
          </w:tcPr>
          <w:p w14:paraId="5974F95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(-0.71)</w:t>
            </w:r>
          </w:p>
        </w:tc>
        <w:tc>
          <w:tcPr>
            <w:tcW w:w="563" w:type="pct"/>
            <w:tcBorders>
              <w:top w:val="nil"/>
              <w:left w:val="nil"/>
              <w:bottom w:val="nil"/>
              <w:right w:val="nil"/>
            </w:tcBorders>
          </w:tcPr>
          <w:p w14:paraId="778F336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(-0.92)</w:t>
            </w:r>
          </w:p>
        </w:tc>
        <w:tc>
          <w:tcPr>
            <w:tcW w:w="563" w:type="pct"/>
            <w:tcBorders>
              <w:top w:val="nil"/>
              <w:left w:val="nil"/>
              <w:bottom w:val="nil"/>
              <w:right w:val="nil"/>
            </w:tcBorders>
          </w:tcPr>
          <w:p w14:paraId="4BB3253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(-1.54)</w:t>
            </w:r>
          </w:p>
        </w:tc>
        <w:tc>
          <w:tcPr>
            <w:tcW w:w="563" w:type="pct"/>
            <w:tcBorders>
              <w:top w:val="nil"/>
              <w:left w:val="nil"/>
              <w:bottom w:val="nil"/>
              <w:right w:val="nil"/>
            </w:tcBorders>
          </w:tcPr>
          <w:p w14:paraId="32A6CCE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(-0.98)</w:t>
            </w:r>
          </w:p>
        </w:tc>
      </w:tr>
      <w:tr w:rsidR="00984E59" w:rsidRPr="006C74D8" w14:paraId="56579AE2" w14:textId="77777777" w:rsidTr="004B57AB">
        <w:tc>
          <w:tcPr>
            <w:tcW w:w="1621" w:type="pct"/>
            <w:tcBorders>
              <w:top w:val="nil"/>
              <w:left w:val="nil"/>
              <w:bottom w:val="nil"/>
              <w:right w:val="nil"/>
            </w:tcBorders>
          </w:tcPr>
          <w:p w14:paraId="203A9DFA"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Controls</w:t>
            </w:r>
          </w:p>
        </w:tc>
        <w:tc>
          <w:tcPr>
            <w:tcW w:w="563" w:type="pct"/>
            <w:tcBorders>
              <w:top w:val="nil"/>
              <w:left w:val="nil"/>
              <w:bottom w:val="nil"/>
              <w:right w:val="nil"/>
            </w:tcBorders>
          </w:tcPr>
          <w:p w14:paraId="03CB3B2B"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6A98EB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51D45E11"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5B298160"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6255197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75BFB38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6C74D8" w14:paraId="3FED609C" w14:textId="77777777" w:rsidTr="004B57AB">
        <w:tc>
          <w:tcPr>
            <w:tcW w:w="1621" w:type="pct"/>
            <w:tcBorders>
              <w:top w:val="nil"/>
              <w:left w:val="nil"/>
              <w:right w:val="nil"/>
            </w:tcBorders>
          </w:tcPr>
          <w:p w14:paraId="79DDC3B6"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4D4CA2">
              <w:rPr>
                <w:rFonts w:ascii="Times New Roman" w:hAnsi="Times New Roman"/>
                <w:sz w:val="16"/>
                <w:szCs w:val="16"/>
                <w:lang w:val="en-US"/>
              </w:rPr>
              <w:t>Year/Sector/Country FE</w:t>
            </w:r>
          </w:p>
        </w:tc>
        <w:tc>
          <w:tcPr>
            <w:tcW w:w="563" w:type="pct"/>
            <w:tcBorders>
              <w:top w:val="nil"/>
              <w:left w:val="nil"/>
              <w:right w:val="nil"/>
            </w:tcBorders>
          </w:tcPr>
          <w:p w14:paraId="4BAA27BC"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right w:val="nil"/>
            </w:tcBorders>
          </w:tcPr>
          <w:p w14:paraId="59C332A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right w:val="nil"/>
            </w:tcBorders>
          </w:tcPr>
          <w:p w14:paraId="307A5AC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right w:val="nil"/>
            </w:tcBorders>
          </w:tcPr>
          <w:p w14:paraId="60FA3E2A"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right w:val="nil"/>
            </w:tcBorders>
          </w:tcPr>
          <w:p w14:paraId="7B2FCD5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right w:val="nil"/>
            </w:tcBorders>
          </w:tcPr>
          <w:p w14:paraId="73E554A6"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6C74D8" w14:paraId="7EE18F2A" w14:textId="77777777" w:rsidTr="004B57AB">
        <w:tc>
          <w:tcPr>
            <w:tcW w:w="1621" w:type="pct"/>
            <w:tcBorders>
              <w:left w:val="nil"/>
              <w:bottom w:val="nil"/>
              <w:right w:val="nil"/>
            </w:tcBorders>
          </w:tcPr>
          <w:p w14:paraId="10A027B4"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Observations</w:t>
            </w:r>
          </w:p>
        </w:tc>
        <w:tc>
          <w:tcPr>
            <w:tcW w:w="563" w:type="pct"/>
            <w:tcBorders>
              <w:left w:val="nil"/>
              <w:bottom w:val="nil"/>
              <w:right w:val="nil"/>
            </w:tcBorders>
          </w:tcPr>
          <w:p w14:paraId="6B1FCE7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left w:val="nil"/>
              <w:bottom w:val="nil"/>
              <w:right w:val="nil"/>
            </w:tcBorders>
          </w:tcPr>
          <w:p w14:paraId="3E41E17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7778</w:t>
            </w:r>
          </w:p>
        </w:tc>
        <w:tc>
          <w:tcPr>
            <w:tcW w:w="563" w:type="pct"/>
            <w:tcBorders>
              <w:left w:val="nil"/>
              <w:bottom w:val="nil"/>
              <w:right w:val="nil"/>
            </w:tcBorders>
          </w:tcPr>
          <w:p w14:paraId="00743BE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8408</w:t>
            </w:r>
          </w:p>
        </w:tc>
        <w:tc>
          <w:tcPr>
            <w:tcW w:w="563" w:type="pct"/>
            <w:tcBorders>
              <w:left w:val="nil"/>
              <w:bottom w:val="nil"/>
              <w:right w:val="nil"/>
            </w:tcBorders>
          </w:tcPr>
          <w:p w14:paraId="062B997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8408</w:t>
            </w:r>
          </w:p>
        </w:tc>
        <w:tc>
          <w:tcPr>
            <w:tcW w:w="563" w:type="pct"/>
            <w:tcBorders>
              <w:left w:val="nil"/>
              <w:bottom w:val="nil"/>
              <w:right w:val="nil"/>
            </w:tcBorders>
          </w:tcPr>
          <w:p w14:paraId="51AB1DB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7778</w:t>
            </w:r>
          </w:p>
        </w:tc>
        <w:tc>
          <w:tcPr>
            <w:tcW w:w="563" w:type="pct"/>
            <w:tcBorders>
              <w:left w:val="nil"/>
              <w:bottom w:val="nil"/>
              <w:right w:val="nil"/>
            </w:tcBorders>
          </w:tcPr>
          <w:p w14:paraId="2C9F85ED"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8408</w:t>
            </w:r>
          </w:p>
        </w:tc>
      </w:tr>
      <w:tr w:rsidR="00984E59" w:rsidRPr="006C74D8" w14:paraId="23512F65" w14:textId="77777777" w:rsidTr="004B57AB">
        <w:tc>
          <w:tcPr>
            <w:tcW w:w="1621" w:type="pct"/>
            <w:tcBorders>
              <w:top w:val="nil"/>
              <w:left w:val="nil"/>
              <w:bottom w:val="single" w:sz="12" w:space="0" w:color="auto"/>
              <w:right w:val="nil"/>
            </w:tcBorders>
          </w:tcPr>
          <w:p w14:paraId="2E3E35B2"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R-squared</w:t>
            </w:r>
          </w:p>
        </w:tc>
        <w:tc>
          <w:tcPr>
            <w:tcW w:w="563" w:type="pct"/>
            <w:tcBorders>
              <w:top w:val="nil"/>
              <w:left w:val="nil"/>
              <w:bottom w:val="single" w:sz="12" w:space="0" w:color="auto"/>
              <w:right w:val="nil"/>
            </w:tcBorders>
          </w:tcPr>
          <w:p w14:paraId="239EB5D2"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single" w:sz="12" w:space="0" w:color="auto"/>
              <w:right w:val="nil"/>
            </w:tcBorders>
          </w:tcPr>
          <w:p w14:paraId="1AB2100F"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0.526</w:t>
            </w:r>
          </w:p>
        </w:tc>
        <w:tc>
          <w:tcPr>
            <w:tcW w:w="563" w:type="pct"/>
            <w:tcBorders>
              <w:top w:val="nil"/>
              <w:left w:val="nil"/>
              <w:bottom w:val="single" w:sz="12" w:space="0" w:color="auto"/>
              <w:right w:val="nil"/>
            </w:tcBorders>
          </w:tcPr>
          <w:p w14:paraId="3C1ECFF7"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0.521</w:t>
            </w:r>
          </w:p>
        </w:tc>
        <w:tc>
          <w:tcPr>
            <w:tcW w:w="563" w:type="pct"/>
            <w:tcBorders>
              <w:top w:val="nil"/>
              <w:left w:val="nil"/>
              <w:bottom w:val="single" w:sz="12" w:space="0" w:color="auto"/>
              <w:right w:val="nil"/>
            </w:tcBorders>
          </w:tcPr>
          <w:p w14:paraId="051CF945"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0.521</w:t>
            </w:r>
          </w:p>
        </w:tc>
        <w:tc>
          <w:tcPr>
            <w:tcW w:w="563" w:type="pct"/>
            <w:tcBorders>
              <w:top w:val="nil"/>
              <w:left w:val="nil"/>
              <w:bottom w:val="single" w:sz="12" w:space="0" w:color="auto"/>
              <w:right w:val="nil"/>
            </w:tcBorders>
          </w:tcPr>
          <w:p w14:paraId="43938AEE"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0.528</w:t>
            </w:r>
          </w:p>
        </w:tc>
        <w:tc>
          <w:tcPr>
            <w:tcW w:w="563" w:type="pct"/>
            <w:tcBorders>
              <w:top w:val="nil"/>
              <w:left w:val="nil"/>
              <w:bottom w:val="single" w:sz="12" w:space="0" w:color="auto"/>
              <w:right w:val="nil"/>
            </w:tcBorders>
          </w:tcPr>
          <w:p w14:paraId="0E45B584" w14:textId="77777777" w:rsidR="00984E59" w:rsidRPr="006C74D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6C74D8">
              <w:rPr>
                <w:rFonts w:ascii="Times New Roman" w:hAnsi="Times New Roman"/>
                <w:sz w:val="16"/>
                <w:szCs w:val="16"/>
                <w:lang w:val="en-US"/>
              </w:rPr>
              <w:t>0.522</w:t>
            </w:r>
          </w:p>
        </w:tc>
      </w:tr>
      <w:tr w:rsidR="00984E59" w:rsidRPr="008E3FE6" w14:paraId="52703C44" w14:textId="77777777" w:rsidTr="004B57AB">
        <w:tc>
          <w:tcPr>
            <w:tcW w:w="5000" w:type="pct"/>
            <w:gridSpan w:val="7"/>
            <w:tcBorders>
              <w:top w:val="single" w:sz="12" w:space="0" w:color="auto"/>
              <w:left w:val="nil"/>
              <w:bottom w:val="single" w:sz="8" w:space="0" w:color="auto"/>
              <w:right w:val="nil"/>
            </w:tcBorders>
          </w:tcPr>
          <w:p w14:paraId="7C93F022" w14:textId="77777777" w:rsidR="00984E59" w:rsidRPr="006C74D8"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i/>
                <w:sz w:val="16"/>
                <w:szCs w:val="16"/>
                <w:lang w:val="en-US"/>
              </w:rPr>
              <w:t>Panel B: Impacts of PCCIs, and BSCOM on CCPE</w:t>
            </w:r>
          </w:p>
        </w:tc>
      </w:tr>
      <w:tr w:rsidR="00984E59" w:rsidRPr="0049337B" w14:paraId="1ECAABCF" w14:textId="77777777" w:rsidTr="004B57AB">
        <w:tc>
          <w:tcPr>
            <w:tcW w:w="1621" w:type="pct"/>
            <w:tcBorders>
              <w:top w:val="single" w:sz="8" w:space="0" w:color="auto"/>
              <w:left w:val="nil"/>
              <w:bottom w:val="nil"/>
              <w:right w:val="nil"/>
            </w:tcBorders>
          </w:tcPr>
          <w:p w14:paraId="36C4D68B" w14:textId="77777777" w:rsidR="00984E59" w:rsidRPr="0049337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single" w:sz="8" w:space="0" w:color="auto"/>
              <w:left w:val="nil"/>
              <w:bottom w:val="nil"/>
              <w:right w:val="nil"/>
            </w:tcBorders>
          </w:tcPr>
          <w:p w14:paraId="3867642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w:t>
            </w:r>
          </w:p>
        </w:tc>
        <w:tc>
          <w:tcPr>
            <w:tcW w:w="563" w:type="pct"/>
            <w:tcBorders>
              <w:top w:val="single" w:sz="8" w:space="0" w:color="auto"/>
              <w:left w:val="nil"/>
              <w:bottom w:val="nil"/>
              <w:right w:val="nil"/>
            </w:tcBorders>
          </w:tcPr>
          <w:p w14:paraId="717A9F0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(2)</w:t>
            </w:r>
          </w:p>
        </w:tc>
        <w:tc>
          <w:tcPr>
            <w:tcW w:w="563" w:type="pct"/>
            <w:tcBorders>
              <w:top w:val="single" w:sz="8" w:space="0" w:color="auto"/>
              <w:left w:val="nil"/>
              <w:bottom w:val="nil"/>
              <w:right w:val="nil"/>
            </w:tcBorders>
          </w:tcPr>
          <w:p w14:paraId="0833045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(3)</w:t>
            </w:r>
          </w:p>
        </w:tc>
        <w:tc>
          <w:tcPr>
            <w:tcW w:w="563" w:type="pct"/>
            <w:tcBorders>
              <w:top w:val="single" w:sz="8" w:space="0" w:color="auto"/>
              <w:left w:val="nil"/>
              <w:bottom w:val="nil"/>
              <w:right w:val="nil"/>
            </w:tcBorders>
          </w:tcPr>
          <w:p w14:paraId="2839632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(4)</w:t>
            </w:r>
          </w:p>
        </w:tc>
        <w:tc>
          <w:tcPr>
            <w:tcW w:w="563" w:type="pct"/>
            <w:tcBorders>
              <w:top w:val="single" w:sz="8" w:space="0" w:color="auto"/>
              <w:left w:val="nil"/>
              <w:bottom w:val="nil"/>
              <w:right w:val="nil"/>
            </w:tcBorders>
          </w:tcPr>
          <w:p w14:paraId="3C9EA7B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(5)</w:t>
            </w:r>
          </w:p>
        </w:tc>
        <w:tc>
          <w:tcPr>
            <w:tcW w:w="563" w:type="pct"/>
            <w:tcBorders>
              <w:top w:val="single" w:sz="8" w:space="0" w:color="auto"/>
              <w:left w:val="nil"/>
              <w:bottom w:val="nil"/>
              <w:right w:val="nil"/>
            </w:tcBorders>
          </w:tcPr>
          <w:p w14:paraId="2D93EBD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(6)</w:t>
            </w:r>
          </w:p>
        </w:tc>
      </w:tr>
      <w:tr w:rsidR="00984E59" w:rsidRPr="0049337B" w14:paraId="22AD4689" w14:textId="77777777" w:rsidTr="004B57AB">
        <w:tc>
          <w:tcPr>
            <w:tcW w:w="1621" w:type="pct"/>
            <w:tcBorders>
              <w:top w:val="nil"/>
              <w:left w:val="nil"/>
              <w:bottom w:val="single" w:sz="8" w:space="0" w:color="auto"/>
              <w:right w:val="nil"/>
            </w:tcBorders>
          </w:tcPr>
          <w:p w14:paraId="602DF9D7" w14:textId="77777777" w:rsidR="00984E59" w:rsidRPr="0049337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single" w:sz="8" w:space="0" w:color="auto"/>
              <w:right w:val="nil"/>
            </w:tcBorders>
          </w:tcPr>
          <w:p w14:paraId="5ED69E8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nil"/>
              <w:left w:val="nil"/>
              <w:bottom w:val="single" w:sz="8" w:space="0" w:color="auto"/>
              <w:right w:val="nil"/>
            </w:tcBorders>
          </w:tcPr>
          <w:p w14:paraId="6A8D3AD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nil"/>
              <w:left w:val="nil"/>
              <w:bottom w:val="single" w:sz="8" w:space="0" w:color="auto"/>
              <w:right w:val="nil"/>
            </w:tcBorders>
          </w:tcPr>
          <w:p w14:paraId="4717767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nil"/>
              <w:left w:val="nil"/>
              <w:bottom w:val="single" w:sz="8" w:space="0" w:color="auto"/>
              <w:right w:val="nil"/>
            </w:tcBorders>
          </w:tcPr>
          <w:p w14:paraId="6A279E3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nil"/>
              <w:left w:val="nil"/>
              <w:bottom w:val="single" w:sz="8" w:space="0" w:color="auto"/>
              <w:right w:val="nil"/>
            </w:tcBorders>
          </w:tcPr>
          <w:p w14:paraId="0CECD98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563" w:type="pct"/>
            <w:tcBorders>
              <w:top w:val="nil"/>
              <w:left w:val="nil"/>
              <w:bottom w:val="single" w:sz="8" w:space="0" w:color="auto"/>
              <w:right w:val="nil"/>
            </w:tcBorders>
          </w:tcPr>
          <w:p w14:paraId="7560EE9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r>
      <w:tr w:rsidR="00984E59" w:rsidRPr="0049337B" w14:paraId="2D194B64" w14:textId="77777777" w:rsidTr="004B57AB">
        <w:tc>
          <w:tcPr>
            <w:tcW w:w="1621" w:type="pct"/>
            <w:tcBorders>
              <w:top w:val="single" w:sz="8" w:space="0" w:color="auto"/>
              <w:left w:val="nil"/>
              <w:bottom w:val="nil"/>
              <w:right w:val="nil"/>
            </w:tcBorders>
          </w:tcPr>
          <w:p w14:paraId="6C77B408"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 xml:space="preserve">PCCIs </w:t>
            </w:r>
            <w:r w:rsidRPr="00AF4487">
              <w:rPr>
                <w:rFonts w:ascii="Times New Roman" w:hAnsi="Times New Roman"/>
                <w:i/>
                <w:sz w:val="16"/>
                <w:szCs w:val="16"/>
                <w:vertAlign w:val="subscript"/>
                <w:lang w:val="en-US"/>
              </w:rPr>
              <w:t>t-1</w:t>
            </w:r>
          </w:p>
        </w:tc>
        <w:tc>
          <w:tcPr>
            <w:tcW w:w="563" w:type="pct"/>
            <w:tcBorders>
              <w:top w:val="single" w:sz="8" w:space="0" w:color="auto"/>
              <w:left w:val="nil"/>
              <w:bottom w:val="nil"/>
              <w:right w:val="nil"/>
            </w:tcBorders>
          </w:tcPr>
          <w:p w14:paraId="474294E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0.008</w:t>
            </w:r>
            <w:r w:rsidRPr="00791956">
              <w:rPr>
                <w:rFonts w:ascii="Times New Roman" w:hAnsi="Times New Roman"/>
                <w:sz w:val="16"/>
                <w:szCs w:val="16"/>
                <w:lang w:val="en-US"/>
              </w:rPr>
              <w:t>***</w:t>
            </w:r>
          </w:p>
        </w:tc>
        <w:tc>
          <w:tcPr>
            <w:tcW w:w="563" w:type="pct"/>
            <w:tcBorders>
              <w:top w:val="single" w:sz="8" w:space="0" w:color="auto"/>
              <w:left w:val="nil"/>
              <w:bottom w:val="nil"/>
              <w:right w:val="nil"/>
            </w:tcBorders>
          </w:tcPr>
          <w:p w14:paraId="605882B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3E9C9EC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0.007</w:t>
            </w:r>
            <w:r w:rsidRPr="00791956">
              <w:rPr>
                <w:rFonts w:ascii="Times New Roman" w:hAnsi="Times New Roman"/>
                <w:sz w:val="16"/>
                <w:szCs w:val="16"/>
                <w:lang w:val="en-US"/>
              </w:rPr>
              <w:t>***</w:t>
            </w:r>
          </w:p>
        </w:tc>
        <w:tc>
          <w:tcPr>
            <w:tcW w:w="563" w:type="pct"/>
            <w:tcBorders>
              <w:top w:val="single" w:sz="8" w:space="0" w:color="auto"/>
              <w:left w:val="nil"/>
              <w:bottom w:val="nil"/>
              <w:right w:val="nil"/>
            </w:tcBorders>
          </w:tcPr>
          <w:p w14:paraId="1983CD0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705E2B4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single" w:sz="8" w:space="0" w:color="auto"/>
              <w:left w:val="nil"/>
              <w:bottom w:val="nil"/>
              <w:right w:val="nil"/>
            </w:tcBorders>
          </w:tcPr>
          <w:p w14:paraId="67AE846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05CB5F8C" w14:textId="77777777" w:rsidTr="004B57AB">
        <w:tc>
          <w:tcPr>
            <w:tcW w:w="1621" w:type="pct"/>
            <w:tcBorders>
              <w:top w:val="nil"/>
              <w:left w:val="nil"/>
              <w:bottom w:val="nil"/>
              <w:right w:val="nil"/>
            </w:tcBorders>
          </w:tcPr>
          <w:p w14:paraId="3E6E001D"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1D0728A3"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(12.09)</w:t>
            </w:r>
          </w:p>
        </w:tc>
        <w:tc>
          <w:tcPr>
            <w:tcW w:w="563" w:type="pct"/>
            <w:tcBorders>
              <w:top w:val="nil"/>
              <w:left w:val="nil"/>
              <w:bottom w:val="nil"/>
              <w:right w:val="nil"/>
            </w:tcBorders>
          </w:tcPr>
          <w:p w14:paraId="36AEAF5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68A347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(11.25)</w:t>
            </w:r>
          </w:p>
        </w:tc>
        <w:tc>
          <w:tcPr>
            <w:tcW w:w="563" w:type="pct"/>
            <w:tcBorders>
              <w:top w:val="nil"/>
              <w:left w:val="nil"/>
              <w:bottom w:val="nil"/>
              <w:right w:val="nil"/>
            </w:tcBorders>
          </w:tcPr>
          <w:p w14:paraId="5F0B7D1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6CBB11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F561E0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03CCF8FF" w14:textId="77777777" w:rsidTr="004B57AB">
        <w:tc>
          <w:tcPr>
            <w:tcW w:w="1621" w:type="pct"/>
            <w:tcBorders>
              <w:top w:val="nil"/>
              <w:left w:val="nil"/>
              <w:bottom w:val="nil"/>
              <w:right w:val="nil"/>
            </w:tcBorders>
          </w:tcPr>
          <w:p w14:paraId="661D1F47"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t-1</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0645C11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0.001</w:t>
            </w:r>
          </w:p>
        </w:tc>
        <w:tc>
          <w:tcPr>
            <w:tcW w:w="563" w:type="pct"/>
            <w:tcBorders>
              <w:top w:val="nil"/>
              <w:left w:val="nil"/>
              <w:bottom w:val="nil"/>
              <w:right w:val="nil"/>
            </w:tcBorders>
          </w:tcPr>
          <w:p w14:paraId="3D0D17B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A54E16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0.001</w:t>
            </w:r>
          </w:p>
        </w:tc>
        <w:tc>
          <w:tcPr>
            <w:tcW w:w="563" w:type="pct"/>
            <w:tcBorders>
              <w:top w:val="nil"/>
              <w:left w:val="nil"/>
              <w:bottom w:val="nil"/>
              <w:right w:val="nil"/>
            </w:tcBorders>
          </w:tcPr>
          <w:p w14:paraId="65586FF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CCCCD2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7E7D46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2C62738F" w14:textId="77777777" w:rsidTr="004B57AB">
        <w:tc>
          <w:tcPr>
            <w:tcW w:w="1621" w:type="pct"/>
            <w:tcBorders>
              <w:top w:val="nil"/>
              <w:left w:val="nil"/>
              <w:bottom w:val="nil"/>
              <w:right w:val="nil"/>
            </w:tcBorders>
          </w:tcPr>
          <w:p w14:paraId="6979063B"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62F0FD1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(0.64)</w:t>
            </w:r>
          </w:p>
        </w:tc>
        <w:tc>
          <w:tcPr>
            <w:tcW w:w="563" w:type="pct"/>
            <w:tcBorders>
              <w:top w:val="nil"/>
              <w:left w:val="nil"/>
              <w:bottom w:val="nil"/>
              <w:right w:val="nil"/>
            </w:tcBorders>
          </w:tcPr>
          <w:p w14:paraId="522A5EA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E7D295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(0.73)</w:t>
            </w:r>
          </w:p>
        </w:tc>
        <w:tc>
          <w:tcPr>
            <w:tcW w:w="563" w:type="pct"/>
            <w:tcBorders>
              <w:top w:val="nil"/>
              <w:left w:val="nil"/>
              <w:bottom w:val="nil"/>
              <w:right w:val="nil"/>
            </w:tcBorders>
          </w:tcPr>
          <w:p w14:paraId="62A6F8A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A9E95B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0E2159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6360B9F7" w14:textId="77777777" w:rsidTr="004B57AB">
        <w:tc>
          <w:tcPr>
            <w:tcW w:w="1621" w:type="pct"/>
            <w:tcBorders>
              <w:top w:val="nil"/>
              <w:left w:val="nil"/>
              <w:bottom w:val="nil"/>
              <w:right w:val="nil"/>
            </w:tcBorders>
          </w:tcPr>
          <w:p w14:paraId="57F7EF9E"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5DB062D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2CD38F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0.177</w:t>
            </w:r>
            <w:r w:rsidRPr="00791956">
              <w:rPr>
                <w:rFonts w:ascii="Times New Roman" w:hAnsi="Times New Roman"/>
                <w:sz w:val="16"/>
                <w:szCs w:val="16"/>
                <w:lang w:val="en-US"/>
              </w:rPr>
              <w:t>***</w:t>
            </w:r>
          </w:p>
        </w:tc>
        <w:tc>
          <w:tcPr>
            <w:tcW w:w="563" w:type="pct"/>
            <w:tcBorders>
              <w:top w:val="nil"/>
              <w:left w:val="nil"/>
              <w:bottom w:val="nil"/>
              <w:right w:val="nil"/>
            </w:tcBorders>
          </w:tcPr>
          <w:p w14:paraId="260F013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0.102</w:t>
            </w:r>
            <w:r w:rsidRPr="00791956">
              <w:rPr>
                <w:rFonts w:ascii="Times New Roman" w:hAnsi="Times New Roman"/>
                <w:sz w:val="16"/>
                <w:szCs w:val="16"/>
                <w:lang w:val="en-US"/>
              </w:rPr>
              <w:t>**</w:t>
            </w:r>
          </w:p>
        </w:tc>
        <w:tc>
          <w:tcPr>
            <w:tcW w:w="563" w:type="pct"/>
            <w:tcBorders>
              <w:top w:val="nil"/>
              <w:left w:val="nil"/>
              <w:bottom w:val="nil"/>
              <w:right w:val="nil"/>
            </w:tcBorders>
          </w:tcPr>
          <w:p w14:paraId="28ADAE1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9FD44E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44A59B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390D3033" w14:textId="77777777" w:rsidTr="004B57AB">
        <w:tc>
          <w:tcPr>
            <w:tcW w:w="1621" w:type="pct"/>
            <w:tcBorders>
              <w:top w:val="nil"/>
              <w:left w:val="nil"/>
              <w:bottom w:val="nil"/>
              <w:right w:val="nil"/>
            </w:tcBorders>
          </w:tcPr>
          <w:p w14:paraId="10CB1592"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5A07378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1EA772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(4.12)</w:t>
            </w:r>
          </w:p>
        </w:tc>
        <w:tc>
          <w:tcPr>
            <w:tcW w:w="563" w:type="pct"/>
            <w:tcBorders>
              <w:top w:val="nil"/>
              <w:left w:val="nil"/>
              <w:bottom w:val="nil"/>
              <w:right w:val="nil"/>
            </w:tcBorders>
          </w:tcPr>
          <w:p w14:paraId="7AE9308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(2.19)</w:t>
            </w:r>
          </w:p>
        </w:tc>
        <w:tc>
          <w:tcPr>
            <w:tcW w:w="563" w:type="pct"/>
            <w:tcBorders>
              <w:top w:val="nil"/>
              <w:left w:val="nil"/>
              <w:bottom w:val="nil"/>
              <w:right w:val="nil"/>
            </w:tcBorders>
          </w:tcPr>
          <w:p w14:paraId="5EF8DCA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C35D28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7D95E8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0B124299" w14:textId="77777777" w:rsidTr="004B57AB">
        <w:tc>
          <w:tcPr>
            <w:tcW w:w="1621" w:type="pct"/>
            <w:tcBorders>
              <w:top w:val="nil"/>
              <w:left w:val="nil"/>
              <w:bottom w:val="nil"/>
              <w:right w:val="nil"/>
            </w:tcBorders>
          </w:tcPr>
          <w:p w14:paraId="49FEDA5C"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 xml:space="preserve">BSCOM </w:t>
            </w:r>
            <w:r w:rsidRPr="00AF4487">
              <w:rPr>
                <w:rFonts w:ascii="Times New Roman" w:hAnsi="Times New Roman"/>
                <w:i/>
                <w:sz w:val="16"/>
                <w:szCs w:val="16"/>
                <w:vertAlign w:val="subscript"/>
                <w:lang w:val="en-US"/>
              </w:rPr>
              <w:t>t-1</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510BE05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FAAA9D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0.001</w:t>
            </w:r>
          </w:p>
        </w:tc>
        <w:tc>
          <w:tcPr>
            <w:tcW w:w="563" w:type="pct"/>
            <w:tcBorders>
              <w:top w:val="nil"/>
              <w:left w:val="nil"/>
              <w:bottom w:val="nil"/>
              <w:right w:val="nil"/>
            </w:tcBorders>
          </w:tcPr>
          <w:p w14:paraId="6143AD4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-0.090</w:t>
            </w:r>
          </w:p>
        </w:tc>
        <w:tc>
          <w:tcPr>
            <w:tcW w:w="563" w:type="pct"/>
            <w:tcBorders>
              <w:top w:val="nil"/>
              <w:left w:val="nil"/>
              <w:bottom w:val="nil"/>
              <w:right w:val="nil"/>
            </w:tcBorders>
          </w:tcPr>
          <w:p w14:paraId="7C5C1BE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4A7E20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796464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326A8D68" w14:textId="77777777" w:rsidTr="004B57AB">
        <w:tc>
          <w:tcPr>
            <w:tcW w:w="1621" w:type="pct"/>
            <w:tcBorders>
              <w:top w:val="nil"/>
              <w:left w:val="nil"/>
              <w:bottom w:val="nil"/>
              <w:right w:val="nil"/>
            </w:tcBorders>
          </w:tcPr>
          <w:p w14:paraId="56919B48"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2AFEFFB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3A59C5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(0.02)</w:t>
            </w:r>
          </w:p>
        </w:tc>
        <w:tc>
          <w:tcPr>
            <w:tcW w:w="563" w:type="pct"/>
            <w:tcBorders>
              <w:top w:val="nil"/>
              <w:left w:val="nil"/>
              <w:bottom w:val="nil"/>
              <w:right w:val="nil"/>
            </w:tcBorders>
          </w:tcPr>
          <w:p w14:paraId="536AEB8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(-1.02)</w:t>
            </w:r>
          </w:p>
        </w:tc>
        <w:tc>
          <w:tcPr>
            <w:tcW w:w="563" w:type="pct"/>
            <w:tcBorders>
              <w:top w:val="nil"/>
              <w:left w:val="nil"/>
              <w:bottom w:val="nil"/>
              <w:right w:val="nil"/>
            </w:tcBorders>
          </w:tcPr>
          <w:p w14:paraId="47D9750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C6C4E9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2109D2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550088DB" w14:textId="77777777" w:rsidTr="004B57AB">
        <w:tc>
          <w:tcPr>
            <w:tcW w:w="1621" w:type="pct"/>
            <w:tcBorders>
              <w:top w:val="nil"/>
              <w:left w:val="nil"/>
              <w:bottom w:val="nil"/>
              <w:right w:val="nil"/>
            </w:tcBorders>
          </w:tcPr>
          <w:p w14:paraId="3CBFA240"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t-1</w:t>
            </w: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1EC0586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40D2C0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85E1D7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-0.000</w:t>
            </w:r>
          </w:p>
        </w:tc>
        <w:tc>
          <w:tcPr>
            <w:tcW w:w="563" w:type="pct"/>
            <w:tcBorders>
              <w:top w:val="nil"/>
              <w:left w:val="nil"/>
              <w:bottom w:val="nil"/>
              <w:right w:val="nil"/>
            </w:tcBorders>
          </w:tcPr>
          <w:p w14:paraId="6D9D6F2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BBD9D2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442E2B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1B60289F" w14:textId="77777777" w:rsidTr="004B57AB">
        <w:tc>
          <w:tcPr>
            <w:tcW w:w="1621" w:type="pct"/>
            <w:tcBorders>
              <w:top w:val="nil"/>
              <w:left w:val="nil"/>
              <w:bottom w:val="nil"/>
              <w:right w:val="nil"/>
            </w:tcBorders>
          </w:tcPr>
          <w:p w14:paraId="108F1580"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5C387E1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E4AAAE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18B124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(-0.24)</w:t>
            </w:r>
          </w:p>
        </w:tc>
        <w:tc>
          <w:tcPr>
            <w:tcW w:w="563" w:type="pct"/>
            <w:tcBorders>
              <w:top w:val="nil"/>
              <w:left w:val="nil"/>
              <w:bottom w:val="nil"/>
              <w:right w:val="nil"/>
            </w:tcBorders>
          </w:tcPr>
          <w:p w14:paraId="1F48BD4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49323D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BD1D18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6030B91C" w14:textId="77777777" w:rsidTr="004B57AB">
        <w:tc>
          <w:tcPr>
            <w:tcW w:w="1621" w:type="pct"/>
            <w:tcBorders>
              <w:top w:val="nil"/>
              <w:left w:val="nil"/>
              <w:bottom w:val="nil"/>
              <w:right w:val="nil"/>
            </w:tcBorders>
          </w:tcPr>
          <w:p w14:paraId="530329E9"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t-1</w:t>
            </w: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t-1</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3B6BBAC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EE9CDD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A8AB7F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-0.002</w:t>
            </w:r>
          </w:p>
        </w:tc>
        <w:tc>
          <w:tcPr>
            <w:tcW w:w="563" w:type="pct"/>
            <w:tcBorders>
              <w:top w:val="nil"/>
              <w:left w:val="nil"/>
              <w:bottom w:val="nil"/>
              <w:right w:val="nil"/>
            </w:tcBorders>
          </w:tcPr>
          <w:p w14:paraId="16C0C9D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D0CE72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30D4C3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35D15875" w14:textId="77777777" w:rsidTr="004B57AB">
        <w:tc>
          <w:tcPr>
            <w:tcW w:w="1621" w:type="pct"/>
            <w:tcBorders>
              <w:top w:val="nil"/>
              <w:left w:val="nil"/>
              <w:bottom w:val="nil"/>
              <w:right w:val="nil"/>
            </w:tcBorders>
          </w:tcPr>
          <w:p w14:paraId="483A41C3"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7DF9A07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C8DF22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C8EFAC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(-0.73)</w:t>
            </w:r>
          </w:p>
        </w:tc>
        <w:tc>
          <w:tcPr>
            <w:tcW w:w="563" w:type="pct"/>
            <w:tcBorders>
              <w:top w:val="nil"/>
              <w:left w:val="nil"/>
              <w:bottom w:val="nil"/>
              <w:right w:val="nil"/>
            </w:tcBorders>
          </w:tcPr>
          <w:p w14:paraId="3436E0C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85A3F9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9470D2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2EB33D85" w14:textId="77777777" w:rsidTr="004B57AB">
        <w:tc>
          <w:tcPr>
            <w:tcW w:w="1621" w:type="pct"/>
            <w:tcBorders>
              <w:top w:val="nil"/>
              <w:left w:val="nil"/>
              <w:bottom w:val="nil"/>
              <w:right w:val="nil"/>
            </w:tcBorders>
          </w:tcPr>
          <w:p w14:paraId="3B3B4391"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EUETS</w:t>
            </w:r>
            <w:r>
              <w:rPr>
                <w:rFonts w:ascii="Times New Roman" w:hAnsi="Times New Roman"/>
                <w:i/>
                <w:sz w:val="16"/>
                <w:szCs w:val="16"/>
                <w:vertAlign w:val="subscript"/>
                <w:lang w:val="en-US"/>
              </w:rPr>
              <w:t xml:space="preserve"> t-1</w:t>
            </w:r>
          </w:p>
        </w:tc>
        <w:tc>
          <w:tcPr>
            <w:tcW w:w="563" w:type="pct"/>
            <w:tcBorders>
              <w:top w:val="nil"/>
              <w:left w:val="nil"/>
              <w:bottom w:val="nil"/>
              <w:right w:val="nil"/>
            </w:tcBorders>
          </w:tcPr>
          <w:p w14:paraId="6B9BDAF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-0.546</w:t>
            </w:r>
            <w:r w:rsidRPr="00791956">
              <w:rPr>
                <w:rFonts w:ascii="Times New Roman" w:hAnsi="Times New Roman"/>
                <w:sz w:val="16"/>
                <w:szCs w:val="16"/>
                <w:lang w:val="en-US"/>
              </w:rPr>
              <w:t>***</w:t>
            </w:r>
          </w:p>
        </w:tc>
        <w:tc>
          <w:tcPr>
            <w:tcW w:w="563" w:type="pct"/>
            <w:tcBorders>
              <w:top w:val="nil"/>
              <w:left w:val="nil"/>
              <w:bottom w:val="nil"/>
              <w:right w:val="nil"/>
            </w:tcBorders>
          </w:tcPr>
          <w:p w14:paraId="552BB53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-0.570</w:t>
            </w:r>
            <w:r w:rsidRPr="00791956">
              <w:rPr>
                <w:rFonts w:ascii="Times New Roman" w:hAnsi="Times New Roman"/>
                <w:sz w:val="16"/>
                <w:szCs w:val="16"/>
                <w:lang w:val="en-US"/>
              </w:rPr>
              <w:t>***</w:t>
            </w:r>
          </w:p>
        </w:tc>
        <w:tc>
          <w:tcPr>
            <w:tcW w:w="563" w:type="pct"/>
            <w:tcBorders>
              <w:top w:val="nil"/>
              <w:left w:val="nil"/>
              <w:bottom w:val="nil"/>
              <w:right w:val="nil"/>
            </w:tcBorders>
          </w:tcPr>
          <w:p w14:paraId="08D381C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-0.541</w:t>
            </w:r>
            <w:r w:rsidRPr="00791956">
              <w:rPr>
                <w:rFonts w:ascii="Times New Roman" w:hAnsi="Times New Roman"/>
                <w:sz w:val="16"/>
                <w:szCs w:val="16"/>
                <w:lang w:val="en-US"/>
              </w:rPr>
              <w:t>***</w:t>
            </w:r>
          </w:p>
        </w:tc>
        <w:tc>
          <w:tcPr>
            <w:tcW w:w="563" w:type="pct"/>
            <w:tcBorders>
              <w:top w:val="nil"/>
              <w:left w:val="nil"/>
              <w:bottom w:val="nil"/>
              <w:right w:val="nil"/>
            </w:tcBorders>
          </w:tcPr>
          <w:p w14:paraId="3525983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E4E2EC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8667C1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7729A821" w14:textId="77777777" w:rsidTr="004B57AB">
        <w:tc>
          <w:tcPr>
            <w:tcW w:w="1621" w:type="pct"/>
            <w:tcBorders>
              <w:top w:val="nil"/>
              <w:left w:val="nil"/>
              <w:bottom w:val="nil"/>
              <w:right w:val="nil"/>
            </w:tcBorders>
          </w:tcPr>
          <w:p w14:paraId="2D4BF5E1"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5624750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(-7.32)</w:t>
            </w:r>
          </w:p>
        </w:tc>
        <w:tc>
          <w:tcPr>
            <w:tcW w:w="563" w:type="pct"/>
            <w:tcBorders>
              <w:top w:val="nil"/>
              <w:left w:val="nil"/>
              <w:bottom w:val="nil"/>
              <w:right w:val="nil"/>
            </w:tcBorders>
          </w:tcPr>
          <w:p w14:paraId="4FAB7C6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(-7.54)</w:t>
            </w:r>
          </w:p>
        </w:tc>
        <w:tc>
          <w:tcPr>
            <w:tcW w:w="563" w:type="pct"/>
            <w:tcBorders>
              <w:top w:val="nil"/>
              <w:left w:val="nil"/>
              <w:bottom w:val="nil"/>
              <w:right w:val="nil"/>
            </w:tcBorders>
          </w:tcPr>
          <w:p w14:paraId="00CFEE2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(-7.14)</w:t>
            </w:r>
          </w:p>
        </w:tc>
        <w:tc>
          <w:tcPr>
            <w:tcW w:w="563" w:type="pct"/>
            <w:tcBorders>
              <w:top w:val="nil"/>
              <w:left w:val="nil"/>
              <w:bottom w:val="nil"/>
              <w:right w:val="nil"/>
            </w:tcBorders>
          </w:tcPr>
          <w:p w14:paraId="43F0489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41E0E2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0116A5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49337B" w14:paraId="1590F965" w14:textId="77777777" w:rsidTr="004B57AB">
        <w:tc>
          <w:tcPr>
            <w:tcW w:w="1621" w:type="pct"/>
            <w:tcBorders>
              <w:top w:val="nil"/>
              <w:left w:val="nil"/>
              <w:bottom w:val="nil"/>
              <w:right w:val="nil"/>
            </w:tcBorders>
          </w:tcPr>
          <w:p w14:paraId="1423E4FD"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4014801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D821B4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35DBD2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E2F325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0.007</w:t>
            </w:r>
            <w:r w:rsidRPr="00791956">
              <w:rPr>
                <w:rFonts w:ascii="Times New Roman" w:hAnsi="Times New Roman"/>
                <w:sz w:val="16"/>
                <w:szCs w:val="16"/>
                <w:lang w:val="en-US"/>
              </w:rPr>
              <w:t>***</w:t>
            </w:r>
          </w:p>
        </w:tc>
        <w:tc>
          <w:tcPr>
            <w:tcW w:w="563" w:type="pct"/>
            <w:tcBorders>
              <w:top w:val="nil"/>
              <w:left w:val="nil"/>
              <w:bottom w:val="nil"/>
              <w:right w:val="nil"/>
            </w:tcBorders>
          </w:tcPr>
          <w:p w14:paraId="63AB79B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469453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0.007</w:t>
            </w:r>
            <w:r w:rsidRPr="00791956">
              <w:rPr>
                <w:rFonts w:ascii="Times New Roman" w:hAnsi="Times New Roman"/>
                <w:sz w:val="16"/>
                <w:szCs w:val="16"/>
                <w:lang w:val="en-US"/>
              </w:rPr>
              <w:t>***</w:t>
            </w:r>
          </w:p>
        </w:tc>
      </w:tr>
      <w:tr w:rsidR="00984E59" w:rsidRPr="0049337B" w14:paraId="4EF654B6" w14:textId="77777777" w:rsidTr="004B57AB">
        <w:tc>
          <w:tcPr>
            <w:tcW w:w="1621" w:type="pct"/>
            <w:tcBorders>
              <w:top w:val="nil"/>
              <w:left w:val="nil"/>
              <w:bottom w:val="nil"/>
              <w:right w:val="nil"/>
            </w:tcBorders>
          </w:tcPr>
          <w:p w14:paraId="75BC43D2"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5282CEF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F4AC75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2CE979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A9987C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(10.86)</w:t>
            </w:r>
          </w:p>
        </w:tc>
        <w:tc>
          <w:tcPr>
            <w:tcW w:w="563" w:type="pct"/>
            <w:tcBorders>
              <w:top w:val="nil"/>
              <w:left w:val="nil"/>
              <w:bottom w:val="nil"/>
              <w:right w:val="nil"/>
            </w:tcBorders>
          </w:tcPr>
          <w:p w14:paraId="6EFB42C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83E740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(10.12)</w:t>
            </w:r>
          </w:p>
        </w:tc>
      </w:tr>
      <w:tr w:rsidR="00984E59" w:rsidRPr="0049337B" w14:paraId="6E234748" w14:textId="77777777" w:rsidTr="004B57AB">
        <w:tc>
          <w:tcPr>
            <w:tcW w:w="1621" w:type="pct"/>
            <w:tcBorders>
              <w:top w:val="nil"/>
              <w:left w:val="nil"/>
              <w:bottom w:val="nil"/>
              <w:right w:val="nil"/>
            </w:tcBorders>
          </w:tcPr>
          <w:p w14:paraId="5B1CA2FB"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t-2</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74A5615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794C8A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1E2C4B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3A2CCE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0.001</w:t>
            </w:r>
          </w:p>
        </w:tc>
        <w:tc>
          <w:tcPr>
            <w:tcW w:w="563" w:type="pct"/>
            <w:tcBorders>
              <w:top w:val="nil"/>
              <w:left w:val="nil"/>
              <w:bottom w:val="nil"/>
              <w:right w:val="nil"/>
            </w:tcBorders>
          </w:tcPr>
          <w:p w14:paraId="379C453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11718E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0.000</w:t>
            </w:r>
          </w:p>
        </w:tc>
      </w:tr>
      <w:tr w:rsidR="00984E59" w:rsidRPr="0049337B" w14:paraId="6AA341F0" w14:textId="77777777" w:rsidTr="004B57AB">
        <w:tc>
          <w:tcPr>
            <w:tcW w:w="1621" w:type="pct"/>
            <w:tcBorders>
              <w:top w:val="nil"/>
              <w:left w:val="nil"/>
              <w:bottom w:val="nil"/>
              <w:right w:val="nil"/>
            </w:tcBorders>
          </w:tcPr>
          <w:p w14:paraId="5A728E8A"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77D3336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C67C623"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429371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C33F38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(0.56)</w:t>
            </w:r>
          </w:p>
        </w:tc>
        <w:tc>
          <w:tcPr>
            <w:tcW w:w="563" w:type="pct"/>
            <w:tcBorders>
              <w:top w:val="nil"/>
              <w:left w:val="nil"/>
              <w:bottom w:val="nil"/>
              <w:right w:val="nil"/>
            </w:tcBorders>
          </w:tcPr>
          <w:p w14:paraId="60127163"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E94B9A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(0.36)</w:t>
            </w:r>
          </w:p>
        </w:tc>
      </w:tr>
      <w:tr w:rsidR="00984E59" w:rsidRPr="0049337B" w14:paraId="46C420AA" w14:textId="77777777" w:rsidTr="004B57AB">
        <w:tc>
          <w:tcPr>
            <w:tcW w:w="1621" w:type="pct"/>
            <w:tcBorders>
              <w:top w:val="nil"/>
              <w:left w:val="nil"/>
              <w:bottom w:val="nil"/>
              <w:right w:val="nil"/>
            </w:tcBorders>
          </w:tcPr>
          <w:p w14:paraId="14258136"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7DDAB31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A15FF6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8F30DB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F6231B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51B476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0.149</w:t>
            </w:r>
            <w:r w:rsidRPr="00791956">
              <w:rPr>
                <w:rFonts w:ascii="Times New Roman" w:hAnsi="Times New Roman"/>
                <w:sz w:val="16"/>
                <w:szCs w:val="16"/>
                <w:lang w:val="en-US"/>
              </w:rPr>
              <w:t>***</w:t>
            </w:r>
          </w:p>
        </w:tc>
        <w:tc>
          <w:tcPr>
            <w:tcW w:w="563" w:type="pct"/>
            <w:tcBorders>
              <w:top w:val="nil"/>
              <w:left w:val="nil"/>
              <w:bottom w:val="nil"/>
              <w:right w:val="nil"/>
            </w:tcBorders>
          </w:tcPr>
          <w:p w14:paraId="628FEEA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0.080</w:t>
            </w:r>
            <w:r w:rsidRPr="00791956">
              <w:rPr>
                <w:rFonts w:ascii="Times New Roman" w:hAnsi="Times New Roman"/>
                <w:sz w:val="16"/>
                <w:szCs w:val="16"/>
                <w:lang w:val="en-US"/>
              </w:rPr>
              <w:t>*</w:t>
            </w:r>
          </w:p>
        </w:tc>
      </w:tr>
      <w:tr w:rsidR="00984E59" w:rsidRPr="0049337B" w14:paraId="23209A0A" w14:textId="77777777" w:rsidTr="004B57AB">
        <w:tc>
          <w:tcPr>
            <w:tcW w:w="1621" w:type="pct"/>
            <w:tcBorders>
              <w:top w:val="nil"/>
              <w:left w:val="nil"/>
              <w:bottom w:val="nil"/>
              <w:right w:val="nil"/>
            </w:tcBorders>
          </w:tcPr>
          <w:p w14:paraId="6D25EDFA"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63276FF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AFEBF4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9FCE64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61A0EF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0BD4B9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(3.44)</w:t>
            </w:r>
          </w:p>
        </w:tc>
        <w:tc>
          <w:tcPr>
            <w:tcW w:w="563" w:type="pct"/>
            <w:tcBorders>
              <w:top w:val="nil"/>
              <w:left w:val="nil"/>
              <w:bottom w:val="nil"/>
              <w:right w:val="nil"/>
            </w:tcBorders>
          </w:tcPr>
          <w:p w14:paraId="790A81C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(1.67)</w:t>
            </w:r>
          </w:p>
        </w:tc>
      </w:tr>
      <w:tr w:rsidR="00984E59" w:rsidRPr="0049337B" w14:paraId="16225419" w14:textId="77777777" w:rsidTr="004B57AB">
        <w:tc>
          <w:tcPr>
            <w:tcW w:w="1621" w:type="pct"/>
            <w:tcBorders>
              <w:top w:val="nil"/>
              <w:left w:val="nil"/>
              <w:bottom w:val="nil"/>
              <w:right w:val="nil"/>
            </w:tcBorders>
          </w:tcPr>
          <w:p w14:paraId="34C2373E"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t-2</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19CE158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21D756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F2DA63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54E75D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E0C1F4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0.044</w:t>
            </w:r>
          </w:p>
        </w:tc>
        <w:tc>
          <w:tcPr>
            <w:tcW w:w="563" w:type="pct"/>
            <w:tcBorders>
              <w:top w:val="nil"/>
              <w:left w:val="nil"/>
              <w:bottom w:val="nil"/>
              <w:right w:val="nil"/>
            </w:tcBorders>
          </w:tcPr>
          <w:p w14:paraId="02190D5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-0.053</w:t>
            </w:r>
          </w:p>
        </w:tc>
      </w:tr>
      <w:tr w:rsidR="00984E59" w:rsidRPr="0049337B" w14:paraId="4221C9E3" w14:textId="77777777" w:rsidTr="004B57AB">
        <w:tc>
          <w:tcPr>
            <w:tcW w:w="1621" w:type="pct"/>
            <w:tcBorders>
              <w:top w:val="nil"/>
              <w:left w:val="nil"/>
              <w:bottom w:val="nil"/>
              <w:right w:val="nil"/>
            </w:tcBorders>
          </w:tcPr>
          <w:p w14:paraId="3E00F61C"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45EE756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81AB31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355DF9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070447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DFFF03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(0.63)</w:t>
            </w:r>
          </w:p>
        </w:tc>
        <w:tc>
          <w:tcPr>
            <w:tcW w:w="563" w:type="pct"/>
            <w:tcBorders>
              <w:top w:val="nil"/>
              <w:left w:val="nil"/>
              <w:bottom w:val="nil"/>
              <w:right w:val="nil"/>
            </w:tcBorders>
          </w:tcPr>
          <w:p w14:paraId="7EB007A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(-0.57)</w:t>
            </w:r>
          </w:p>
        </w:tc>
      </w:tr>
      <w:tr w:rsidR="00984E59" w:rsidRPr="0049337B" w14:paraId="7E00F0DA" w14:textId="77777777" w:rsidTr="004B57AB">
        <w:tc>
          <w:tcPr>
            <w:tcW w:w="1621" w:type="pct"/>
            <w:tcBorders>
              <w:top w:val="nil"/>
              <w:left w:val="nil"/>
              <w:bottom w:val="nil"/>
              <w:right w:val="nil"/>
            </w:tcBorders>
          </w:tcPr>
          <w:p w14:paraId="254AE302"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t-2</w:t>
            </w: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44F3798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B89F38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6515B5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A28E5E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E08A09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C059A6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-0.000</w:t>
            </w:r>
          </w:p>
        </w:tc>
      </w:tr>
      <w:tr w:rsidR="00984E59" w:rsidRPr="0049337B" w14:paraId="496DF835" w14:textId="77777777" w:rsidTr="004B57AB">
        <w:tc>
          <w:tcPr>
            <w:tcW w:w="1621" w:type="pct"/>
            <w:tcBorders>
              <w:top w:val="nil"/>
              <w:left w:val="nil"/>
              <w:bottom w:val="nil"/>
              <w:right w:val="nil"/>
            </w:tcBorders>
          </w:tcPr>
          <w:p w14:paraId="0524C539"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6EAED01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3718E3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668E29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0CA81B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3DE496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1B3CA8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(-0.30)</w:t>
            </w:r>
          </w:p>
        </w:tc>
      </w:tr>
      <w:tr w:rsidR="00984E59" w:rsidRPr="0049337B" w14:paraId="6D188FC2" w14:textId="77777777" w:rsidTr="004B57AB">
        <w:tc>
          <w:tcPr>
            <w:tcW w:w="1621" w:type="pct"/>
            <w:tcBorders>
              <w:top w:val="nil"/>
              <w:left w:val="nil"/>
              <w:bottom w:val="nil"/>
              <w:right w:val="nil"/>
            </w:tcBorders>
          </w:tcPr>
          <w:p w14:paraId="1AD7EE8F"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Pr="00AF4487">
              <w:rPr>
                <w:rFonts w:ascii="Times New Roman" w:hAnsi="Times New Roman"/>
                <w:i/>
                <w:sz w:val="16"/>
                <w:szCs w:val="16"/>
                <w:vertAlign w:val="subscript"/>
                <w:lang w:val="en-US"/>
              </w:rPr>
              <w:t xml:space="preserve"> t-2</w:t>
            </w:r>
            <w:r w:rsidRPr="00AF4487">
              <w:rPr>
                <w:rFonts w:ascii="Times New Roman" w:hAnsi="Times New Roman"/>
                <w:sz w:val="16"/>
                <w:szCs w:val="16"/>
                <w:lang w:val="en-US"/>
              </w:rPr>
              <w:t>*BSCOM</w:t>
            </w:r>
            <w:r w:rsidRPr="00AF4487">
              <w:rPr>
                <w:rFonts w:ascii="Times New Roman" w:hAnsi="Times New Roman"/>
                <w:i/>
                <w:sz w:val="16"/>
                <w:szCs w:val="16"/>
                <w:vertAlign w:val="subscript"/>
                <w:lang w:val="en-US"/>
              </w:rPr>
              <w:t xml:space="preserve"> t-2</w:t>
            </w: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68E7AD9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1AFBDBF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B335A1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C1414C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96CCEE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E4A8D3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-0.003</w:t>
            </w:r>
          </w:p>
        </w:tc>
      </w:tr>
      <w:tr w:rsidR="00984E59" w:rsidRPr="0049337B" w14:paraId="7C844EFA" w14:textId="77777777" w:rsidTr="004B57AB">
        <w:tc>
          <w:tcPr>
            <w:tcW w:w="1621" w:type="pct"/>
            <w:tcBorders>
              <w:top w:val="nil"/>
              <w:left w:val="nil"/>
              <w:bottom w:val="nil"/>
              <w:right w:val="nil"/>
            </w:tcBorders>
          </w:tcPr>
          <w:p w14:paraId="624FED53"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2F50801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E4DC9C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494249E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0F19293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34FBD3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351B89D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(-1.01)</w:t>
            </w:r>
          </w:p>
        </w:tc>
      </w:tr>
      <w:tr w:rsidR="00984E59" w:rsidRPr="0049337B" w14:paraId="402F6DA6" w14:textId="77777777" w:rsidTr="004B57AB">
        <w:tc>
          <w:tcPr>
            <w:tcW w:w="1621" w:type="pct"/>
            <w:tcBorders>
              <w:top w:val="nil"/>
              <w:left w:val="nil"/>
              <w:bottom w:val="nil"/>
              <w:right w:val="nil"/>
            </w:tcBorders>
          </w:tcPr>
          <w:p w14:paraId="7AD6C467"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EUETS</w:t>
            </w:r>
            <w:r w:rsidRPr="00AF4487">
              <w:rPr>
                <w:rFonts w:ascii="Times New Roman" w:hAnsi="Times New Roman"/>
                <w:i/>
                <w:sz w:val="16"/>
                <w:szCs w:val="16"/>
                <w:vertAlign w:val="subscript"/>
                <w:lang w:val="en-US"/>
              </w:rPr>
              <w:t xml:space="preserve"> t-2</w:t>
            </w:r>
          </w:p>
        </w:tc>
        <w:tc>
          <w:tcPr>
            <w:tcW w:w="563" w:type="pct"/>
            <w:tcBorders>
              <w:top w:val="nil"/>
              <w:left w:val="nil"/>
              <w:bottom w:val="nil"/>
              <w:right w:val="nil"/>
            </w:tcBorders>
          </w:tcPr>
          <w:p w14:paraId="1C399FBA"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69B1633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5538C54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7DF4C50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-0.585</w:t>
            </w:r>
            <w:r w:rsidRPr="00791956">
              <w:rPr>
                <w:rFonts w:ascii="Times New Roman" w:hAnsi="Times New Roman"/>
                <w:sz w:val="16"/>
                <w:szCs w:val="16"/>
                <w:lang w:val="en-US"/>
              </w:rPr>
              <w:t>***</w:t>
            </w:r>
          </w:p>
        </w:tc>
        <w:tc>
          <w:tcPr>
            <w:tcW w:w="563" w:type="pct"/>
            <w:tcBorders>
              <w:top w:val="nil"/>
              <w:left w:val="nil"/>
              <w:bottom w:val="nil"/>
              <w:right w:val="nil"/>
            </w:tcBorders>
          </w:tcPr>
          <w:p w14:paraId="32386D8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-0.604</w:t>
            </w:r>
            <w:r w:rsidRPr="00791956">
              <w:rPr>
                <w:rFonts w:ascii="Times New Roman" w:hAnsi="Times New Roman"/>
                <w:sz w:val="16"/>
                <w:szCs w:val="16"/>
                <w:lang w:val="en-US"/>
              </w:rPr>
              <w:t>***</w:t>
            </w:r>
          </w:p>
        </w:tc>
        <w:tc>
          <w:tcPr>
            <w:tcW w:w="563" w:type="pct"/>
            <w:tcBorders>
              <w:top w:val="nil"/>
              <w:left w:val="nil"/>
              <w:bottom w:val="nil"/>
              <w:right w:val="nil"/>
            </w:tcBorders>
          </w:tcPr>
          <w:p w14:paraId="39CE737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-0.577</w:t>
            </w:r>
            <w:r w:rsidRPr="00791956">
              <w:rPr>
                <w:rFonts w:ascii="Times New Roman" w:hAnsi="Times New Roman"/>
                <w:sz w:val="16"/>
                <w:szCs w:val="16"/>
                <w:lang w:val="en-US"/>
              </w:rPr>
              <w:t>***</w:t>
            </w:r>
          </w:p>
        </w:tc>
      </w:tr>
      <w:tr w:rsidR="00984E59" w:rsidRPr="0049337B" w14:paraId="11CA6936" w14:textId="77777777" w:rsidTr="004B57AB">
        <w:tc>
          <w:tcPr>
            <w:tcW w:w="1621" w:type="pct"/>
            <w:tcBorders>
              <w:top w:val="nil"/>
              <w:left w:val="nil"/>
              <w:bottom w:val="nil"/>
              <w:right w:val="nil"/>
            </w:tcBorders>
          </w:tcPr>
          <w:p w14:paraId="768E4A99" w14:textId="77777777" w:rsidR="00984E59" w:rsidRPr="00791956"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563" w:type="pct"/>
            <w:tcBorders>
              <w:top w:val="nil"/>
              <w:left w:val="nil"/>
              <w:bottom w:val="nil"/>
              <w:right w:val="nil"/>
            </w:tcBorders>
          </w:tcPr>
          <w:p w14:paraId="4BD0D2DB"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535FE64"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36D0C36"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563" w:type="pct"/>
            <w:tcBorders>
              <w:top w:val="nil"/>
              <w:left w:val="nil"/>
              <w:bottom w:val="nil"/>
              <w:right w:val="nil"/>
            </w:tcBorders>
          </w:tcPr>
          <w:p w14:paraId="297A2AD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(-7.66)</w:t>
            </w:r>
          </w:p>
        </w:tc>
        <w:tc>
          <w:tcPr>
            <w:tcW w:w="563" w:type="pct"/>
            <w:tcBorders>
              <w:top w:val="nil"/>
              <w:left w:val="nil"/>
              <w:bottom w:val="nil"/>
              <w:right w:val="nil"/>
            </w:tcBorders>
          </w:tcPr>
          <w:p w14:paraId="4ECA4EE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(-7.83)</w:t>
            </w:r>
          </w:p>
        </w:tc>
        <w:tc>
          <w:tcPr>
            <w:tcW w:w="563" w:type="pct"/>
            <w:tcBorders>
              <w:top w:val="nil"/>
              <w:left w:val="nil"/>
              <w:bottom w:val="nil"/>
              <w:right w:val="nil"/>
            </w:tcBorders>
          </w:tcPr>
          <w:p w14:paraId="4242A54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(-7.45)</w:t>
            </w:r>
          </w:p>
        </w:tc>
      </w:tr>
      <w:tr w:rsidR="00984E59" w:rsidRPr="0049337B" w14:paraId="5731EC8D" w14:textId="77777777" w:rsidTr="004B57AB">
        <w:tc>
          <w:tcPr>
            <w:tcW w:w="1621" w:type="pct"/>
            <w:tcBorders>
              <w:top w:val="nil"/>
              <w:left w:val="nil"/>
              <w:bottom w:val="nil"/>
              <w:right w:val="nil"/>
            </w:tcBorders>
          </w:tcPr>
          <w:p w14:paraId="1D32F1BE" w14:textId="77777777" w:rsidR="00984E59" w:rsidRPr="00791956"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791956">
              <w:rPr>
                <w:rFonts w:ascii="Times New Roman" w:hAnsi="Times New Roman"/>
                <w:sz w:val="16"/>
                <w:szCs w:val="16"/>
                <w:lang w:val="en-US"/>
              </w:rPr>
              <w:t>Controls</w:t>
            </w:r>
          </w:p>
        </w:tc>
        <w:tc>
          <w:tcPr>
            <w:tcW w:w="563" w:type="pct"/>
            <w:tcBorders>
              <w:top w:val="nil"/>
              <w:left w:val="nil"/>
              <w:bottom w:val="nil"/>
              <w:right w:val="nil"/>
            </w:tcBorders>
          </w:tcPr>
          <w:p w14:paraId="4670D78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7209E14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0015908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56567C8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4EF55AE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35AD5F6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49337B" w14:paraId="54A56D33" w14:textId="77777777" w:rsidTr="004B57AB">
        <w:tc>
          <w:tcPr>
            <w:tcW w:w="1621" w:type="pct"/>
            <w:tcBorders>
              <w:top w:val="nil"/>
              <w:left w:val="nil"/>
              <w:bottom w:val="nil"/>
              <w:right w:val="nil"/>
            </w:tcBorders>
          </w:tcPr>
          <w:p w14:paraId="314CB9E9" w14:textId="77777777" w:rsidR="00984E59" w:rsidRPr="00791956"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Year/Sector/Country FE</w:t>
            </w:r>
          </w:p>
        </w:tc>
        <w:tc>
          <w:tcPr>
            <w:tcW w:w="563" w:type="pct"/>
            <w:tcBorders>
              <w:top w:val="nil"/>
              <w:left w:val="nil"/>
              <w:bottom w:val="nil"/>
              <w:right w:val="nil"/>
            </w:tcBorders>
          </w:tcPr>
          <w:p w14:paraId="6784ED9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719AD04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5B35369E"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237D2AEF"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13E4DD0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563" w:type="pct"/>
            <w:tcBorders>
              <w:top w:val="nil"/>
              <w:left w:val="nil"/>
              <w:bottom w:val="nil"/>
              <w:right w:val="nil"/>
            </w:tcBorders>
          </w:tcPr>
          <w:p w14:paraId="4DFF427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49337B" w14:paraId="5C321047" w14:textId="77777777" w:rsidTr="004B57AB">
        <w:tc>
          <w:tcPr>
            <w:tcW w:w="1621" w:type="pct"/>
            <w:tcBorders>
              <w:top w:val="nil"/>
              <w:left w:val="nil"/>
              <w:right w:val="nil"/>
            </w:tcBorders>
          </w:tcPr>
          <w:p w14:paraId="695B308A" w14:textId="77777777" w:rsidR="00984E59" w:rsidRPr="0049337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Observations</w:t>
            </w:r>
          </w:p>
        </w:tc>
        <w:tc>
          <w:tcPr>
            <w:tcW w:w="563" w:type="pct"/>
            <w:tcBorders>
              <w:top w:val="nil"/>
              <w:left w:val="nil"/>
              <w:right w:val="nil"/>
            </w:tcBorders>
          </w:tcPr>
          <w:p w14:paraId="6A62175D"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7212</w:t>
            </w:r>
          </w:p>
        </w:tc>
        <w:tc>
          <w:tcPr>
            <w:tcW w:w="563" w:type="pct"/>
            <w:tcBorders>
              <w:top w:val="nil"/>
              <w:left w:val="nil"/>
              <w:right w:val="nil"/>
            </w:tcBorders>
          </w:tcPr>
          <w:p w14:paraId="502746F1"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7212</w:t>
            </w:r>
          </w:p>
        </w:tc>
        <w:tc>
          <w:tcPr>
            <w:tcW w:w="563" w:type="pct"/>
            <w:tcBorders>
              <w:top w:val="nil"/>
              <w:left w:val="nil"/>
              <w:right w:val="nil"/>
            </w:tcBorders>
          </w:tcPr>
          <w:p w14:paraId="0DD96492"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7212</w:t>
            </w:r>
          </w:p>
        </w:tc>
        <w:tc>
          <w:tcPr>
            <w:tcW w:w="563" w:type="pct"/>
            <w:tcBorders>
              <w:top w:val="nil"/>
              <w:left w:val="nil"/>
              <w:right w:val="nil"/>
            </w:tcBorders>
          </w:tcPr>
          <w:p w14:paraId="67F3E06C"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6779</w:t>
            </w:r>
          </w:p>
        </w:tc>
        <w:tc>
          <w:tcPr>
            <w:tcW w:w="563" w:type="pct"/>
            <w:tcBorders>
              <w:top w:val="nil"/>
              <w:left w:val="nil"/>
              <w:right w:val="nil"/>
            </w:tcBorders>
          </w:tcPr>
          <w:p w14:paraId="11F56F9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6779</w:t>
            </w:r>
          </w:p>
        </w:tc>
        <w:tc>
          <w:tcPr>
            <w:tcW w:w="563" w:type="pct"/>
            <w:tcBorders>
              <w:top w:val="nil"/>
              <w:left w:val="nil"/>
              <w:right w:val="nil"/>
            </w:tcBorders>
          </w:tcPr>
          <w:p w14:paraId="0FC6E453"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6779</w:t>
            </w:r>
          </w:p>
        </w:tc>
      </w:tr>
      <w:tr w:rsidR="00984E59" w:rsidRPr="0049337B" w14:paraId="77C3AC29" w14:textId="77777777" w:rsidTr="004B57AB">
        <w:tc>
          <w:tcPr>
            <w:tcW w:w="1621" w:type="pct"/>
            <w:tcBorders>
              <w:top w:val="nil"/>
              <w:left w:val="nil"/>
              <w:bottom w:val="single" w:sz="12" w:space="0" w:color="auto"/>
              <w:right w:val="nil"/>
            </w:tcBorders>
          </w:tcPr>
          <w:p w14:paraId="07A7629E" w14:textId="77777777" w:rsidR="00984E59" w:rsidRPr="0049337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R-squared</w:t>
            </w:r>
          </w:p>
        </w:tc>
        <w:tc>
          <w:tcPr>
            <w:tcW w:w="563" w:type="pct"/>
            <w:tcBorders>
              <w:top w:val="nil"/>
              <w:left w:val="nil"/>
              <w:bottom w:val="single" w:sz="12" w:space="0" w:color="auto"/>
              <w:right w:val="nil"/>
            </w:tcBorders>
          </w:tcPr>
          <w:p w14:paraId="3B7EED5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0.771</w:t>
            </w:r>
          </w:p>
        </w:tc>
        <w:tc>
          <w:tcPr>
            <w:tcW w:w="563" w:type="pct"/>
            <w:tcBorders>
              <w:top w:val="nil"/>
              <w:left w:val="nil"/>
              <w:bottom w:val="single" w:sz="12" w:space="0" w:color="auto"/>
              <w:right w:val="nil"/>
            </w:tcBorders>
          </w:tcPr>
          <w:p w14:paraId="0F62EC75"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0.767</w:t>
            </w:r>
          </w:p>
        </w:tc>
        <w:tc>
          <w:tcPr>
            <w:tcW w:w="563" w:type="pct"/>
            <w:tcBorders>
              <w:top w:val="nil"/>
              <w:left w:val="nil"/>
              <w:bottom w:val="single" w:sz="12" w:space="0" w:color="auto"/>
              <w:right w:val="nil"/>
            </w:tcBorders>
          </w:tcPr>
          <w:p w14:paraId="61160889"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0.771</w:t>
            </w:r>
          </w:p>
        </w:tc>
        <w:tc>
          <w:tcPr>
            <w:tcW w:w="563" w:type="pct"/>
            <w:tcBorders>
              <w:top w:val="nil"/>
              <w:left w:val="nil"/>
              <w:bottom w:val="single" w:sz="12" w:space="0" w:color="auto"/>
              <w:right w:val="nil"/>
            </w:tcBorders>
          </w:tcPr>
          <w:p w14:paraId="25526D47"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0.773</w:t>
            </w:r>
          </w:p>
        </w:tc>
        <w:tc>
          <w:tcPr>
            <w:tcW w:w="563" w:type="pct"/>
            <w:tcBorders>
              <w:top w:val="nil"/>
              <w:left w:val="nil"/>
              <w:bottom w:val="single" w:sz="12" w:space="0" w:color="auto"/>
              <w:right w:val="nil"/>
            </w:tcBorders>
          </w:tcPr>
          <w:p w14:paraId="6636F9C8"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0.769</w:t>
            </w:r>
          </w:p>
        </w:tc>
        <w:tc>
          <w:tcPr>
            <w:tcW w:w="563" w:type="pct"/>
            <w:tcBorders>
              <w:top w:val="nil"/>
              <w:left w:val="nil"/>
              <w:bottom w:val="single" w:sz="12" w:space="0" w:color="auto"/>
              <w:right w:val="nil"/>
            </w:tcBorders>
          </w:tcPr>
          <w:p w14:paraId="66196850" w14:textId="77777777" w:rsidR="00984E59" w:rsidRPr="0049337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49337B">
              <w:rPr>
                <w:rFonts w:ascii="Times New Roman" w:hAnsi="Times New Roman"/>
                <w:sz w:val="16"/>
                <w:szCs w:val="16"/>
                <w:lang w:val="en-US"/>
              </w:rPr>
              <w:t>0.773</w:t>
            </w:r>
          </w:p>
        </w:tc>
      </w:tr>
    </w:tbl>
    <w:p w14:paraId="28B09EB3" w14:textId="77777777" w:rsidR="00984E59" w:rsidRDefault="00984E59" w:rsidP="00984E59">
      <w:pPr>
        <w:rPr>
          <w:rFonts w:ascii="Times New Roman" w:hAnsi="Times New Roman"/>
          <w:lang w:val="en-US"/>
        </w:rPr>
        <w:sectPr w:rsidR="00984E59">
          <w:pgSz w:w="11906" w:h="16838"/>
          <w:pgMar w:top="1134" w:right="850" w:bottom="1134" w:left="1701" w:header="708" w:footer="708" w:gutter="0"/>
          <w:cols w:space="708"/>
          <w:docGrid w:linePitch="360"/>
        </w:sectPr>
      </w:pPr>
      <w:r w:rsidRPr="00AF4487">
        <w:rPr>
          <w:rFonts w:ascii="Times New Roman" w:hAnsi="Times New Roman"/>
          <w:lang w:val="en-US"/>
        </w:rPr>
        <w:t>***, **, and * indicate statistical significance at the 1%, 5%, and 10% levels, respectively</w:t>
      </w:r>
    </w:p>
    <w:p w14:paraId="1AC511F8" w14:textId="77777777" w:rsidR="00984E59" w:rsidRPr="00AF4487" w:rsidRDefault="00984E59" w:rsidP="00984E59">
      <w:pPr>
        <w:widowControl w:val="0"/>
        <w:autoSpaceDE w:val="0"/>
        <w:autoSpaceDN w:val="0"/>
        <w:adjustRightInd w:val="0"/>
        <w:spacing w:after="0" w:line="240" w:lineRule="auto"/>
        <w:jc w:val="both"/>
        <w:rPr>
          <w:rFonts w:ascii="Times New Roman" w:hAnsi="Times New Roman"/>
          <w:bCs/>
          <w:i/>
          <w:sz w:val="24"/>
          <w:szCs w:val="20"/>
          <w:lang w:val="en-US"/>
        </w:rPr>
      </w:pPr>
      <w:r w:rsidRPr="00AF4487">
        <w:rPr>
          <w:rFonts w:ascii="Times New Roman" w:hAnsi="Times New Roman"/>
          <w:bCs/>
          <w:i/>
          <w:sz w:val="24"/>
          <w:szCs w:val="20"/>
          <w:lang w:val="en-US"/>
        </w:rPr>
        <w:lastRenderedPageBreak/>
        <w:t xml:space="preserve">Table 10. </w:t>
      </w:r>
      <w:r w:rsidRPr="00AF4487">
        <w:rPr>
          <w:rFonts w:ascii="Times New Roman" w:hAnsi="Times New Roman"/>
          <w:i/>
          <w:lang w:val="en-US"/>
        </w:rPr>
        <w:t>Additional analysis: carbon performance, climate change initiatives, board sustainability committees, and market value</w:t>
      </w:r>
      <w:r w:rsidRPr="00AF4487">
        <w:rPr>
          <w:rFonts w:ascii="Times New Roman" w:hAnsi="Times New Roman"/>
          <w:bCs/>
          <w:i/>
          <w:sz w:val="24"/>
          <w:szCs w:val="20"/>
          <w:lang w:val="en-US"/>
        </w:rPr>
        <w:t xml:space="preserve"> in different periods </w:t>
      </w:r>
    </w:p>
    <w:p w14:paraId="154F21E0" w14:textId="77777777" w:rsidR="00984E59" w:rsidRPr="00AF4487" w:rsidRDefault="00984E59" w:rsidP="00984E59">
      <w:pPr>
        <w:spacing w:after="100" w:afterAutospacing="1"/>
        <w:contextualSpacing/>
        <w:jc w:val="both"/>
        <w:rPr>
          <w:rFonts w:ascii="Times New Roman" w:hAnsi="Times New Roman"/>
          <w:lang w:val="en-US"/>
        </w:rPr>
      </w:pPr>
      <w:r w:rsidRPr="00AF4487">
        <w:rPr>
          <w:rFonts w:ascii="Times New Roman" w:hAnsi="Times New Roman"/>
          <w:bCs/>
          <w:sz w:val="24"/>
          <w:szCs w:val="20"/>
          <w:lang w:val="en-US"/>
        </w:rPr>
        <w:t xml:space="preserve">This table presents the regression results for </w:t>
      </w:r>
      <w:r w:rsidRPr="00AF4487">
        <w:rPr>
          <w:rFonts w:ascii="Times New Roman" w:hAnsi="Times New Roman"/>
          <w:lang w:val="en-US"/>
        </w:rPr>
        <w:t xml:space="preserve">the effects of carbon performance, sustainability committees, and climate change initiatives on market value and for the effects of climate change initiatives and sustainability committees on carbon performance for three different periods: PARIS (2019-2016), KYOTO, (2015-2005), and PRE (2004-2002). All variables are defined and measured in Table 3. </w:t>
      </w:r>
      <w:r w:rsidRPr="00AF4487">
        <w:rPr>
          <w:rFonts w:ascii="Times New Roman" w:hAnsi="Times New Roman"/>
          <w:i/>
          <w:lang w:val="en-US"/>
        </w:rPr>
        <w:t>t</w:t>
      </w:r>
      <w:r w:rsidRPr="00AF4487">
        <w:rPr>
          <w:rFonts w:ascii="Times New Roman" w:hAnsi="Times New Roman"/>
          <w:lang w:val="en-US"/>
        </w:rPr>
        <w:t>-statistics estimated using robust standard errors are reported in parentheses.</w:t>
      </w:r>
    </w:p>
    <w:tbl>
      <w:tblPr>
        <w:tblW w:w="5000" w:type="pct"/>
        <w:tblLook w:val="0000" w:firstRow="0" w:lastRow="0" w:firstColumn="0" w:lastColumn="0" w:noHBand="0" w:noVBand="0"/>
      </w:tblPr>
      <w:tblGrid>
        <w:gridCol w:w="2922"/>
        <w:gridCol w:w="1282"/>
        <w:gridCol w:w="1194"/>
        <w:gridCol w:w="1284"/>
        <w:gridCol w:w="364"/>
        <w:gridCol w:w="1281"/>
        <w:gridCol w:w="1194"/>
        <w:gridCol w:w="1284"/>
        <w:gridCol w:w="364"/>
        <w:gridCol w:w="1200"/>
        <w:gridCol w:w="1078"/>
        <w:gridCol w:w="1115"/>
      </w:tblGrid>
      <w:tr w:rsidR="00984E59" w:rsidRPr="00CC72EB" w14:paraId="58BA2C77" w14:textId="77777777" w:rsidTr="004B57AB">
        <w:tc>
          <w:tcPr>
            <w:tcW w:w="1003" w:type="pct"/>
            <w:tcBorders>
              <w:top w:val="single" w:sz="12" w:space="0" w:color="auto"/>
              <w:left w:val="nil"/>
              <w:bottom w:val="single" w:sz="12" w:space="0" w:color="auto"/>
              <w:right w:val="nil"/>
            </w:tcBorders>
          </w:tcPr>
          <w:p w14:paraId="17D34C7E"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1291" w:type="pct"/>
            <w:gridSpan w:val="3"/>
            <w:tcBorders>
              <w:top w:val="single" w:sz="12" w:space="0" w:color="auto"/>
              <w:left w:val="nil"/>
              <w:bottom w:val="single" w:sz="12" w:space="0" w:color="auto"/>
              <w:right w:val="nil"/>
            </w:tcBorders>
          </w:tcPr>
          <w:p w14:paraId="202A478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F4487">
              <w:rPr>
                <w:rFonts w:ascii="Times New Roman" w:hAnsi="Times New Roman"/>
                <w:b/>
                <w:sz w:val="16"/>
                <w:szCs w:val="16"/>
                <w:lang w:val="en-US"/>
              </w:rPr>
              <w:t>PARIS (2019-2016)</w:t>
            </w:r>
          </w:p>
        </w:tc>
        <w:tc>
          <w:tcPr>
            <w:tcW w:w="125" w:type="pct"/>
            <w:tcBorders>
              <w:top w:val="single" w:sz="12" w:space="0" w:color="auto"/>
              <w:left w:val="nil"/>
              <w:bottom w:val="single" w:sz="12" w:space="0" w:color="auto"/>
              <w:right w:val="nil"/>
            </w:tcBorders>
          </w:tcPr>
          <w:p w14:paraId="1105EF8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1291" w:type="pct"/>
            <w:gridSpan w:val="3"/>
            <w:tcBorders>
              <w:top w:val="single" w:sz="12" w:space="0" w:color="auto"/>
              <w:left w:val="nil"/>
              <w:bottom w:val="single" w:sz="12" w:space="0" w:color="auto"/>
              <w:right w:val="nil"/>
            </w:tcBorders>
          </w:tcPr>
          <w:p w14:paraId="2BC251A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F4487">
              <w:rPr>
                <w:rFonts w:ascii="Times New Roman" w:hAnsi="Times New Roman"/>
                <w:b/>
                <w:sz w:val="16"/>
                <w:szCs w:val="16"/>
                <w:lang w:val="en-US"/>
              </w:rPr>
              <w:t>KYOTO (2015-2005)</w:t>
            </w:r>
          </w:p>
        </w:tc>
        <w:tc>
          <w:tcPr>
            <w:tcW w:w="125" w:type="pct"/>
            <w:tcBorders>
              <w:top w:val="single" w:sz="12" w:space="0" w:color="auto"/>
              <w:left w:val="nil"/>
              <w:bottom w:val="single" w:sz="12" w:space="0" w:color="auto"/>
              <w:right w:val="nil"/>
            </w:tcBorders>
          </w:tcPr>
          <w:p w14:paraId="58C33E1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1165" w:type="pct"/>
            <w:gridSpan w:val="3"/>
            <w:tcBorders>
              <w:top w:val="single" w:sz="12" w:space="0" w:color="auto"/>
              <w:left w:val="nil"/>
              <w:bottom w:val="single" w:sz="12" w:space="0" w:color="auto"/>
              <w:right w:val="nil"/>
            </w:tcBorders>
          </w:tcPr>
          <w:p w14:paraId="5531208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F4487">
              <w:rPr>
                <w:rFonts w:ascii="Times New Roman" w:hAnsi="Times New Roman"/>
                <w:b/>
                <w:sz w:val="16"/>
                <w:szCs w:val="16"/>
                <w:lang w:val="en-US"/>
              </w:rPr>
              <w:t>PRE (2004-2002)</w:t>
            </w:r>
          </w:p>
        </w:tc>
      </w:tr>
      <w:tr w:rsidR="00984E59" w:rsidRPr="008E3FE6" w14:paraId="114802ED" w14:textId="77777777" w:rsidTr="004B57AB">
        <w:tc>
          <w:tcPr>
            <w:tcW w:w="2294" w:type="pct"/>
            <w:gridSpan w:val="4"/>
            <w:tcBorders>
              <w:top w:val="single" w:sz="12" w:space="0" w:color="auto"/>
              <w:left w:val="nil"/>
              <w:bottom w:val="single" w:sz="8" w:space="0" w:color="auto"/>
              <w:right w:val="nil"/>
            </w:tcBorders>
          </w:tcPr>
          <w:p w14:paraId="7948C55E" w14:textId="77777777" w:rsidR="00984E59" w:rsidRPr="00AF4487" w:rsidRDefault="00984E59" w:rsidP="00295B36">
            <w:pPr>
              <w:widowControl w:val="0"/>
              <w:autoSpaceDE w:val="0"/>
              <w:autoSpaceDN w:val="0"/>
              <w:adjustRightInd w:val="0"/>
              <w:spacing w:after="0" w:line="240" w:lineRule="auto"/>
              <w:rPr>
                <w:rFonts w:ascii="Times New Roman" w:hAnsi="Times New Roman"/>
                <w:b/>
                <w:sz w:val="16"/>
                <w:szCs w:val="16"/>
                <w:lang w:val="en-US"/>
              </w:rPr>
            </w:pPr>
            <w:r w:rsidRPr="00AF4487">
              <w:rPr>
                <w:rFonts w:ascii="Times New Roman" w:hAnsi="Times New Roman"/>
                <w:i/>
                <w:sz w:val="16"/>
                <w:szCs w:val="16"/>
                <w:lang w:val="en-US"/>
              </w:rPr>
              <w:t>Panel A: Impacts of CCPE and BSCOM on MV</w:t>
            </w:r>
          </w:p>
        </w:tc>
        <w:tc>
          <w:tcPr>
            <w:tcW w:w="125" w:type="pct"/>
            <w:tcBorders>
              <w:top w:val="single" w:sz="12" w:space="0" w:color="auto"/>
              <w:left w:val="nil"/>
              <w:bottom w:val="single" w:sz="8" w:space="0" w:color="auto"/>
              <w:right w:val="nil"/>
            </w:tcBorders>
          </w:tcPr>
          <w:p w14:paraId="77C895D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1291" w:type="pct"/>
            <w:gridSpan w:val="3"/>
            <w:tcBorders>
              <w:top w:val="single" w:sz="12" w:space="0" w:color="auto"/>
              <w:left w:val="nil"/>
              <w:bottom w:val="single" w:sz="8" w:space="0" w:color="auto"/>
              <w:right w:val="nil"/>
            </w:tcBorders>
          </w:tcPr>
          <w:p w14:paraId="652857B4" w14:textId="77777777" w:rsidR="00984E59" w:rsidRPr="00AF4487" w:rsidRDefault="00984E59" w:rsidP="00295B36">
            <w:pPr>
              <w:widowControl w:val="0"/>
              <w:autoSpaceDE w:val="0"/>
              <w:autoSpaceDN w:val="0"/>
              <w:adjustRightInd w:val="0"/>
              <w:spacing w:after="0" w:line="240" w:lineRule="auto"/>
              <w:jc w:val="center"/>
              <w:rPr>
                <w:rFonts w:ascii="Times New Roman" w:hAnsi="Times New Roman"/>
                <w:b/>
                <w:sz w:val="16"/>
                <w:szCs w:val="16"/>
                <w:lang w:val="en-US"/>
              </w:rPr>
            </w:pPr>
          </w:p>
        </w:tc>
        <w:tc>
          <w:tcPr>
            <w:tcW w:w="125" w:type="pct"/>
            <w:tcBorders>
              <w:top w:val="single" w:sz="12" w:space="0" w:color="auto"/>
              <w:left w:val="nil"/>
              <w:bottom w:val="single" w:sz="8" w:space="0" w:color="auto"/>
              <w:right w:val="nil"/>
            </w:tcBorders>
          </w:tcPr>
          <w:p w14:paraId="57B97A1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1165" w:type="pct"/>
            <w:gridSpan w:val="3"/>
            <w:tcBorders>
              <w:top w:val="single" w:sz="12" w:space="0" w:color="auto"/>
              <w:left w:val="nil"/>
              <w:bottom w:val="single" w:sz="8" w:space="0" w:color="auto"/>
              <w:right w:val="nil"/>
            </w:tcBorders>
          </w:tcPr>
          <w:p w14:paraId="018CCAAD" w14:textId="77777777" w:rsidR="00984E59" w:rsidRPr="00AF4487" w:rsidRDefault="00984E59" w:rsidP="00295B36">
            <w:pPr>
              <w:widowControl w:val="0"/>
              <w:autoSpaceDE w:val="0"/>
              <w:autoSpaceDN w:val="0"/>
              <w:adjustRightInd w:val="0"/>
              <w:spacing w:after="0" w:line="240" w:lineRule="auto"/>
              <w:jc w:val="center"/>
              <w:rPr>
                <w:rFonts w:ascii="Times New Roman" w:hAnsi="Times New Roman"/>
                <w:b/>
                <w:sz w:val="16"/>
                <w:szCs w:val="16"/>
                <w:lang w:val="en-US"/>
              </w:rPr>
            </w:pPr>
          </w:p>
        </w:tc>
      </w:tr>
      <w:tr w:rsidR="00984E59" w:rsidRPr="00CC72EB" w14:paraId="2E5B4896" w14:textId="77777777" w:rsidTr="004B57AB">
        <w:tc>
          <w:tcPr>
            <w:tcW w:w="1003" w:type="pct"/>
            <w:tcBorders>
              <w:top w:val="single" w:sz="8" w:space="0" w:color="auto"/>
              <w:left w:val="nil"/>
              <w:right w:val="nil"/>
            </w:tcBorders>
          </w:tcPr>
          <w:p w14:paraId="12A4FACB"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single" w:sz="8" w:space="0" w:color="auto"/>
              <w:left w:val="nil"/>
              <w:right w:val="nil"/>
            </w:tcBorders>
          </w:tcPr>
          <w:p w14:paraId="5E3601A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(1)</w:t>
            </w:r>
          </w:p>
        </w:tc>
        <w:tc>
          <w:tcPr>
            <w:tcW w:w="410" w:type="pct"/>
            <w:tcBorders>
              <w:top w:val="single" w:sz="8" w:space="0" w:color="auto"/>
              <w:left w:val="nil"/>
              <w:right w:val="nil"/>
            </w:tcBorders>
          </w:tcPr>
          <w:p w14:paraId="58EADCFE"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(2)</w:t>
            </w:r>
          </w:p>
        </w:tc>
        <w:tc>
          <w:tcPr>
            <w:tcW w:w="441" w:type="pct"/>
            <w:tcBorders>
              <w:top w:val="single" w:sz="8" w:space="0" w:color="auto"/>
              <w:left w:val="nil"/>
              <w:right w:val="nil"/>
            </w:tcBorders>
          </w:tcPr>
          <w:p w14:paraId="452CD29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(3)</w:t>
            </w:r>
          </w:p>
        </w:tc>
        <w:tc>
          <w:tcPr>
            <w:tcW w:w="125" w:type="pct"/>
            <w:tcBorders>
              <w:top w:val="single" w:sz="8" w:space="0" w:color="auto"/>
              <w:left w:val="nil"/>
              <w:right w:val="nil"/>
            </w:tcBorders>
          </w:tcPr>
          <w:p w14:paraId="6397CE49"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right w:val="nil"/>
            </w:tcBorders>
          </w:tcPr>
          <w:p w14:paraId="51D1A1C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(4)</w:t>
            </w:r>
          </w:p>
        </w:tc>
        <w:tc>
          <w:tcPr>
            <w:tcW w:w="410" w:type="pct"/>
            <w:tcBorders>
              <w:top w:val="single" w:sz="8" w:space="0" w:color="auto"/>
              <w:left w:val="nil"/>
              <w:right w:val="nil"/>
            </w:tcBorders>
          </w:tcPr>
          <w:p w14:paraId="723858A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(5)</w:t>
            </w:r>
          </w:p>
        </w:tc>
        <w:tc>
          <w:tcPr>
            <w:tcW w:w="441" w:type="pct"/>
            <w:tcBorders>
              <w:top w:val="single" w:sz="8" w:space="0" w:color="auto"/>
              <w:left w:val="nil"/>
              <w:right w:val="nil"/>
            </w:tcBorders>
          </w:tcPr>
          <w:p w14:paraId="76AD3D0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(6)</w:t>
            </w:r>
          </w:p>
        </w:tc>
        <w:tc>
          <w:tcPr>
            <w:tcW w:w="125" w:type="pct"/>
            <w:tcBorders>
              <w:top w:val="single" w:sz="8" w:space="0" w:color="auto"/>
              <w:left w:val="nil"/>
              <w:right w:val="nil"/>
            </w:tcBorders>
          </w:tcPr>
          <w:p w14:paraId="6F0B313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right w:val="nil"/>
            </w:tcBorders>
          </w:tcPr>
          <w:p w14:paraId="1B6D39E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(7)</w:t>
            </w:r>
          </w:p>
        </w:tc>
        <w:tc>
          <w:tcPr>
            <w:tcW w:w="370" w:type="pct"/>
            <w:tcBorders>
              <w:top w:val="single" w:sz="8" w:space="0" w:color="auto"/>
              <w:left w:val="nil"/>
              <w:right w:val="nil"/>
            </w:tcBorders>
          </w:tcPr>
          <w:p w14:paraId="4852D15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(8)</w:t>
            </w:r>
          </w:p>
        </w:tc>
        <w:tc>
          <w:tcPr>
            <w:tcW w:w="383" w:type="pct"/>
            <w:tcBorders>
              <w:top w:val="single" w:sz="8" w:space="0" w:color="auto"/>
              <w:left w:val="nil"/>
              <w:right w:val="nil"/>
            </w:tcBorders>
          </w:tcPr>
          <w:p w14:paraId="2C35FDE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(9)</w:t>
            </w:r>
          </w:p>
        </w:tc>
      </w:tr>
      <w:tr w:rsidR="00984E59" w:rsidRPr="00CC72EB" w14:paraId="54C9EE48" w14:textId="77777777" w:rsidTr="004B57AB">
        <w:tc>
          <w:tcPr>
            <w:tcW w:w="1003" w:type="pct"/>
            <w:tcBorders>
              <w:top w:val="nil"/>
              <w:left w:val="nil"/>
              <w:bottom w:val="single" w:sz="4" w:space="0" w:color="auto"/>
              <w:right w:val="nil"/>
            </w:tcBorders>
          </w:tcPr>
          <w:p w14:paraId="7EFC7403"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single" w:sz="4" w:space="0" w:color="auto"/>
              <w:right w:val="nil"/>
            </w:tcBorders>
          </w:tcPr>
          <w:p w14:paraId="35FB88E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410" w:type="pct"/>
            <w:tcBorders>
              <w:top w:val="nil"/>
              <w:left w:val="nil"/>
              <w:bottom w:val="single" w:sz="4" w:space="0" w:color="auto"/>
              <w:right w:val="nil"/>
            </w:tcBorders>
          </w:tcPr>
          <w:p w14:paraId="0DC002D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441" w:type="pct"/>
            <w:tcBorders>
              <w:top w:val="nil"/>
              <w:left w:val="nil"/>
              <w:bottom w:val="single" w:sz="4" w:space="0" w:color="auto"/>
              <w:right w:val="nil"/>
            </w:tcBorders>
          </w:tcPr>
          <w:p w14:paraId="1A392AA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125" w:type="pct"/>
            <w:tcBorders>
              <w:top w:val="nil"/>
              <w:left w:val="nil"/>
              <w:right w:val="nil"/>
            </w:tcBorders>
          </w:tcPr>
          <w:p w14:paraId="1E250B0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4" w:space="0" w:color="auto"/>
              <w:right w:val="nil"/>
            </w:tcBorders>
          </w:tcPr>
          <w:p w14:paraId="0E24C94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410" w:type="pct"/>
            <w:tcBorders>
              <w:top w:val="nil"/>
              <w:left w:val="nil"/>
              <w:bottom w:val="single" w:sz="4" w:space="0" w:color="auto"/>
              <w:right w:val="nil"/>
            </w:tcBorders>
          </w:tcPr>
          <w:p w14:paraId="344AC2C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441" w:type="pct"/>
            <w:tcBorders>
              <w:top w:val="nil"/>
              <w:left w:val="nil"/>
              <w:bottom w:val="single" w:sz="4" w:space="0" w:color="auto"/>
              <w:right w:val="nil"/>
            </w:tcBorders>
          </w:tcPr>
          <w:p w14:paraId="331EE3D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125" w:type="pct"/>
            <w:tcBorders>
              <w:top w:val="nil"/>
              <w:left w:val="nil"/>
              <w:right w:val="nil"/>
            </w:tcBorders>
          </w:tcPr>
          <w:p w14:paraId="4316CA7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4" w:space="0" w:color="auto"/>
              <w:right w:val="nil"/>
            </w:tcBorders>
          </w:tcPr>
          <w:p w14:paraId="5C62865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370" w:type="pct"/>
            <w:tcBorders>
              <w:top w:val="nil"/>
              <w:left w:val="nil"/>
              <w:bottom w:val="single" w:sz="4" w:space="0" w:color="auto"/>
              <w:right w:val="nil"/>
            </w:tcBorders>
          </w:tcPr>
          <w:p w14:paraId="4AC846D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c>
          <w:tcPr>
            <w:tcW w:w="383" w:type="pct"/>
            <w:tcBorders>
              <w:top w:val="nil"/>
              <w:left w:val="nil"/>
              <w:bottom w:val="single" w:sz="4" w:space="0" w:color="auto"/>
              <w:right w:val="nil"/>
            </w:tcBorders>
          </w:tcPr>
          <w:p w14:paraId="005194E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MV</w:t>
            </w:r>
          </w:p>
        </w:tc>
      </w:tr>
      <w:tr w:rsidR="00984E59" w:rsidRPr="00CC72EB" w14:paraId="4B7E13ED" w14:textId="77777777" w:rsidTr="004B57AB">
        <w:tc>
          <w:tcPr>
            <w:tcW w:w="1003" w:type="pct"/>
            <w:tcBorders>
              <w:top w:val="single" w:sz="4" w:space="0" w:color="auto"/>
              <w:left w:val="nil"/>
              <w:bottom w:val="nil"/>
              <w:right w:val="nil"/>
            </w:tcBorders>
          </w:tcPr>
          <w:p w14:paraId="61C718DF"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w:t>
            </w:r>
          </w:p>
        </w:tc>
        <w:tc>
          <w:tcPr>
            <w:tcW w:w="440" w:type="pct"/>
            <w:tcBorders>
              <w:top w:val="single" w:sz="4" w:space="0" w:color="auto"/>
              <w:left w:val="nil"/>
              <w:bottom w:val="nil"/>
              <w:right w:val="nil"/>
            </w:tcBorders>
          </w:tcPr>
          <w:p w14:paraId="2E120DA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-0.091</w:t>
            </w:r>
            <w:r w:rsidRPr="00CC72EB">
              <w:rPr>
                <w:rFonts w:ascii="Times New Roman" w:hAnsi="Times New Roman"/>
                <w:sz w:val="16"/>
                <w:szCs w:val="16"/>
                <w:vertAlign w:val="superscript"/>
                <w:lang w:val="en-US"/>
              </w:rPr>
              <w:t>***</w:t>
            </w:r>
          </w:p>
        </w:tc>
        <w:tc>
          <w:tcPr>
            <w:tcW w:w="410" w:type="pct"/>
            <w:tcBorders>
              <w:top w:val="single" w:sz="4" w:space="0" w:color="auto"/>
              <w:left w:val="nil"/>
              <w:bottom w:val="nil"/>
              <w:right w:val="nil"/>
            </w:tcBorders>
          </w:tcPr>
          <w:p w14:paraId="05A1EBE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4" w:space="0" w:color="auto"/>
              <w:left w:val="nil"/>
              <w:bottom w:val="nil"/>
              <w:right w:val="nil"/>
            </w:tcBorders>
          </w:tcPr>
          <w:p w14:paraId="2FE3AD8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-0.091</w:t>
            </w:r>
            <w:r w:rsidRPr="00CC72EB">
              <w:rPr>
                <w:rFonts w:ascii="Times New Roman" w:hAnsi="Times New Roman"/>
                <w:sz w:val="16"/>
                <w:szCs w:val="16"/>
                <w:vertAlign w:val="superscript"/>
                <w:lang w:val="en-US"/>
              </w:rPr>
              <w:t>***</w:t>
            </w:r>
          </w:p>
        </w:tc>
        <w:tc>
          <w:tcPr>
            <w:tcW w:w="125" w:type="pct"/>
            <w:tcBorders>
              <w:left w:val="nil"/>
              <w:bottom w:val="nil"/>
              <w:right w:val="nil"/>
            </w:tcBorders>
          </w:tcPr>
          <w:p w14:paraId="4C85A94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4" w:space="0" w:color="auto"/>
              <w:left w:val="nil"/>
              <w:bottom w:val="nil"/>
              <w:right w:val="nil"/>
            </w:tcBorders>
          </w:tcPr>
          <w:p w14:paraId="3EBBE55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-0.054</w:t>
            </w:r>
            <w:r w:rsidRPr="00CC72EB">
              <w:rPr>
                <w:rFonts w:ascii="Times New Roman" w:hAnsi="Times New Roman"/>
                <w:sz w:val="16"/>
                <w:szCs w:val="16"/>
                <w:vertAlign w:val="superscript"/>
                <w:lang w:val="en-US"/>
              </w:rPr>
              <w:t>***</w:t>
            </w:r>
          </w:p>
        </w:tc>
        <w:tc>
          <w:tcPr>
            <w:tcW w:w="410" w:type="pct"/>
            <w:tcBorders>
              <w:top w:val="single" w:sz="4" w:space="0" w:color="auto"/>
              <w:left w:val="nil"/>
              <w:bottom w:val="nil"/>
              <w:right w:val="nil"/>
            </w:tcBorders>
          </w:tcPr>
          <w:p w14:paraId="4959ADDE"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4" w:space="0" w:color="auto"/>
              <w:left w:val="nil"/>
              <w:bottom w:val="nil"/>
              <w:right w:val="nil"/>
            </w:tcBorders>
          </w:tcPr>
          <w:p w14:paraId="106FFC2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-0.056</w:t>
            </w:r>
            <w:r w:rsidRPr="00CC72EB">
              <w:rPr>
                <w:rFonts w:ascii="Times New Roman" w:hAnsi="Times New Roman"/>
                <w:sz w:val="16"/>
                <w:szCs w:val="16"/>
                <w:vertAlign w:val="superscript"/>
                <w:lang w:val="en-US"/>
              </w:rPr>
              <w:t>***</w:t>
            </w:r>
          </w:p>
        </w:tc>
        <w:tc>
          <w:tcPr>
            <w:tcW w:w="125" w:type="pct"/>
            <w:tcBorders>
              <w:left w:val="nil"/>
              <w:bottom w:val="nil"/>
              <w:right w:val="nil"/>
            </w:tcBorders>
          </w:tcPr>
          <w:p w14:paraId="3328801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4" w:space="0" w:color="auto"/>
              <w:left w:val="nil"/>
              <w:bottom w:val="nil"/>
              <w:right w:val="nil"/>
            </w:tcBorders>
          </w:tcPr>
          <w:p w14:paraId="33C5CC3E"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-0.030</w:t>
            </w:r>
          </w:p>
        </w:tc>
        <w:tc>
          <w:tcPr>
            <w:tcW w:w="370" w:type="pct"/>
            <w:tcBorders>
              <w:top w:val="single" w:sz="4" w:space="0" w:color="auto"/>
              <w:left w:val="nil"/>
              <w:bottom w:val="nil"/>
              <w:right w:val="nil"/>
            </w:tcBorders>
          </w:tcPr>
          <w:p w14:paraId="4639259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single" w:sz="4" w:space="0" w:color="auto"/>
              <w:left w:val="nil"/>
              <w:bottom w:val="nil"/>
              <w:right w:val="nil"/>
            </w:tcBorders>
          </w:tcPr>
          <w:p w14:paraId="1964CFA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0.049</w:t>
            </w:r>
          </w:p>
        </w:tc>
      </w:tr>
      <w:tr w:rsidR="00984E59" w:rsidRPr="00CC72EB" w14:paraId="52C7701D" w14:textId="77777777" w:rsidTr="004B57AB">
        <w:tc>
          <w:tcPr>
            <w:tcW w:w="1003" w:type="pct"/>
            <w:tcBorders>
              <w:top w:val="nil"/>
              <w:left w:val="nil"/>
              <w:bottom w:val="nil"/>
              <w:right w:val="nil"/>
            </w:tcBorders>
          </w:tcPr>
          <w:p w14:paraId="3ECF4D08"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nil"/>
              <w:right w:val="nil"/>
            </w:tcBorders>
          </w:tcPr>
          <w:p w14:paraId="31CAEEE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(-6.39)</w:t>
            </w:r>
          </w:p>
        </w:tc>
        <w:tc>
          <w:tcPr>
            <w:tcW w:w="410" w:type="pct"/>
            <w:tcBorders>
              <w:top w:val="nil"/>
              <w:left w:val="nil"/>
              <w:bottom w:val="nil"/>
              <w:right w:val="nil"/>
            </w:tcBorders>
          </w:tcPr>
          <w:p w14:paraId="513B898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7416EA2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(-6.37)</w:t>
            </w:r>
          </w:p>
        </w:tc>
        <w:tc>
          <w:tcPr>
            <w:tcW w:w="125" w:type="pct"/>
            <w:tcBorders>
              <w:top w:val="nil"/>
              <w:left w:val="nil"/>
              <w:bottom w:val="nil"/>
              <w:right w:val="nil"/>
            </w:tcBorders>
          </w:tcPr>
          <w:p w14:paraId="2E23027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1023412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(-6.79)</w:t>
            </w:r>
          </w:p>
        </w:tc>
        <w:tc>
          <w:tcPr>
            <w:tcW w:w="410" w:type="pct"/>
            <w:tcBorders>
              <w:top w:val="nil"/>
              <w:left w:val="nil"/>
              <w:bottom w:val="nil"/>
              <w:right w:val="nil"/>
            </w:tcBorders>
          </w:tcPr>
          <w:p w14:paraId="3387B43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781A42A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(-7.04)</w:t>
            </w:r>
          </w:p>
        </w:tc>
        <w:tc>
          <w:tcPr>
            <w:tcW w:w="125" w:type="pct"/>
            <w:tcBorders>
              <w:top w:val="nil"/>
              <w:left w:val="nil"/>
              <w:bottom w:val="nil"/>
              <w:right w:val="nil"/>
            </w:tcBorders>
          </w:tcPr>
          <w:p w14:paraId="227CE1B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2BEC989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(-0.62)</w:t>
            </w:r>
          </w:p>
        </w:tc>
        <w:tc>
          <w:tcPr>
            <w:tcW w:w="370" w:type="pct"/>
            <w:tcBorders>
              <w:top w:val="nil"/>
              <w:left w:val="nil"/>
              <w:bottom w:val="nil"/>
              <w:right w:val="nil"/>
            </w:tcBorders>
          </w:tcPr>
          <w:p w14:paraId="2EA630D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bottom w:val="nil"/>
              <w:right w:val="nil"/>
            </w:tcBorders>
          </w:tcPr>
          <w:p w14:paraId="38ACA87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(0.76)</w:t>
            </w:r>
          </w:p>
        </w:tc>
      </w:tr>
      <w:tr w:rsidR="00984E59" w:rsidRPr="00CC72EB" w14:paraId="7F283989" w14:textId="77777777" w:rsidTr="004B57AB">
        <w:tc>
          <w:tcPr>
            <w:tcW w:w="1003" w:type="pct"/>
            <w:tcBorders>
              <w:top w:val="nil"/>
              <w:left w:val="nil"/>
              <w:bottom w:val="nil"/>
              <w:right w:val="nil"/>
            </w:tcBorders>
          </w:tcPr>
          <w:p w14:paraId="4824D9AF"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BSCOM</w:t>
            </w:r>
          </w:p>
        </w:tc>
        <w:tc>
          <w:tcPr>
            <w:tcW w:w="440" w:type="pct"/>
            <w:tcBorders>
              <w:top w:val="nil"/>
              <w:left w:val="nil"/>
              <w:bottom w:val="nil"/>
              <w:right w:val="nil"/>
            </w:tcBorders>
          </w:tcPr>
          <w:p w14:paraId="48BFDD8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03A32EF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0.055</w:t>
            </w:r>
          </w:p>
        </w:tc>
        <w:tc>
          <w:tcPr>
            <w:tcW w:w="441" w:type="pct"/>
            <w:tcBorders>
              <w:top w:val="nil"/>
              <w:left w:val="nil"/>
              <w:bottom w:val="nil"/>
              <w:right w:val="nil"/>
            </w:tcBorders>
          </w:tcPr>
          <w:p w14:paraId="264C4FF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0.074</w:t>
            </w:r>
          </w:p>
        </w:tc>
        <w:tc>
          <w:tcPr>
            <w:tcW w:w="125" w:type="pct"/>
            <w:tcBorders>
              <w:top w:val="nil"/>
              <w:left w:val="nil"/>
              <w:bottom w:val="nil"/>
              <w:right w:val="nil"/>
            </w:tcBorders>
          </w:tcPr>
          <w:p w14:paraId="58A4284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2CA9B6B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05D411B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0.082</w:t>
            </w:r>
            <w:r w:rsidRPr="00CC72EB">
              <w:rPr>
                <w:rFonts w:ascii="Times New Roman" w:hAnsi="Times New Roman"/>
                <w:sz w:val="16"/>
                <w:szCs w:val="16"/>
                <w:vertAlign w:val="superscript"/>
                <w:lang w:val="en-US"/>
              </w:rPr>
              <w:t>***</w:t>
            </w:r>
          </w:p>
        </w:tc>
        <w:tc>
          <w:tcPr>
            <w:tcW w:w="441" w:type="pct"/>
            <w:tcBorders>
              <w:top w:val="nil"/>
              <w:left w:val="nil"/>
              <w:bottom w:val="nil"/>
              <w:right w:val="nil"/>
            </w:tcBorders>
          </w:tcPr>
          <w:p w14:paraId="33B8043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0.118</w:t>
            </w:r>
            <w:r w:rsidRPr="00CC72EB">
              <w:rPr>
                <w:rFonts w:ascii="Times New Roman" w:hAnsi="Times New Roman"/>
                <w:sz w:val="16"/>
                <w:szCs w:val="16"/>
                <w:vertAlign w:val="superscript"/>
                <w:lang w:val="en-US"/>
              </w:rPr>
              <w:t>***</w:t>
            </w:r>
          </w:p>
        </w:tc>
        <w:tc>
          <w:tcPr>
            <w:tcW w:w="125" w:type="pct"/>
            <w:tcBorders>
              <w:top w:val="nil"/>
              <w:left w:val="nil"/>
              <w:bottom w:val="nil"/>
              <w:right w:val="nil"/>
            </w:tcBorders>
          </w:tcPr>
          <w:p w14:paraId="3586024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7111366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bottom w:val="nil"/>
              <w:right w:val="nil"/>
            </w:tcBorders>
          </w:tcPr>
          <w:p w14:paraId="3C60EF8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-0.095</w:t>
            </w:r>
          </w:p>
        </w:tc>
        <w:tc>
          <w:tcPr>
            <w:tcW w:w="383" w:type="pct"/>
            <w:tcBorders>
              <w:top w:val="nil"/>
              <w:left w:val="nil"/>
              <w:bottom w:val="nil"/>
              <w:right w:val="nil"/>
            </w:tcBorders>
          </w:tcPr>
          <w:p w14:paraId="6DD0D27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-0.105</w:t>
            </w:r>
          </w:p>
        </w:tc>
      </w:tr>
      <w:tr w:rsidR="00984E59" w:rsidRPr="00CC72EB" w14:paraId="227292B8" w14:textId="77777777" w:rsidTr="004B57AB">
        <w:tc>
          <w:tcPr>
            <w:tcW w:w="1003" w:type="pct"/>
            <w:tcBorders>
              <w:top w:val="nil"/>
              <w:left w:val="nil"/>
              <w:bottom w:val="nil"/>
              <w:right w:val="nil"/>
            </w:tcBorders>
          </w:tcPr>
          <w:p w14:paraId="45343016"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nil"/>
              <w:right w:val="nil"/>
            </w:tcBorders>
          </w:tcPr>
          <w:p w14:paraId="7E25847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0056FC0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(0.82)</w:t>
            </w:r>
          </w:p>
        </w:tc>
        <w:tc>
          <w:tcPr>
            <w:tcW w:w="441" w:type="pct"/>
            <w:tcBorders>
              <w:top w:val="nil"/>
              <w:left w:val="nil"/>
              <w:bottom w:val="nil"/>
              <w:right w:val="nil"/>
            </w:tcBorders>
          </w:tcPr>
          <w:p w14:paraId="24107BA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(1.41)</w:t>
            </w:r>
          </w:p>
        </w:tc>
        <w:tc>
          <w:tcPr>
            <w:tcW w:w="125" w:type="pct"/>
            <w:tcBorders>
              <w:top w:val="nil"/>
              <w:left w:val="nil"/>
              <w:bottom w:val="nil"/>
              <w:right w:val="nil"/>
            </w:tcBorders>
          </w:tcPr>
          <w:p w14:paraId="2763A17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3436092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1809FC7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(2.75)</w:t>
            </w:r>
          </w:p>
        </w:tc>
        <w:tc>
          <w:tcPr>
            <w:tcW w:w="441" w:type="pct"/>
            <w:tcBorders>
              <w:top w:val="nil"/>
              <w:left w:val="nil"/>
              <w:bottom w:val="nil"/>
              <w:right w:val="nil"/>
            </w:tcBorders>
          </w:tcPr>
          <w:p w14:paraId="5227AFF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(3.99)</w:t>
            </w:r>
          </w:p>
        </w:tc>
        <w:tc>
          <w:tcPr>
            <w:tcW w:w="125" w:type="pct"/>
            <w:tcBorders>
              <w:top w:val="nil"/>
              <w:left w:val="nil"/>
              <w:bottom w:val="nil"/>
              <w:right w:val="nil"/>
            </w:tcBorders>
          </w:tcPr>
          <w:p w14:paraId="5796297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36C17D7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bottom w:val="nil"/>
              <w:right w:val="nil"/>
            </w:tcBorders>
          </w:tcPr>
          <w:p w14:paraId="37F62F4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(-1.42)</w:t>
            </w:r>
          </w:p>
        </w:tc>
        <w:tc>
          <w:tcPr>
            <w:tcW w:w="383" w:type="pct"/>
            <w:tcBorders>
              <w:top w:val="nil"/>
              <w:left w:val="nil"/>
              <w:bottom w:val="nil"/>
              <w:right w:val="nil"/>
            </w:tcBorders>
          </w:tcPr>
          <w:p w14:paraId="7A802E0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(-0.83)</w:t>
            </w:r>
          </w:p>
        </w:tc>
      </w:tr>
      <w:tr w:rsidR="00984E59" w:rsidRPr="00CC72EB" w14:paraId="5C8F5682" w14:textId="77777777" w:rsidTr="004B57AB">
        <w:tc>
          <w:tcPr>
            <w:tcW w:w="1003" w:type="pct"/>
            <w:tcBorders>
              <w:top w:val="nil"/>
              <w:left w:val="nil"/>
              <w:bottom w:val="nil"/>
              <w:right w:val="nil"/>
            </w:tcBorders>
          </w:tcPr>
          <w:p w14:paraId="20735E1C"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CCPE*BSCOM</w:t>
            </w:r>
          </w:p>
        </w:tc>
        <w:tc>
          <w:tcPr>
            <w:tcW w:w="440" w:type="pct"/>
            <w:tcBorders>
              <w:top w:val="nil"/>
              <w:left w:val="nil"/>
              <w:bottom w:val="nil"/>
              <w:right w:val="nil"/>
            </w:tcBorders>
          </w:tcPr>
          <w:p w14:paraId="04EE13A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3C75432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799D828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-0.012</w:t>
            </w:r>
          </w:p>
        </w:tc>
        <w:tc>
          <w:tcPr>
            <w:tcW w:w="125" w:type="pct"/>
            <w:tcBorders>
              <w:top w:val="nil"/>
              <w:left w:val="nil"/>
              <w:bottom w:val="nil"/>
              <w:right w:val="nil"/>
            </w:tcBorders>
          </w:tcPr>
          <w:p w14:paraId="2AA4AB8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0A559FC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11DF7C8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45B9C5E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0.011</w:t>
            </w:r>
          </w:p>
        </w:tc>
        <w:tc>
          <w:tcPr>
            <w:tcW w:w="125" w:type="pct"/>
            <w:tcBorders>
              <w:top w:val="nil"/>
              <w:left w:val="nil"/>
              <w:bottom w:val="nil"/>
              <w:right w:val="nil"/>
            </w:tcBorders>
          </w:tcPr>
          <w:p w14:paraId="02E8F30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3DBF0B8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bottom w:val="nil"/>
              <w:right w:val="nil"/>
            </w:tcBorders>
          </w:tcPr>
          <w:p w14:paraId="652B4E8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bottom w:val="nil"/>
              <w:right w:val="nil"/>
            </w:tcBorders>
          </w:tcPr>
          <w:p w14:paraId="496FAEB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0.134</w:t>
            </w:r>
            <w:r w:rsidRPr="00CC72EB">
              <w:rPr>
                <w:rFonts w:ascii="Times New Roman" w:hAnsi="Times New Roman"/>
                <w:sz w:val="16"/>
                <w:szCs w:val="16"/>
                <w:vertAlign w:val="superscript"/>
                <w:lang w:val="en-US"/>
              </w:rPr>
              <w:t>**</w:t>
            </w:r>
          </w:p>
        </w:tc>
      </w:tr>
      <w:tr w:rsidR="00984E59" w:rsidRPr="00CC72EB" w14:paraId="2241AE33" w14:textId="77777777" w:rsidTr="004B57AB">
        <w:tc>
          <w:tcPr>
            <w:tcW w:w="1003" w:type="pct"/>
            <w:tcBorders>
              <w:top w:val="nil"/>
              <w:left w:val="nil"/>
              <w:bottom w:val="nil"/>
              <w:right w:val="nil"/>
            </w:tcBorders>
          </w:tcPr>
          <w:p w14:paraId="01F6AEDE"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nil"/>
              <w:right w:val="nil"/>
            </w:tcBorders>
          </w:tcPr>
          <w:p w14:paraId="6F9F34D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49BC07A9"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4D7EB53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(-0.44)</w:t>
            </w:r>
          </w:p>
        </w:tc>
        <w:tc>
          <w:tcPr>
            <w:tcW w:w="125" w:type="pct"/>
            <w:tcBorders>
              <w:top w:val="nil"/>
              <w:left w:val="nil"/>
              <w:bottom w:val="nil"/>
              <w:right w:val="nil"/>
            </w:tcBorders>
          </w:tcPr>
          <w:p w14:paraId="10FBACA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221AF45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bottom w:val="nil"/>
              <w:right w:val="nil"/>
            </w:tcBorders>
          </w:tcPr>
          <w:p w14:paraId="7F1D2CA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bottom w:val="nil"/>
              <w:right w:val="nil"/>
            </w:tcBorders>
          </w:tcPr>
          <w:p w14:paraId="1D4734E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(0.82)</w:t>
            </w:r>
          </w:p>
        </w:tc>
        <w:tc>
          <w:tcPr>
            <w:tcW w:w="125" w:type="pct"/>
            <w:tcBorders>
              <w:top w:val="nil"/>
              <w:left w:val="nil"/>
              <w:bottom w:val="nil"/>
              <w:right w:val="nil"/>
            </w:tcBorders>
          </w:tcPr>
          <w:p w14:paraId="4FC6205E"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7ED49FC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bottom w:val="nil"/>
              <w:right w:val="nil"/>
            </w:tcBorders>
          </w:tcPr>
          <w:p w14:paraId="3E03334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bottom w:val="nil"/>
              <w:right w:val="nil"/>
            </w:tcBorders>
          </w:tcPr>
          <w:p w14:paraId="1BD3AA87"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(2.40)</w:t>
            </w:r>
          </w:p>
        </w:tc>
      </w:tr>
      <w:tr w:rsidR="00984E59" w:rsidRPr="00CC72EB" w14:paraId="0A0C5CE8" w14:textId="77777777" w:rsidTr="004B57AB">
        <w:tc>
          <w:tcPr>
            <w:tcW w:w="1003" w:type="pct"/>
            <w:tcBorders>
              <w:top w:val="nil"/>
              <w:left w:val="nil"/>
              <w:bottom w:val="nil"/>
              <w:right w:val="nil"/>
            </w:tcBorders>
          </w:tcPr>
          <w:p w14:paraId="4CC493FF"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Controls</w:t>
            </w:r>
          </w:p>
        </w:tc>
        <w:tc>
          <w:tcPr>
            <w:tcW w:w="440" w:type="pct"/>
            <w:tcBorders>
              <w:top w:val="nil"/>
              <w:left w:val="nil"/>
              <w:bottom w:val="nil"/>
              <w:right w:val="nil"/>
            </w:tcBorders>
          </w:tcPr>
          <w:p w14:paraId="2C6E83B1"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bottom w:val="nil"/>
              <w:right w:val="nil"/>
            </w:tcBorders>
          </w:tcPr>
          <w:p w14:paraId="26BEDFE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bottom w:val="nil"/>
              <w:right w:val="nil"/>
            </w:tcBorders>
          </w:tcPr>
          <w:p w14:paraId="03A0D9D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bottom w:val="nil"/>
              <w:right w:val="nil"/>
            </w:tcBorders>
          </w:tcPr>
          <w:p w14:paraId="4CD1F209"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nil"/>
              <w:right w:val="nil"/>
            </w:tcBorders>
          </w:tcPr>
          <w:p w14:paraId="2D3F107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bottom w:val="nil"/>
              <w:right w:val="nil"/>
            </w:tcBorders>
          </w:tcPr>
          <w:p w14:paraId="6766C2B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bottom w:val="nil"/>
              <w:right w:val="nil"/>
            </w:tcBorders>
          </w:tcPr>
          <w:p w14:paraId="6C482C5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bottom w:val="nil"/>
              <w:right w:val="nil"/>
            </w:tcBorders>
          </w:tcPr>
          <w:p w14:paraId="27D9BAE2"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nil"/>
              <w:right w:val="nil"/>
            </w:tcBorders>
          </w:tcPr>
          <w:p w14:paraId="66E32945"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bottom w:val="nil"/>
              <w:right w:val="nil"/>
            </w:tcBorders>
          </w:tcPr>
          <w:p w14:paraId="33B32C9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bottom w:val="nil"/>
              <w:right w:val="nil"/>
            </w:tcBorders>
          </w:tcPr>
          <w:p w14:paraId="7BC32FC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CC72EB" w14:paraId="1583245E" w14:textId="77777777" w:rsidTr="004B57AB">
        <w:tc>
          <w:tcPr>
            <w:tcW w:w="1003" w:type="pct"/>
            <w:tcBorders>
              <w:top w:val="nil"/>
              <w:left w:val="nil"/>
              <w:right w:val="nil"/>
            </w:tcBorders>
          </w:tcPr>
          <w:p w14:paraId="1754D693"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Year/Sector/Country FE</w:t>
            </w:r>
          </w:p>
        </w:tc>
        <w:tc>
          <w:tcPr>
            <w:tcW w:w="440" w:type="pct"/>
            <w:tcBorders>
              <w:top w:val="nil"/>
              <w:left w:val="nil"/>
              <w:right w:val="nil"/>
            </w:tcBorders>
          </w:tcPr>
          <w:p w14:paraId="2CB871E9"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3AF6CD7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29341AB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4EF13D23"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17C3481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39B0CB0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4E68D7D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272DB504"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F8626B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right w:val="nil"/>
            </w:tcBorders>
          </w:tcPr>
          <w:p w14:paraId="7888AA5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right w:val="nil"/>
            </w:tcBorders>
          </w:tcPr>
          <w:p w14:paraId="2DFB1C8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CC72EB" w14:paraId="13BA4245" w14:textId="77777777" w:rsidTr="004B57AB">
        <w:tc>
          <w:tcPr>
            <w:tcW w:w="1003" w:type="pct"/>
            <w:tcBorders>
              <w:left w:val="nil"/>
              <w:bottom w:val="nil"/>
              <w:right w:val="nil"/>
            </w:tcBorders>
          </w:tcPr>
          <w:p w14:paraId="6316E723"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Observations</w:t>
            </w:r>
          </w:p>
        </w:tc>
        <w:tc>
          <w:tcPr>
            <w:tcW w:w="440" w:type="pct"/>
            <w:tcBorders>
              <w:left w:val="nil"/>
              <w:bottom w:val="nil"/>
              <w:right w:val="nil"/>
            </w:tcBorders>
          </w:tcPr>
          <w:p w14:paraId="00AE246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410" w:type="pct"/>
            <w:tcBorders>
              <w:left w:val="nil"/>
              <w:bottom w:val="nil"/>
              <w:right w:val="nil"/>
            </w:tcBorders>
          </w:tcPr>
          <w:p w14:paraId="33B6379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441" w:type="pct"/>
            <w:tcBorders>
              <w:left w:val="nil"/>
              <w:bottom w:val="nil"/>
              <w:right w:val="nil"/>
            </w:tcBorders>
          </w:tcPr>
          <w:p w14:paraId="7080597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125" w:type="pct"/>
            <w:tcBorders>
              <w:left w:val="nil"/>
              <w:bottom w:val="nil"/>
              <w:right w:val="nil"/>
            </w:tcBorders>
          </w:tcPr>
          <w:p w14:paraId="06F581B1"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left w:val="nil"/>
              <w:bottom w:val="nil"/>
              <w:right w:val="nil"/>
            </w:tcBorders>
          </w:tcPr>
          <w:p w14:paraId="137D0F7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5211</w:t>
            </w:r>
          </w:p>
        </w:tc>
        <w:tc>
          <w:tcPr>
            <w:tcW w:w="410" w:type="pct"/>
            <w:tcBorders>
              <w:left w:val="nil"/>
              <w:bottom w:val="nil"/>
              <w:right w:val="nil"/>
            </w:tcBorders>
          </w:tcPr>
          <w:p w14:paraId="3FC5EEA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5520</w:t>
            </w:r>
          </w:p>
        </w:tc>
        <w:tc>
          <w:tcPr>
            <w:tcW w:w="441" w:type="pct"/>
            <w:tcBorders>
              <w:left w:val="nil"/>
              <w:bottom w:val="nil"/>
              <w:right w:val="nil"/>
            </w:tcBorders>
          </w:tcPr>
          <w:p w14:paraId="2760D0D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5211</w:t>
            </w:r>
          </w:p>
        </w:tc>
        <w:tc>
          <w:tcPr>
            <w:tcW w:w="125" w:type="pct"/>
            <w:tcBorders>
              <w:left w:val="nil"/>
              <w:bottom w:val="nil"/>
              <w:right w:val="nil"/>
            </w:tcBorders>
          </w:tcPr>
          <w:p w14:paraId="4838719E"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left w:val="nil"/>
              <w:bottom w:val="nil"/>
              <w:right w:val="nil"/>
            </w:tcBorders>
          </w:tcPr>
          <w:p w14:paraId="386B8600"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216</w:t>
            </w:r>
          </w:p>
        </w:tc>
        <w:tc>
          <w:tcPr>
            <w:tcW w:w="370" w:type="pct"/>
            <w:tcBorders>
              <w:left w:val="nil"/>
              <w:bottom w:val="nil"/>
              <w:right w:val="nil"/>
            </w:tcBorders>
          </w:tcPr>
          <w:p w14:paraId="1000926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537</w:t>
            </w:r>
          </w:p>
        </w:tc>
        <w:tc>
          <w:tcPr>
            <w:tcW w:w="383" w:type="pct"/>
            <w:tcBorders>
              <w:left w:val="nil"/>
              <w:bottom w:val="nil"/>
              <w:right w:val="nil"/>
            </w:tcBorders>
          </w:tcPr>
          <w:p w14:paraId="00FD628C"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216</w:t>
            </w:r>
          </w:p>
        </w:tc>
      </w:tr>
      <w:tr w:rsidR="00984E59" w:rsidRPr="00CC72EB" w14:paraId="0A92D9E8" w14:textId="77777777" w:rsidTr="004B57AB">
        <w:tc>
          <w:tcPr>
            <w:tcW w:w="1003" w:type="pct"/>
            <w:tcBorders>
              <w:top w:val="nil"/>
              <w:left w:val="nil"/>
              <w:bottom w:val="single" w:sz="8" w:space="0" w:color="auto"/>
              <w:right w:val="nil"/>
            </w:tcBorders>
          </w:tcPr>
          <w:p w14:paraId="6B8D0763"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R-squared</w:t>
            </w:r>
          </w:p>
        </w:tc>
        <w:tc>
          <w:tcPr>
            <w:tcW w:w="440" w:type="pct"/>
            <w:tcBorders>
              <w:top w:val="nil"/>
              <w:left w:val="nil"/>
              <w:bottom w:val="single" w:sz="8" w:space="0" w:color="auto"/>
              <w:right w:val="nil"/>
            </w:tcBorders>
          </w:tcPr>
          <w:p w14:paraId="1C6160C2"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0.527</w:t>
            </w:r>
          </w:p>
        </w:tc>
        <w:tc>
          <w:tcPr>
            <w:tcW w:w="410" w:type="pct"/>
            <w:tcBorders>
              <w:top w:val="nil"/>
              <w:left w:val="nil"/>
              <w:bottom w:val="single" w:sz="8" w:space="0" w:color="auto"/>
              <w:right w:val="nil"/>
            </w:tcBorders>
          </w:tcPr>
          <w:p w14:paraId="5EC9B10A"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0.519</w:t>
            </w:r>
          </w:p>
        </w:tc>
        <w:tc>
          <w:tcPr>
            <w:tcW w:w="441" w:type="pct"/>
            <w:tcBorders>
              <w:top w:val="nil"/>
              <w:left w:val="nil"/>
              <w:bottom w:val="single" w:sz="8" w:space="0" w:color="auto"/>
              <w:right w:val="nil"/>
            </w:tcBorders>
          </w:tcPr>
          <w:p w14:paraId="7A99C02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0.527</w:t>
            </w:r>
          </w:p>
        </w:tc>
        <w:tc>
          <w:tcPr>
            <w:tcW w:w="125" w:type="pct"/>
            <w:tcBorders>
              <w:top w:val="nil"/>
              <w:left w:val="nil"/>
              <w:bottom w:val="single" w:sz="8" w:space="0" w:color="auto"/>
              <w:right w:val="nil"/>
            </w:tcBorders>
          </w:tcPr>
          <w:p w14:paraId="776E3544"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8" w:space="0" w:color="auto"/>
              <w:right w:val="nil"/>
            </w:tcBorders>
          </w:tcPr>
          <w:p w14:paraId="59FE7773"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0.539</w:t>
            </w:r>
          </w:p>
        </w:tc>
        <w:tc>
          <w:tcPr>
            <w:tcW w:w="410" w:type="pct"/>
            <w:tcBorders>
              <w:top w:val="nil"/>
              <w:left w:val="nil"/>
              <w:bottom w:val="single" w:sz="8" w:space="0" w:color="auto"/>
              <w:right w:val="nil"/>
            </w:tcBorders>
          </w:tcPr>
          <w:p w14:paraId="12395976"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0.533</w:t>
            </w:r>
          </w:p>
        </w:tc>
        <w:tc>
          <w:tcPr>
            <w:tcW w:w="441" w:type="pct"/>
            <w:tcBorders>
              <w:top w:val="nil"/>
              <w:left w:val="nil"/>
              <w:bottom w:val="single" w:sz="8" w:space="0" w:color="auto"/>
              <w:right w:val="nil"/>
            </w:tcBorders>
          </w:tcPr>
          <w:p w14:paraId="3D29BFCF"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0.540</w:t>
            </w:r>
          </w:p>
        </w:tc>
        <w:tc>
          <w:tcPr>
            <w:tcW w:w="125" w:type="pct"/>
            <w:tcBorders>
              <w:top w:val="nil"/>
              <w:left w:val="nil"/>
              <w:bottom w:val="single" w:sz="8" w:space="0" w:color="auto"/>
              <w:right w:val="nil"/>
            </w:tcBorders>
          </w:tcPr>
          <w:p w14:paraId="05B04E08"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8" w:space="0" w:color="auto"/>
              <w:right w:val="nil"/>
            </w:tcBorders>
          </w:tcPr>
          <w:p w14:paraId="57AE369D"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0.599</w:t>
            </w:r>
          </w:p>
        </w:tc>
        <w:tc>
          <w:tcPr>
            <w:tcW w:w="370" w:type="pct"/>
            <w:tcBorders>
              <w:top w:val="nil"/>
              <w:left w:val="nil"/>
              <w:bottom w:val="single" w:sz="8" w:space="0" w:color="auto"/>
              <w:right w:val="nil"/>
            </w:tcBorders>
          </w:tcPr>
          <w:p w14:paraId="5171F73B"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0.573</w:t>
            </w:r>
          </w:p>
        </w:tc>
        <w:tc>
          <w:tcPr>
            <w:tcW w:w="383" w:type="pct"/>
            <w:tcBorders>
              <w:top w:val="nil"/>
              <w:left w:val="nil"/>
              <w:bottom w:val="single" w:sz="8" w:space="0" w:color="auto"/>
              <w:right w:val="nil"/>
            </w:tcBorders>
          </w:tcPr>
          <w:p w14:paraId="1C26763E" w14:textId="77777777" w:rsidR="00984E59" w:rsidRPr="00CC72EB"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CC72EB">
              <w:rPr>
                <w:rFonts w:ascii="Times New Roman" w:hAnsi="Times New Roman"/>
                <w:sz w:val="16"/>
                <w:szCs w:val="16"/>
                <w:lang w:val="en-US"/>
              </w:rPr>
              <w:t>0.615</w:t>
            </w:r>
          </w:p>
        </w:tc>
      </w:tr>
      <w:tr w:rsidR="00984E59" w:rsidRPr="008E3FE6" w14:paraId="23DBB3F0" w14:textId="77777777" w:rsidTr="004B57AB">
        <w:tc>
          <w:tcPr>
            <w:tcW w:w="5000" w:type="pct"/>
            <w:gridSpan w:val="12"/>
            <w:tcBorders>
              <w:top w:val="single" w:sz="8" w:space="0" w:color="auto"/>
              <w:left w:val="nil"/>
              <w:bottom w:val="single" w:sz="8" w:space="0" w:color="auto"/>
              <w:right w:val="nil"/>
            </w:tcBorders>
          </w:tcPr>
          <w:p w14:paraId="3EBE414B"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i/>
                <w:sz w:val="16"/>
                <w:szCs w:val="16"/>
                <w:lang w:val="en-US"/>
              </w:rPr>
              <w:t>Panel B: Impacts of PCCIs and BSCOM on MV</w:t>
            </w:r>
          </w:p>
        </w:tc>
      </w:tr>
      <w:tr w:rsidR="00984E59" w:rsidRPr="0011638C" w14:paraId="0D418E57" w14:textId="77777777" w:rsidTr="004B57AB">
        <w:tc>
          <w:tcPr>
            <w:tcW w:w="1003" w:type="pct"/>
            <w:tcBorders>
              <w:top w:val="single" w:sz="8" w:space="0" w:color="auto"/>
              <w:left w:val="nil"/>
              <w:right w:val="nil"/>
            </w:tcBorders>
          </w:tcPr>
          <w:p w14:paraId="3E92C1EC"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single" w:sz="8" w:space="0" w:color="auto"/>
              <w:left w:val="nil"/>
              <w:right w:val="nil"/>
            </w:tcBorders>
          </w:tcPr>
          <w:p w14:paraId="1F265C5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(1)</w:t>
            </w:r>
          </w:p>
        </w:tc>
        <w:tc>
          <w:tcPr>
            <w:tcW w:w="410" w:type="pct"/>
            <w:tcBorders>
              <w:top w:val="single" w:sz="8" w:space="0" w:color="auto"/>
              <w:left w:val="nil"/>
              <w:right w:val="nil"/>
            </w:tcBorders>
          </w:tcPr>
          <w:p w14:paraId="1DB24FA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w:t>
            </w:r>
          </w:p>
        </w:tc>
        <w:tc>
          <w:tcPr>
            <w:tcW w:w="441" w:type="pct"/>
            <w:tcBorders>
              <w:top w:val="single" w:sz="8" w:space="0" w:color="auto"/>
              <w:left w:val="nil"/>
              <w:right w:val="nil"/>
            </w:tcBorders>
          </w:tcPr>
          <w:p w14:paraId="5CA57FE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(3)</w:t>
            </w:r>
          </w:p>
        </w:tc>
        <w:tc>
          <w:tcPr>
            <w:tcW w:w="125" w:type="pct"/>
            <w:tcBorders>
              <w:top w:val="single" w:sz="8" w:space="0" w:color="auto"/>
              <w:left w:val="nil"/>
              <w:right w:val="nil"/>
            </w:tcBorders>
          </w:tcPr>
          <w:p w14:paraId="54294F8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right w:val="nil"/>
            </w:tcBorders>
          </w:tcPr>
          <w:p w14:paraId="4FDDFE1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(4)</w:t>
            </w:r>
          </w:p>
        </w:tc>
        <w:tc>
          <w:tcPr>
            <w:tcW w:w="410" w:type="pct"/>
            <w:tcBorders>
              <w:top w:val="single" w:sz="8" w:space="0" w:color="auto"/>
              <w:left w:val="nil"/>
              <w:right w:val="nil"/>
            </w:tcBorders>
          </w:tcPr>
          <w:p w14:paraId="1269635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(5)</w:t>
            </w:r>
          </w:p>
        </w:tc>
        <w:tc>
          <w:tcPr>
            <w:tcW w:w="441" w:type="pct"/>
            <w:tcBorders>
              <w:top w:val="single" w:sz="8" w:space="0" w:color="auto"/>
              <w:left w:val="nil"/>
              <w:right w:val="nil"/>
            </w:tcBorders>
          </w:tcPr>
          <w:p w14:paraId="7015CAA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(6)</w:t>
            </w:r>
          </w:p>
        </w:tc>
        <w:tc>
          <w:tcPr>
            <w:tcW w:w="125" w:type="pct"/>
            <w:tcBorders>
              <w:top w:val="single" w:sz="8" w:space="0" w:color="auto"/>
              <w:left w:val="nil"/>
              <w:right w:val="nil"/>
            </w:tcBorders>
          </w:tcPr>
          <w:p w14:paraId="0F0CBA78"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right w:val="nil"/>
            </w:tcBorders>
          </w:tcPr>
          <w:p w14:paraId="765A57D8"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(7)</w:t>
            </w:r>
          </w:p>
        </w:tc>
        <w:tc>
          <w:tcPr>
            <w:tcW w:w="370" w:type="pct"/>
            <w:tcBorders>
              <w:top w:val="single" w:sz="8" w:space="0" w:color="auto"/>
              <w:left w:val="nil"/>
              <w:right w:val="nil"/>
            </w:tcBorders>
          </w:tcPr>
          <w:p w14:paraId="02E8F9E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(8)</w:t>
            </w:r>
          </w:p>
        </w:tc>
        <w:tc>
          <w:tcPr>
            <w:tcW w:w="383" w:type="pct"/>
            <w:tcBorders>
              <w:top w:val="single" w:sz="8" w:space="0" w:color="auto"/>
              <w:left w:val="nil"/>
              <w:right w:val="nil"/>
            </w:tcBorders>
          </w:tcPr>
          <w:p w14:paraId="3EC7ACE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(9)</w:t>
            </w:r>
          </w:p>
        </w:tc>
      </w:tr>
      <w:tr w:rsidR="00984E59" w:rsidRPr="0011638C" w14:paraId="56D30D5D" w14:textId="77777777" w:rsidTr="004B57AB">
        <w:tc>
          <w:tcPr>
            <w:tcW w:w="1003" w:type="pct"/>
            <w:tcBorders>
              <w:top w:val="nil"/>
              <w:left w:val="nil"/>
              <w:bottom w:val="single" w:sz="8" w:space="0" w:color="auto"/>
              <w:right w:val="nil"/>
            </w:tcBorders>
          </w:tcPr>
          <w:p w14:paraId="26FE575B"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single" w:sz="8" w:space="0" w:color="auto"/>
              <w:right w:val="nil"/>
            </w:tcBorders>
          </w:tcPr>
          <w:p w14:paraId="0669F6E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410" w:type="pct"/>
            <w:tcBorders>
              <w:top w:val="nil"/>
              <w:left w:val="nil"/>
              <w:bottom w:val="single" w:sz="8" w:space="0" w:color="auto"/>
              <w:right w:val="nil"/>
            </w:tcBorders>
          </w:tcPr>
          <w:p w14:paraId="2A32DD2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441" w:type="pct"/>
            <w:tcBorders>
              <w:top w:val="nil"/>
              <w:left w:val="nil"/>
              <w:bottom w:val="single" w:sz="8" w:space="0" w:color="auto"/>
              <w:right w:val="nil"/>
            </w:tcBorders>
          </w:tcPr>
          <w:p w14:paraId="7C5A1E9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125" w:type="pct"/>
            <w:tcBorders>
              <w:top w:val="nil"/>
              <w:left w:val="nil"/>
              <w:right w:val="nil"/>
            </w:tcBorders>
          </w:tcPr>
          <w:p w14:paraId="285389E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8" w:space="0" w:color="auto"/>
              <w:right w:val="nil"/>
            </w:tcBorders>
          </w:tcPr>
          <w:p w14:paraId="27DD311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410" w:type="pct"/>
            <w:tcBorders>
              <w:top w:val="nil"/>
              <w:left w:val="nil"/>
              <w:bottom w:val="single" w:sz="8" w:space="0" w:color="auto"/>
              <w:right w:val="nil"/>
            </w:tcBorders>
          </w:tcPr>
          <w:p w14:paraId="6BB1FE1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441" w:type="pct"/>
            <w:tcBorders>
              <w:top w:val="nil"/>
              <w:left w:val="nil"/>
              <w:bottom w:val="single" w:sz="8" w:space="0" w:color="auto"/>
              <w:right w:val="nil"/>
            </w:tcBorders>
          </w:tcPr>
          <w:p w14:paraId="266DF9B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125" w:type="pct"/>
            <w:tcBorders>
              <w:top w:val="nil"/>
              <w:left w:val="nil"/>
              <w:right w:val="nil"/>
            </w:tcBorders>
          </w:tcPr>
          <w:p w14:paraId="6412E72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8" w:space="0" w:color="auto"/>
              <w:right w:val="nil"/>
            </w:tcBorders>
          </w:tcPr>
          <w:p w14:paraId="443BC4E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370" w:type="pct"/>
            <w:tcBorders>
              <w:top w:val="nil"/>
              <w:left w:val="nil"/>
              <w:bottom w:val="single" w:sz="8" w:space="0" w:color="auto"/>
              <w:right w:val="nil"/>
            </w:tcBorders>
          </w:tcPr>
          <w:p w14:paraId="43FD88B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c>
          <w:tcPr>
            <w:tcW w:w="383" w:type="pct"/>
            <w:tcBorders>
              <w:top w:val="nil"/>
              <w:left w:val="nil"/>
              <w:bottom w:val="single" w:sz="8" w:space="0" w:color="auto"/>
              <w:right w:val="nil"/>
            </w:tcBorders>
          </w:tcPr>
          <w:p w14:paraId="7071BFA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MV</w:t>
            </w:r>
          </w:p>
        </w:tc>
      </w:tr>
      <w:tr w:rsidR="00984E59" w:rsidRPr="0011638C" w14:paraId="16B7C863" w14:textId="77777777" w:rsidTr="004B57AB">
        <w:tc>
          <w:tcPr>
            <w:tcW w:w="1003" w:type="pct"/>
            <w:tcBorders>
              <w:top w:val="single" w:sz="8" w:space="0" w:color="auto"/>
              <w:left w:val="nil"/>
              <w:right w:val="nil"/>
            </w:tcBorders>
          </w:tcPr>
          <w:p w14:paraId="79B48791"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w:t>
            </w:r>
          </w:p>
        </w:tc>
        <w:tc>
          <w:tcPr>
            <w:tcW w:w="440" w:type="pct"/>
            <w:tcBorders>
              <w:top w:val="single" w:sz="8" w:space="0" w:color="auto"/>
              <w:left w:val="nil"/>
              <w:right w:val="nil"/>
            </w:tcBorders>
          </w:tcPr>
          <w:p w14:paraId="1DC1BD4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0.002</w:t>
            </w:r>
            <w:r w:rsidRPr="00AF52DD">
              <w:rPr>
                <w:rFonts w:ascii="Times New Roman" w:hAnsi="Times New Roman"/>
                <w:sz w:val="16"/>
                <w:szCs w:val="16"/>
                <w:vertAlign w:val="superscript"/>
                <w:lang w:val="en-US"/>
              </w:rPr>
              <w:t>***</w:t>
            </w:r>
          </w:p>
        </w:tc>
        <w:tc>
          <w:tcPr>
            <w:tcW w:w="410" w:type="pct"/>
            <w:tcBorders>
              <w:top w:val="single" w:sz="8" w:space="0" w:color="auto"/>
              <w:left w:val="nil"/>
              <w:right w:val="nil"/>
            </w:tcBorders>
          </w:tcPr>
          <w:p w14:paraId="2C86894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8" w:space="0" w:color="auto"/>
              <w:left w:val="nil"/>
              <w:right w:val="nil"/>
            </w:tcBorders>
          </w:tcPr>
          <w:p w14:paraId="404D761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0.002</w:t>
            </w:r>
            <w:r w:rsidRPr="003C3156">
              <w:rPr>
                <w:rFonts w:ascii="Times New Roman" w:hAnsi="Times New Roman"/>
                <w:sz w:val="16"/>
                <w:szCs w:val="16"/>
                <w:vertAlign w:val="superscript"/>
                <w:lang w:val="en-US"/>
              </w:rPr>
              <w:t>**</w:t>
            </w:r>
          </w:p>
        </w:tc>
        <w:tc>
          <w:tcPr>
            <w:tcW w:w="125" w:type="pct"/>
            <w:tcBorders>
              <w:left w:val="nil"/>
              <w:right w:val="nil"/>
            </w:tcBorders>
          </w:tcPr>
          <w:p w14:paraId="76B8D9A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right w:val="nil"/>
            </w:tcBorders>
          </w:tcPr>
          <w:p w14:paraId="2C83A2F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0.002</w:t>
            </w:r>
            <w:r w:rsidRPr="003C3156">
              <w:rPr>
                <w:rFonts w:ascii="Times New Roman" w:hAnsi="Times New Roman"/>
                <w:sz w:val="16"/>
                <w:szCs w:val="16"/>
                <w:vertAlign w:val="superscript"/>
                <w:lang w:val="en-US"/>
              </w:rPr>
              <w:t>***</w:t>
            </w:r>
          </w:p>
        </w:tc>
        <w:tc>
          <w:tcPr>
            <w:tcW w:w="410" w:type="pct"/>
            <w:tcBorders>
              <w:top w:val="single" w:sz="8" w:space="0" w:color="auto"/>
              <w:left w:val="nil"/>
              <w:right w:val="nil"/>
            </w:tcBorders>
          </w:tcPr>
          <w:p w14:paraId="510F541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8" w:space="0" w:color="auto"/>
              <w:left w:val="nil"/>
              <w:right w:val="nil"/>
            </w:tcBorders>
          </w:tcPr>
          <w:p w14:paraId="5418D97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0.002</w:t>
            </w:r>
            <w:r w:rsidRPr="003C3156">
              <w:rPr>
                <w:rFonts w:ascii="Times New Roman" w:hAnsi="Times New Roman"/>
                <w:sz w:val="16"/>
                <w:szCs w:val="16"/>
                <w:vertAlign w:val="superscript"/>
                <w:lang w:val="en-US"/>
              </w:rPr>
              <w:t>***</w:t>
            </w:r>
          </w:p>
        </w:tc>
        <w:tc>
          <w:tcPr>
            <w:tcW w:w="125" w:type="pct"/>
            <w:tcBorders>
              <w:left w:val="nil"/>
              <w:right w:val="nil"/>
            </w:tcBorders>
          </w:tcPr>
          <w:p w14:paraId="585B29B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right w:val="nil"/>
            </w:tcBorders>
          </w:tcPr>
          <w:p w14:paraId="3C5BD42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-0.007</w:t>
            </w:r>
            <w:r w:rsidRPr="003C3156">
              <w:rPr>
                <w:rFonts w:ascii="Times New Roman" w:hAnsi="Times New Roman"/>
                <w:sz w:val="16"/>
                <w:szCs w:val="16"/>
                <w:vertAlign w:val="superscript"/>
                <w:lang w:val="en-US"/>
              </w:rPr>
              <w:t>**</w:t>
            </w:r>
          </w:p>
        </w:tc>
        <w:tc>
          <w:tcPr>
            <w:tcW w:w="370" w:type="pct"/>
            <w:tcBorders>
              <w:top w:val="single" w:sz="8" w:space="0" w:color="auto"/>
              <w:left w:val="nil"/>
              <w:right w:val="nil"/>
            </w:tcBorders>
          </w:tcPr>
          <w:p w14:paraId="29E7B0D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single" w:sz="8" w:space="0" w:color="auto"/>
              <w:left w:val="nil"/>
              <w:right w:val="nil"/>
            </w:tcBorders>
          </w:tcPr>
          <w:p w14:paraId="38790B6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-0.001</w:t>
            </w:r>
          </w:p>
        </w:tc>
      </w:tr>
      <w:tr w:rsidR="00984E59" w:rsidRPr="0011638C" w14:paraId="3911554E" w14:textId="77777777" w:rsidTr="004B57AB">
        <w:tc>
          <w:tcPr>
            <w:tcW w:w="1003" w:type="pct"/>
            <w:tcBorders>
              <w:top w:val="nil"/>
              <w:left w:val="nil"/>
              <w:right w:val="nil"/>
            </w:tcBorders>
          </w:tcPr>
          <w:p w14:paraId="238F4081"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49AA53BA"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(2.76)</w:t>
            </w:r>
          </w:p>
        </w:tc>
        <w:tc>
          <w:tcPr>
            <w:tcW w:w="410" w:type="pct"/>
            <w:tcBorders>
              <w:top w:val="nil"/>
              <w:left w:val="nil"/>
              <w:right w:val="nil"/>
            </w:tcBorders>
          </w:tcPr>
          <w:p w14:paraId="265AEF9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09A7739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(2.49)</w:t>
            </w:r>
          </w:p>
        </w:tc>
        <w:tc>
          <w:tcPr>
            <w:tcW w:w="125" w:type="pct"/>
            <w:tcBorders>
              <w:top w:val="nil"/>
              <w:left w:val="nil"/>
              <w:right w:val="nil"/>
            </w:tcBorders>
          </w:tcPr>
          <w:p w14:paraId="78093C1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15543ED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(3.96)</w:t>
            </w:r>
          </w:p>
        </w:tc>
        <w:tc>
          <w:tcPr>
            <w:tcW w:w="410" w:type="pct"/>
            <w:tcBorders>
              <w:top w:val="nil"/>
              <w:left w:val="nil"/>
              <w:right w:val="nil"/>
            </w:tcBorders>
          </w:tcPr>
          <w:p w14:paraId="5BFA8B6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35C2C017"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(3.49)</w:t>
            </w:r>
          </w:p>
        </w:tc>
        <w:tc>
          <w:tcPr>
            <w:tcW w:w="125" w:type="pct"/>
            <w:tcBorders>
              <w:top w:val="nil"/>
              <w:left w:val="nil"/>
              <w:right w:val="nil"/>
            </w:tcBorders>
          </w:tcPr>
          <w:p w14:paraId="0B500BC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8DF6C9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(-2.39)</w:t>
            </w:r>
          </w:p>
        </w:tc>
        <w:tc>
          <w:tcPr>
            <w:tcW w:w="370" w:type="pct"/>
            <w:tcBorders>
              <w:top w:val="nil"/>
              <w:left w:val="nil"/>
              <w:right w:val="nil"/>
            </w:tcBorders>
          </w:tcPr>
          <w:p w14:paraId="4E568ECA"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69B0A75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(-0.31)</w:t>
            </w:r>
          </w:p>
        </w:tc>
      </w:tr>
      <w:tr w:rsidR="00984E59" w:rsidRPr="0011638C" w14:paraId="2CCCE017" w14:textId="77777777" w:rsidTr="004B57AB">
        <w:tc>
          <w:tcPr>
            <w:tcW w:w="1003" w:type="pct"/>
            <w:tcBorders>
              <w:top w:val="nil"/>
              <w:left w:val="nil"/>
              <w:right w:val="nil"/>
            </w:tcBorders>
          </w:tcPr>
          <w:p w14:paraId="690265DA"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BSCOM</w:t>
            </w:r>
          </w:p>
        </w:tc>
        <w:tc>
          <w:tcPr>
            <w:tcW w:w="440" w:type="pct"/>
            <w:tcBorders>
              <w:top w:val="nil"/>
              <w:left w:val="nil"/>
              <w:right w:val="nil"/>
            </w:tcBorders>
          </w:tcPr>
          <w:p w14:paraId="1C0A583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53E68DF8"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0.055</w:t>
            </w:r>
          </w:p>
        </w:tc>
        <w:tc>
          <w:tcPr>
            <w:tcW w:w="441" w:type="pct"/>
            <w:tcBorders>
              <w:top w:val="nil"/>
              <w:left w:val="nil"/>
              <w:right w:val="nil"/>
            </w:tcBorders>
          </w:tcPr>
          <w:p w14:paraId="4EE13D1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0.037</w:t>
            </w:r>
          </w:p>
        </w:tc>
        <w:tc>
          <w:tcPr>
            <w:tcW w:w="125" w:type="pct"/>
            <w:tcBorders>
              <w:top w:val="nil"/>
              <w:left w:val="nil"/>
              <w:right w:val="nil"/>
            </w:tcBorders>
          </w:tcPr>
          <w:p w14:paraId="31F12E3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0C87AB5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4BC3C4A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0.082</w:t>
            </w:r>
            <w:r w:rsidRPr="003C3156">
              <w:rPr>
                <w:rFonts w:ascii="Times New Roman" w:hAnsi="Times New Roman"/>
                <w:sz w:val="16"/>
                <w:szCs w:val="16"/>
                <w:vertAlign w:val="superscript"/>
                <w:lang w:val="en-US"/>
              </w:rPr>
              <w:t>***</w:t>
            </w:r>
          </w:p>
        </w:tc>
        <w:tc>
          <w:tcPr>
            <w:tcW w:w="441" w:type="pct"/>
            <w:tcBorders>
              <w:top w:val="nil"/>
              <w:left w:val="nil"/>
              <w:right w:val="nil"/>
            </w:tcBorders>
          </w:tcPr>
          <w:p w14:paraId="305CE58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0.075</w:t>
            </w:r>
            <w:r w:rsidRPr="003C3156">
              <w:rPr>
                <w:rFonts w:ascii="Times New Roman" w:hAnsi="Times New Roman"/>
                <w:sz w:val="16"/>
                <w:szCs w:val="16"/>
                <w:vertAlign w:val="superscript"/>
                <w:lang w:val="en-US"/>
              </w:rPr>
              <w:t>**</w:t>
            </w:r>
          </w:p>
        </w:tc>
        <w:tc>
          <w:tcPr>
            <w:tcW w:w="125" w:type="pct"/>
            <w:tcBorders>
              <w:top w:val="nil"/>
              <w:left w:val="nil"/>
              <w:right w:val="nil"/>
            </w:tcBorders>
          </w:tcPr>
          <w:p w14:paraId="76DF681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73A8ABE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28D747E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-0.095</w:t>
            </w:r>
          </w:p>
        </w:tc>
        <w:tc>
          <w:tcPr>
            <w:tcW w:w="383" w:type="pct"/>
            <w:tcBorders>
              <w:top w:val="nil"/>
              <w:left w:val="nil"/>
              <w:right w:val="nil"/>
            </w:tcBorders>
          </w:tcPr>
          <w:p w14:paraId="65EF6A4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0.401</w:t>
            </w:r>
            <w:r w:rsidRPr="003C3156">
              <w:rPr>
                <w:rFonts w:ascii="Times New Roman" w:hAnsi="Times New Roman"/>
                <w:sz w:val="16"/>
                <w:szCs w:val="16"/>
                <w:vertAlign w:val="superscript"/>
                <w:lang w:val="en-US"/>
              </w:rPr>
              <w:t>*</w:t>
            </w:r>
          </w:p>
        </w:tc>
      </w:tr>
      <w:tr w:rsidR="00984E59" w:rsidRPr="0011638C" w14:paraId="3D0162C1" w14:textId="77777777" w:rsidTr="004B57AB">
        <w:tc>
          <w:tcPr>
            <w:tcW w:w="1003" w:type="pct"/>
            <w:tcBorders>
              <w:top w:val="nil"/>
              <w:left w:val="nil"/>
              <w:right w:val="nil"/>
            </w:tcBorders>
          </w:tcPr>
          <w:p w14:paraId="4ABD91F8"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6595B91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3BEAE46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(0.82)</w:t>
            </w:r>
          </w:p>
        </w:tc>
        <w:tc>
          <w:tcPr>
            <w:tcW w:w="441" w:type="pct"/>
            <w:tcBorders>
              <w:top w:val="nil"/>
              <w:left w:val="nil"/>
              <w:right w:val="nil"/>
            </w:tcBorders>
          </w:tcPr>
          <w:p w14:paraId="3D49019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(0.54)</w:t>
            </w:r>
          </w:p>
        </w:tc>
        <w:tc>
          <w:tcPr>
            <w:tcW w:w="125" w:type="pct"/>
            <w:tcBorders>
              <w:top w:val="nil"/>
              <w:left w:val="nil"/>
              <w:right w:val="nil"/>
            </w:tcBorders>
          </w:tcPr>
          <w:p w14:paraId="34CF8E5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19959E0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1BDCC31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(2.75)</w:t>
            </w:r>
          </w:p>
        </w:tc>
        <w:tc>
          <w:tcPr>
            <w:tcW w:w="441" w:type="pct"/>
            <w:tcBorders>
              <w:top w:val="nil"/>
              <w:left w:val="nil"/>
              <w:right w:val="nil"/>
            </w:tcBorders>
          </w:tcPr>
          <w:p w14:paraId="7F34506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(2.42)</w:t>
            </w:r>
          </w:p>
        </w:tc>
        <w:tc>
          <w:tcPr>
            <w:tcW w:w="125" w:type="pct"/>
            <w:tcBorders>
              <w:top w:val="nil"/>
              <w:left w:val="nil"/>
              <w:right w:val="nil"/>
            </w:tcBorders>
          </w:tcPr>
          <w:p w14:paraId="14FE12A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721D8AC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7261911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(-1.42)</w:t>
            </w:r>
          </w:p>
        </w:tc>
        <w:tc>
          <w:tcPr>
            <w:tcW w:w="383" w:type="pct"/>
            <w:tcBorders>
              <w:top w:val="nil"/>
              <w:left w:val="nil"/>
              <w:right w:val="nil"/>
            </w:tcBorders>
          </w:tcPr>
          <w:p w14:paraId="2407096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(1.87)</w:t>
            </w:r>
          </w:p>
        </w:tc>
      </w:tr>
      <w:tr w:rsidR="00984E59" w:rsidRPr="0011638C" w14:paraId="0ED553F5" w14:textId="77777777" w:rsidTr="004B57AB">
        <w:tc>
          <w:tcPr>
            <w:tcW w:w="1003" w:type="pct"/>
            <w:tcBorders>
              <w:top w:val="nil"/>
              <w:left w:val="nil"/>
              <w:right w:val="nil"/>
            </w:tcBorders>
          </w:tcPr>
          <w:p w14:paraId="79365CE1"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PCCIs*BSCOM</w:t>
            </w:r>
          </w:p>
        </w:tc>
        <w:tc>
          <w:tcPr>
            <w:tcW w:w="440" w:type="pct"/>
            <w:tcBorders>
              <w:top w:val="nil"/>
              <w:left w:val="nil"/>
              <w:right w:val="nil"/>
            </w:tcBorders>
          </w:tcPr>
          <w:p w14:paraId="35960A9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5822120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2E19C2E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0.001</w:t>
            </w:r>
          </w:p>
        </w:tc>
        <w:tc>
          <w:tcPr>
            <w:tcW w:w="125" w:type="pct"/>
            <w:tcBorders>
              <w:top w:val="nil"/>
              <w:left w:val="nil"/>
              <w:right w:val="nil"/>
            </w:tcBorders>
          </w:tcPr>
          <w:p w14:paraId="2D57BCAA"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19ED92F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4A2AB81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63E5E97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0.000</w:t>
            </w:r>
          </w:p>
        </w:tc>
        <w:tc>
          <w:tcPr>
            <w:tcW w:w="125" w:type="pct"/>
            <w:tcBorders>
              <w:top w:val="nil"/>
              <w:left w:val="nil"/>
              <w:right w:val="nil"/>
            </w:tcBorders>
          </w:tcPr>
          <w:p w14:paraId="063AEF53"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DFBFC4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6708E67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5B7E141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0.013</w:t>
            </w:r>
            <w:r w:rsidRPr="003C3156">
              <w:rPr>
                <w:rFonts w:ascii="Times New Roman" w:hAnsi="Times New Roman"/>
                <w:sz w:val="16"/>
                <w:szCs w:val="16"/>
                <w:vertAlign w:val="superscript"/>
                <w:lang w:val="en-US"/>
              </w:rPr>
              <w:t>**</w:t>
            </w:r>
          </w:p>
        </w:tc>
      </w:tr>
      <w:tr w:rsidR="00984E59" w:rsidRPr="0011638C" w14:paraId="6396B6FA" w14:textId="77777777" w:rsidTr="004B57AB">
        <w:tc>
          <w:tcPr>
            <w:tcW w:w="1003" w:type="pct"/>
            <w:tcBorders>
              <w:top w:val="nil"/>
              <w:left w:val="nil"/>
              <w:right w:val="nil"/>
            </w:tcBorders>
          </w:tcPr>
          <w:p w14:paraId="290287D1"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61211E0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4E8A398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27CEC0D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(0.50)</w:t>
            </w:r>
          </w:p>
        </w:tc>
        <w:tc>
          <w:tcPr>
            <w:tcW w:w="125" w:type="pct"/>
            <w:tcBorders>
              <w:top w:val="nil"/>
              <w:left w:val="nil"/>
              <w:right w:val="nil"/>
            </w:tcBorders>
          </w:tcPr>
          <w:p w14:paraId="41C90A8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58A540F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56B9595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1FA4EE6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(0.38)</w:t>
            </w:r>
          </w:p>
        </w:tc>
        <w:tc>
          <w:tcPr>
            <w:tcW w:w="125" w:type="pct"/>
            <w:tcBorders>
              <w:top w:val="nil"/>
              <w:left w:val="nil"/>
              <w:right w:val="nil"/>
            </w:tcBorders>
          </w:tcPr>
          <w:p w14:paraId="155B3ED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68875C68"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2BF0DD7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526E1133"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(2.31)</w:t>
            </w:r>
          </w:p>
        </w:tc>
      </w:tr>
      <w:tr w:rsidR="00984E59" w:rsidRPr="0011638C" w14:paraId="0A30CAA3" w14:textId="77777777" w:rsidTr="004B57AB">
        <w:tc>
          <w:tcPr>
            <w:tcW w:w="1003" w:type="pct"/>
            <w:tcBorders>
              <w:top w:val="nil"/>
              <w:left w:val="nil"/>
              <w:right w:val="nil"/>
            </w:tcBorders>
          </w:tcPr>
          <w:p w14:paraId="27F692C7"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Controls</w:t>
            </w:r>
          </w:p>
        </w:tc>
        <w:tc>
          <w:tcPr>
            <w:tcW w:w="440" w:type="pct"/>
            <w:tcBorders>
              <w:top w:val="nil"/>
              <w:left w:val="nil"/>
              <w:right w:val="nil"/>
            </w:tcBorders>
          </w:tcPr>
          <w:p w14:paraId="39699CB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23AE93D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7B6B6EA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63802586"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462C7C7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33AED11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54976718"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4F5AEF77"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6EA189B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right w:val="nil"/>
            </w:tcBorders>
          </w:tcPr>
          <w:p w14:paraId="462CF10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right w:val="nil"/>
            </w:tcBorders>
          </w:tcPr>
          <w:p w14:paraId="452727D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11638C" w14:paraId="0B8BE25E" w14:textId="77777777" w:rsidTr="004B57AB">
        <w:tc>
          <w:tcPr>
            <w:tcW w:w="1003" w:type="pct"/>
            <w:tcBorders>
              <w:top w:val="nil"/>
              <w:left w:val="nil"/>
              <w:right w:val="nil"/>
            </w:tcBorders>
          </w:tcPr>
          <w:p w14:paraId="0CDA8D09"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Year/Sector/Country FE</w:t>
            </w:r>
          </w:p>
        </w:tc>
        <w:tc>
          <w:tcPr>
            <w:tcW w:w="440" w:type="pct"/>
            <w:tcBorders>
              <w:top w:val="nil"/>
              <w:left w:val="nil"/>
              <w:right w:val="nil"/>
            </w:tcBorders>
          </w:tcPr>
          <w:p w14:paraId="3761402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28E5EBC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17924D0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62A2511F"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080EFFF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427E30D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7E24BC4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62592DD7"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24076C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right w:val="nil"/>
            </w:tcBorders>
          </w:tcPr>
          <w:p w14:paraId="4E19C327"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right w:val="nil"/>
            </w:tcBorders>
          </w:tcPr>
          <w:p w14:paraId="4D60899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11638C" w14:paraId="2BA3E997" w14:textId="77777777" w:rsidTr="004B57AB">
        <w:tc>
          <w:tcPr>
            <w:tcW w:w="1003" w:type="pct"/>
            <w:tcBorders>
              <w:top w:val="nil"/>
              <w:left w:val="nil"/>
              <w:right w:val="nil"/>
            </w:tcBorders>
          </w:tcPr>
          <w:p w14:paraId="1077E893"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Observations</w:t>
            </w:r>
          </w:p>
        </w:tc>
        <w:tc>
          <w:tcPr>
            <w:tcW w:w="440" w:type="pct"/>
            <w:tcBorders>
              <w:top w:val="nil"/>
              <w:left w:val="nil"/>
              <w:right w:val="nil"/>
            </w:tcBorders>
          </w:tcPr>
          <w:p w14:paraId="6321FA4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410" w:type="pct"/>
            <w:tcBorders>
              <w:top w:val="nil"/>
              <w:left w:val="nil"/>
              <w:right w:val="nil"/>
            </w:tcBorders>
          </w:tcPr>
          <w:p w14:paraId="298AB24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441" w:type="pct"/>
            <w:tcBorders>
              <w:top w:val="nil"/>
              <w:left w:val="nil"/>
              <w:right w:val="nil"/>
            </w:tcBorders>
          </w:tcPr>
          <w:p w14:paraId="48E65B1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2351</w:t>
            </w:r>
          </w:p>
        </w:tc>
        <w:tc>
          <w:tcPr>
            <w:tcW w:w="125" w:type="pct"/>
            <w:tcBorders>
              <w:top w:val="nil"/>
              <w:left w:val="nil"/>
              <w:right w:val="nil"/>
            </w:tcBorders>
          </w:tcPr>
          <w:p w14:paraId="48420AAD"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28A06FF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5520</w:t>
            </w:r>
          </w:p>
        </w:tc>
        <w:tc>
          <w:tcPr>
            <w:tcW w:w="410" w:type="pct"/>
            <w:tcBorders>
              <w:top w:val="nil"/>
              <w:left w:val="nil"/>
              <w:right w:val="nil"/>
            </w:tcBorders>
          </w:tcPr>
          <w:p w14:paraId="2DF3CD1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5520</w:t>
            </w:r>
          </w:p>
        </w:tc>
        <w:tc>
          <w:tcPr>
            <w:tcW w:w="441" w:type="pct"/>
            <w:tcBorders>
              <w:top w:val="nil"/>
              <w:left w:val="nil"/>
              <w:right w:val="nil"/>
            </w:tcBorders>
          </w:tcPr>
          <w:p w14:paraId="7D0ECE74"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5520</w:t>
            </w:r>
          </w:p>
        </w:tc>
        <w:tc>
          <w:tcPr>
            <w:tcW w:w="125" w:type="pct"/>
            <w:tcBorders>
              <w:top w:val="nil"/>
              <w:left w:val="nil"/>
              <w:right w:val="nil"/>
            </w:tcBorders>
          </w:tcPr>
          <w:p w14:paraId="3C132AB5"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465A314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537</w:t>
            </w:r>
          </w:p>
        </w:tc>
        <w:tc>
          <w:tcPr>
            <w:tcW w:w="370" w:type="pct"/>
            <w:tcBorders>
              <w:top w:val="nil"/>
              <w:left w:val="nil"/>
              <w:right w:val="nil"/>
            </w:tcBorders>
          </w:tcPr>
          <w:p w14:paraId="0D2059B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537</w:t>
            </w:r>
          </w:p>
        </w:tc>
        <w:tc>
          <w:tcPr>
            <w:tcW w:w="383" w:type="pct"/>
            <w:tcBorders>
              <w:top w:val="nil"/>
              <w:left w:val="nil"/>
              <w:right w:val="nil"/>
            </w:tcBorders>
          </w:tcPr>
          <w:p w14:paraId="2D1F7A4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537</w:t>
            </w:r>
          </w:p>
        </w:tc>
      </w:tr>
      <w:tr w:rsidR="00984E59" w:rsidRPr="0011638C" w14:paraId="121746D6" w14:textId="77777777" w:rsidTr="004B57AB">
        <w:tc>
          <w:tcPr>
            <w:tcW w:w="1003" w:type="pct"/>
            <w:tcBorders>
              <w:top w:val="nil"/>
              <w:left w:val="nil"/>
              <w:bottom w:val="single" w:sz="8" w:space="0" w:color="auto"/>
              <w:right w:val="nil"/>
            </w:tcBorders>
          </w:tcPr>
          <w:p w14:paraId="4A4504DF"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R-squared</w:t>
            </w:r>
          </w:p>
        </w:tc>
        <w:tc>
          <w:tcPr>
            <w:tcW w:w="440" w:type="pct"/>
            <w:tcBorders>
              <w:top w:val="nil"/>
              <w:left w:val="nil"/>
              <w:bottom w:val="single" w:sz="8" w:space="0" w:color="auto"/>
              <w:right w:val="nil"/>
            </w:tcBorders>
          </w:tcPr>
          <w:p w14:paraId="54D8AFA2"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0.521</w:t>
            </w:r>
          </w:p>
        </w:tc>
        <w:tc>
          <w:tcPr>
            <w:tcW w:w="410" w:type="pct"/>
            <w:tcBorders>
              <w:top w:val="nil"/>
              <w:left w:val="nil"/>
              <w:bottom w:val="single" w:sz="8" w:space="0" w:color="auto"/>
              <w:right w:val="nil"/>
            </w:tcBorders>
          </w:tcPr>
          <w:p w14:paraId="17D6C4C7"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0.519</w:t>
            </w:r>
          </w:p>
        </w:tc>
        <w:tc>
          <w:tcPr>
            <w:tcW w:w="441" w:type="pct"/>
            <w:tcBorders>
              <w:top w:val="nil"/>
              <w:left w:val="nil"/>
              <w:bottom w:val="single" w:sz="8" w:space="0" w:color="auto"/>
              <w:right w:val="nil"/>
            </w:tcBorders>
          </w:tcPr>
          <w:p w14:paraId="2547C17D"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0.520</w:t>
            </w:r>
          </w:p>
        </w:tc>
        <w:tc>
          <w:tcPr>
            <w:tcW w:w="125" w:type="pct"/>
            <w:tcBorders>
              <w:top w:val="nil"/>
              <w:left w:val="nil"/>
              <w:bottom w:val="single" w:sz="8" w:space="0" w:color="auto"/>
              <w:right w:val="nil"/>
            </w:tcBorders>
          </w:tcPr>
          <w:p w14:paraId="4CD69EEB"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8" w:space="0" w:color="auto"/>
              <w:right w:val="nil"/>
            </w:tcBorders>
          </w:tcPr>
          <w:p w14:paraId="609B744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0.533</w:t>
            </w:r>
          </w:p>
        </w:tc>
        <w:tc>
          <w:tcPr>
            <w:tcW w:w="410" w:type="pct"/>
            <w:tcBorders>
              <w:top w:val="nil"/>
              <w:left w:val="nil"/>
              <w:bottom w:val="single" w:sz="8" w:space="0" w:color="auto"/>
              <w:right w:val="nil"/>
            </w:tcBorders>
          </w:tcPr>
          <w:p w14:paraId="46C9095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0.533</w:t>
            </w:r>
          </w:p>
        </w:tc>
        <w:tc>
          <w:tcPr>
            <w:tcW w:w="441" w:type="pct"/>
            <w:tcBorders>
              <w:top w:val="nil"/>
              <w:left w:val="nil"/>
              <w:bottom w:val="single" w:sz="8" w:space="0" w:color="auto"/>
              <w:right w:val="nil"/>
            </w:tcBorders>
          </w:tcPr>
          <w:p w14:paraId="2977E28A"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0.533</w:t>
            </w:r>
          </w:p>
        </w:tc>
        <w:tc>
          <w:tcPr>
            <w:tcW w:w="125" w:type="pct"/>
            <w:tcBorders>
              <w:top w:val="nil"/>
              <w:left w:val="nil"/>
              <w:bottom w:val="single" w:sz="8" w:space="0" w:color="auto"/>
              <w:right w:val="nil"/>
            </w:tcBorders>
          </w:tcPr>
          <w:p w14:paraId="773A87B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8" w:space="0" w:color="auto"/>
              <w:right w:val="nil"/>
            </w:tcBorders>
          </w:tcPr>
          <w:p w14:paraId="1B768C65"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0.575</w:t>
            </w:r>
          </w:p>
        </w:tc>
        <w:tc>
          <w:tcPr>
            <w:tcW w:w="370" w:type="pct"/>
            <w:tcBorders>
              <w:top w:val="nil"/>
              <w:left w:val="nil"/>
              <w:bottom w:val="single" w:sz="8" w:space="0" w:color="auto"/>
              <w:right w:val="nil"/>
            </w:tcBorders>
          </w:tcPr>
          <w:p w14:paraId="2DF4C8A6"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0.573</w:t>
            </w:r>
          </w:p>
        </w:tc>
        <w:tc>
          <w:tcPr>
            <w:tcW w:w="383" w:type="pct"/>
            <w:tcBorders>
              <w:top w:val="nil"/>
              <w:left w:val="nil"/>
              <w:bottom w:val="single" w:sz="8" w:space="0" w:color="auto"/>
              <w:right w:val="nil"/>
            </w:tcBorders>
          </w:tcPr>
          <w:p w14:paraId="22C2467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11638C">
              <w:rPr>
                <w:rFonts w:ascii="Times New Roman" w:hAnsi="Times New Roman"/>
                <w:sz w:val="16"/>
                <w:szCs w:val="16"/>
                <w:lang w:val="en-US"/>
              </w:rPr>
              <w:t>0.578</w:t>
            </w:r>
          </w:p>
        </w:tc>
      </w:tr>
      <w:tr w:rsidR="00984E59" w:rsidRPr="008E3FE6" w14:paraId="23C1A893" w14:textId="77777777" w:rsidTr="004B57AB">
        <w:tc>
          <w:tcPr>
            <w:tcW w:w="2294" w:type="pct"/>
            <w:gridSpan w:val="4"/>
            <w:tcBorders>
              <w:top w:val="single" w:sz="8" w:space="0" w:color="auto"/>
              <w:left w:val="nil"/>
              <w:bottom w:val="single" w:sz="8" w:space="0" w:color="auto"/>
              <w:right w:val="nil"/>
            </w:tcBorders>
          </w:tcPr>
          <w:p w14:paraId="22054B46" w14:textId="77777777" w:rsidR="00984E59" w:rsidRPr="0011638C"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i/>
                <w:sz w:val="16"/>
                <w:szCs w:val="16"/>
                <w:lang w:val="en-US"/>
              </w:rPr>
              <w:t>Panel C: Impacts of PCCIs and BSCOM on CCPE</w:t>
            </w:r>
          </w:p>
        </w:tc>
        <w:tc>
          <w:tcPr>
            <w:tcW w:w="125" w:type="pct"/>
            <w:tcBorders>
              <w:top w:val="single" w:sz="8" w:space="0" w:color="auto"/>
              <w:left w:val="nil"/>
              <w:bottom w:val="single" w:sz="8" w:space="0" w:color="auto"/>
              <w:right w:val="nil"/>
            </w:tcBorders>
          </w:tcPr>
          <w:p w14:paraId="4025738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bottom w:val="single" w:sz="8" w:space="0" w:color="auto"/>
              <w:right w:val="nil"/>
            </w:tcBorders>
          </w:tcPr>
          <w:p w14:paraId="77CCE2BE"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single" w:sz="8" w:space="0" w:color="auto"/>
              <w:left w:val="nil"/>
              <w:bottom w:val="single" w:sz="8" w:space="0" w:color="auto"/>
              <w:right w:val="nil"/>
            </w:tcBorders>
          </w:tcPr>
          <w:p w14:paraId="0A238CC9"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8" w:space="0" w:color="auto"/>
              <w:left w:val="nil"/>
              <w:bottom w:val="single" w:sz="8" w:space="0" w:color="auto"/>
              <w:right w:val="nil"/>
            </w:tcBorders>
          </w:tcPr>
          <w:p w14:paraId="10DCB4F1"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125" w:type="pct"/>
            <w:tcBorders>
              <w:top w:val="single" w:sz="8" w:space="0" w:color="auto"/>
              <w:left w:val="nil"/>
              <w:bottom w:val="single" w:sz="8" w:space="0" w:color="auto"/>
              <w:right w:val="nil"/>
            </w:tcBorders>
          </w:tcPr>
          <w:p w14:paraId="7E1644AF"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bottom w:val="single" w:sz="8" w:space="0" w:color="auto"/>
              <w:right w:val="nil"/>
            </w:tcBorders>
          </w:tcPr>
          <w:p w14:paraId="3755E430"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single" w:sz="8" w:space="0" w:color="auto"/>
              <w:left w:val="nil"/>
              <w:bottom w:val="single" w:sz="8" w:space="0" w:color="auto"/>
              <w:right w:val="nil"/>
            </w:tcBorders>
          </w:tcPr>
          <w:p w14:paraId="751FCD97"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single" w:sz="8" w:space="0" w:color="auto"/>
              <w:left w:val="nil"/>
              <w:bottom w:val="single" w:sz="8" w:space="0" w:color="auto"/>
              <w:right w:val="nil"/>
            </w:tcBorders>
          </w:tcPr>
          <w:p w14:paraId="601F16FC" w14:textId="77777777" w:rsidR="00984E59" w:rsidRPr="0011638C"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r>
      <w:tr w:rsidR="00984E59" w:rsidRPr="00A31B18" w14:paraId="46EE09D7" w14:textId="77777777" w:rsidTr="004B57AB">
        <w:tc>
          <w:tcPr>
            <w:tcW w:w="1003" w:type="pct"/>
            <w:tcBorders>
              <w:top w:val="single" w:sz="8" w:space="0" w:color="auto"/>
              <w:left w:val="nil"/>
              <w:right w:val="nil"/>
            </w:tcBorders>
          </w:tcPr>
          <w:p w14:paraId="576CDFE0" w14:textId="77777777" w:rsidR="00984E59" w:rsidRPr="00A31B1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single" w:sz="8" w:space="0" w:color="auto"/>
              <w:left w:val="nil"/>
              <w:right w:val="nil"/>
            </w:tcBorders>
          </w:tcPr>
          <w:p w14:paraId="06D5715D"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(1)</w:t>
            </w:r>
          </w:p>
        </w:tc>
        <w:tc>
          <w:tcPr>
            <w:tcW w:w="410" w:type="pct"/>
            <w:tcBorders>
              <w:top w:val="single" w:sz="8" w:space="0" w:color="auto"/>
              <w:left w:val="nil"/>
              <w:right w:val="nil"/>
            </w:tcBorders>
          </w:tcPr>
          <w:p w14:paraId="456AC038"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w:t>
            </w:r>
          </w:p>
        </w:tc>
        <w:tc>
          <w:tcPr>
            <w:tcW w:w="441" w:type="pct"/>
            <w:tcBorders>
              <w:top w:val="single" w:sz="8" w:space="0" w:color="auto"/>
              <w:left w:val="nil"/>
              <w:right w:val="nil"/>
            </w:tcBorders>
          </w:tcPr>
          <w:p w14:paraId="2B5D1078"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(3)</w:t>
            </w:r>
          </w:p>
        </w:tc>
        <w:tc>
          <w:tcPr>
            <w:tcW w:w="125" w:type="pct"/>
            <w:tcBorders>
              <w:top w:val="single" w:sz="8" w:space="0" w:color="auto"/>
              <w:left w:val="nil"/>
              <w:right w:val="nil"/>
            </w:tcBorders>
          </w:tcPr>
          <w:p w14:paraId="2C4D833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right w:val="nil"/>
            </w:tcBorders>
          </w:tcPr>
          <w:p w14:paraId="34AEC01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(4)</w:t>
            </w:r>
          </w:p>
        </w:tc>
        <w:tc>
          <w:tcPr>
            <w:tcW w:w="410" w:type="pct"/>
            <w:tcBorders>
              <w:top w:val="single" w:sz="8" w:space="0" w:color="auto"/>
              <w:left w:val="nil"/>
              <w:right w:val="nil"/>
            </w:tcBorders>
          </w:tcPr>
          <w:p w14:paraId="2F0C5BF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(5)</w:t>
            </w:r>
          </w:p>
        </w:tc>
        <w:tc>
          <w:tcPr>
            <w:tcW w:w="441" w:type="pct"/>
            <w:tcBorders>
              <w:top w:val="single" w:sz="8" w:space="0" w:color="auto"/>
              <w:left w:val="nil"/>
              <w:right w:val="nil"/>
            </w:tcBorders>
          </w:tcPr>
          <w:p w14:paraId="0832021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(6)</w:t>
            </w:r>
          </w:p>
        </w:tc>
        <w:tc>
          <w:tcPr>
            <w:tcW w:w="125" w:type="pct"/>
            <w:tcBorders>
              <w:top w:val="single" w:sz="8" w:space="0" w:color="auto"/>
              <w:left w:val="nil"/>
              <w:right w:val="nil"/>
            </w:tcBorders>
          </w:tcPr>
          <w:p w14:paraId="01878FB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right w:val="nil"/>
            </w:tcBorders>
          </w:tcPr>
          <w:p w14:paraId="48A0308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(7)</w:t>
            </w:r>
          </w:p>
        </w:tc>
        <w:tc>
          <w:tcPr>
            <w:tcW w:w="370" w:type="pct"/>
            <w:tcBorders>
              <w:top w:val="single" w:sz="8" w:space="0" w:color="auto"/>
              <w:left w:val="nil"/>
              <w:right w:val="nil"/>
            </w:tcBorders>
          </w:tcPr>
          <w:p w14:paraId="4472598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(8)</w:t>
            </w:r>
          </w:p>
        </w:tc>
        <w:tc>
          <w:tcPr>
            <w:tcW w:w="383" w:type="pct"/>
            <w:tcBorders>
              <w:top w:val="single" w:sz="8" w:space="0" w:color="auto"/>
              <w:left w:val="nil"/>
              <w:right w:val="nil"/>
            </w:tcBorders>
          </w:tcPr>
          <w:p w14:paraId="71E05A1D"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(9)</w:t>
            </w:r>
          </w:p>
        </w:tc>
      </w:tr>
      <w:tr w:rsidR="00984E59" w:rsidRPr="00A31B18" w14:paraId="4944B40D" w14:textId="77777777" w:rsidTr="004B57AB">
        <w:tc>
          <w:tcPr>
            <w:tcW w:w="1003" w:type="pct"/>
            <w:tcBorders>
              <w:top w:val="nil"/>
              <w:left w:val="nil"/>
              <w:bottom w:val="single" w:sz="8" w:space="0" w:color="auto"/>
              <w:right w:val="nil"/>
            </w:tcBorders>
          </w:tcPr>
          <w:p w14:paraId="34FC47F6" w14:textId="77777777" w:rsidR="00984E59" w:rsidRPr="00A31B1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bottom w:val="single" w:sz="8" w:space="0" w:color="auto"/>
              <w:right w:val="nil"/>
            </w:tcBorders>
          </w:tcPr>
          <w:p w14:paraId="4D616D7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410" w:type="pct"/>
            <w:tcBorders>
              <w:top w:val="nil"/>
              <w:left w:val="nil"/>
              <w:bottom w:val="single" w:sz="8" w:space="0" w:color="auto"/>
              <w:right w:val="nil"/>
            </w:tcBorders>
          </w:tcPr>
          <w:p w14:paraId="2DB0C0C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441" w:type="pct"/>
            <w:tcBorders>
              <w:top w:val="nil"/>
              <w:left w:val="nil"/>
              <w:bottom w:val="single" w:sz="8" w:space="0" w:color="auto"/>
              <w:right w:val="nil"/>
            </w:tcBorders>
          </w:tcPr>
          <w:p w14:paraId="70DF55C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125" w:type="pct"/>
            <w:tcBorders>
              <w:top w:val="nil"/>
              <w:left w:val="nil"/>
              <w:right w:val="nil"/>
            </w:tcBorders>
          </w:tcPr>
          <w:p w14:paraId="42EA6678"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8" w:space="0" w:color="auto"/>
              <w:right w:val="nil"/>
            </w:tcBorders>
          </w:tcPr>
          <w:p w14:paraId="3569E5D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410" w:type="pct"/>
            <w:tcBorders>
              <w:top w:val="nil"/>
              <w:left w:val="nil"/>
              <w:bottom w:val="single" w:sz="8" w:space="0" w:color="auto"/>
              <w:right w:val="nil"/>
            </w:tcBorders>
          </w:tcPr>
          <w:p w14:paraId="3AA2E6D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441" w:type="pct"/>
            <w:tcBorders>
              <w:top w:val="nil"/>
              <w:left w:val="nil"/>
              <w:bottom w:val="single" w:sz="8" w:space="0" w:color="auto"/>
              <w:right w:val="nil"/>
            </w:tcBorders>
          </w:tcPr>
          <w:p w14:paraId="167F4E88"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125" w:type="pct"/>
            <w:tcBorders>
              <w:top w:val="nil"/>
              <w:left w:val="nil"/>
              <w:right w:val="nil"/>
            </w:tcBorders>
          </w:tcPr>
          <w:p w14:paraId="2CF46B42"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8" w:space="0" w:color="auto"/>
              <w:right w:val="nil"/>
            </w:tcBorders>
          </w:tcPr>
          <w:p w14:paraId="37C3912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370" w:type="pct"/>
            <w:tcBorders>
              <w:top w:val="nil"/>
              <w:left w:val="nil"/>
              <w:bottom w:val="single" w:sz="8" w:space="0" w:color="auto"/>
              <w:right w:val="nil"/>
            </w:tcBorders>
          </w:tcPr>
          <w:p w14:paraId="64A363C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c>
          <w:tcPr>
            <w:tcW w:w="383" w:type="pct"/>
            <w:tcBorders>
              <w:top w:val="nil"/>
              <w:left w:val="nil"/>
              <w:bottom w:val="single" w:sz="8" w:space="0" w:color="auto"/>
              <w:right w:val="nil"/>
            </w:tcBorders>
          </w:tcPr>
          <w:p w14:paraId="6B37730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CCPE</w:t>
            </w:r>
          </w:p>
        </w:tc>
      </w:tr>
      <w:tr w:rsidR="00984E59" w:rsidRPr="00A31B18" w14:paraId="7437F7CE" w14:textId="77777777" w:rsidTr="004B57AB">
        <w:tc>
          <w:tcPr>
            <w:tcW w:w="1003" w:type="pct"/>
            <w:tcBorders>
              <w:top w:val="single" w:sz="8" w:space="0" w:color="auto"/>
              <w:left w:val="nil"/>
              <w:right w:val="nil"/>
            </w:tcBorders>
          </w:tcPr>
          <w:p w14:paraId="6BBC2EC3" w14:textId="730CC384"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00E021E0">
              <w:rPr>
                <w:rFonts w:ascii="Times New Roman" w:hAnsi="Times New Roman"/>
                <w:sz w:val="16"/>
                <w:szCs w:val="16"/>
                <w:lang w:val="en-US"/>
              </w:rPr>
              <w:t xml:space="preserve"> </w:t>
            </w:r>
            <w:r w:rsidRPr="00E021E0">
              <w:rPr>
                <w:rFonts w:ascii="Times New Roman" w:hAnsi="Times New Roman"/>
                <w:i/>
                <w:sz w:val="16"/>
                <w:szCs w:val="16"/>
                <w:vertAlign w:val="subscript"/>
                <w:lang w:val="en-US"/>
              </w:rPr>
              <w:t>t-2</w:t>
            </w:r>
          </w:p>
        </w:tc>
        <w:tc>
          <w:tcPr>
            <w:tcW w:w="440" w:type="pct"/>
            <w:tcBorders>
              <w:top w:val="single" w:sz="8" w:space="0" w:color="auto"/>
              <w:left w:val="nil"/>
              <w:right w:val="nil"/>
            </w:tcBorders>
          </w:tcPr>
          <w:p w14:paraId="2D5AD91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0.007</w:t>
            </w:r>
            <w:r w:rsidRPr="003C3156">
              <w:rPr>
                <w:rFonts w:ascii="Times New Roman" w:hAnsi="Times New Roman"/>
                <w:sz w:val="16"/>
                <w:szCs w:val="16"/>
                <w:vertAlign w:val="superscript"/>
                <w:lang w:val="en-US"/>
              </w:rPr>
              <w:t>***</w:t>
            </w:r>
          </w:p>
        </w:tc>
        <w:tc>
          <w:tcPr>
            <w:tcW w:w="410" w:type="pct"/>
            <w:tcBorders>
              <w:top w:val="single" w:sz="8" w:space="0" w:color="auto"/>
              <w:left w:val="nil"/>
              <w:right w:val="nil"/>
            </w:tcBorders>
          </w:tcPr>
          <w:p w14:paraId="114710B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8" w:space="0" w:color="auto"/>
              <w:left w:val="nil"/>
              <w:right w:val="nil"/>
            </w:tcBorders>
          </w:tcPr>
          <w:p w14:paraId="6E58E94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0.007</w:t>
            </w:r>
            <w:r w:rsidRPr="003C3156">
              <w:rPr>
                <w:rFonts w:ascii="Times New Roman" w:hAnsi="Times New Roman"/>
                <w:sz w:val="16"/>
                <w:szCs w:val="16"/>
                <w:vertAlign w:val="superscript"/>
                <w:lang w:val="en-US"/>
              </w:rPr>
              <w:t>***</w:t>
            </w:r>
          </w:p>
        </w:tc>
        <w:tc>
          <w:tcPr>
            <w:tcW w:w="125" w:type="pct"/>
            <w:tcBorders>
              <w:left w:val="nil"/>
              <w:right w:val="nil"/>
            </w:tcBorders>
          </w:tcPr>
          <w:p w14:paraId="63FA872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single" w:sz="8" w:space="0" w:color="auto"/>
              <w:left w:val="nil"/>
              <w:right w:val="nil"/>
            </w:tcBorders>
          </w:tcPr>
          <w:p w14:paraId="1D21050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0.007</w:t>
            </w:r>
            <w:r w:rsidRPr="003C3156">
              <w:rPr>
                <w:rFonts w:ascii="Times New Roman" w:hAnsi="Times New Roman"/>
                <w:sz w:val="16"/>
                <w:szCs w:val="16"/>
                <w:vertAlign w:val="superscript"/>
                <w:lang w:val="en-US"/>
              </w:rPr>
              <w:t>***</w:t>
            </w:r>
          </w:p>
        </w:tc>
        <w:tc>
          <w:tcPr>
            <w:tcW w:w="410" w:type="pct"/>
            <w:tcBorders>
              <w:top w:val="single" w:sz="8" w:space="0" w:color="auto"/>
              <w:left w:val="nil"/>
              <w:right w:val="nil"/>
            </w:tcBorders>
          </w:tcPr>
          <w:p w14:paraId="16CB513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single" w:sz="8" w:space="0" w:color="auto"/>
              <w:left w:val="nil"/>
              <w:right w:val="nil"/>
            </w:tcBorders>
          </w:tcPr>
          <w:p w14:paraId="10F752C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0.007</w:t>
            </w:r>
            <w:r w:rsidRPr="003C3156">
              <w:rPr>
                <w:rFonts w:ascii="Times New Roman" w:hAnsi="Times New Roman"/>
                <w:sz w:val="16"/>
                <w:szCs w:val="16"/>
                <w:vertAlign w:val="superscript"/>
                <w:lang w:val="en-US"/>
              </w:rPr>
              <w:t>***</w:t>
            </w:r>
          </w:p>
        </w:tc>
        <w:tc>
          <w:tcPr>
            <w:tcW w:w="125" w:type="pct"/>
            <w:tcBorders>
              <w:left w:val="nil"/>
              <w:right w:val="nil"/>
            </w:tcBorders>
          </w:tcPr>
          <w:p w14:paraId="7B2F145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single" w:sz="8" w:space="0" w:color="auto"/>
              <w:left w:val="nil"/>
              <w:right w:val="nil"/>
            </w:tcBorders>
          </w:tcPr>
          <w:p w14:paraId="582C90C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0.024</w:t>
            </w:r>
            <w:r w:rsidRPr="003C3156">
              <w:rPr>
                <w:rFonts w:ascii="Times New Roman" w:hAnsi="Times New Roman"/>
                <w:sz w:val="16"/>
                <w:szCs w:val="16"/>
                <w:vertAlign w:val="superscript"/>
                <w:lang w:val="en-US"/>
              </w:rPr>
              <w:t>*</w:t>
            </w:r>
          </w:p>
        </w:tc>
        <w:tc>
          <w:tcPr>
            <w:tcW w:w="370" w:type="pct"/>
            <w:tcBorders>
              <w:top w:val="single" w:sz="8" w:space="0" w:color="auto"/>
              <w:left w:val="nil"/>
              <w:right w:val="nil"/>
            </w:tcBorders>
          </w:tcPr>
          <w:p w14:paraId="40BB9C54"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single" w:sz="8" w:space="0" w:color="auto"/>
              <w:left w:val="nil"/>
              <w:right w:val="nil"/>
            </w:tcBorders>
          </w:tcPr>
          <w:p w14:paraId="7869218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0.024</w:t>
            </w:r>
            <w:r w:rsidRPr="003C3156">
              <w:rPr>
                <w:rFonts w:ascii="Times New Roman" w:hAnsi="Times New Roman"/>
                <w:sz w:val="16"/>
                <w:szCs w:val="16"/>
                <w:vertAlign w:val="superscript"/>
                <w:lang w:val="en-US"/>
              </w:rPr>
              <w:t>*</w:t>
            </w:r>
          </w:p>
        </w:tc>
      </w:tr>
      <w:tr w:rsidR="00984E59" w:rsidRPr="00A31B18" w14:paraId="53F25D91" w14:textId="77777777" w:rsidTr="004B57AB">
        <w:tc>
          <w:tcPr>
            <w:tcW w:w="1003" w:type="pct"/>
            <w:tcBorders>
              <w:top w:val="nil"/>
              <w:left w:val="nil"/>
              <w:right w:val="nil"/>
            </w:tcBorders>
          </w:tcPr>
          <w:p w14:paraId="222A89DB"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54F75F5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(7.16)</w:t>
            </w:r>
          </w:p>
        </w:tc>
        <w:tc>
          <w:tcPr>
            <w:tcW w:w="410" w:type="pct"/>
            <w:tcBorders>
              <w:top w:val="nil"/>
              <w:left w:val="nil"/>
              <w:right w:val="nil"/>
            </w:tcBorders>
          </w:tcPr>
          <w:p w14:paraId="3110683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5D7ACBE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(5.94)</w:t>
            </w:r>
          </w:p>
        </w:tc>
        <w:tc>
          <w:tcPr>
            <w:tcW w:w="125" w:type="pct"/>
            <w:tcBorders>
              <w:top w:val="nil"/>
              <w:left w:val="nil"/>
              <w:right w:val="nil"/>
            </w:tcBorders>
          </w:tcPr>
          <w:p w14:paraId="4AECAF5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75104BD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(7.89)</w:t>
            </w:r>
          </w:p>
        </w:tc>
        <w:tc>
          <w:tcPr>
            <w:tcW w:w="410" w:type="pct"/>
            <w:tcBorders>
              <w:top w:val="nil"/>
              <w:left w:val="nil"/>
              <w:right w:val="nil"/>
            </w:tcBorders>
          </w:tcPr>
          <w:p w14:paraId="0D3A54C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11D2BF2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(7.61)</w:t>
            </w:r>
          </w:p>
        </w:tc>
        <w:tc>
          <w:tcPr>
            <w:tcW w:w="125" w:type="pct"/>
            <w:tcBorders>
              <w:top w:val="nil"/>
              <w:left w:val="nil"/>
              <w:right w:val="nil"/>
            </w:tcBorders>
          </w:tcPr>
          <w:p w14:paraId="5CFB9D0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3BC4AE7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(1.73)</w:t>
            </w:r>
          </w:p>
        </w:tc>
        <w:tc>
          <w:tcPr>
            <w:tcW w:w="370" w:type="pct"/>
            <w:tcBorders>
              <w:top w:val="nil"/>
              <w:left w:val="nil"/>
              <w:right w:val="nil"/>
            </w:tcBorders>
          </w:tcPr>
          <w:p w14:paraId="03654A7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5FE7A00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(1.86)</w:t>
            </w:r>
          </w:p>
        </w:tc>
      </w:tr>
      <w:tr w:rsidR="00984E59" w:rsidRPr="00A31B18" w14:paraId="57E7000B" w14:textId="77777777" w:rsidTr="004B57AB">
        <w:tc>
          <w:tcPr>
            <w:tcW w:w="1003" w:type="pct"/>
            <w:tcBorders>
              <w:top w:val="nil"/>
              <w:left w:val="nil"/>
              <w:right w:val="nil"/>
            </w:tcBorders>
          </w:tcPr>
          <w:p w14:paraId="13FC72A6" w14:textId="75382EBA"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BSCOM</w:t>
            </w:r>
            <w:r w:rsidR="00E021E0">
              <w:rPr>
                <w:rFonts w:ascii="Times New Roman" w:hAnsi="Times New Roman"/>
                <w:sz w:val="16"/>
                <w:szCs w:val="16"/>
                <w:lang w:val="en-US"/>
              </w:rPr>
              <w:t xml:space="preserve"> </w:t>
            </w:r>
            <w:r w:rsidRPr="00E021E0">
              <w:rPr>
                <w:rFonts w:ascii="Times New Roman" w:hAnsi="Times New Roman"/>
                <w:i/>
                <w:sz w:val="16"/>
                <w:szCs w:val="16"/>
                <w:vertAlign w:val="subscript"/>
                <w:lang w:val="en-US"/>
              </w:rPr>
              <w:t>t-2</w:t>
            </w:r>
          </w:p>
        </w:tc>
        <w:tc>
          <w:tcPr>
            <w:tcW w:w="440" w:type="pct"/>
            <w:tcBorders>
              <w:top w:val="nil"/>
              <w:left w:val="nil"/>
              <w:right w:val="nil"/>
            </w:tcBorders>
          </w:tcPr>
          <w:p w14:paraId="56C6FE2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2B1112A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0.244</w:t>
            </w:r>
            <w:r w:rsidRPr="003C3156">
              <w:rPr>
                <w:rFonts w:ascii="Times New Roman" w:hAnsi="Times New Roman"/>
                <w:sz w:val="16"/>
                <w:szCs w:val="16"/>
                <w:vertAlign w:val="superscript"/>
                <w:lang w:val="en-US"/>
              </w:rPr>
              <w:t>***</w:t>
            </w:r>
          </w:p>
        </w:tc>
        <w:tc>
          <w:tcPr>
            <w:tcW w:w="441" w:type="pct"/>
            <w:tcBorders>
              <w:top w:val="nil"/>
              <w:left w:val="nil"/>
              <w:right w:val="nil"/>
            </w:tcBorders>
          </w:tcPr>
          <w:p w14:paraId="4906885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0.180</w:t>
            </w:r>
            <w:r w:rsidRPr="003C3156">
              <w:rPr>
                <w:rFonts w:ascii="Times New Roman" w:hAnsi="Times New Roman"/>
                <w:sz w:val="16"/>
                <w:szCs w:val="16"/>
                <w:vertAlign w:val="superscript"/>
                <w:lang w:val="en-US"/>
              </w:rPr>
              <w:t>**</w:t>
            </w:r>
          </w:p>
        </w:tc>
        <w:tc>
          <w:tcPr>
            <w:tcW w:w="125" w:type="pct"/>
            <w:tcBorders>
              <w:top w:val="nil"/>
              <w:left w:val="nil"/>
              <w:right w:val="nil"/>
            </w:tcBorders>
          </w:tcPr>
          <w:p w14:paraId="1AAA018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07092BD4"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05E315B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0.101</w:t>
            </w:r>
            <w:r w:rsidRPr="003C3156">
              <w:rPr>
                <w:rFonts w:ascii="Times New Roman" w:hAnsi="Times New Roman"/>
                <w:sz w:val="16"/>
                <w:szCs w:val="16"/>
                <w:vertAlign w:val="superscript"/>
                <w:lang w:val="en-US"/>
              </w:rPr>
              <w:t>**</w:t>
            </w:r>
          </w:p>
        </w:tc>
        <w:tc>
          <w:tcPr>
            <w:tcW w:w="441" w:type="pct"/>
            <w:tcBorders>
              <w:top w:val="nil"/>
              <w:left w:val="nil"/>
              <w:right w:val="nil"/>
            </w:tcBorders>
          </w:tcPr>
          <w:p w14:paraId="73C4118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0.040</w:t>
            </w:r>
          </w:p>
        </w:tc>
        <w:tc>
          <w:tcPr>
            <w:tcW w:w="125" w:type="pct"/>
            <w:tcBorders>
              <w:top w:val="nil"/>
              <w:left w:val="nil"/>
              <w:right w:val="nil"/>
            </w:tcBorders>
          </w:tcPr>
          <w:p w14:paraId="43E2176D"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53A99C4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2CDCDD9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0.152</w:t>
            </w:r>
          </w:p>
        </w:tc>
        <w:tc>
          <w:tcPr>
            <w:tcW w:w="383" w:type="pct"/>
            <w:tcBorders>
              <w:top w:val="nil"/>
              <w:left w:val="nil"/>
              <w:right w:val="nil"/>
            </w:tcBorders>
          </w:tcPr>
          <w:p w14:paraId="302D60C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0.191</w:t>
            </w:r>
          </w:p>
        </w:tc>
      </w:tr>
      <w:tr w:rsidR="00984E59" w:rsidRPr="00A31B18" w14:paraId="0584D23E" w14:textId="77777777" w:rsidTr="004B57AB">
        <w:tc>
          <w:tcPr>
            <w:tcW w:w="1003" w:type="pct"/>
            <w:tcBorders>
              <w:top w:val="nil"/>
              <w:left w:val="nil"/>
              <w:right w:val="nil"/>
            </w:tcBorders>
          </w:tcPr>
          <w:p w14:paraId="53F99DF5" w14:textId="7777777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2A2D926D"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315731F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(2.67)</w:t>
            </w:r>
          </w:p>
        </w:tc>
        <w:tc>
          <w:tcPr>
            <w:tcW w:w="441" w:type="pct"/>
            <w:tcBorders>
              <w:top w:val="nil"/>
              <w:left w:val="nil"/>
              <w:right w:val="nil"/>
            </w:tcBorders>
          </w:tcPr>
          <w:p w14:paraId="7923DC4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(2.04)</w:t>
            </w:r>
          </w:p>
        </w:tc>
        <w:tc>
          <w:tcPr>
            <w:tcW w:w="125" w:type="pct"/>
            <w:tcBorders>
              <w:top w:val="nil"/>
              <w:left w:val="nil"/>
              <w:right w:val="nil"/>
            </w:tcBorders>
          </w:tcPr>
          <w:p w14:paraId="6FC6F8B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3F41869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4FD5022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(2.04)</w:t>
            </w:r>
          </w:p>
        </w:tc>
        <w:tc>
          <w:tcPr>
            <w:tcW w:w="441" w:type="pct"/>
            <w:tcBorders>
              <w:top w:val="nil"/>
              <w:left w:val="nil"/>
              <w:right w:val="nil"/>
            </w:tcBorders>
          </w:tcPr>
          <w:p w14:paraId="39C188C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(0.65)</w:t>
            </w:r>
          </w:p>
        </w:tc>
        <w:tc>
          <w:tcPr>
            <w:tcW w:w="125" w:type="pct"/>
            <w:tcBorders>
              <w:top w:val="nil"/>
              <w:left w:val="nil"/>
              <w:right w:val="nil"/>
            </w:tcBorders>
          </w:tcPr>
          <w:p w14:paraId="50AA4ED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309F0ED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6109BA5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(0.37)</w:t>
            </w:r>
          </w:p>
        </w:tc>
        <w:tc>
          <w:tcPr>
            <w:tcW w:w="383" w:type="pct"/>
            <w:tcBorders>
              <w:top w:val="nil"/>
              <w:left w:val="nil"/>
              <w:right w:val="nil"/>
            </w:tcBorders>
          </w:tcPr>
          <w:p w14:paraId="4D3F03E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(0.32)</w:t>
            </w:r>
          </w:p>
        </w:tc>
      </w:tr>
      <w:tr w:rsidR="00984E59" w:rsidRPr="00A31B18" w14:paraId="5D1DFFF8" w14:textId="77777777" w:rsidTr="004B57AB">
        <w:tc>
          <w:tcPr>
            <w:tcW w:w="1003" w:type="pct"/>
            <w:tcBorders>
              <w:top w:val="nil"/>
              <w:left w:val="nil"/>
              <w:right w:val="nil"/>
            </w:tcBorders>
          </w:tcPr>
          <w:p w14:paraId="53823F88" w14:textId="5A254E27" w:rsidR="00984E59" w:rsidRPr="00AF4487" w:rsidRDefault="00984E59" w:rsidP="00295B36">
            <w:pPr>
              <w:widowControl w:val="0"/>
              <w:autoSpaceDE w:val="0"/>
              <w:autoSpaceDN w:val="0"/>
              <w:adjustRightInd w:val="0"/>
              <w:spacing w:after="0" w:line="240" w:lineRule="auto"/>
              <w:rPr>
                <w:rFonts w:ascii="Times New Roman" w:hAnsi="Times New Roman"/>
                <w:sz w:val="16"/>
                <w:szCs w:val="16"/>
                <w:lang w:val="en-US"/>
              </w:rPr>
            </w:pPr>
            <w:r w:rsidRPr="00AF4487">
              <w:rPr>
                <w:rFonts w:ascii="Times New Roman" w:hAnsi="Times New Roman"/>
                <w:sz w:val="16"/>
                <w:szCs w:val="16"/>
                <w:lang w:val="en-US"/>
              </w:rPr>
              <w:t>PCCIs</w:t>
            </w:r>
            <w:r w:rsidR="00E021E0">
              <w:rPr>
                <w:rFonts w:ascii="Times New Roman" w:hAnsi="Times New Roman"/>
                <w:sz w:val="16"/>
                <w:szCs w:val="16"/>
                <w:lang w:val="en-US"/>
              </w:rPr>
              <w:t xml:space="preserve"> </w:t>
            </w:r>
            <w:r w:rsidRPr="00E021E0">
              <w:rPr>
                <w:rFonts w:ascii="Times New Roman" w:hAnsi="Times New Roman"/>
                <w:i/>
                <w:sz w:val="16"/>
                <w:szCs w:val="16"/>
                <w:vertAlign w:val="subscript"/>
                <w:lang w:val="en-US"/>
              </w:rPr>
              <w:t>t-2</w:t>
            </w:r>
            <w:r w:rsidRPr="00AF4487">
              <w:rPr>
                <w:rFonts w:ascii="Times New Roman" w:hAnsi="Times New Roman"/>
                <w:sz w:val="16"/>
                <w:szCs w:val="16"/>
                <w:lang w:val="en-US"/>
              </w:rPr>
              <w:t>*BSCOM</w:t>
            </w:r>
            <w:r w:rsidRPr="00AF52DD">
              <w:rPr>
                <w:rFonts w:ascii="Times New Roman" w:hAnsi="Times New Roman"/>
                <w:sz w:val="16"/>
                <w:szCs w:val="16"/>
                <w:lang w:val="en-US"/>
              </w:rPr>
              <w:t xml:space="preserve"> </w:t>
            </w:r>
            <w:r w:rsidRPr="00E021E0">
              <w:rPr>
                <w:rFonts w:ascii="Times New Roman" w:hAnsi="Times New Roman"/>
                <w:i/>
                <w:sz w:val="16"/>
                <w:szCs w:val="16"/>
                <w:vertAlign w:val="subscript"/>
                <w:lang w:val="en-US"/>
              </w:rPr>
              <w:t>t-2</w:t>
            </w:r>
          </w:p>
        </w:tc>
        <w:tc>
          <w:tcPr>
            <w:tcW w:w="440" w:type="pct"/>
            <w:tcBorders>
              <w:top w:val="nil"/>
              <w:left w:val="nil"/>
              <w:right w:val="nil"/>
            </w:tcBorders>
          </w:tcPr>
          <w:p w14:paraId="46CC284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2132573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23493CB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0.002</w:t>
            </w:r>
          </w:p>
        </w:tc>
        <w:tc>
          <w:tcPr>
            <w:tcW w:w="125" w:type="pct"/>
            <w:tcBorders>
              <w:top w:val="nil"/>
              <w:left w:val="nil"/>
              <w:right w:val="nil"/>
            </w:tcBorders>
          </w:tcPr>
          <w:p w14:paraId="4BAA060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54B5149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41E33EC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45ECC118"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-0.000</w:t>
            </w:r>
          </w:p>
        </w:tc>
        <w:tc>
          <w:tcPr>
            <w:tcW w:w="125" w:type="pct"/>
            <w:tcBorders>
              <w:top w:val="nil"/>
              <w:left w:val="nil"/>
              <w:right w:val="nil"/>
            </w:tcBorders>
          </w:tcPr>
          <w:p w14:paraId="26B89D4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3763AF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39C0892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2A5A168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-0.001</w:t>
            </w:r>
          </w:p>
        </w:tc>
      </w:tr>
      <w:tr w:rsidR="00984E59" w:rsidRPr="00A31B18" w14:paraId="1DDE88BF" w14:textId="77777777" w:rsidTr="004B57AB">
        <w:tc>
          <w:tcPr>
            <w:tcW w:w="1003" w:type="pct"/>
            <w:tcBorders>
              <w:top w:val="nil"/>
              <w:left w:val="nil"/>
              <w:right w:val="nil"/>
            </w:tcBorders>
          </w:tcPr>
          <w:p w14:paraId="62F1B445" w14:textId="77777777" w:rsidR="00984E59" w:rsidRPr="00A31B18" w:rsidRDefault="00984E59" w:rsidP="00295B36">
            <w:pPr>
              <w:widowControl w:val="0"/>
              <w:autoSpaceDE w:val="0"/>
              <w:autoSpaceDN w:val="0"/>
              <w:adjustRightInd w:val="0"/>
              <w:spacing w:after="0" w:line="240" w:lineRule="auto"/>
              <w:rPr>
                <w:rFonts w:ascii="Times New Roman" w:hAnsi="Times New Roman"/>
                <w:sz w:val="16"/>
                <w:szCs w:val="16"/>
                <w:lang w:val="en-US"/>
              </w:rPr>
            </w:pPr>
          </w:p>
        </w:tc>
        <w:tc>
          <w:tcPr>
            <w:tcW w:w="440" w:type="pct"/>
            <w:tcBorders>
              <w:top w:val="nil"/>
              <w:left w:val="nil"/>
              <w:right w:val="nil"/>
            </w:tcBorders>
          </w:tcPr>
          <w:p w14:paraId="6D9D997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5215B21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255CFA7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(0.63)</w:t>
            </w:r>
          </w:p>
        </w:tc>
        <w:tc>
          <w:tcPr>
            <w:tcW w:w="125" w:type="pct"/>
            <w:tcBorders>
              <w:top w:val="nil"/>
              <w:left w:val="nil"/>
              <w:right w:val="nil"/>
            </w:tcBorders>
          </w:tcPr>
          <w:p w14:paraId="7B00605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587DF38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0" w:type="pct"/>
            <w:tcBorders>
              <w:top w:val="nil"/>
              <w:left w:val="nil"/>
              <w:right w:val="nil"/>
            </w:tcBorders>
          </w:tcPr>
          <w:p w14:paraId="72F3715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1" w:type="pct"/>
            <w:tcBorders>
              <w:top w:val="nil"/>
              <w:left w:val="nil"/>
              <w:right w:val="nil"/>
            </w:tcBorders>
          </w:tcPr>
          <w:p w14:paraId="0050939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(-0.23)</w:t>
            </w:r>
          </w:p>
        </w:tc>
        <w:tc>
          <w:tcPr>
            <w:tcW w:w="125" w:type="pct"/>
            <w:tcBorders>
              <w:top w:val="nil"/>
              <w:left w:val="nil"/>
              <w:right w:val="nil"/>
            </w:tcBorders>
          </w:tcPr>
          <w:p w14:paraId="2E39DD8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7CF4FC5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70" w:type="pct"/>
            <w:tcBorders>
              <w:top w:val="nil"/>
              <w:left w:val="nil"/>
              <w:right w:val="nil"/>
            </w:tcBorders>
          </w:tcPr>
          <w:p w14:paraId="5D8215A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383" w:type="pct"/>
            <w:tcBorders>
              <w:top w:val="nil"/>
              <w:left w:val="nil"/>
              <w:right w:val="nil"/>
            </w:tcBorders>
          </w:tcPr>
          <w:p w14:paraId="6284DB5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(-0.06)</w:t>
            </w:r>
          </w:p>
        </w:tc>
      </w:tr>
      <w:tr w:rsidR="00984E59" w:rsidRPr="00A31B18" w14:paraId="06343A45" w14:textId="77777777" w:rsidTr="004B57AB">
        <w:tc>
          <w:tcPr>
            <w:tcW w:w="1003" w:type="pct"/>
            <w:tcBorders>
              <w:top w:val="nil"/>
              <w:left w:val="nil"/>
              <w:right w:val="nil"/>
            </w:tcBorders>
          </w:tcPr>
          <w:p w14:paraId="7D30C473"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Controls</w:t>
            </w:r>
          </w:p>
        </w:tc>
        <w:tc>
          <w:tcPr>
            <w:tcW w:w="440" w:type="pct"/>
            <w:tcBorders>
              <w:top w:val="nil"/>
              <w:left w:val="nil"/>
              <w:right w:val="nil"/>
            </w:tcBorders>
          </w:tcPr>
          <w:p w14:paraId="52ED716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7A245F8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6072639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1F644B4A"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65A913C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22686E1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1B5550E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330DD695"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34EDE71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right w:val="nil"/>
            </w:tcBorders>
          </w:tcPr>
          <w:p w14:paraId="25C7832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right w:val="nil"/>
            </w:tcBorders>
          </w:tcPr>
          <w:p w14:paraId="720007B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A31B18" w14:paraId="7EE8AE17" w14:textId="77777777" w:rsidTr="004B57AB">
        <w:tc>
          <w:tcPr>
            <w:tcW w:w="1003" w:type="pct"/>
            <w:tcBorders>
              <w:top w:val="nil"/>
              <w:left w:val="nil"/>
              <w:right w:val="nil"/>
            </w:tcBorders>
          </w:tcPr>
          <w:p w14:paraId="1CAC0D42" w14:textId="77777777" w:rsidR="00984E59" w:rsidRPr="00CC72EB"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Year/Sector/Country FE</w:t>
            </w:r>
          </w:p>
        </w:tc>
        <w:tc>
          <w:tcPr>
            <w:tcW w:w="440" w:type="pct"/>
            <w:tcBorders>
              <w:top w:val="nil"/>
              <w:left w:val="nil"/>
              <w:right w:val="nil"/>
            </w:tcBorders>
          </w:tcPr>
          <w:p w14:paraId="0F856C8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0CA2335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459778F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5F07E9E7"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4DA524C6"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10" w:type="pct"/>
            <w:tcBorders>
              <w:top w:val="nil"/>
              <w:left w:val="nil"/>
              <w:right w:val="nil"/>
            </w:tcBorders>
          </w:tcPr>
          <w:p w14:paraId="5380A24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441" w:type="pct"/>
            <w:tcBorders>
              <w:top w:val="nil"/>
              <w:left w:val="nil"/>
              <w:right w:val="nil"/>
            </w:tcBorders>
          </w:tcPr>
          <w:p w14:paraId="08DF9D8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125" w:type="pct"/>
            <w:tcBorders>
              <w:top w:val="nil"/>
              <w:left w:val="nil"/>
              <w:right w:val="nil"/>
            </w:tcBorders>
          </w:tcPr>
          <w:p w14:paraId="05A9E117" w14:textId="77777777" w:rsidR="00984E59"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612CDB9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70" w:type="pct"/>
            <w:tcBorders>
              <w:top w:val="nil"/>
              <w:left w:val="nil"/>
              <w:right w:val="nil"/>
            </w:tcBorders>
          </w:tcPr>
          <w:p w14:paraId="10F00399"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c>
          <w:tcPr>
            <w:tcW w:w="383" w:type="pct"/>
            <w:tcBorders>
              <w:top w:val="nil"/>
              <w:left w:val="nil"/>
              <w:right w:val="nil"/>
            </w:tcBorders>
          </w:tcPr>
          <w:p w14:paraId="62C6C7B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Pr>
                <w:rFonts w:ascii="Times New Roman" w:hAnsi="Times New Roman"/>
                <w:sz w:val="16"/>
                <w:szCs w:val="16"/>
                <w:lang w:val="en-US"/>
              </w:rPr>
              <w:t>Yes</w:t>
            </w:r>
          </w:p>
        </w:tc>
      </w:tr>
      <w:tr w:rsidR="00984E59" w:rsidRPr="00A31B18" w14:paraId="3235589B" w14:textId="77777777" w:rsidTr="004B57AB">
        <w:tc>
          <w:tcPr>
            <w:tcW w:w="1003" w:type="pct"/>
            <w:tcBorders>
              <w:top w:val="nil"/>
              <w:left w:val="nil"/>
              <w:right w:val="nil"/>
            </w:tcBorders>
          </w:tcPr>
          <w:p w14:paraId="3F6B96CD" w14:textId="77777777" w:rsidR="00984E59" w:rsidRPr="00A31B1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Observations</w:t>
            </w:r>
          </w:p>
        </w:tc>
        <w:tc>
          <w:tcPr>
            <w:tcW w:w="440" w:type="pct"/>
            <w:tcBorders>
              <w:top w:val="nil"/>
              <w:left w:val="nil"/>
              <w:right w:val="nil"/>
            </w:tcBorders>
          </w:tcPr>
          <w:p w14:paraId="1D85066C"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2345</w:t>
            </w:r>
          </w:p>
        </w:tc>
        <w:tc>
          <w:tcPr>
            <w:tcW w:w="410" w:type="pct"/>
            <w:tcBorders>
              <w:top w:val="nil"/>
              <w:left w:val="nil"/>
              <w:right w:val="nil"/>
            </w:tcBorders>
          </w:tcPr>
          <w:p w14:paraId="13542FC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2345</w:t>
            </w:r>
          </w:p>
        </w:tc>
        <w:tc>
          <w:tcPr>
            <w:tcW w:w="441" w:type="pct"/>
            <w:tcBorders>
              <w:top w:val="nil"/>
              <w:left w:val="nil"/>
              <w:right w:val="nil"/>
            </w:tcBorders>
          </w:tcPr>
          <w:p w14:paraId="1FBAD21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2345</w:t>
            </w:r>
          </w:p>
        </w:tc>
        <w:tc>
          <w:tcPr>
            <w:tcW w:w="125" w:type="pct"/>
            <w:tcBorders>
              <w:top w:val="nil"/>
              <w:left w:val="nil"/>
              <w:right w:val="nil"/>
            </w:tcBorders>
          </w:tcPr>
          <w:p w14:paraId="5D1BB265"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right w:val="nil"/>
            </w:tcBorders>
          </w:tcPr>
          <w:p w14:paraId="0A97C34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4380</w:t>
            </w:r>
          </w:p>
        </w:tc>
        <w:tc>
          <w:tcPr>
            <w:tcW w:w="410" w:type="pct"/>
            <w:tcBorders>
              <w:top w:val="nil"/>
              <w:left w:val="nil"/>
              <w:right w:val="nil"/>
            </w:tcBorders>
          </w:tcPr>
          <w:p w14:paraId="7B2C4F6A"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4380</w:t>
            </w:r>
          </w:p>
        </w:tc>
        <w:tc>
          <w:tcPr>
            <w:tcW w:w="441" w:type="pct"/>
            <w:tcBorders>
              <w:top w:val="nil"/>
              <w:left w:val="nil"/>
              <w:right w:val="nil"/>
            </w:tcBorders>
          </w:tcPr>
          <w:p w14:paraId="6DEF8BAB"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4380</w:t>
            </w:r>
          </w:p>
        </w:tc>
        <w:tc>
          <w:tcPr>
            <w:tcW w:w="125" w:type="pct"/>
            <w:tcBorders>
              <w:top w:val="nil"/>
              <w:left w:val="nil"/>
              <w:right w:val="nil"/>
            </w:tcBorders>
          </w:tcPr>
          <w:p w14:paraId="19CE0A3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right w:val="nil"/>
            </w:tcBorders>
          </w:tcPr>
          <w:p w14:paraId="1069E95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54</w:t>
            </w:r>
          </w:p>
        </w:tc>
        <w:tc>
          <w:tcPr>
            <w:tcW w:w="370" w:type="pct"/>
            <w:tcBorders>
              <w:top w:val="nil"/>
              <w:left w:val="nil"/>
              <w:right w:val="nil"/>
            </w:tcBorders>
          </w:tcPr>
          <w:p w14:paraId="4A2AA6BF"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54</w:t>
            </w:r>
          </w:p>
        </w:tc>
        <w:tc>
          <w:tcPr>
            <w:tcW w:w="383" w:type="pct"/>
            <w:tcBorders>
              <w:top w:val="nil"/>
              <w:left w:val="nil"/>
              <w:right w:val="nil"/>
            </w:tcBorders>
          </w:tcPr>
          <w:p w14:paraId="614BC0E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54.000</w:t>
            </w:r>
          </w:p>
        </w:tc>
      </w:tr>
      <w:tr w:rsidR="00984E59" w:rsidRPr="00A31B18" w14:paraId="37001FE5" w14:textId="77777777" w:rsidTr="004B57AB">
        <w:tc>
          <w:tcPr>
            <w:tcW w:w="1003" w:type="pct"/>
            <w:tcBorders>
              <w:top w:val="nil"/>
              <w:left w:val="nil"/>
              <w:bottom w:val="single" w:sz="12" w:space="0" w:color="auto"/>
              <w:right w:val="nil"/>
            </w:tcBorders>
          </w:tcPr>
          <w:p w14:paraId="43950C99" w14:textId="77777777" w:rsidR="00984E59" w:rsidRPr="00A31B18" w:rsidRDefault="00984E59" w:rsidP="00295B36">
            <w:pPr>
              <w:widowControl w:val="0"/>
              <w:autoSpaceDE w:val="0"/>
              <w:autoSpaceDN w:val="0"/>
              <w:adjustRightInd w:val="0"/>
              <w:spacing w:after="0" w:line="240" w:lineRule="auto"/>
              <w:rPr>
                <w:rFonts w:ascii="Times New Roman" w:hAnsi="Times New Roman"/>
                <w:sz w:val="16"/>
                <w:szCs w:val="16"/>
                <w:lang w:val="en-US"/>
              </w:rPr>
            </w:pPr>
            <w:r>
              <w:rPr>
                <w:rFonts w:ascii="Times New Roman" w:hAnsi="Times New Roman"/>
                <w:sz w:val="16"/>
                <w:szCs w:val="16"/>
                <w:lang w:val="en-US"/>
              </w:rPr>
              <w:t>R-squared</w:t>
            </w:r>
          </w:p>
        </w:tc>
        <w:tc>
          <w:tcPr>
            <w:tcW w:w="440" w:type="pct"/>
            <w:tcBorders>
              <w:top w:val="nil"/>
              <w:left w:val="nil"/>
              <w:bottom w:val="single" w:sz="12" w:space="0" w:color="auto"/>
              <w:right w:val="nil"/>
            </w:tcBorders>
          </w:tcPr>
          <w:p w14:paraId="48111EB3"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0.761</w:t>
            </w:r>
          </w:p>
        </w:tc>
        <w:tc>
          <w:tcPr>
            <w:tcW w:w="410" w:type="pct"/>
            <w:tcBorders>
              <w:top w:val="nil"/>
              <w:left w:val="nil"/>
              <w:bottom w:val="single" w:sz="12" w:space="0" w:color="auto"/>
              <w:right w:val="nil"/>
            </w:tcBorders>
          </w:tcPr>
          <w:p w14:paraId="53D3A00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0.757</w:t>
            </w:r>
          </w:p>
        </w:tc>
        <w:tc>
          <w:tcPr>
            <w:tcW w:w="441" w:type="pct"/>
            <w:tcBorders>
              <w:top w:val="nil"/>
              <w:left w:val="nil"/>
              <w:bottom w:val="single" w:sz="12" w:space="0" w:color="auto"/>
              <w:right w:val="nil"/>
            </w:tcBorders>
          </w:tcPr>
          <w:p w14:paraId="78B0098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0.761</w:t>
            </w:r>
          </w:p>
        </w:tc>
        <w:tc>
          <w:tcPr>
            <w:tcW w:w="125" w:type="pct"/>
            <w:tcBorders>
              <w:top w:val="nil"/>
              <w:left w:val="nil"/>
              <w:bottom w:val="single" w:sz="12" w:space="0" w:color="auto"/>
              <w:right w:val="nil"/>
            </w:tcBorders>
          </w:tcPr>
          <w:p w14:paraId="146B8FF0"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40" w:type="pct"/>
            <w:tcBorders>
              <w:top w:val="nil"/>
              <w:left w:val="nil"/>
              <w:bottom w:val="single" w:sz="12" w:space="0" w:color="auto"/>
              <w:right w:val="nil"/>
            </w:tcBorders>
          </w:tcPr>
          <w:p w14:paraId="7D7DADB2"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0.781</w:t>
            </w:r>
          </w:p>
        </w:tc>
        <w:tc>
          <w:tcPr>
            <w:tcW w:w="410" w:type="pct"/>
            <w:tcBorders>
              <w:top w:val="nil"/>
              <w:left w:val="nil"/>
              <w:bottom w:val="single" w:sz="12" w:space="0" w:color="auto"/>
              <w:right w:val="nil"/>
            </w:tcBorders>
          </w:tcPr>
          <w:p w14:paraId="597D78C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0.778</w:t>
            </w:r>
          </w:p>
        </w:tc>
        <w:tc>
          <w:tcPr>
            <w:tcW w:w="441" w:type="pct"/>
            <w:tcBorders>
              <w:top w:val="nil"/>
              <w:left w:val="nil"/>
              <w:bottom w:val="single" w:sz="12" w:space="0" w:color="auto"/>
              <w:right w:val="nil"/>
            </w:tcBorders>
          </w:tcPr>
          <w:p w14:paraId="3D8E5DF4"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0.781</w:t>
            </w:r>
          </w:p>
        </w:tc>
        <w:tc>
          <w:tcPr>
            <w:tcW w:w="125" w:type="pct"/>
            <w:tcBorders>
              <w:top w:val="nil"/>
              <w:left w:val="nil"/>
              <w:bottom w:val="single" w:sz="12" w:space="0" w:color="auto"/>
              <w:right w:val="nil"/>
            </w:tcBorders>
          </w:tcPr>
          <w:p w14:paraId="19B72B51"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p>
        </w:tc>
        <w:tc>
          <w:tcPr>
            <w:tcW w:w="412" w:type="pct"/>
            <w:tcBorders>
              <w:top w:val="nil"/>
              <w:left w:val="nil"/>
              <w:bottom w:val="single" w:sz="12" w:space="0" w:color="auto"/>
              <w:right w:val="nil"/>
            </w:tcBorders>
          </w:tcPr>
          <w:p w14:paraId="23057574"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0.845</w:t>
            </w:r>
          </w:p>
        </w:tc>
        <w:tc>
          <w:tcPr>
            <w:tcW w:w="370" w:type="pct"/>
            <w:tcBorders>
              <w:top w:val="nil"/>
              <w:left w:val="nil"/>
              <w:bottom w:val="single" w:sz="12" w:space="0" w:color="auto"/>
              <w:right w:val="nil"/>
            </w:tcBorders>
          </w:tcPr>
          <w:p w14:paraId="2377B15E"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0.830</w:t>
            </w:r>
          </w:p>
        </w:tc>
        <w:tc>
          <w:tcPr>
            <w:tcW w:w="383" w:type="pct"/>
            <w:tcBorders>
              <w:top w:val="nil"/>
              <w:left w:val="nil"/>
              <w:bottom w:val="single" w:sz="12" w:space="0" w:color="auto"/>
              <w:right w:val="nil"/>
            </w:tcBorders>
          </w:tcPr>
          <w:p w14:paraId="41DC2EE7" w14:textId="77777777" w:rsidR="00984E59" w:rsidRPr="00A31B18" w:rsidRDefault="00984E59" w:rsidP="00295B36">
            <w:pPr>
              <w:widowControl w:val="0"/>
              <w:autoSpaceDE w:val="0"/>
              <w:autoSpaceDN w:val="0"/>
              <w:adjustRightInd w:val="0"/>
              <w:spacing w:after="0" w:line="240" w:lineRule="auto"/>
              <w:jc w:val="center"/>
              <w:rPr>
                <w:rFonts w:ascii="Times New Roman" w:hAnsi="Times New Roman"/>
                <w:sz w:val="16"/>
                <w:szCs w:val="16"/>
                <w:lang w:val="en-US"/>
              </w:rPr>
            </w:pPr>
            <w:r w:rsidRPr="00A31B18">
              <w:rPr>
                <w:rFonts w:ascii="Times New Roman" w:hAnsi="Times New Roman"/>
                <w:sz w:val="16"/>
                <w:szCs w:val="16"/>
                <w:lang w:val="en-US"/>
              </w:rPr>
              <w:t>0.832</w:t>
            </w:r>
          </w:p>
        </w:tc>
      </w:tr>
      <w:tr w:rsidR="00984E59" w:rsidRPr="008E3FE6" w14:paraId="639C2E6B" w14:textId="77777777" w:rsidTr="004B57AB">
        <w:tc>
          <w:tcPr>
            <w:tcW w:w="5000" w:type="pct"/>
            <w:gridSpan w:val="12"/>
            <w:tcBorders>
              <w:top w:val="single" w:sz="12" w:space="0" w:color="auto"/>
              <w:left w:val="nil"/>
              <w:right w:val="nil"/>
            </w:tcBorders>
          </w:tcPr>
          <w:p w14:paraId="1AD47514" w14:textId="77777777" w:rsidR="00984E59" w:rsidRPr="00A31B18" w:rsidRDefault="00984E59" w:rsidP="00295B36">
            <w:pPr>
              <w:spacing w:after="0" w:line="240" w:lineRule="auto"/>
              <w:rPr>
                <w:rFonts w:ascii="Times New Roman" w:hAnsi="Times New Roman"/>
                <w:sz w:val="16"/>
                <w:szCs w:val="16"/>
                <w:lang w:val="en-US"/>
              </w:rPr>
            </w:pPr>
            <w:r w:rsidRPr="00AF4487">
              <w:rPr>
                <w:rFonts w:ascii="Times New Roman" w:hAnsi="Times New Roman"/>
                <w:lang w:val="en-US"/>
              </w:rPr>
              <w:t>***, **, and * indicate statistical significance at the 1%, 5%, and 10% levels, respectively</w:t>
            </w:r>
          </w:p>
        </w:tc>
      </w:tr>
    </w:tbl>
    <w:p w14:paraId="79ADBAE0" w14:textId="77777777" w:rsidR="00984E59" w:rsidRPr="00AF4487" w:rsidRDefault="00984E59" w:rsidP="00984E59">
      <w:pPr>
        <w:rPr>
          <w:rFonts w:ascii="Times New Roman" w:hAnsi="Times New Roman"/>
          <w:lang w:val="en-US"/>
        </w:rPr>
        <w:sectPr w:rsidR="00984E59" w:rsidRPr="00AF4487" w:rsidSect="00295B36">
          <w:pgSz w:w="16838" w:h="11906" w:orient="landscape" w:code="9"/>
          <w:pgMar w:top="1699" w:right="1138" w:bottom="850" w:left="1138" w:header="706" w:footer="706" w:gutter="0"/>
          <w:cols w:space="708"/>
          <w:docGrid w:linePitch="360"/>
        </w:sectPr>
      </w:pPr>
    </w:p>
    <w:p w14:paraId="18E714D2" w14:textId="77777777" w:rsidR="00984E59" w:rsidRPr="00AF4487" w:rsidRDefault="00984E59" w:rsidP="00984E59">
      <w:pPr>
        <w:widowControl w:val="0"/>
        <w:autoSpaceDE w:val="0"/>
        <w:autoSpaceDN w:val="0"/>
        <w:adjustRightInd w:val="0"/>
        <w:spacing w:after="0" w:line="240" w:lineRule="auto"/>
        <w:jc w:val="both"/>
        <w:rPr>
          <w:rFonts w:ascii="Times New Roman" w:hAnsi="Times New Roman"/>
          <w:bCs/>
          <w:i/>
          <w:sz w:val="24"/>
          <w:szCs w:val="20"/>
          <w:lang w:val="en-US"/>
        </w:rPr>
      </w:pPr>
      <w:r w:rsidRPr="00AF4487">
        <w:rPr>
          <w:rFonts w:ascii="Times New Roman" w:hAnsi="Times New Roman"/>
          <w:bCs/>
          <w:i/>
          <w:sz w:val="24"/>
          <w:szCs w:val="20"/>
          <w:lang w:val="en-US"/>
        </w:rPr>
        <w:lastRenderedPageBreak/>
        <w:t>Table 11. Two-stage least squares</w:t>
      </w:r>
    </w:p>
    <w:p w14:paraId="74167010" w14:textId="77777777" w:rsidR="00984E59" w:rsidRPr="00AF4487" w:rsidRDefault="00984E59" w:rsidP="00984E59">
      <w:pPr>
        <w:spacing w:after="100" w:afterAutospacing="1" w:line="240" w:lineRule="auto"/>
        <w:contextualSpacing/>
        <w:jc w:val="both"/>
        <w:rPr>
          <w:rFonts w:ascii="Times New Roman" w:hAnsi="Times New Roman"/>
          <w:sz w:val="24"/>
          <w:szCs w:val="24"/>
          <w:lang w:val="en-US"/>
        </w:rPr>
      </w:pPr>
      <w:r w:rsidRPr="00AF4487">
        <w:rPr>
          <w:rFonts w:ascii="Times New Roman" w:hAnsi="Times New Roman"/>
          <w:bCs/>
          <w:sz w:val="24"/>
          <w:szCs w:val="20"/>
          <w:lang w:val="en-US"/>
        </w:rPr>
        <w:t>This table reports the results of two-stage least squares (2SLS) estimates for the effects of climate change initiatives and carbon performance on market value and for the effects of climate change initiatives on carbon performance.</w:t>
      </w:r>
      <w:r w:rsidRPr="00AF4487">
        <w:rPr>
          <w:rFonts w:ascii="Times New Roman" w:hAnsi="Times New Roman"/>
          <w:bCs/>
          <w:sz w:val="20"/>
          <w:szCs w:val="20"/>
          <w:lang w:val="en-US"/>
        </w:rPr>
        <w:t xml:space="preserve"> </w:t>
      </w:r>
      <w:r w:rsidRPr="00AF4487">
        <w:rPr>
          <w:rFonts w:ascii="Times New Roman" w:hAnsi="Times New Roman"/>
          <w:sz w:val="24"/>
          <w:szCs w:val="24"/>
          <w:lang w:val="en-US"/>
        </w:rPr>
        <w:t xml:space="preserve">All variables are defined and measured in Table 3. </w:t>
      </w:r>
      <w:r w:rsidRPr="00AF4487">
        <w:rPr>
          <w:rFonts w:ascii="Times New Roman" w:hAnsi="Times New Roman"/>
          <w:i/>
          <w:sz w:val="24"/>
          <w:szCs w:val="24"/>
          <w:lang w:val="en-US"/>
        </w:rPr>
        <w:t>t</w:t>
      </w:r>
      <w:r>
        <w:rPr>
          <w:rFonts w:ascii="Times New Roman" w:hAnsi="Times New Roman"/>
          <w:i/>
          <w:sz w:val="24"/>
          <w:szCs w:val="24"/>
          <w:lang w:val="en-US"/>
        </w:rPr>
        <w:t>(z)</w:t>
      </w:r>
      <w:r w:rsidRPr="00AF4487">
        <w:rPr>
          <w:rFonts w:ascii="Times New Roman" w:hAnsi="Times New Roman"/>
          <w:sz w:val="24"/>
          <w:szCs w:val="24"/>
          <w:lang w:val="en-US"/>
        </w:rPr>
        <w:t>-statistics are reported in parentheses.</w:t>
      </w:r>
    </w:p>
    <w:tbl>
      <w:tblPr>
        <w:tblW w:w="5000" w:type="pct"/>
        <w:tblLook w:val="0000" w:firstRow="0" w:lastRow="0" w:firstColumn="0" w:lastColumn="0" w:noHBand="0" w:noVBand="0"/>
      </w:tblPr>
      <w:tblGrid>
        <w:gridCol w:w="2607"/>
        <w:gridCol w:w="1012"/>
        <w:gridCol w:w="1196"/>
        <w:gridCol w:w="229"/>
        <w:gridCol w:w="1012"/>
        <w:gridCol w:w="1196"/>
        <w:gridCol w:w="229"/>
        <w:gridCol w:w="1012"/>
        <w:gridCol w:w="1196"/>
      </w:tblGrid>
      <w:tr w:rsidR="00984E59" w:rsidRPr="0040135B" w14:paraId="4A652110" w14:textId="77777777" w:rsidTr="00F45F14">
        <w:tc>
          <w:tcPr>
            <w:tcW w:w="1345" w:type="pct"/>
            <w:tcBorders>
              <w:top w:val="single" w:sz="12" w:space="0" w:color="auto"/>
              <w:left w:val="nil"/>
              <w:right w:val="nil"/>
            </w:tcBorders>
          </w:tcPr>
          <w:p w14:paraId="1BD6035C"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single" w:sz="12" w:space="0" w:color="auto"/>
              <w:left w:val="nil"/>
              <w:bottom w:val="single" w:sz="8" w:space="0" w:color="auto"/>
              <w:right w:val="nil"/>
            </w:tcBorders>
          </w:tcPr>
          <w:p w14:paraId="7C4BA97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First stage</w:t>
            </w:r>
          </w:p>
        </w:tc>
        <w:tc>
          <w:tcPr>
            <w:tcW w:w="617" w:type="pct"/>
            <w:tcBorders>
              <w:top w:val="single" w:sz="12" w:space="0" w:color="auto"/>
              <w:left w:val="nil"/>
              <w:bottom w:val="single" w:sz="8" w:space="0" w:color="auto"/>
              <w:right w:val="nil"/>
            </w:tcBorders>
          </w:tcPr>
          <w:p w14:paraId="7DB18AF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Second stage</w:t>
            </w:r>
          </w:p>
        </w:tc>
        <w:tc>
          <w:tcPr>
            <w:tcW w:w="118" w:type="pct"/>
            <w:tcBorders>
              <w:top w:val="single" w:sz="12" w:space="0" w:color="auto"/>
              <w:left w:val="nil"/>
              <w:right w:val="nil"/>
            </w:tcBorders>
          </w:tcPr>
          <w:p w14:paraId="1F2D9B1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12" w:space="0" w:color="auto"/>
              <w:left w:val="nil"/>
              <w:bottom w:val="single" w:sz="8" w:space="0" w:color="auto"/>
              <w:right w:val="nil"/>
            </w:tcBorders>
          </w:tcPr>
          <w:p w14:paraId="33A4C94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First stage</w:t>
            </w:r>
          </w:p>
        </w:tc>
        <w:tc>
          <w:tcPr>
            <w:tcW w:w="617" w:type="pct"/>
            <w:tcBorders>
              <w:top w:val="single" w:sz="12" w:space="0" w:color="auto"/>
              <w:left w:val="nil"/>
              <w:bottom w:val="single" w:sz="8" w:space="0" w:color="auto"/>
              <w:right w:val="nil"/>
            </w:tcBorders>
          </w:tcPr>
          <w:p w14:paraId="53CB956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Second stage</w:t>
            </w:r>
          </w:p>
        </w:tc>
        <w:tc>
          <w:tcPr>
            <w:tcW w:w="118" w:type="pct"/>
            <w:tcBorders>
              <w:top w:val="single" w:sz="12" w:space="0" w:color="auto"/>
              <w:left w:val="nil"/>
              <w:right w:val="nil"/>
            </w:tcBorders>
          </w:tcPr>
          <w:p w14:paraId="442F18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12" w:space="0" w:color="auto"/>
              <w:left w:val="nil"/>
              <w:bottom w:val="single" w:sz="8" w:space="0" w:color="auto"/>
              <w:right w:val="nil"/>
            </w:tcBorders>
          </w:tcPr>
          <w:p w14:paraId="5DC3852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First stage</w:t>
            </w:r>
          </w:p>
        </w:tc>
        <w:tc>
          <w:tcPr>
            <w:tcW w:w="617" w:type="pct"/>
            <w:tcBorders>
              <w:top w:val="single" w:sz="12" w:space="0" w:color="auto"/>
              <w:left w:val="nil"/>
              <w:bottom w:val="single" w:sz="8" w:space="0" w:color="auto"/>
              <w:right w:val="nil"/>
            </w:tcBorders>
          </w:tcPr>
          <w:p w14:paraId="30D7304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Second stage</w:t>
            </w:r>
          </w:p>
        </w:tc>
      </w:tr>
      <w:tr w:rsidR="00984E59" w:rsidRPr="0040135B" w14:paraId="59BD5C8D" w14:textId="77777777" w:rsidTr="00F45F14">
        <w:tc>
          <w:tcPr>
            <w:tcW w:w="1345" w:type="pct"/>
            <w:tcBorders>
              <w:left w:val="nil"/>
              <w:right w:val="nil"/>
            </w:tcBorders>
          </w:tcPr>
          <w:p w14:paraId="24B23EE7"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single" w:sz="8" w:space="0" w:color="auto"/>
              <w:left w:val="nil"/>
              <w:right w:val="nil"/>
            </w:tcBorders>
          </w:tcPr>
          <w:p w14:paraId="6523E07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w:t>
            </w:r>
          </w:p>
        </w:tc>
        <w:tc>
          <w:tcPr>
            <w:tcW w:w="617" w:type="pct"/>
            <w:tcBorders>
              <w:top w:val="single" w:sz="8" w:space="0" w:color="auto"/>
              <w:left w:val="nil"/>
              <w:right w:val="nil"/>
            </w:tcBorders>
          </w:tcPr>
          <w:p w14:paraId="2C66DFB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w:t>
            </w:r>
          </w:p>
        </w:tc>
        <w:tc>
          <w:tcPr>
            <w:tcW w:w="118" w:type="pct"/>
            <w:tcBorders>
              <w:left w:val="nil"/>
              <w:right w:val="nil"/>
            </w:tcBorders>
          </w:tcPr>
          <w:p w14:paraId="01A148F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right w:val="nil"/>
            </w:tcBorders>
          </w:tcPr>
          <w:p w14:paraId="2378411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w:t>
            </w:r>
          </w:p>
        </w:tc>
        <w:tc>
          <w:tcPr>
            <w:tcW w:w="617" w:type="pct"/>
            <w:tcBorders>
              <w:top w:val="single" w:sz="8" w:space="0" w:color="auto"/>
              <w:left w:val="nil"/>
              <w:right w:val="nil"/>
            </w:tcBorders>
          </w:tcPr>
          <w:p w14:paraId="576696C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w:t>
            </w:r>
          </w:p>
        </w:tc>
        <w:tc>
          <w:tcPr>
            <w:tcW w:w="118" w:type="pct"/>
            <w:tcBorders>
              <w:left w:val="nil"/>
              <w:right w:val="nil"/>
            </w:tcBorders>
          </w:tcPr>
          <w:p w14:paraId="15B434B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right w:val="nil"/>
            </w:tcBorders>
          </w:tcPr>
          <w:p w14:paraId="3D562FF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w:t>
            </w:r>
          </w:p>
        </w:tc>
        <w:tc>
          <w:tcPr>
            <w:tcW w:w="617" w:type="pct"/>
            <w:tcBorders>
              <w:top w:val="single" w:sz="8" w:space="0" w:color="auto"/>
              <w:left w:val="nil"/>
              <w:right w:val="nil"/>
            </w:tcBorders>
          </w:tcPr>
          <w:p w14:paraId="2E7BAD8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w:t>
            </w:r>
          </w:p>
        </w:tc>
      </w:tr>
      <w:tr w:rsidR="00984E59" w:rsidRPr="0040135B" w14:paraId="702F6721" w14:textId="77777777" w:rsidTr="00F45F14">
        <w:tc>
          <w:tcPr>
            <w:tcW w:w="1345" w:type="pct"/>
            <w:tcBorders>
              <w:top w:val="nil"/>
              <w:left w:val="nil"/>
              <w:bottom w:val="single" w:sz="8" w:space="0" w:color="auto"/>
              <w:right w:val="nil"/>
            </w:tcBorders>
          </w:tcPr>
          <w:p w14:paraId="509469C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single" w:sz="8" w:space="0" w:color="auto"/>
              <w:right w:val="nil"/>
            </w:tcBorders>
          </w:tcPr>
          <w:p w14:paraId="68AA1DD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CCPE</w:t>
            </w:r>
          </w:p>
        </w:tc>
        <w:tc>
          <w:tcPr>
            <w:tcW w:w="617" w:type="pct"/>
            <w:tcBorders>
              <w:top w:val="nil"/>
              <w:left w:val="nil"/>
              <w:bottom w:val="single" w:sz="8" w:space="0" w:color="auto"/>
              <w:right w:val="nil"/>
            </w:tcBorders>
          </w:tcPr>
          <w:p w14:paraId="61472C8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118" w:type="pct"/>
            <w:tcBorders>
              <w:top w:val="nil"/>
              <w:left w:val="nil"/>
              <w:bottom w:val="single" w:sz="8" w:space="0" w:color="auto"/>
              <w:right w:val="nil"/>
            </w:tcBorders>
          </w:tcPr>
          <w:p w14:paraId="0283063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single" w:sz="8" w:space="0" w:color="auto"/>
              <w:right w:val="nil"/>
            </w:tcBorders>
          </w:tcPr>
          <w:p w14:paraId="77922C0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PCCIs</w:t>
            </w:r>
          </w:p>
        </w:tc>
        <w:tc>
          <w:tcPr>
            <w:tcW w:w="617" w:type="pct"/>
            <w:tcBorders>
              <w:top w:val="nil"/>
              <w:left w:val="nil"/>
              <w:bottom w:val="single" w:sz="8" w:space="0" w:color="auto"/>
              <w:right w:val="nil"/>
            </w:tcBorders>
          </w:tcPr>
          <w:p w14:paraId="3DB0877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118" w:type="pct"/>
            <w:tcBorders>
              <w:top w:val="nil"/>
              <w:left w:val="nil"/>
              <w:bottom w:val="single" w:sz="8" w:space="0" w:color="auto"/>
              <w:right w:val="nil"/>
            </w:tcBorders>
          </w:tcPr>
          <w:p w14:paraId="3849357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single" w:sz="8" w:space="0" w:color="auto"/>
              <w:right w:val="nil"/>
            </w:tcBorders>
          </w:tcPr>
          <w:p w14:paraId="6B943B1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PCCIs</w:t>
            </w:r>
          </w:p>
        </w:tc>
        <w:tc>
          <w:tcPr>
            <w:tcW w:w="617" w:type="pct"/>
            <w:tcBorders>
              <w:top w:val="nil"/>
              <w:left w:val="nil"/>
              <w:bottom w:val="single" w:sz="8" w:space="0" w:color="auto"/>
              <w:right w:val="nil"/>
            </w:tcBorders>
          </w:tcPr>
          <w:p w14:paraId="30ACCC8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CCPE</w:t>
            </w:r>
          </w:p>
        </w:tc>
      </w:tr>
      <w:tr w:rsidR="00984E59" w:rsidRPr="0040135B" w14:paraId="4D866193" w14:textId="77777777" w:rsidTr="00F45F14">
        <w:tc>
          <w:tcPr>
            <w:tcW w:w="1345" w:type="pct"/>
            <w:tcBorders>
              <w:top w:val="single" w:sz="8" w:space="0" w:color="auto"/>
              <w:left w:val="nil"/>
              <w:bottom w:val="nil"/>
              <w:right w:val="nil"/>
            </w:tcBorders>
          </w:tcPr>
          <w:p w14:paraId="65944224"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Lagged CCPE</w:t>
            </w:r>
          </w:p>
        </w:tc>
        <w:tc>
          <w:tcPr>
            <w:tcW w:w="522" w:type="pct"/>
            <w:tcBorders>
              <w:top w:val="single" w:sz="8" w:space="0" w:color="auto"/>
              <w:left w:val="nil"/>
              <w:bottom w:val="nil"/>
              <w:right w:val="nil"/>
            </w:tcBorders>
          </w:tcPr>
          <w:p w14:paraId="03BA415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0.952</w:t>
            </w:r>
            <w:r w:rsidRPr="0040135B">
              <w:rPr>
                <w:rFonts w:ascii="Times New Roman" w:hAnsi="Times New Roman"/>
                <w:sz w:val="18"/>
                <w:szCs w:val="18"/>
                <w:vertAlign w:val="superscript"/>
                <w:lang w:val="en-US"/>
              </w:rPr>
              <w:t>***</w:t>
            </w:r>
          </w:p>
        </w:tc>
        <w:tc>
          <w:tcPr>
            <w:tcW w:w="617" w:type="pct"/>
            <w:tcBorders>
              <w:top w:val="single" w:sz="8" w:space="0" w:color="auto"/>
              <w:left w:val="nil"/>
              <w:bottom w:val="nil"/>
              <w:right w:val="nil"/>
            </w:tcBorders>
          </w:tcPr>
          <w:p w14:paraId="1B68529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single" w:sz="8" w:space="0" w:color="auto"/>
              <w:left w:val="nil"/>
              <w:bottom w:val="nil"/>
              <w:right w:val="nil"/>
            </w:tcBorders>
          </w:tcPr>
          <w:p w14:paraId="0C34102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bottom w:val="nil"/>
              <w:right w:val="nil"/>
            </w:tcBorders>
          </w:tcPr>
          <w:p w14:paraId="445C06E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single" w:sz="8" w:space="0" w:color="auto"/>
              <w:left w:val="nil"/>
              <w:bottom w:val="nil"/>
              <w:right w:val="nil"/>
            </w:tcBorders>
          </w:tcPr>
          <w:p w14:paraId="19818CE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single" w:sz="8" w:space="0" w:color="auto"/>
              <w:left w:val="nil"/>
              <w:bottom w:val="nil"/>
              <w:right w:val="nil"/>
            </w:tcBorders>
          </w:tcPr>
          <w:p w14:paraId="1A06801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bottom w:val="nil"/>
              <w:right w:val="nil"/>
            </w:tcBorders>
          </w:tcPr>
          <w:p w14:paraId="066C987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single" w:sz="8" w:space="0" w:color="auto"/>
              <w:left w:val="nil"/>
              <w:bottom w:val="nil"/>
              <w:right w:val="nil"/>
            </w:tcBorders>
          </w:tcPr>
          <w:p w14:paraId="0F23051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0F3622F8" w14:textId="77777777" w:rsidTr="00F45F14">
        <w:tc>
          <w:tcPr>
            <w:tcW w:w="1345" w:type="pct"/>
            <w:tcBorders>
              <w:top w:val="nil"/>
              <w:left w:val="nil"/>
              <w:bottom w:val="nil"/>
              <w:right w:val="nil"/>
            </w:tcBorders>
          </w:tcPr>
          <w:p w14:paraId="375A1CAB"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170AA4E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(33.46)</w:t>
            </w:r>
          </w:p>
        </w:tc>
        <w:tc>
          <w:tcPr>
            <w:tcW w:w="617" w:type="pct"/>
            <w:tcBorders>
              <w:top w:val="nil"/>
              <w:left w:val="nil"/>
              <w:bottom w:val="nil"/>
              <w:right w:val="nil"/>
            </w:tcBorders>
          </w:tcPr>
          <w:p w14:paraId="0E6561D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6267AE8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EA0469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25BFFF5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51B4990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8609B1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4D2B3FA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3AFDD2FB" w14:textId="77777777" w:rsidTr="00F45F14">
        <w:tc>
          <w:tcPr>
            <w:tcW w:w="1345" w:type="pct"/>
            <w:tcBorders>
              <w:top w:val="nil"/>
              <w:left w:val="nil"/>
              <w:bottom w:val="nil"/>
              <w:right w:val="nil"/>
            </w:tcBorders>
          </w:tcPr>
          <w:p w14:paraId="2AE83F24"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roofErr w:type="spellStart"/>
            <w:r w:rsidRPr="0040135B">
              <w:rPr>
                <w:rFonts w:ascii="Times New Roman" w:hAnsi="Times New Roman"/>
                <w:sz w:val="18"/>
                <w:szCs w:val="18"/>
                <w:lang w:val="en-US"/>
              </w:rPr>
              <w:t>CCPE_Industry</w:t>
            </w:r>
            <w:proofErr w:type="spellEnd"/>
          </w:p>
        </w:tc>
        <w:tc>
          <w:tcPr>
            <w:tcW w:w="522" w:type="pct"/>
            <w:tcBorders>
              <w:top w:val="nil"/>
              <w:left w:val="nil"/>
              <w:bottom w:val="nil"/>
              <w:right w:val="nil"/>
            </w:tcBorders>
          </w:tcPr>
          <w:p w14:paraId="2ACB00A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0.071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48E4BF7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0A9205E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EFA632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06BB04B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4FB0E51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052039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756190D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24CA99DA" w14:textId="77777777" w:rsidTr="00F45F14">
        <w:tc>
          <w:tcPr>
            <w:tcW w:w="1345" w:type="pct"/>
            <w:tcBorders>
              <w:top w:val="nil"/>
              <w:left w:val="nil"/>
              <w:right w:val="nil"/>
            </w:tcBorders>
          </w:tcPr>
          <w:p w14:paraId="3693C96A"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right w:val="nil"/>
            </w:tcBorders>
          </w:tcPr>
          <w:p w14:paraId="5EA2C65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(2.24)</w:t>
            </w:r>
          </w:p>
        </w:tc>
        <w:tc>
          <w:tcPr>
            <w:tcW w:w="617" w:type="pct"/>
            <w:tcBorders>
              <w:top w:val="nil"/>
              <w:left w:val="nil"/>
              <w:right w:val="nil"/>
            </w:tcBorders>
          </w:tcPr>
          <w:p w14:paraId="25A0DC5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right w:val="nil"/>
            </w:tcBorders>
          </w:tcPr>
          <w:p w14:paraId="2731C76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right w:val="nil"/>
            </w:tcBorders>
          </w:tcPr>
          <w:p w14:paraId="3BBC87E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right w:val="nil"/>
            </w:tcBorders>
          </w:tcPr>
          <w:p w14:paraId="4AB7551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right w:val="nil"/>
            </w:tcBorders>
          </w:tcPr>
          <w:p w14:paraId="7647D32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right w:val="nil"/>
            </w:tcBorders>
          </w:tcPr>
          <w:p w14:paraId="3C7B84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right w:val="nil"/>
            </w:tcBorders>
          </w:tcPr>
          <w:p w14:paraId="698EC28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48680BC9" w14:textId="77777777" w:rsidTr="00F45F14">
        <w:tc>
          <w:tcPr>
            <w:tcW w:w="1345" w:type="pct"/>
            <w:tcBorders>
              <w:left w:val="nil"/>
              <w:bottom w:val="nil"/>
              <w:right w:val="nil"/>
            </w:tcBorders>
          </w:tcPr>
          <w:p w14:paraId="0B7D18FD"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CCPE</w:t>
            </w:r>
          </w:p>
        </w:tc>
        <w:tc>
          <w:tcPr>
            <w:tcW w:w="522" w:type="pct"/>
            <w:tcBorders>
              <w:left w:val="nil"/>
              <w:bottom w:val="nil"/>
              <w:right w:val="nil"/>
            </w:tcBorders>
          </w:tcPr>
          <w:p w14:paraId="59345EC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left w:val="nil"/>
              <w:bottom w:val="nil"/>
              <w:right w:val="nil"/>
            </w:tcBorders>
          </w:tcPr>
          <w:p w14:paraId="4923D87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-0.075</w:t>
            </w:r>
            <w:r w:rsidRPr="0040135B">
              <w:rPr>
                <w:rFonts w:ascii="Times New Roman" w:hAnsi="Times New Roman"/>
                <w:sz w:val="18"/>
                <w:szCs w:val="18"/>
                <w:vertAlign w:val="superscript"/>
                <w:lang w:val="en-US"/>
              </w:rPr>
              <w:t>***</w:t>
            </w:r>
          </w:p>
        </w:tc>
        <w:tc>
          <w:tcPr>
            <w:tcW w:w="118" w:type="pct"/>
            <w:tcBorders>
              <w:left w:val="nil"/>
              <w:bottom w:val="nil"/>
              <w:right w:val="nil"/>
            </w:tcBorders>
          </w:tcPr>
          <w:p w14:paraId="7F3462E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17C467E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left w:val="nil"/>
              <w:bottom w:val="nil"/>
              <w:right w:val="nil"/>
            </w:tcBorders>
          </w:tcPr>
          <w:p w14:paraId="64D202B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nil"/>
              <w:right w:val="nil"/>
            </w:tcBorders>
          </w:tcPr>
          <w:p w14:paraId="67BF40D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2F270C1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left w:val="nil"/>
              <w:bottom w:val="nil"/>
              <w:right w:val="nil"/>
            </w:tcBorders>
          </w:tcPr>
          <w:p w14:paraId="08087B1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0F19E7AC" w14:textId="77777777" w:rsidTr="00F45F14">
        <w:tc>
          <w:tcPr>
            <w:tcW w:w="1345" w:type="pct"/>
            <w:tcBorders>
              <w:top w:val="nil"/>
              <w:left w:val="nil"/>
              <w:bottom w:val="nil"/>
              <w:right w:val="nil"/>
            </w:tcBorders>
          </w:tcPr>
          <w:p w14:paraId="5A98E859"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37167F5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7520F53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(-9.36)</w:t>
            </w:r>
          </w:p>
        </w:tc>
        <w:tc>
          <w:tcPr>
            <w:tcW w:w="118" w:type="pct"/>
            <w:tcBorders>
              <w:top w:val="nil"/>
              <w:left w:val="nil"/>
              <w:bottom w:val="nil"/>
              <w:right w:val="nil"/>
            </w:tcBorders>
          </w:tcPr>
          <w:p w14:paraId="0C6D18E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062080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5BD9C1E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4BF106A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7898E39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1C5F4D0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557AE5E4" w14:textId="77777777" w:rsidTr="00F45F14">
        <w:tc>
          <w:tcPr>
            <w:tcW w:w="1345" w:type="pct"/>
            <w:tcBorders>
              <w:top w:val="nil"/>
              <w:left w:val="nil"/>
              <w:bottom w:val="nil"/>
              <w:right w:val="nil"/>
            </w:tcBorders>
          </w:tcPr>
          <w:p w14:paraId="6FD96FD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Lagged PCCIs</w:t>
            </w:r>
          </w:p>
        </w:tc>
        <w:tc>
          <w:tcPr>
            <w:tcW w:w="522" w:type="pct"/>
            <w:tcBorders>
              <w:top w:val="nil"/>
              <w:left w:val="nil"/>
              <w:bottom w:val="nil"/>
              <w:right w:val="nil"/>
            </w:tcBorders>
          </w:tcPr>
          <w:p w14:paraId="03A3D04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3E7A6A3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794AB1A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18F1BE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0.876</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2A2F4A7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734851E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87AFE3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0.875</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61780C4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62BA534D" w14:textId="77777777" w:rsidTr="00F45F14">
        <w:tc>
          <w:tcPr>
            <w:tcW w:w="1345" w:type="pct"/>
            <w:tcBorders>
              <w:top w:val="nil"/>
              <w:left w:val="nil"/>
              <w:bottom w:val="nil"/>
              <w:right w:val="nil"/>
            </w:tcBorders>
          </w:tcPr>
          <w:p w14:paraId="66D2323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28DD78B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536DE82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3A70769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783395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(54.49)</w:t>
            </w:r>
          </w:p>
        </w:tc>
        <w:tc>
          <w:tcPr>
            <w:tcW w:w="617" w:type="pct"/>
            <w:tcBorders>
              <w:top w:val="nil"/>
              <w:left w:val="nil"/>
              <w:bottom w:val="nil"/>
              <w:right w:val="nil"/>
            </w:tcBorders>
          </w:tcPr>
          <w:p w14:paraId="503B329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0A11AED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36D46F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(51.24)</w:t>
            </w:r>
          </w:p>
        </w:tc>
        <w:tc>
          <w:tcPr>
            <w:tcW w:w="617" w:type="pct"/>
            <w:tcBorders>
              <w:top w:val="nil"/>
              <w:left w:val="nil"/>
              <w:bottom w:val="nil"/>
              <w:right w:val="nil"/>
            </w:tcBorders>
          </w:tcPr>
          <w:p w14:paraId="7248824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6424D70E" w14:textId="77777777" w:rsidTr="00F45F14">
        <w:tc>
          <w:tcPr>
            <w:tcW w:w="1345" w:type="pct"/>
            <w:tcBorders>
              <w:top w:val="nil"/>
              <w:left w:val="nil"/>
              <w:bottom w:val="nil"/>
              <w:right w:val="nil"/>
            </w:tcBorders>
          </w:tcPr>
          <w:p w14:paraId="211AA0B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roofErr w:type="spellStart"/>
            <w:r w:rsidRPr="0040135B">
              <w:rPr>
                <w:rFonts w:ascii="Times New Roman" w:hAnsi="Times New Roman"/>
                <w:sz w:val="18"/>
                <w:szCs w:val="18"/>
                <w:lang w:val="en-US"/>
              </w:rPr>
              <w:t>PCCIs_Industry</w:t>
            </w:r>
            <w:proofErr w:type="spellEnd"/>
          </w:p>
        </w:tc>
        <w:tc>
          <w:tcPr>
            <w:tcW w:w="522" w:type="pct"/>
            <w:tcBorders>
              <w:top w:val="nil"/>
              <w:left w:val="nil"/>
              <w:bottom w:val="nil"/>
              <w:right w:val="nil"/>
            </w:tcBorders>
          </w:tcPr>
          <w:p w14:paraId="1593797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55A7E24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249FECD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64EFA4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0.315</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3EE3884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39EEC3A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7D4FE0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0.311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6121AE3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5D7C69F9" w14:textId="77777777" w:rsidTr="00F45F14">
        <w:tc>
          <w:tcPr>
            <w:tcW w:w="1345" w:type="pct"/>
            <w:tcBorders>
              <w:top w:val="nil"/>
              <w:left w:val="nil"/>
              <w:bottom w:val="nil"/>
              <w:right w:val="nil"/>
            </w:tcBorders>
          </w:tcPr>
          <w:p w14:paraId="745B2FF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694B140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004D3F5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2E82E5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EA2F9B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(5.03)</w:t>
            </w:r>
          </w:p>
        </w:tc>
        <w:tc>
          <w:tcPr>
            <w:tcW w:w="617" w:type="pct"/>
            <w:tcBorders>
              <w:top w:val="nil"/>
              <w:left w:val="nil"/>
              <w:bottom w:val="nil"/>
              <w:right w:val="nil"/>
            </w:tcBorders>
          </w:tcPr>
          <w:p w14:paraId="7D529B5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651DA1A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CD08B0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(4.80)</w:t>
            </w:r>
          </w:p>
        </w:tc>
        <w:tc>
          <w:tcPr>
            <w:tcW w:w="617" w:type="pct"/>
            <w:tcBorders>
              <w:top w:val="nil"/>
              <w:left w:val="nil"/>
              <w:bottom w:val="nil"/>
              <w:right w:val="nil"/>
            </w:tcBorders>
          </w:tcPr>
          <w:p w14:paraId="27720D7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111CC75D" w14:textId="77777777" w:rsidTr="00F45F14">
        <w:tc>
          <w:tcPr>
            <w:tcW w:w="1345" w:type="pct"/>
            <w:tcBorders>
              <w:top w:val="nil"/>
              <w:left w:val="nil"/>
              <w:bottom w:val="nil"/>
              <w:right w:val="nil"/>
            </w:tcBorders>
          </w:tcPr>
          <w:p w14:paraId="08FA4F13"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PCCIs</w:t>
            </w:r>
          </w:p>
        </w:tc>
        <w:tc>
          <w:tcPr>
            <w:tcW w:w="522" w:type="pct"/>
            <w:tcBorders>
              <w:top w:val="nil"/>
              <w:left w:val="nil"/>
              <w:bottom w:val="nil"/>
              <w:right w:val="nil"/>
            </w:tcBorders>
          </w:tcPr>
          <w:p w14:paraId="05B848A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09C8ADE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72C3377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63419A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57C865A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0.002</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3DF0463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5C21BD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42B411D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0.009</w:t>
            </w:r>
            <w:r w:rsidRPr="0040135B">
              <w:rPr>
                <w:rFonts w:ascii="Times New Roman" w:hAnsi="Times New Roman"/>
                <w:sz w:val="18"/>
                <w:szCs w:val="18"/>
                <w:vertAlign w:val="superscript"/>
                <w:lang w:val="en-US"/>
              </w:rPr>
              <w:t>***</w:t>
            </w:r>
          </w:p>
        </w:tc>
      </w:tr>
      <w:tr w:rsidR="00984E59" w:rsidRPr="0040135B" w14:paraId="1DF2EC4B" w14:textId="77777777" w:rsidTr="00F45F14">
        <w:tc>
          <w:tcPr>
            <w:tcW w:w="1345" w:type="pct"/>
            <w:tcBorders>
              <w:top w:val="nil"/>
              <w:left w:val="nil"/>
              <w:bottom w:val="nil"/>
              <w:right w:val="nil"/>
            </w:tcBorders>
          </w:tcPr>
          <w:p w14:paraId="1818E9FE"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0ED5796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2E9E82B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top w:val="nil"/>
              <w:left w:val="nil"/>
              <w:bottom w:val="nil"/>
              <w:right w:val="nil"/>
            </w:tcBorders>
          </w:tcPr>
          <w:p w14:paraId="12095F5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C9BD45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512ED75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(3.17)</w:t>
            </w:r>
          </w:p>
        </w:tc>
        <w:tc>
          <w:tcPr>
            <w:tcW w:w="118" w:type="pct"/>
            <w:tcBorders>
              <w:top w:val="nil"/>
              <w:left w:val="nil"/>
              <w:bottom w:val="nil"/>
              <w:right w:val="nil"/>
            </w:tcBorders>
          </w:tcPr>
          <w:p w14:paraId="0D08F3F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B84E5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17" w:type="pct"/>
            <w:tcBorders>
              <w:top w:val="nil"/>
              <w:left w:val="nil"/>
              <w:bottom w:val="nil"/>
              <w:right w:val="nil"/>
            </w:tcBorders>
          </w:tcPr>
          <w:p w14:paraId="245CFA1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(12.00)</w:t>
            </w:r>
          </w:p>
        </w:tc>
      </w:tr>
      <w:tr w:rsidR="00984E59" w:rsidRPr="0040135B" w14:paraId="042A5BD9" w14:textId="77777777" w:rsidTr="00F45F14">
        <w:tc>
          <w:tcPr>
            <w:tcW w:w="1345" w:type="pct"/>
            <w:tcBorders>
              <w:top w:val="nil"/>
              <w:left w:val="nil"/>
              <w:bottom w:val="nil"/>
              <w:right w:val="nil"/>
            </w:tcBorders>
          </w:tcPr>
          <w:p w14:paraId="0B5FCBF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BSCOM</w:t>
            </w:r>
          </w:p>
        </w:tc>
        <w:tc>
          <w:tcPr>
            <w:tcW w:w="522" w:type="pct"/>
            <w:tcBorders>
              <w:top w:val="nil"/>
              <w:left w:val="nil"/>
              <w:bottom w:val="nil"/>
              <w:right w:val="nil"/>
            </w:tcBorders>
          </w:tcPr>
          <w:p w14:paraId="7520B0F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617" w:type="pct"/>
            <w:tcBorders>
              <w:top w:val="nil"/>
              <w:left w:val="nil"/>
              <w:bottom w:val="nil"/>
              <w:right w:val="nil"/>
            </w:tcBorders>
          </w:tcPr>
          <w:p w14:paraId="02313B8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0.079</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35C5C7E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7F93515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2.414</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51A49F0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0.034</w:t>
            </w:r>
          </w:p>
        </w:tc>
        <w:tc>
          <w:tcPr>
            <w:tcW w:w="118" w:type="pct"/>
            <w:tcBorders>
              <w:top w:val="nil"/>
              <w:left w:val="nil"/>
              <w:bottom w:val="nil"/>
              <w:right w:val="nil"/>
            </w:tcBorders>
          </w:tcPr>
          <w:p w14:paraId="33764F6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CD1C7B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2.376</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76E6828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0.134</w:t>
            </w:r>
            <w:r w:rsidRPr="0040135B">
              <w:rPr>
                <w:rFonts w:ascii="Times New Roman" w:hAnsi="Times New Roman"/>
                <w:sz w:val="18"/>
                <w:szCs w:val="18"/>
                <w:vertAlign w:val="superscript"/>
                <w:lang w:val="en-US"/>
              </w:rPr>
              <w:t>***</w:t>
            </w:r>
          </w:p>
        </w:tc>
      </w:tr>
      <w:tr w:rsidR="00984E59" w:rsidRPr="0040135B" w14:paraId="1CC15199" w14:textId="77777777" w:rsidTr="00F45F14">
        <w:tc>
          <w:tcPr>
            <w:tcW w:w="1345" w:type="pct"/>
            <w:tcBorders>
              <w:top w:val="nil"/>
              <w:left w:val="nil"/>
              <w:bottom w:val="nil"/>
              <w:right w:val="nil"/>
            </w:tcBorders>
          </w:tcPr>
          <w:p w14:paraId="68124F6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217CE56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(0.08)</w:t>
            </w:r>
          </w:p>
        </w:tc>
        <w:tc>
          <w:tcPr>
            <w:tcW w:w="617" w:type="pct"/>
            <w:tcBorders>
              <w:top w:val="nil"/>
              <w:left w:val="nil"/>
              <w:bottom w:val="nil"/>
              <w:right w:val="nil"/>
            </w:tcBorders>
          </w:tcPr>
          <w:p w14:paraId="4F79891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(2.71)</w:t>
            </w:r>
          </w:p>
        </w:tc>
        <w:tc>
          <w:tcPr>
            <w:tcW w:w="118" w:type="pct"/>
            <w:tcBorders>
              <w:top w:val="nil"/>
              <w:left w:val="nil"/>
              <w:bottom w:val="nil"/>
              <w:right w:val="nil"/>
            </w:tcBorders>
          </w:tcPr>
          <w:p w14:paraId="048D2E0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72C2B0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(6.69)</w:t>
            </w:r>
          </w:p>
        </w:tc>
        <w:tc>
          <w:tcPr>
            <w:tcW w:w="617" w:type="pct"/>
            <w:tcBorders>
              <w:top w:val="nil"/>
              <w:left w:val="nil"/>
              <w:bottom w:val="nil"/>
              <w:right w:val="nil"/>
            </w:tcBorders>
          </w:tcPr>
          <w:p w14:paraId="347C370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(1.26)</w:t>
            </w:r>
          </w:p>
        </w:tc>
        <w:tc>
          <w:tcPr>
            <w:tcW w:w="118" w:type="pct"/>
            <w:tcBorders>
              <w:top w:val="nil"/>
              <w:left w:val="nil"/>
              <w:bottom w:val="nil"/>
              <w:right w:val="nil"/>
            </w:tcBorders>
          </w:tcPr>
          <w:p w14:paraId="1C583FA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08E5B9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(6.19)</w:t>
            </w:r>
          </w:p>
        </w:tc>
        <w:tc>
          <w:tcPr>
            <w:tcW w:w="617" w:type="pct"/>
            <w:tcBorders>
              <w:top w:val="nil"/>
              <w:left w:val="nil"/>
              <w:bottom w:val="nil"/>
              <w:right w:val="nil"/>
            </w:tcBorders>
          </w:tcPr>
          <w:p w14:paraId="705C374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(3.12)</w:t>
            </w:r>
          </w:p>
        </w:tc>
      </w:tr>
      <w:tr w:rsidR="00984E59" w:rsidRPr="0040135B" w14:paraId="5E0CDC1A" w14:textId="77777777" w:rsidTr="00F45F14">
        <w:tc>
          <w:tcPr>
            <w:tcW w:w="1345" w:type="pct"/>
            <w:tcBorders>
              <w:top w:val="nil"/>
              <w:left w:val="nil"/>
              <w:bottom w:val="nil"/>
              <w:right w:val="nil"/>
            </w:tcBorders>
          </w:tcPr>
          <w:p w14:paraId="3F641F7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BSIZE</w:t>
            </w:r>
          </w:p>
        </w:tc>
        <w:tc>
          <w:tcPr>
            <w:tcW w:w="522" w:type="pct"/>
            <w:tcBorders>
              <w:top w:val="nil"/>
              <w:left w:val="nil"/>
              <w:bottom w:val="nil"/>
              <w:right w:val="nil"/>
            </w:tcBorders>
          </w:tcPr>
          <w:p w14:paraId="7F17091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617" w:type="pct"/>
            <w:tcBorders>
              <w:top w:val="nil"/>
              <w:left w:val="nil"/>
              <w:bottom w:val="nil"/>
              <w:right w:val="nil"/>
            </w:tcBorders>
          </w:tcPr>
          <w:p w14:paraId="31C5A0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0.042</w:t>
            </w:r>
          </w:p>
        </w:tc>
        <w:tc>
          <w:tcPr>
            <w:tcW w:w="118" w:type="pct"/>
            <w:tcBorders>
              <w:top w:val="nil"/>
              <w:left w:val="nil"/>
              <w:bottom w:val="nil"/>
              <w:right w:val="nil"/>
            </w:tcBorders>
          </w:tcPr>
          <w:p w14:paraId="05A2E90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5D1DF6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0.831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6F75091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0.033</w:t>
            </w:r>
          </w:p>
        </w:tc>
        <w:tc>
          <w:tcPr>
            <w:tcW w:w="118" w:type="pct"/>
            <w:tcBorders>
              <w:top w:val="nil"/>
              <w:left w:val="nil"/>
              <w:bottom w:val="nil"/>
              <w:right w:val="nil"/>
            </w:tcBorders>
          </w:tcPr>
          <w:p w14:paraId="77EA0BB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8D1835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0.782</w:t>
            </w:r>
          </w:p>
        </w:tc>
        <w:tc>
          <w:tcPr>
            <w:tcW w:w="617" w:type="pct"/>
            <w:tcBorders>
              <w:top w:val="nil"/>
              <w:left w:val="nil"/>
              <w:bottom w:val="nil"/>
              <w:right w:val="nil"/>
            </w:tcBorders>
          </w:tcPr>
          <w:p w14:paraId="48A787A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-0.030</w:t>
            </w:r>
          </w:p>
        </w:tc>
      </w:tr>
      <w:tr w:rsidR="00984E59" w:rsidRPr="0040135B" w14:paraId="3450AFE1" w14:textId="77777777" w:rsidTr="00F45F14">
        <w:tc>
          <w:tcPr>
            <w:tcW w:w="1345" w:type="pct"/>
            <w:tcBorders>
              <w:top w:val="nil"/>
              <w:left w:val="nil"/>
              <w:bottom w:val="nil"/>
              <w:right w:val="nil"/>
            </w:tcBorders>
          </w:tcPr>
          <w:p w14:paraId="2E64ACA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673F9ED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(-0.09)</w:t>
            </w:r>
          </w:p>
        </w:tc>
        <w:tc>
          <w:tcPr>
            <w:tcW w:w="617" w:type="pct"/>
            <w:tcBorders>
              <w:top w:val="nil"/>
              <w:left w:val="nil"/>
              <w:bottom w:val="nil"/>
              <w:right w:val="nil"/>
            </w:tcBorders>
          </w:tcPr>
          <w:p w14:paraId="0EBE603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(1.15)</w:t>
            </w:r>
          </w:p>
        </w:tc>
        <w:tc>
          <w:tcPr>
            <w:tcW w:w="118" w:type="pct"/>
            <w:tcBorders>
              <w:top w:val="nil"/>
              <w:left w:val="nil"/>
              <w:bottom w:val="nil"/>
              <w:right w:val="nil"/>
            </w:tcBorders>
          </w:tcPr>
          <w:p w14:paraId="387E3FA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E5DA8F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(1.75)</w:t>
            </w:r>
          </w:p>
        </w:tc>
        <w:tc>
          <w:tcPr>
            <w:tcW w:w="617" w:type="pct"/>
            <w:tcBorders>
              <w:top w:val="nil"/>
              <w:left w:val="nil"/>
              <w:bottom w:val="nil"/>
              <w:right w:val="nil"/>
            </w:tcBorders>
          </w:tcPr>
          <w:p w14:paraId="4A26D7E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(0.93)</w:t>
            </w:r>
          </w:p>
        </w:tc>
        <w:tc>
          <w:tcPr>
            <w:tcW w:w="118" w:type="pct"/>
            <w:tcBorders>
              <w:top w:val="nil"/>
              <w:left w:val="nil"/>
              <w:bottom w:val="nil"/>
              <w:right w:val="nil"/>
            </w:tcBorders>
          </w:tcPr>
          <w:p w14:paraId="4F35952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5A7EA0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(1.59)</w:t>
            </w:r>
          </w:p>
        </w:tc>
        <w:tc>
          <w:tcPr>
            <w:tcW w:w="617" w:type="pct"/>
            <w:tcBorders>
              <w:top w:val="nil"/>
              <w:left w:val="nil"/>
              <w:bottom w:val="nil"/>
              <w:right w:val="nil"/>
            </w:tcBorders>
          </w:tcPr>
          <w:p w14:paraId="25C93DB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(-0.55)</w:t>
            </w:r>
          </w:p>
        </w:tc>
      </w:tr>
      <w:tr w:rsidR="00984E59" w:rsidRPr="0040135B" w14:paraId="00039FEC" w14:textId="77777777" w:rsidTr="00F45F14">
        <w:tc>
          <w:tcPr>
            <w:tcW w:w="1345" w:type="pct"/>
            <w:tcBorders>
              <w:top w:val="nil"/>
              <w:left w:val="nil"/>
              <w:bottom w:val="nil"/>
              <w:right w:val="nil"/>
            </w:tcBorders>
          </w:tcPr>
          <w:p w14:paraId="167818E4"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INDIR</w:t>
            </w:r>
          </w:p>
        </w:tc>
        <w:tc>
          <w:tcPr>
            <w:tcW w:w="522" w:type="pct"/>
            <w:tcBorders>
              <w:top w:val="nil"/>
              <w:left w:val="nil"/>
              <w:bottom w:val="nil"/>
              <w:right w:val="nil"/>
            </w:tcBorders>
          </w:tcPr>
          <w:p w14:paraId="185FA79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617" w:type="pct"/>
            <w:tcBorders>
              <w:top w:val="nil"/>
              <w:left w:val="nil"/>
              <w:bottom w:val="nil"/>
              <w:right w:val="nil"/>
            </w:tcBorders>
          </w:tcPr>
          <w:p w14:paraId="28AE022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118" w:type="pct"/>
            <w:tcBorders>
              <w:top w:val="nil"/>
              <w:left w:val="nil"/>
              <w:bottom w:val="nil"/>
              <w:right w:val="nil"/>
            </w:tcBorders>
          </w:tcPr>
          <w:p w14:paraId="3694B2D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19E79F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0.006</w:t>
            </w:r>
          </w:p>
        </w:tc>
        <w:tc>
          <w:tcPr>
            <w:tcW w:w="617" w:type="pct"/>
            <w:tcBorders>
              <w:top w:val="nil"/>
              <w:left w:val="nil"/>
              <w:bottom w:val="nil"/>
              <w:right w:val="nil"/>
            </w:tcBorders>
          </w:tcPr>
          <w:p w14:paraId="37B9BC9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6B85C29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587850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0.007</w:t>
            </w:r>
          </w:p>
        </w:tc>
        <w:tc>
          <w:tcPr>
            <w:tcW w:w="617" w:type="pct"/>
            <w:tcBorders>
              <w:top w:val="nil"/>
              <w:left w:val="nil"/>
              <w:bottom w:val="nil"/>
              <w:right w:val="nil"/>
            </w:tcBorders>
          </w:tcPr>
          <w:p w14:paraId="3B0669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0.003</w:t>
            </w:r>
            <w:r w:rsidRPr="0040135B">
              <w:rPr>
                <w:rFonts w:ascii="Times New Roman" w:hAnsi="Times New Roman"/>
                <w:sz w:val="18"/>
                <w:szCs w:val="18"/>
                <w:vertAlign w:val="superscript"/>
                <w:lang w:val="en-US"/>
              </w:rPr>
              <w:t>***</w:t>
            </w:r>
          </w:p>
        </w:tc>
      </w:tr>
      <w:tr w:rsidR="00984E59" w:rsidRPr="0040135B" w14:paraId="30D3C49F" w14:textId="77777777" w:rsidTr="00F45F14">
        <w:tc>
          <w:tcPr>
            <w:tcW w:w="1345" w:type="pct"/>
            <w:tcBorders>
              <w:top w:val="nil"/>
              <w:left w:val="nil"/>
              <w:bottom w:val="nil"/>
              <w:right w:val="nil"/>
            </w:tcBorders>
          </w:tcPr>
          <w:p w14:paraId="261AE37F"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709652E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(0.55)</w:t>
            </w:r>
          </w:p>
        </w:tc>
        <w:tc>
          <w:tcPr>
            <w:tcW w:w="617" w:type="pct"/>
            <w:tcBorders>
              <w:top w:val="nil"/>
              <w:left w:val="nil"/>
              <w:bottom w:val="nil"/>
              <w:right w:val="nil"/>
            </w:tcBorders>
          </w:tcPr>
          <w:p w14:paraId="51F778C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(-0.82)</w:t>
            </w:r>
          </w:p>
        </w:tc>
        <w:tc>
          <w:tcPr>
            <w:tcW w:w="118" w:type="pct"/>
            <w:tcBorders>
              <w:top w:val="nil"/>
              <w:left w:val="nil"/>
              <w:bottom w:val="nil"/>
              <w:right w:val="nil"/>
            </w:tcBorders>
          </w:tcPr>
          <w:p w14:paraId="1DE1D23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7B49A8D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(1.41)</w:t>
            </w:r>
          </w:p>
        </w:tc>
        <w:tc>
          <w:tcPr>
            <w:tcW w:w="617" w:type="pct"/>
            <w:tcBorders>
              <w:top w:val="nil"/>
              <w:left w:val="nil"/>
              <w:bottom w:val="nil"/>
              <w:right w:val="nil"/>
            </w:tcBorders>
          </w:tcPr>
          <w:p w14:paraId="53DE664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(-2.39)</w:t>
            </w:r>
          </w:p>
        </w:tc>
        <w:tc>
          <w:tcPr>
            <w:tcW w:w="118" w:type="pct"/>
            <w:tcBorders>
              <w:top w:val="nil"/>
              <w:left w:val="nil"/>
              <w:bottom w:val="nil"/>
              <w:right w:val="nil"/>
            </w:tcBorders>
          </w:tcPr>
          <w:p w14:paraId="160620C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4248FF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(1.48)</w:t>
            </w:r>
          </w:p>
        </w:tc>
        <w:tc>
          <w:tcPr>
            <w:tcW w:w="617" w:type="pct"/>
            <w:tcBorders>
              <w:top w:val="nil"/>
              <w:left w:val="nil"/>
              <w:bottom w:val="nil"/>
              <w:right w:val="nil"/>
            </w:tcBorders>
          </w:tcPr>
          <w:p w14:paraId="09B2F0F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(5.51)</w:t>
            </w:r>
          </w:p>
        </w:tc>
      </w:tr>
      <w:tr w:rsidR="00984E59" w:rsidRPr="0040135B" w14:paraId="3CCD9377" w14:textId="77777777" w:rsidTr="00F45F14">
        <w:tc>
          <w:tcPr>
            <w:tcW w:w="1345" w:type="pct"/>
            <w:tcBorders>
              <w:top w:val="nil"/>
              <w:left w:val="nil"/>
              <w:bottom w:val="nil"/>
              <w:right w:val="nil"/>
            </w:tcBorders>
          </w:tcPr>
          <w:p w14:paraId="472ACFC5"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BGEN</w:t>
            </w:r>
          </w:p>
        </w:tc>
        <w:tc>
          <w:tcPr>
            <w:tcW w:w="522" w:type="pct"/>
            <w:tcBorders>
              <w:top w:val="nil"/>
              <w:left w:val="nil"/>
              <w:bottom w:val="nil"/>
              <w:right w:val="nil"/>
            </w:tcBorders>
          </w:tcPr>
          <w:p w14:paraId="5071816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2D7DEED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0.003</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533F635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1D339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0.017</w:t>
            </w:r>
          </w:p>
        </w:tc>
        <w:tc>
          <w:tcPr>
            <w:tcW w:w="617" w:type="pct"/>
            <w:tcBorders>
              <w:top w:val="nil"/>
              <w:left w:val="nil"/>
              <w:bottom w:val="nil"/>
              <w:right w:val="nil"/>
            </w:tcBorders>
          </w:tcPr>
          <w:p w14:paraId="5F55B4D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0.004</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76078B8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A80715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0.016</w:t>
            </w:r>
          </w:p>
        </w:tc>
        <w:tc>
          <w:tcPr>
            <w:tcW w:w="617" w:type="pct"/>
            <w:tcBorders>
              <w:top w:val="nil"/>
              <w:left w:val="nil"/>
              <w:bottom w:val="nil"/>
              <w:right w:val="nil"/>
            </w:tcBorders>
          </w:tcPr>
          <w:p w14:paraId="4C88F28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0.002</w:t>
            </w:r>
          </w:p>
        </w:tc>
      </w:tr>
      <w:tr w:rsidR="00984E59" w:rsidRPr="0040135B" w14:paraId="6D96CEB5" w14:textId="77777777" w:rsidTr="00F45F14">
        <w:tc>
          <w:tcPr>
            <w:tcW w:w="1345" w:type="pct"/>
            <w:tcBorders>
              <w:top w:val="nil"/>
              <w:left w:val="nil"/>
              <w:bottom w:val="nil"/>
              <w:right w:val="nil"/>
            </w:tcBorders>
          </w:tcPr>
          <w:p w14:paraId="359F155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3301C38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(-2.35)</w:t>
            </w:r>
          </w:p>
        </w:tc>
        <w:tc>
          <w:tcPr>
            <w:tcW w:w="617" w:type="pct"/>
            <w:tcBorders>
              <w:top w:val="nil"/>
              <w:left w:val="nil"/>
              <w:bottom w:val="nil"/>
              <w:right w:val="nil"/>
            </w:tcBorders>
          </w:tcPr>
          <w:p w14:paraId="65B6081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(3.31)</w:t>
            </w:r>
          </w:p>
        </w:tc>
        <w:tc>
          <w:tcPr>
            <w:tcW w:w="118" w:type="pct"/>
            <w:tcBorders>
              <w:top w:val="nil"/>
              <w:left w:val="nil"/>
              <w:bottom w:val="nil"/>
              <w:right w:val="nil"/>
            </w:tcBorders>
          </w:tcPr>
          <w:p w14:paraId="136197E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20E27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(1.35)</w:t>
            </w:r>
          </w:p>
        </w:tc>
        <w:tc>
          <w:tcPr>
            <w:tcW w:w="617" w:type="pct"/>
            <w:tcBorders>
              <w:top w:val="nil"/>
              <w:left w:val="nil"/>
              <w:bottom w:val="nil"/>
              <w:right w:val="nil"/>
            </w:tcBorders>
          </w:tcPr>
          <w:p w14:paraId="1415FE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(3.71)</w:t>
            </w:r>
          </w:p>
        </w:tc>
        <w:tc>
          <w:tcPr>
            <w:tcW w:w="118" w:type="pct"/>
            <w:tcBorders>
              <w:top w:val="nil"/>
              <w:left w:val="nil"/>
              <w:bottom w:val="nil"/>
              <w:right w:val="nil"/>
            </w:tcBorders>
          </w:tcPr>
          <w:p w14:paraId="2AD54E7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42FC9A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(1.21)</w:t>
            </w:r>
          </w:p>
        </w:tc>
        <w:tc>
          <w:tcPr>
            <w:tcW w:w="617" w:type="pct"/>
            <w:tcBorders>
              <w:top w:val="nil"/>
              <w:left w:val="nil"/>
              <w:bottom w:val="nil"/>
              <w:right w:val="nil"/>
            </w:tcBorders>
          </w:tcPr>
          <w:p w14:paraId="4857DBC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(1.56)</w:t>
            </w:r>
          </w:p>
        </w:tc>
      </w:tr>
      <w:tr w:rsidR="00984E59" w:rsidRPr="0040135B" w14:paraId="11405C1F" w14:textId="77777777" w:rsidTr="00F45F14">
        <w:tc>
          <w:tcPr>
            <w:tcW w:w="1345" w:type="pct"/>
            <w:tcBorders>
              <w:top w:val="nil"/>
              <w:left w:val="nil"/>
              <w:bottom w:val="nil"/>
              <w:right w:val="nil"/>
            </w:tcBorders>
          </w:tcPr>
          <w:p w14:paraId="4D84F42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SIZE</w:t>
            </w:r>
          </w:p>
        </w:tc>
        <w:tc>
          <w:tcPr>
            <w:tcW w:w="522" w:type="pct"/>
            <w:tcBorders>
              <w:top w:val="nil"/>
              <w:left w:val="nil"/>
              <w:bottom w:val="nil"/>
              <w:right w:val="nil"/>
            </w:tcBorders>
          </w:tcPr>
          <w:p w14:paraId="00978CD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0.043</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51037D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-0.042</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0DFB566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7E2ED98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1.261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665BF2A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-0.132</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7078A5A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F776E8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1.313</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03D804E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0.856</w:t>
            </w:r>
            <w:r w:rsidRPr="0040135B">
              <w:rPr>
                <w:rFonts w:ascii="Times New Roman" w:hAnsi="Times New Roman"/>
                <w:sz w:val="18"/>
                <w:szCs w:val="18"/>
                <w:vertAlign w:val="superscript"/>
                <w:lang w:val="en-US"/>
              </w:rPr>
              <w:t>***</w:t>
            </w:r>
          </w:p>
        </w:tc>
      </w:tr>
      <w:tr w:rsidR="00984E59" w:rsidRPr="0040135B" w14:paraId="2DBBA2A2" w14:textId="77777777" w:rsidTr="00F45F14">
        <w:tc>
          <w:tcPr>
            <w:tcW w:w="1345" w:type="pct"/>
            <w:tcBorders>
              <w:top w:val="nil"/>
              <w:left w:val="nil"/>
              <w:bottom w:val="nil"/>
              <w:right w:val="nil"/>
            </w:tcBorders>
          </w:tcPr>
          <w:p w14:paraId="6D1ADB10"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3A52F1C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(9.51)</w:t>
            </w:r>
          </w:p>
        </w:tc>
        <w:tc>
          <w:tcPr>
            <w:tcW w:w="617" w:type="pct"/>
            <w:tcBorders>
              <w:top w:val="nil"/>
              <w:left w:val="nil"/>
              <w:bottom w:val="nil"/>
              <w:right w:val="nil"/>
            </w:tcBorders>
          </w:tcPr>
          <w:p w14:paraId="1B12D1B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(-3.71)</w:t>
            </w:r>
          </w:p>
        </w:tc>
        <w:tc>
          <w:tcPr>
            <w:tcW w:w="118" w:type="pct"/>
            <w:tcBorders>
              <w:top w:val="nil"/>
              <w:left w:val="nil"/>
              <w:bottom w:val="nil"/>
              <w:right w:val="nil"/>
            </w:tcBorders>
          </w:tcPr>
          <w:p w14:paraId="3C0317B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DB1ABF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(10.48)</w:t>
            </w:r>
          </w:p>
        </w:tc>
        <w:tc>
          <w:tcPr>
            <w:tcW w:w="617" w:type="pct"/>
            <w:tcBorders>
              <w:top w:val="nil"/>
              <w:left w:val="nil"/>
              <w:bottom w:val="nil"/>
              <w:right w:val="nil"/>
            </w:tcBorders>
          </w:tcPr>
          <w:p w14:paraId="041EC61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(-14.16)</w:t>
            </w:r>
          </w:p>
        </w:tc>
        <w:tc>
          <w:tcPr>
            <w:tcW w:w="118" w:type="pct"/>
            <w:tcBorders>
              <w:top w:val="nil"/>
              <w:left w:val="nil"/>
              <w:bottom w:val="nil"/>
              <w:right w:val="nil"/>
            </w:tcBorders>
          </w:tcPr>
          <w:p w14:paraId="2BA27C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397EEF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(10.54)</w:t>
            </w:r>
          </w:p>
        </w:tc>
        <w:tc>
          <w:tcPr>
            <w:tcW w:w="617" w:type="pct"/>
            <w:tcBorders>
              <w:top w:val="nil"/>
              <w:left w:val="nil"/>
              <w:bottom w:val="nil"/>
              <w:right w:val="nil"/>
            </w:tcBorders>
          </w:tcPr>
          <w:p w14:paraId="46B8770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(59.93)</w:t>
            </w:r>
          </w:p>
        </w:tc>
      </w:tr>
      <w:tr w:rsidR="00984E59" w:rsidRPr="0040135B" w14:paraId="27706CC7" w14:textId="77777777" w:rsidTr="00F45F14">
        <w:tc>
          <w:tcPr>
            <w:tcW w:w="1345" w:type="pct"/>
            <w:tcBorders>
              <w:top w:val="nil"/>
              <w:left w:val="nil"/>
              <w:bottom w:val="nil"/>
              <w:right w:val="nil"/>
            </w:tcBorders>
          </w:tcPr>
          <w:p w14:paraId="125AFF30"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PROF</w:t>
            </w:r>
          </w:p>
        </w:tc>
        <w:tc>
          <w:tcPr>
            <w:tcW w:w="522" w:type="pct"/>
            <w:tcBorders>
              <w:top w:val="nil"/>
              <w:left w:val="nil"/>
              <w:bottom w:val="nil"/>
              <w:right w:val="nil"/>
            </w:tcBorders>
          </w:tcPr>
          <w:p w14:paraId="47FCA23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617" w:type="pct"/>
            <w:tcBorders>
              <w:top w:val="nil"/>
              <w:left w:val="nil"/>
              <w:bottom w:val="nil"/>
              <w:right w:val="nil"/>
            </w:tcBorders>
          </w:tcPr>
          <w:p w14:paraId="41E7E0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0.060</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7794353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BCAAA5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0.023</w:t>
            </w:r>
          </w:p>
        </w:tc>
        <w:tc>
          <w:tcPr>
            <w:tcW w:w="617" w:type="pct"/>
            <w:tcBorders>
              <w:top w:val="nil"/>
              <w:left w:val="nil"/>
              <w:bottom w:val="nil"/>
              <w:right w:val="nil"/>
            </w:tcBorders>
          </w:tcPr>
          <w:p w14:paraId="78F5B55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0.062</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053A3CA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6364E5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0.019</w:t>
            </w:r>
          </w:p>
        </w:tc>
        <w:tc>
          <w:tcPr>
            <w:tcW w:w="617" w:type="pct"/>
            <w:tcBorders>
              <w:top w:val="nil"/>
              <w:left w:val="nil"/>
              <w:bottom w:val="nil"/>
              <w:right w:val="nil"/>
            </w:tcBorders>
          </w:tcPr>
          <w:p w14:paraId="0C68B18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-0.008</w:t>
            </w:r>
            <w:r w:rsidRPr="0040135B">
              <w:rPr>
                <w:rFonts w:ascii="Times New Roman" w:hAnsi="Times New Roman"/>
                <w:sz w:val="18"/>
                <w:szCs w:val="18"/>
                <w:vertAlign w:val="superscript"/>
                <w:lang w:val="en-US"/>
              </w:rPr>
              <w:t>***</w:t>
            </w:r>
          </w:p>
        </w:tc>
      </w:tr>
      <w:tr w:rsidR="00984E59" w:rsidRPr="0040135B" w14:paraId="632CC4FA" w14:textId="77777777" w:rsidTr="00F45F14">
        <w:tc>
          <w:tcPr>
            <w:tcW w:w="1345" w:type="pct"/>
            <w:tcBorders>
              <w:top w:val="nil"/>
              <w:left w:val="nil"/>
              <w:bottom w:val="nil"/>
              <w:right w:val="nil"/>
            </w:tcBorders>
          </w:tcPr>
          <w:p w14:paraId="1F09E01E"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58E79FD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(0.81)</w:t>
            </w:r>
          </w:p>
        </w:tc>
        <w:tc>
          <w:tcPr>
            <w:tcW w:w="617" w:type="pct"/>
            <w:tcBorders>
              <w:top w:val="nil"/>
              <w:left w:val="nil"/>
              <w:bottom w:val="nil"/>
              <w:right w:val="nil"/>
            </w:tcBorders>
          </w:tcPr>
          <w:p w14:paraId="48ECA74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(44.78)</w:t>
            </w:r>
          </w:p>
        </w:tc>
        <w:tc>
          <w:tcPr>
            <w:tcW w:w="118" w:type="pct"/>
            <w:tcBorders>
              <w:top w:val="nil"/>
              <w:left w:val="nil"/>
              <w:bottom w:val="nil"/>
              <w:right w:val="nil"/>
            </w:tcBorders>
          </w:tcPr>
          <w:p w14:paraId="39D9CE9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73D67BF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(1.36)</w:t>
            </w:r>
          </w:p>
        </w:tc>
        <w:tc>
          <w:tcPr>
            <w:tcW w:w="617" w:type="pct"/>
            <w:tcBorders>
              <w:top w:val="nil"/>
              <w:left w:val="nil"/>
              <w:bottom w:val="nil"/>
              <w:right w:val="nil"/>
            </w:tcBorders>
          </w:tcPr>
          <w:p w14:paraId="065EDD7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(47.12)</w:t>
            </w:r>
          </w:p>
        </w:tc>
        <w:tc>
          <w:tcPr>
            <w:tcW w:w="118" w:type="pct"/>
            <w:tcBorders>
              <w:top w:val="nil"/>
              <w:left w:val="nil"/>
              <w:bottom w:val="nil"/>
              <w:right w:val="nil"/>
            </w:tcBorders>
          </w:tcPr>
          <w:p w14:paraId="0064031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7D84F4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(1.06)</w:t>
            </w:r>
          </w:p>
        </w:tc>
        <w:tc>
          <w:tcPr>
            <w:tcW w:w="617" w:type="pct"/>
            <w:tcBorders>
              <w:top w:val="nil"/>
              <w:left w:val="nil"/>
              <w:bottom w:val="nil"/>
              <w:right w:val="nil"/>
            </w:tcBorders>
          </w:tcPr>
          <w:p w14:paraId="6066CF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(-4.00)</w:t>
            </w:r>
          </w:p>
        </w:tc>
      </w:tr>
      <w:tr w:rsidR="00984E59" w:rsidRPr="0040135B" w14:paraId="5442E4C9" w14:textId="77777777" w:rsidTr="00F45F14">
        <w:tc>
          <w:tcPr>
            <w:tcW w:w="1345" w:type="pct"/>
            <w:tcBorders>
              <w:top w:val="nil"/>
              <w:left w:val="nil"/>
              <w:bottom w:val="nil"/>
              <w:right w:val="nil"/>
            </w:tcBorders>
          </w:tcPr>
          <w:p w14:paraId="478D99B7"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DEBT</w:t>
            </w:r>
          </w:p>
        </w:tc>
        <w:tc>
          <w:tcPr>
            <w:tcW w:w="522" w:type="pct"/>
            <w:tcBorders>
              <w:top w:val="nil"/>
              <w:left w:val="nil"/>
              <w:bottom w:val="nil"/>
              <w:right w:val="nil"/>
            </w:tcBorders>
          </w:tcPr>
          <w:p w14:paraId="1E4ED4B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617" w:type="pct"/>
            <w:tcBorders>
              <w:top w:val="nil"/>
              <w:left w:val="nil"/>
              <w:bottom w:val="nil"/>
              <w:right w:val="nil"/>
            </w:tcBorders>
          </w:tcPr>
          <w:p w14:paraId="5143B5D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118" w:type="pct"/>
            <w:tcBorders>
              <w:top w:val="nil"/>
              <w:left w:val="nil"/>
              <w:bottom w:val="nil"/>
              <w:right w:val="nil"/>
            </w:tcBorders>
          </w:tcPr>
          <w:p w14:paraId="2DA3E3E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36A025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-0.022</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14E9522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118" w:type="pct"/>
            <w:tcBorders>
              <w:top w:val="nil"/>
              <w:left w:val="nil"/>
              <w:bottom w:val="nil"/>
              <w:right w:val="nil"/>
            </w:tcBorders>
          </w:tcPr>
          <w:p w14:paraId="5602382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E3105A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-0.025</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29B307E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0.007</w:t>
            </w:r>
            <w:r w:rsidRPr="0040135B">
              <w:rPr>
                <w:rFonts w:ascii="Times New Roman" w:hAnsi="Times New Roman"/>
                <w:sz w:val="18"/>
                <w:szCs w:val="18"/>
                <w:vertAlign w:val="superscript"/>
                <w:lang w:val="en-US"/>
              </w:rPr>
              <w:t>***</w:t>
            </w:r>
          </w:p>
        </w:tc>
      </w:tr>
      <w:tr w:rsidR="00984E59" w:rsidRPr="0040135B" w14:paraId="266C7A79" w14:textId="77777777" w:rsidTr="00F45F14">
        <w:tc>
          <w:tcPr>
            <w:tcW w:w="1345" w:type="pct"/>
            <w:tcBorders>
              <w:top w:val="nil"/>
              <w:left w:val="nil"/>
              <w:bottom w:val="nil"/>
              <w:right w:val="nil"/>
            </w:tcBorders>
          </w:tcPr>
          <w:p w14:paraId="254FD1E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02337CE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(0.40)</w:t>
            </w:r>
          </w:p>
        </w:tc>
        <w:tc>
          <w:tcPr>
            <w:tcW w:w="617" w:type="pct"/>
            <w:tcBorders>
              <w:top w:val="nil"/>
              <w:left w:val="nil"/>
              <w:bottom w:val="nil"/>
              <w:right w:val="nil"/>
            </w:tcBorders>
          </w:tcPr>
          <w:p w14:paraId="0C4C884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(1.16)</w:t>
            </w:r>
          </w:p>
        </w:tc>
        <w:tc>
          <w:tcPr>
            <w:tcW w:w="118" w:type="pct"/>
            <w:tcBorders>
              <w:top w:val="nil"/>
              <w:left w:val="nil"/>
              <w:bottom w:val="nil"/>
              <w:right w:val="nil"/>
            </w:tcBorders>
          </w:tcPr>
          <w:p w14:paraId="6F15197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77F870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(-2.53)</w:t>
            </w:r>
          </w:p>
        </w:tc>
        <w:tc>
          <w:tcPr>
            <w:tcW w:w="617" w:type="pct"/>
            <w:tcBorders>
              <w:top w:val="nil"/>
              <w:left w:val="nil"/>
              <w:bottom w:val="nil"/>
              <w:right w:val="nil"/>
            </w:tcBorders>
          </w:tcPr>
          <w:p w14:paraId="126BCBC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(1.33)</w:t>
            </w:r>
          </w:p>
        </w:tc>
        <w:tc>
          <w:tcPr>
            <w:tcW w:w="118" w:type="pct"/>
            <w:tcBorders>
              <w:top w:val="nil"/>
              <w:left w:val="nil"/>
              <w:bottom w:val="nil"/>
              <w:right w:val="nil"/>
            </w:tcBorders>
          </w:tcPr>
          <w:p w14:paraId="4C750F3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1D4C7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(-2.62)</w:t>
            </w:r>
          </w:p>
        </w:tc>
        <w:tc>
          <w:tcPr>
            <w:tcW w:w="617" w:type="pct"/>
            <w:tcBorders>
              <w:top w:val="nil"/>
              <w:left w:val="nil"/>
              <w:bottom w:val="nil"/>
              <w:right w:val="nil"/>
            </w:tcBorders>
          </w:tcPr>
          <w:p w14:paraId="1AFE3CB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(6.48)</w:t>
            </w:r>
          </w:p>
        </w:tc>
      </w:tr>
      <w:tr w:rsidR="00984E59" w:rsidRPr="0040135B" w14:paraId="0BD7EB03" w14:textId="77777777" w:rsidTr="00F45F14">
        <w:tc>
          <w:tcPr>
            <w:tcW w:w="1345" w:type="pct"/>
            <w:tcBorders>
              <w:top w:val="nil"/>
              <w:left w:val="nil"/>
              <w:bottom w:val="nil"/>
              <w:right w:val="nil"/>
            </w:tcBorders>
          </w:tcPr>
          <w:p w14:paraId="2AA331B3"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CASH</w:t>
            </w:r>
          </w:p>
        </w:tc>
        <w:tc>
          <w:tcPr>
            <w:tcW w:w="522" w:type="pct"/>
            <w:tcBorders>
              <w:top w:val="nil"/>
              <w:left w:val="nil"/>
              <w:bottom w:val="nil"/>
              <w:right w:val="nil"/>
            </w:tcBorders>
          </w:tcPr>
          <w:p w14:paraId="51B66D4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-0.161</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5E8B210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0.882</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1A7FA48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DD86AD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-0.329</w:t>
            </w:r>
          </w:p>
        </w:tc>
        <w:tc>
          <w:tcPr>
            <w:tcW w:w="617" w:type="pct"/>
            <w:tcBorders>
              <w:top w:val="nil"/>
              <w:left w:val="nil"/>
              <w:bottom w:val="nil"/>
              <w:right w:val="nil"/>
            </w:tcBorders>
          </w:tcPr>
          <w:p w14:paraId="6288C8F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0.977</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3491E73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C6134F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-0.557</w:t>
            </w:r>
          </w:p>
        </w:tc>
        <w:tc>
          <w:tcPr>
            <w:tcW w:w="617" w:type="pct"/>
            <w:tcBorders>
              <w:top w:val="nil"/>
              <w:left w:val="nil"/>
              <w:bottom w:val="nil"/>
              <w:right w:val="nil"/>
            </w:tcBorders>
          </w:tcPr>
          <w:p w14:paraId="183A338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-0.646</w:t>
            </w:r>
            <w:r w:rsidRPr="0040135B">
              <w:rPr>
                <w:rFonts w:ascii="Times New Roman" w:hAnsi="Times New Roman"/>
                <w:sz w:val="18"/>
                <w:szCs w:val="18"/>
                <w:vertAlign w:val="superscript"/>
                <w:lang w:val="en-US"/>
              </w:rPr>
              <w:t>***</w:t>
            </w:r>
          </w:p>
        </w:tc>
      </w:tr>
      <w:tr w:rsidR="00984E59" w:rsidRPr="0040135B" w14:paraId="02B96B50" w14:textId="77777777" w:rsidTr="00F45F14">
        <w:tc>
          <w:tcPr>
            <w:tcW w:w="1345" w:type="pct"/>
            <w:tcBorders>
              <w:top w:val="nil"/>
              <w:left w:val="nil"/>
              <w:bottom w:val="nil"/>
              <w:right w:val="nil"/>
            </w:tcBorders>
          </w:tcPr>
          <w:p w14:paraId="755F7634"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6A4697D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(-2.99)</w:t>
            </w:r>
          </w:p>
        </w:tc>
        <w:tc>
          <w:tcPr>
            <w:tcW w:w="617" w:type="pct"/>
            <w:tcBorders>
              <w:top w:val="nil"/>
              <w:left w:val="nil"/>
              <w:bottom w:val="nil"/>
              <w:right w:val="nil"/>
            </w:tcBorders>
          </w:tcPr>
          <w:p w14:paraId="313CAD3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(6.71)</w:t>
            </w:r>
          </w:p>
        </w:tc>
        <w:tc>
          <w:tcPr>
            <w:tcW w:w="118" w:type="pct"/>
            <w:tcBorders>
              <w:top w:val="nil"/>
              <w:left w:val="nil"/>
              <w:bottom w:val="nil"/>
              <w:right w:val="nil"/>
            </w:tcBorders>
          </w:tcPr>
          <w:p w14:paraId="7FCDC5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427A4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(-0.19)</w:t>
            </w:r>
          </w:p>
        </w:tc>
        <w:tc>
          <w:tcPr>
            <w:tcW w:w="617" w:type="pct"/>
            <w:tcBorders>
              <w:top w:val="nil"/>
              <w:left w:val="nil"/>
              <w:bottom w:val="nil"/>
              <w:right w:val="nil"/>
            </w:tcBorders>
          </w:tcPr>
          <w:p w14:paraId="4FD7D4B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(7.58)</w:t>
            </w:r>
          </w:p>
        </w:tc>
        <w:tc>
          <w:tcPr>
            <w:tcW w:w="118" w:type="pct"/>
            <w:tcBorders>
              <w:top w:val="nil"/>
              <w:left w:val="nil"/>
              <w:bottom w:val="nil"/>
              <w:right w:val="nil"/>
            </w:tcBorders>
          </w:tcPr>
          <w:p w14:paraId="2607BAF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19D14D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(-0.31)</w:t>
            </w:r>
          </w:p>
        </w:tc>
        <w:tc>
          <w:tcPr>
            <w:tcW w:w="617" w:type="pct"/>
            <w:tcBorders>
              <w:top w:val="nil"/>
              <w:left w:val="nil"/>
              <w:bottom w:val="nil"/>
              <w:right w:val="nil"/>
            </w:tcBorders>
          </w:tcPr>
          <w:p w14:paraId="5236286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(-3.27)</w:t>
            </w:r>
          </w:p>
        </w:tc>
      </w:tr>
      <w:tr w:rsidR="00984E59" w:rsidRPr="0040135B" w14:paraId="36C867D2" w14:textId="77777777" w:rsidTr="00F45F14">
        <w:tc>
          <w:tcPr>
            <w:tcW w:w="1345" w:type="pct"/>
            <w:tcBorders>
              <w:top w:val="nil"/>
              <w:left w:val="nil"/>
              <w:bottom w:val="nil"/>
              <w:right w:val="nil"/>
            </w:tcBorders>
          </w:tcPr>
          <w:p w14:paraId="1E5698C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CAPIN</w:t>
            </w:r>
          </w:p>
        </w:tc>
        <w:tc>
          <w:tcPr>
            <w:tcW w:w="522" w:type="pct"/>
            <w:tcBorders>
              <w:top w:val="nil"/>
              <w:left w:val="nil"/>
              <w:bottom w:val="nil"/>
              <w:right w:val="nil"/>
            </w:tcBorders>
          </w:tcPr>
          <w:p w14:paraId="7B2F02E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0.102</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558F19C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0.012</w:t>
            </w:r>
          </w:p>
        </w:tc>
        <w:tc>
          <w:tcPr>
            <w:tcW w:w="118" w:type="pct"/>
            <w:tcBorders>
              <w:top w:val="nil"/>
              <w:left w:val="nil"/>
              <w:bottom w:val="nil"/>
              <w:right w:val="nil"/>
            </w:tcBorders>
          </w:tcPr>
          <w:p w14:paraId="6DDCDA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CBB5B0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-0.265</w:t>
            </w:r>
          </w:p>
        </w:tc>
        <w:tc>
          <w:tcPr>
            <w:tcW w:w="617" w:type="pct"/>
            <w:tcBorders>
              <w:top w:val="nil"/>
              <w:left w:val="nil"/>
              <w:bottom w:val="nil"/>
              <w:right w:val="nil"/>
            </w:tcBorders>
          </w:tcPr>
          <w:p w14:paraId="4AA0ED8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-0.170</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1AC5D5F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2AD86B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-0.279</w:t>
            </w:r>
          </w:p>
        </w:tc>
        <w:tc>
          <w:tcPr>
            <w:tcW w:w="617" w:type="pct"/>
            <w:tcBorders>
              <w:top w:val="nil"/>
              <w:left w:val="nil"/>
              <w:bottom w:val="nil"/>
              <w:right w:val="nil"/>
            </w:tcBorders>
          </w:tcPr>
          <w:p w14:paraId="4615361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2.181</w:t>
            </w:r>
            <w:r w:rsidRPr="0040135B">
              <w:rPr>
                <w:rFonts w:ascii="Times New Roman" w:hAnsi="Times New Roman"/>
                <w:sz w:val="18"/>
                <w:szCs w:val="18"/>
                <w:vertAlign w:val="superscript"/>
                <w:lang w:val="en-US"/>
              </w:rPr>
              <w:t>***</w:t>
            </w:r>
          </w:p>
        </w:tc>
      </w:tr>
      <w:tr w:rsidR="00984E59" w:rsidRPr="0040135B" w14:paraId="6607D8A8" w14:textId="77777777" w:rsidTr="00F45F14">
        <w:tc>
          <w:tcPr>
            <w:tcW w:w="1345" w:type="pct"/>
            <w:tcBorders>
              <w:top w:val="nil"/>
              <w:left w:val="nil"/>
              <w:bottom w:val="nil"/>
              <w:right w:val="nil"/>
            </w:tcBorders>
          </w:tcPr>
          <w:p w14:paraId="4143B2DD"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5D319E6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(4.90)</w:t>
            </w:r>
          </w:p>
        </w:tc>
        <w:tc>
          <w:tcPr>
            <w:tcW w:w="617" w:type="pct"/>
            <w:tcBorders>
              <w:top w:val="nil"/>
              <w:left w:val="nil"/>
              <w:bottom w:val="nil"/>
              <w:right w:val="nil"/>
            </w:tcBorders>
          </w:tcPr>
          <w:p w14:paraId="5395BDC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(0.23)</w:t>
            </w:r>
          </w:p>
        </w:tc>
        <w:tc>
          <w:tcPr>
            <w:tcW w:w="118" w:type="pct"/>
            <w:tcBorders>
              <w:top w:val="nil"/>
              <w:left w:val="nil"/>
              <w:bottom w:val="nil"/>
              <w:right w:val="nil"/>
            </w:tcBorders>
          </w:tcPr>
          <w:p w14:paraId="329DC97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A46BC1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(-0.43)</w:t>
            </w:r>
          </w:p>
        </w:tc>
        <w:tc>
          <w:tcPr>
            <w:tcW w:w="617" w:type="pct"/>
            <w:tcBorders>
              <w:top w:val="nil"/>
              <w:left w:val="nil"/>
              <w:bottom w:val="nil"/>
              <w:right w:val="nil"/>
            </w:tcBorders>
          </w:tcPr>
          <w:p w14:paraId="36AA7A6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(-3.63)</w:t>
            </w:r>
          </w:p>
        </w:tc>
        <w:tc>
          <w:tcPr>
            <w:tcW w:w="118" w:type="pct"/>
            <w:tcBorders>
              <w:top w:val="nil"/>
              <w:left w:val="nil"/>
              <w:bottom w:val="nil"/>
              <w:right w:val="nil"/>
            </w:tcBorders>
          </w:tcPr>
          <w:p w14:paraId="45257B4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9F855A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(-0.43)</w:t>
            </w:r>
          </w:p>
        </w:tc>
        <w:tc>
          <w:tcPr>
            <w:tcW w:w="617" w:type="pct"/>
            <w:tcBorders>
              <w:top w:val="nil"/>
              <w:left w:val="nil"/>
              <w:bottom w:val="nil"/>
              <w:right w:val="nil"/>
            </w:tcBorders>
          </w:tcPr>
          <w:p w14:paraId="56FA93E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(30.26)</w:t>
            </w:r>
          </w:p>
        </w:tc>
      </w:tr>
      <w:tr w:rsidR="00984E59" w:rsidRPr="0040135B" w14:paraId="6F4A9EEC" w14:textId="77777777" w:rsidTr="00F45F14">
        <w:tc>
          <w:tcPr>
            <w:tcW w:w="1345" w:type="pct"/>
            <w:tcBorders>
              <w:top w:val="nil"/>
              <w:left w:val="nil"/>
              <w:bottom w:val="nil"/>
              <w:right w:val="nil"/>
            </w:tcBorders>
          </w:tcPr>
          <w:p w14:paraId="560F8E87"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WGI</w:t>
            </w:r>
          </w:p>
        </w:tc>
        <w:tc>
          <w:tcPr>
            <w:tcW w:w="522" w:type="pct"/>
            <w:tcBorders>
              <w:top w:val="nil"/>
              <w:left w:val="nil"/>
              <w:bottom w:val="nil"/>
              <w:right w:val="nil"/>
            </w:tcBorders>
          </w:tcPr>
          <w:p w14:paraId="2DDBC7A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0.001</w:t>
            </w:r>
          </w:p>
        </w:tc>
        <w:tc>
          <w:tcPr>
            <w:tcW w:w="617" w:type="pct"/>
            <w:tcBorders>
              <w:top w:val="nil"/>
              <w:left w:val="nil"/>
              <w:bottom w:val="nil"/>
              <w:right w:val="nil"/>
            </w:tcBorders>
          </w:tcPr>
          <w:p w14:paraId="6387401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-0.002</w:t>
            </w:r>
          </w:p>
        </w:tc>
        <w:tc>
          <w:tcPr>
            <w:tcW w:w="118" w:type="pct"/>
            <w:tcBorders>
              <w:top w:val="nil"/>
              <w:left w:val="nil"/>
              <w:bottom w:val="nil"/>
              <w:right w:val="nil"/>
            </w:tcBorders>
          </w:tcPr>
          <w:p w14:paraId="56B3685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BB66FE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0.135</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60EECCE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-0.003</w:t>
            </w:r>
          </w:p>
        </w:tc>
        <w:tc>
          <w:tcPr>
            <w:tcW w:w="118" w:type="pct"/>
            <w:tcBorders>
              <w:top w:val="nil"/>
              <w:left w:val="nil"/>
              <w:bottom w:val="nil"/>
              <w:right w:val="nil"/>
            </w:tcBorders>
          </w:tcPr>
          <w:p w14:paraId="44377C4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1FA893A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0.165</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2134526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0.012</w:t>
            </w:r>
          </w:p>
        </w:tc>
      </w:tr>
      <w:tr w:rsidR="00984E59" w:rsidRPr="0040135B" w14:paraId="5AC8E3FC" w14:textId="77777777" w:rsidTr="00F45F14">
        <w:tc>
          <w:tcPr>
            <w:tcW w:w="1345" w:type="pct"/>
            <w:tcBorders>
              <w:top w:val="nil"/>
              <w:left w:val="nil"/>
              <w:bottom w:val="nil"/>
              <w:right w:val="nil"/>
            </w:tcBorders>
          </w:tcPr>
          <w:p w14:paraId="1CBFAB9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00266A0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(0.06)</w:t>
            </w:r>
          </w:p>
        </w:tc>
        <w:tc>
          <w:tcPr>
            <w:tcW w:w="617" w:type="pct"/>
            <w:tcBorders>
              <w:top w:val="nil"/>
              <w:left w:val="nil"/>
              <w:bottom w:val="nil"/>
              <w:right w:val="nil"/>
            </w:tcBorders>
          </w:tcPr>
          <w:p w14:paraId="5CBEE59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(-0.40)</w:t>
            </w:r>
          </w:p>
        </w:tc>
        <w:tc>
          <w:tcPr>
            <w:tcW w:w="118" w:type="pct"/>
            <w:tcBorders>
              <w:top w:val="nil"/>
              <w:left w:val="nil"/>
              <w:bottom w:val="nil"/>
              <w:right w:val="nil"/>
            </w:tcBorders>
          </w:tcPr>
          <w:p w14:paraId="227A912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320198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(1.81)</w:t>
            </w:r>
          </w:p>
        </w:tc>
        <w:tc>
          <w:tcPr>
            <w:tcW w:w="617" w:type="pct"/>
            <w:tcBorders>
              <w:top w:val="nil"/>
              <w:left w:val="nil"/>
              <w:bottom w:val="nil"/>
              <w:right w:val="nil"/>
            </w:tcBorders>
          </w:tcPr>
          <w:p w14:paraId="117F3F8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(-0.57)</w:t>
            </w:r>
          </w:p>
        </w:tc>
        <w:tc>
          <w:tcPr>
            <w:tcW w:w="118" w:type="pct"/>
            <w:tcBorders>
              <w:top w:val="nil"/>
              <w:left w:val="nil"/>
              <w:bottom w:val="nil"/>
              <w:right w:val="nil"/>
            </w:tcBorders>
          </w:tcPr>
          <w:p w14:paraId="59B4294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FA16F5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(2.10)</w:t>
            </w:r>
          </w:p>
        </w:tc>
        <w:tc>
          <w:tcPr>
            <w:tcW w:w="617" w:type="pct"/>
            <w:tcBorders>
              <w:top w:val="nil"/>
              <w:left w:val="nil"/>
              <w:bottom w:val="nil"/>
              <w:right w:val="nil"/>
            </w:tcBorders>
          </w:tcPr>
          <w:p w14:paraId="1F38A2C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(1.37)</w:t>
            </w:r>
          </w:p>
        </w:tc>
      </w:tr>
      <w:tr w:rsidR="00984E59" w:rsidRPr="0040135B" w14:paraId="77C4135C" w14:textId="77777777" w:rsidTr="00F45F14">
        <w:tc>
          <w:tcPr>
            <w:tcW w:w="1345" w:type="pct"/>
            <w:tcBorders>
              <w:top w:val="nil"/>
              <w:left w:val="nil"/>
              <w:bottom w:val="nil"/>
              <w:right w:val="nil"/>
            </w:tcBorders>
          </w:tcPr>
          <w:p w14:paraId="67DF2FE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GDP</w:t>
            </w:r>
          </w:p>
        </w:tc>
        <w:tc>
          <w:tcPr>
            <w:tcW w:w="522" w:type="pct"/>
            <w:tcBorders>
              <w:top w:val="nil"/>
              <w:left w:val="nil"/>
              <w:bottom w:val="nil"/>
              <w:right w:val="nil"/>
            </w:tcBorders>
          </w:tcPr>
          <w:p w14:paraId="783CDC2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0.006</w:t>
            </w:r>
            <w:r w:rsidRPr="0040135B">
              <w:rPr>
                <w:rFonts w:ascii="Times New Roman" w:hAnsi="Times New Roman"/>
                <w:sz w:val="18"/>
                <w:szCs w:val="18"/>
                <w:vertAlign w:val="superscript"/>
                <w:lang w:val="en-US"/>
              </w:rPr>
              <w:t>**</w:t>
            </w:r>
          </w:p>
        </w:tc>
        <w:tc>
          <w:tcPr>
            <w:tcW w:w="617" w:type="pct"/>
            <w:tcBorders>
              <w:top w:val="nil"/>
              <w:left w:val="nil"/>
              <w:bottom w:val="nil"/>
              <w:right w:val="nil"/>
            </w:tcBorders>
          </w:tcPr>
          <w:p w14:paraId="51D7737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0.023</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5175F3F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51C88F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0.016</w:t>
            </w:r>
          </w:p>
        </w:tc>
        <w:tc>
          <w:tcPr>
            <w:tcW w:w="617" w:type="pct"/>
            <w:tcBorders>
              <w:top w:val="nil"/>
              <w:left w:val="nil"/>
              <w:bottom w:val="nil"/>
              <w:right w:val="nil"/>
            </w:tcBorders>
          </w:tcPr>
          <w:p w14:paraId="22BE735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0.028</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7F5AEE9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E804D4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0.054</w:t>
            </w:r>
          </w:p>
        </w:tc>
        <w:tc>
          <w:tcPr>
            <w:tcW w:w="617" w:type="pct"/>
            <w:tcBorders>
              <w:top w:val="nil"/>
              <w:left w:val="nil"/>
              <w:bottom w:val="nil"/>
              <w:right w:val="nil"/>
            </w:tcBorders>
          </w:tcPr>
          <w:p w14:paraId="7B228E9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0.006</w:t>
            </w:r>
          </w:p>
        </w:tc>
      </w:tr>
      <w:tr w:rsidR="00984E59" w:rsidRPr="0040135B" w14:paraId="59EE16D4" w14:textId="77777777" w:rsidTr="00F45F14">
        <w:tc>
          <w:tcPr>
            <w:tcW w:w="1345" w:type="pct"/>
            <w:tcBorders>
              <w:top w:val="nil"/>
              <w:left w:val="nil"/>
              <w:bottom w:val="nil"/>
              <w:right w:val="nil"/>
            </w:tcBorders>
          </w:tcPr>
          <w:p w14:paraId="3827A3BD"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63C1521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(2.46)</w:t>
            </w:r>
          </w:p>
        </w:tc>
        <w:tc>
          <w:tcPr>
            <w:tcW w:w="617" w:type="pct"/>
            <w:tcBorders>
              <w:top w:val="nil"/>
              <w:left w:val="nil"/>
              <w:bottom w:val="nil"/>
              <w:right w:val="nil"/>
            </w:tcBorders>
          </w:tcPr>
          <w:p w14:paraId="0A78152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(3.52)</w:t>
            </w:r>
          </w:p>
        </w:tc>
        <w:tc>
          <w:tcPr>
            <w:tcW w:w="118" w:type="pct"/>
            <w:tcBorders>
              <w:top w:val="nil"/>
              <w:left w:val="nil"/>
              <w:bottom w:val="nil"/>
              <w:right w:val="nil"/>
            </w:tcBorders>
          </w:tcPr>
          <w:p w14:paraId="3BD135B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4077E0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(0.18)</w:t>
            </w:r>
          </w:p>
        </w:tc>
        <w:tc>
          <w:tcPr>
            <w:tcW w:w="617" w:type="pct"/>
            <w:tcBorders>
              <w:top w:val="nil"/>
              <w:left w:val="nil"/>
              <w:bottom w:val="nil"/>
              <w:right w:val="nil"/>
            </w:tcBorders>
          </w:tcPr>
          <w:p w14:paraId="0E7BDC9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(4.31)</w:t>
            </w:r>
          </w:p>
        </w:tc>
        <w:tc>
          <w:tcPr>
            <w:tcW w:w="118" w:type="pct"/>
            <w:tcBorders>
              <w:top w:val="nil"/>
              <w:left w:val="nil"/>
              <w:bottom w:val="nil"/>
              <w:right w:val="nil"/>
            </w:tcBorders>
          </w:tcPr>
          <w:p w14:paraId="40CA703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313F9BE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(0.62)</w:t>
            </w:r>
          </w:p>
        </w:tc>
        <w:tc>
          <w:tcPr>
            <w:tcW w:w="617" w:type="pct"/>
            <w:tcBorders>
              <w:top w:val="nil"/>
              <w:left w:val="nil"/>
              <w:bottom w:val="nil"/>
              <w:right w:val="nil"/>
            </w:tcBorders>
          </w:tcPr>
          <w:p w14:paraId="704D20B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(0.65)</w:t>
            </w:r>
          </w:p>
        </w:tc>
      </w:tr>
      <w:tr w:rsidR="00984E59" w:rsidRPr="0040135B" w14:paraId="6F1E5DFA" w14:textId="77777777" w:rsidTr="00F45F14">
        <w:tc>
          <w:tcPr>
            <w:tcW w:w="1345" w:type="pct"/>
            <w:tcBorders>
              <w:top w:val="nil"/>
              <w:left w:val="nil"/>
              <w:bottom w:val="nil"/>
              <w:right w:val="nil"/>
            </w:tcBorders>
          </w:tcPr>
          <w:p w14:paraId="1DEE9BF5"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INF</w:t>
            </w:r>
          </w:p>
        </w:tc>
        <w:tc>
          <w:tcPr>
            <w:tcW w:w="522" w:type="pct"/>
            <w:tcBorders>
              <w:top w:val="nil"/>
              <w:left w:val="nil"/>
              <w:bottom w:val="nil"/>
              <w:right w:val="nil"/>
            </w:tcBorders>
          </w:tcPr>
          <w:p w14:paraId="65E1D0C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0.003</w:t>
            </w:r>
          </w:p>
        </w:tc>
        <w:tc>
          <w:tcPr>
            <w:tcW w:w="617" w:type="pct"/>
            <w:tcBorders>
              <w:top w:val="nil"/>
              <w:left w:val="nil"/>
              <w:bottom w:val="nil"/>
              <w:right w:val="nil"/>
            </w:tcBorders>
          </w:tcPr>
          <w:p w14:paraId="23136D2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0.021</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3B4EA17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294621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0.020</w:t>
            </w:r>
          </w:p>
        </w:tc>
        <w:tc>
          <w:tcPr>
            <w:tcW w:w="617" w:type="pct"/>
            <w:tcBorders>
              <w:top w:val="nil"/>
              <w:left w:val="nil"/>
              <w:bottom w:val="nil"/>
              <w:right w:val="nil"/>
            </w:tcBorders>
          </w:tcPr>
          <w:p w14:paraId="2182DCE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0.025</w:t>
            </w:r>
            <w:r w:rsidRPr="0040135B">
              <w:rPr>
                <w:rFonts w:ascii="Times New Roman" w:hAnsi="Times New Roman"/>
                <w:sz w:val="18"/>
                <w:szCs w:val="18"/>
                <w:vertAlign w:val="superscript"/>
                <w:lang w:val="en-US"/>
              </w:rPr>
              <w:t>**</w:t>
            </w:r>
          </w:p>
        </w:tc>
        <w:tc>
          <w:tcPr>
            <w:tcW w:w="118" w:type="pct"/>
            <w:tcBorders>
              <w:top w:val="nil"/>
              <w:left w:val="nil"/>
              <w:bottom w:val="nil"/>
              <w:right w:val="nil"/>
            </w:tcBorders>
          </w:tcPr>
          <w:p w14:paraId="346047C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6CAE854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0.079</w:t>
            </w:r>
          </w:p>
        </w:tc>
        <w:tc>
          <w:tcPr>
            <w:tcW w:w="617" w:type="pct"/>
            <w:tcBorders>
              <w:top w:val="nil"/>
              <w:left w:val="nil"/>
              <w:bottom w:val="nil"/>
              <w:right w:val="nil"/>
            </w:tcBorders>
          </w:tcPr>
          <w:p w14:paraId="7E3C6C9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0.039</w:t>
            </w:r>
            <w:r w:rsidRPr="0040135B">
              <w:rPr>
                <w:rFonts w:ascii="Times New Roman" w:hAnsi="Times New Roman"/>
                <w:sz w:val="18"/>
                <w:szCs w:val="18"/>
                <w:vertAlign w:val="superscript"/>
                <w:lang w:val="en-US"/>
              </w:rPr>
              <w:t>***</w:t>
            </w:r>
          </w:p>
        </w:tc>
      </w:tr>
      <w:tr w:rsidR="00984E59" w:rsidRPr="0040135B" w14:paraId="0929A784" w14:textId="77777777" w:rsidTr="00F45F14">
        <w:tc>
          <w:tcPr>
            <w:tcW w:w="1345" w:type="pct"/>
            <w:tcBorders>
              <w:top w:val="nil"/>
              <w:left w:val="nil"/>
              <w:bottom w:val="nil"/>
              <w:right w:val="nil"/>
            </w:tcBorders>
          </w:tcPr>
          <w:p w14:paraId="7B08358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22" w:type="pct"/>
            <w:tcBorders>
              <w:top w:val="nil"/>
              <w:left w:val="nil"/>
              <w:bottom w:val="nil"/>
              <w:right w:val="nil"/>
            </w:tcBorders>
          </w:tcPr>
          <w:p w14:paraId="04FA8A0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(0.62)</w:t>
            </w:r>
          </w:p>
        </w:tc>
        <w:tc>
          <w:tcPr>
            <w:tcW w:w="617" w:type="pct"/>
            <w:tcBorders>
              <w:top w:val="nil"/>
              <w:left w:val="nil"/>
              <w:bottom w:val="nil"/>
              <w:right w:val="nil"/>
            </w:tcBorders>
          </w:tcPr>
          <w:p w14:paraId="1A8E36D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(2.13)</w:t>
            </w:r>
          </w:p>
        </w:tc>
        <w:tc>
          <w:tcPr>
            <w:tcW w:w="118" w:type="pct"/>
            <w:tcBorders>
              <w:top w:val="nil"/>
              <w:left w:val="nil"/>
              <w:bottom w:val="nil"/>
              <w:right w:val="nil"/>
            </w:tcBorders>
          </w:tcPr>
          <w:p w14:paraId="5CDA991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492FF00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(0.16)</w:t>
            </w:r>
          </w:p>
        </w:tc>
        <w:tc>
          <w:tcPr>
            <w:tcW w:w="617" w:type="pct"/>
            <w:tcBorders>
              <w:top w:val="nil"/>
              <w:left w:val="nil"/>
              <w:bottom w:val="nil"/>
              <w:right w:val="nil"/>
            </w:tcBorders>
          </w:tcPr>
          <w:p w14:paraId="4F18333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(2.50)</w:t>
            </w:r>
          </w:p>
        </w:tc>
        <w:tc>
          <w:tcPr>
            <w:tcW w:w="118" w:type="pct"/>
            <w:tcBorders>
              <w:top w:val="nil"/>
              <w:left w:val="nil"/>
              <w:bottom w:val="nil"/>
              <w:right w:val="nil"/>
            </w:tcBorders>
          </w:tcPr>
          <w:p w14:paraId="6E722D7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D47B9B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(0.59)</w:t>
            </w:r>
          </w:p>
        </w:tc>
        <w:tc>
          <w:tcPr>
            <w:tcW w:w="617" w:type="pct"/>
            <w:tcBorders>
              <w:top w:val="nil"/>
              <w:left w:val="nil"/>
              <w:bottom w:val="nil"/>
              <w:right w:val="nil"/>
            </w:tcBorders>
          </w:tcPr>
          <w:p w14:paraId="33ACD9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(2.63)</w:t>
            </w:r>
          </w:p>
        </w:tc>
      </w:tr>
      <w:tr w:rsidR="00984E59" w:rsidRPr="0040135B" w14:paraId="7A65D7F5" w14:textId="77777777" w:rsidTr="00F45F14">
        <w:tc>
          <w:tcPr>
            <w:tcW w:w="1345" w:type="pct"/>
            <w:tcBorders>
              <w:top w:val="nil"/>
              <w:left w:val="nil"/>
              <w:bottom w:val="nil"/>
              <w:right w:val="nil"/>
            </w:tcBorders>
          </w:tcPr>
          <w:p w14:paraId="1E0C187F"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Year effects</w:t>
            </w:r>
          </w:p>
        </w:tc>
        <w:tc>
          <w:tcPr>
            <w:tcW w:w="522" w:type="pct"/>
            <w:tcBorders>
              <w:top w:val="nil"/>
              <w:left w:val="nil"/>
              <w:bottom w:val="nil"/>
              <w:right w:val="nil"/>
            </w:tcBorders>
          </w:tcPr>
          <w:p w14:paraId="511473B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18A6FF9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nil"/>
              <w:right w:val="nil"/>
            </w:tcBorders>
          </w:tcPr>
          <w:p w14:paraId="59A7A60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F9975D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0D4BB43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nil"/>
              <w:right w:val="nil"/>
            </w:tcBorders>
          </w:tcPr>
          <w:p w14:paraId="2C4E8C4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5C67A2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0EDAC93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1798D420" w14:textId="77777777" w:rsidTr="00F45F14">
        <w:tc>
          <w:tcPr>
            <w:tcW w:w="1345" w:type="pct"/>
            <w:tcBorders>
              <w:top w:val="nil"/>
              <w:left w:val="nil"/>
              <w:bottom w:val="nil"/>
              <w:right w:val="nil"/>
            </w:tcBorders>
          </w:tcPr>
          <w:p w14:paraId="301ACCD0"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Sector effects</w:t>
            </w:r>
          </w:p>
        </w:tc>
        <w:tc>
          <w:tcPr>
            <w:tcW w:w="522" w:type="pct"/>
            <w:tcBorders>
              <w:top w:val="nil"/>
              <w:left w:val="nil"/>
              <w:bottom w:val="nil"/>
              <w:right w:val="nil"/>
            </w:tcBorders>
          </w:tcPr>
          <w:p w14:paraId="0F30165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42D4D13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nil"/>
              <w:right w:val="nil"/>
            </w:tcBorders>
          </w:tcPr>
          <w:p w14:paraId="796B99E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2FFCFC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1773822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nil"/>
              <w:right w:val="nil"/>
            </w:tcBorders>
          </w:tcPr>
          <w:p w14:paraId="4555D73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nil"/>
              <w:right w:val="nil"/>
            </w:tcBorders>
          </w:tcPr>
          <w:p w14:paraId="092DE47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nil"/>
              <w:right w:val="nil"/>
            </w:tcBorders>
          </w:tcPr>
          <w:p w14:paraId="40A1BB3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21FDC08A" w14:textId="77777777" w:rsidTr="00F45F14">
        <w:tc>
          <w:tcPr>
            <w:tcW w:w="1345" w:type="pct"/>
            <w:tcBorders>
              <w:top w:val="nil"/>
              <w:left w:val="nil"/>
              <w:bottom w:val="single" w:sz="8" w:space="0" w:color="auto"/>
              <w:right w:val="nil"/>
            </w:tcBorders>
          </w:tcPr>
          <w:p w14:paraId="5D0E959B"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Country effects</w:t>
            </w:r>
          </w:p>
        </w:tc>
        <w:tc>
          <w:tcPr>
            <w:tcW w:w="522" w:type="pct"/>
            <w:tcBorders>
              <w:top w:val="nil"/>
              <w:left w:val="nil"/>
              <w:bottom w:val="single" w:sz="8" w:space="0" w:color="auto"/>
              <w:right w:val="nil"/>
            </w:tcBorders>
          </w:tcPr>
          <w:p w14:paraId="138E4E2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single" w:sz="8" w:space="0" w:color="auto"/>
              <w:right w:val="nil"/>
            </w:tcBorders>
          </w:tcPr>
          <w:p w14:paraId="5559D94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single" w:sz="8" w:space="0" w:color="auto"/>
              <w:right w:val="nil"/>
            </w:tcBorders>
          </w:tcPr>
          <w:p w14:paraId="72F17D3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single" w:sz="8" w:space="0" w:color="auto"/>
              <w:right w:val="nil"/>
            </w:tcBorders>
          </w:tcPr>
          <w:p w14:paraId="355C991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single" w:sz="8" w:space="0" w:color="auto"/>
              <w:right w:val="nil"/>
            </w:tcBorders>
          </w:tcPr>
          <w:p w14:paraId="3C68FA1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18" w:type="pct"/>
            <w:tcBorders>
              <w:top w:val="nil"/>
              <w:left w:val="nil"/>
              <w:bottom w:val="single" w:sz="8" w:space="0" w:color="auto"/>
              <w:right w:val="nil"/>
            </w:tcBorders>
          </w:tcPr>
          <w:p w14:paraId="22501BA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nil"/>
              <w:left w:val="nil"/>
              <w:bottom w:val="single" w:sz="8" w:space="0" w:color="auto"/>
              <w:right w:val="nil"/>
            </w:tcBorders>
          </w:tcPr>
          <w:p w14:paraId="7642A05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17" w:type="pct"/>
            <w:tcBorders>
              <w:top w:val="nil"/>
              <w:left w:val="nil"/>
              <w:bottom w:val="single" w:sz="8" w:space="0" w:color="auto"/>
              <w:right w:val="nil"/>
            </w:tcBorders>
          </w:tcPr>
          <w:p w14:paraId="750D803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5A2E82C4" w14:textId="77777777" w:rsidTr="00F45F14">
        <w:tc>
          <w:tcPr>
            <w:tcW w:w="1345" w:type="pct"/>
            <w:tcBorders>
              <w:top w:val="single" w:sz="8" w:space="0" w:color="auto"/>
              <w:left w:val="nil"/>
              <w:bottom w:val="nil"/>
              <w:right w:val="nil"/>
            </w:tcBorders>
          </w:tcPr>
          <w:p w14:paraId="1ED024E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Observations</w:t>
            </w:r>
          </w:p>
        </w:tc>
        <w:tc>
          <w:tcPr>
            <w:tcW w:w="522" w:type="pct"/>
            <w:tcBorders>
              <w:top w:val="single" w:sz="8" w:space="0" w:color="auto"/>
              <w:left w:val="nil"/>
              <w:bottom w:val="nil"/>
              <w:right w:val="nil"/>
            </w:tcBorders>
          </w:tcPr>
          <w:p w14:paraId="3224A9A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7007</w:t>
            </w:r>
          </w:p>
        </w:tc>
        <w:tc>
          <w:tcPr>
            <w:tcW w:w="617" w:type="pct"/>
            <w:tcBorders>
              <w:top w:val="single" w:sz="8" w:space="0" w:color="auto"/>
              <w:left w:val="nil"/>
              <w:bottom w:val="nil"/>
              <w:right w:val="nil"/>
            </w:tcBorders>
          </w:tcPr>
          <w:p w14:paraId="438D4F8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7007</w:t>
            </w:r>
          </w:p>
        </w:tc>
        <w:tc>
          <w:tcPr>
            <w:tcW w:w="118" w:type="pct"/>
            <w:tcBorders>
              <w:top w:val="single" w:sz="8" w:space="0" w:color="auto"/>
              <w:left w:val="nil"/>
              <w:bottom w:val="nil"/>
              <w:right w:val="nil"/>
            </w:tcBorders>
          </w:tcPr>
          <w:p w14:paraId="1F318C9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bottom w:val="nil"/>
              <w:right w:val="nil"/>
            </w:tcBorders>
          </w:tcPr>
          <w:p w14:paraId="4AEA874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7590</w:t>
            </w:r>
          </w:p>
        </w:tc>
        <w:tc>
          <w:tcPr>
            <w:tcW w:w="617" w:type="pct"/>
            <w:tcBorders>
              <w:top w:val="single" w:sz="8" w:space="0" w:color="auto"/>
              <w:left w:val="nil"/>
              <w:bottom w:val="nil"/>
              <w:right w:val="nil"/>
            </w:tcBorders>
          </w:tcPr>
          <w:p w14:paraId="2255225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7590</w:t>
            </w:r>
          </w:p>
        </w:tc>
        <w:tc>
          <w:tcPr>
            <w:tcW w:w="118" w:type="pct"/>
            <w:tcBorders>
              <w:top w:val="single" w:sz="8" w:space="0" w:color="auto"/>
              <w:left w:val="nil"/>
              <w:bottom w:val="nil"/>
              <w:right w:val="nil"/>
            </w:tcBorders>
          </w:tcPr>
          <w:p w14:paraId="3712174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top w:val="single" w:sz="8" w:space="0" w:color="auto"/>
              <w:left w:val="nil"/>
              <w:bottom w:val="nil"/>
              <w:right w:val="nil"/>
            </w:tcBorders>
          </w:tcPr>
          <w:p w14:paraId="4C13CBD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7212</w:t>
            </w:r>
          </w:p>
        </w:tc>
        <w:tc>
          <w:tcPr>
            <w:tcW w:w="617" w:type="pct"/>
            <w:tcBorders>
              <w:top w:val="single" w:sz="8" w:space="0" w:color="auto"/>
              <w:left w:val="nil"/>
              <w:bottom w:val="nil"/>
              <w:right w:val="nil"/>
            </w:tcBorders>
          </w:tcPr>
          <w:p w14:paraId="2E7F06A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7212</w:t>
            </w:r>
          </w:p>
        </w:tc>
      </w:tr>
      <w:tr w:rsidR="00984E59" w:rsidRPr="0040135B" w14:paraId="7AD24EB4" w14:textId="77777777" w:rsidTr="00F45F14">
        <w:tc>
          <w:tcPr>
            <w:tcW w:w="1345" w:type="pct"/>
            <w:tcBorders>
              <w:left w:val="nil"/>
              <w:bottom w:val="nil"/>
              <w:right w:val="nil"/>
            </w:tcBorders>
          </w:tcPr>
          <w:p w14:paraId="455B7417" w14:textId="77777777" w:rsidR="00984E59" w:rsidRPr="0040135B" w:rsidRDefault="00984E59" w:rsidP="00295B36">
            <w:pPr>
              <w:widowControl w:val="0"/>
              <w:autoSpaceDE w:val="0"/>
              <w:autoSpaceDN w:val="0"/>
              <w:adjustRightInd w:val="0"/>
              <w:spacing w:after="0" w:line="240" w:lineRule="auto"/>
              <w:rPr>
                <w:rFonts w:ascii="Times New Roman" w:hAnsi="Times New Roman"/>
                <w:iCs/>
                <w:sz w:val="18"/>
                <w:szCs w:val="18"/>
                <w:lang w:val="en-US"/>
              </w:rPr>
            </w:pPr>
            <w:r w:rsidRPr="0040135B">
              <w:rPr>
                <w:rFonts w:ascii="Times New Roman" w:hAnsi="Times New Roman"/>
                <w:bCs/>
                <w:sz w:val="18"/>
                <w:szCs w:val="18"/>
                <w:lang w:val="en-US"/>
              </w:rPr>
              <w:t>Cragg-Donald Wald F statistic</w:t>
            </w:r>
          </w:p>
        </w:tc>
        <w:tc>
          <w:tcPr>
            <w:tcW w:w="522" w:type="pct"/>
            <w:tcBorders>
              <w:left w:val="nil"/>
              <w:bottom w:val="nil"/>
              <w:right w:val="nil"/>
            </w:tcBorders>
          </w:tcPr>
          <w:p w14:paraId="60817CD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3088.08</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629FC9F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nil"/>
              <w:right w:val="nil"/>
            </w:tcBorders>
          </w:tcPr>
          <w:p w14:paraId="271475A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56F26ED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3108.39</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2D9332E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nil"/>
              <w:right w:val="nil"/>
            </w:tcBorders>
          </w:tcPr>
          <w:p w14:paraId="0313B67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264C773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2548.95</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5E86F78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529C2676" w14:textId="77777777" w:rsidTr="00F45F14">
        <w:tc>
          <w:tcPr>
            <w:tcW w:w="1345" w:type="pct"/>
            <w:tcBorders>
              <w:left w:val="nil"/>
              <w:bottom w:val="nil"/>
              <w:right w:val="nil"/>
            </w:tcBorders>
          </w:tcPr>
          <w:p w14:paraId="712241BB" w14:textId="77777777" w:rsidR="00984E59" w:rsidRPr="0040135B" w:rsidRDefault="00984E59" w:rsidP="00295B36">
            <w:pPr>
              <w:widowControl w:val="0"/>
              <w:autoSpaceDE w:val="0"/>
              <w:autoSpaceDN w:val="0"/>
              <w:adjustRightInd w:val="0"/>
              <w:spacing w:after="0" w:line="240" w:lineRule="auto"/>
              <w:rPr>
                <w:rFonts w:ascii="Times New Roman" w:hAnsi="Times New Roman"/>
                <w:iCs/>
                <w:sz w:val="18"/>
                <w:szCs w:val="18"/>
                <w:lang w:val="en-US"/>
              </w:rPr>
            </w:pPr>
            <w:r w:rsidRPr="0040135B">
              <w:rPr>
                <w:rFonts w:ascii="Times New Roman" w:hAnsi="Times New Roman"/>
                <w:iCs/>
                <w:sz w:val="18"/>
                <w:szCs w:val="18"/>
                <w:lang w:val="en-US"/>
              </w:rPr>
              <w:t>Anderson-Rubin Wald Chi-sq.</w:t>
            </w:r>
          </w:p>
        </w:tc>
        <w:tc>
          <w:tcPr>
            <w:tcW w:w="522" w:type="pct"/>
            <w:tcBorders>
              <w:left w:val="nil"/>
              <w:bottom w:val="nil"/>
              <w:right w:val="nil"/>
            </w:tcBorders>
          </w:tcPr>
          <w:p w14:paraId="4A4083F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14.46</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28137D4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nil"/>
              <w:right w:val="nil"/>
            </w:tcBorders>
          </w:tcPr>
          <w:p w14:paraId="0EB947B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7500D8D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10.75</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3C8AE9F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nil"/>
              <w:right w:val="nil"/>
            </w:tcBorders>
          </w:tcPr>
          <w:p w14:paraId="383ECEB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nil"/>
              <w:right w:val="nil"/>
            </w:tcBorders>
          </w:tcPr>
          <w:p w14:paraId="5C8C695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15.02</w:t>
            </w:r>
            <w:r w:rsidRPr="0040135B">
              <w:rPr>
                <w:rFonts w:ascii="Times New Roman" w:hAnsi="Times New Roman"/>
                <w:sz w:val="18"/>
                <w:szCs w:val="18"/>
                <w:vertAlign w:val="superscript"/>
                <w:lang w:val="en-US"/>
              </w:rPr>
              <w:t>***</w:t>
            </w:r>
          </w:p>
        </w:tc>
        <w:tc>
          <w:tcPr>
            <w:tcW w:w="617" w:type="pct"/>
            <w:tcBorders>
              <w:left w:val="nil"/>
              <w:bottom w:val="nil"/>
              <w:right w:val="nil"/>
            </w:tcBorders>
          </w:tcPr>
          <w:p w14:paraId="11B11C6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3C560C96" w14:textId="77777777" w:rsidTr="00F45F14">
        <w:tc>
          <w:tcPr>
            <w:tcW w:w="1345" w:type="pct"/>
            <w:tcBorders>
              <w:left w:val="nil"/>
              <w:bottom w:val="single" w:sz="12" w:space="0" w:color="auto"/>
              <w:right w:val="nil"/>
            </w:tcBorders>
          </w:tcPr>
          <w:p w14:paraId="4B7C64CB" w14:textId="77777777" w:rsidR="00984E59" w:rsidRPr="0040135B" w:rsidRDefault="00984E59" w:rsidP="00295B36">
            <w:pPr>
              <w:widowControl w:val="0"/>
              <w:autoSpaceDE w:val="0"/>
              <w:autoSpaceDN w:val="0"/>
              <w:adjustRightInd w:val="0"/>
              <w:spacing w:after="0" w:line="240" w:lineRule="auto"/>
              <w:rPr>
                <w:rFonts w:ascii="Times New Roman" w:hAnsi="Times New Roman"/>
                <w:bCs/>
                <w:sz w:val="18"/>
                <w:szCs w:val="18"/>
                <w:lang w:val="en-US"/>
              </w:rPr>
            </w:pPr>
            <w:proofErr w:type="spellStart"/>
            <w:r w:rsidRPr="0040135B">
              <w:rPr>
                <w:rFonts w:ascii="Times New Roman" w:hAnsi="Times New Roman"/>
                <w:bCs/>
                <w:sz w:val="18"/>
                <w:szCs w:val="18"/>
                <w:lang w:val="en-US"/>
              </w:rPr>
              <w:t>Sargan</w:t>
            </w:r>
            <w:proofErr w:type="spellEnd"/>
            <w:r w:rsidRPr="0040135B">
              <w:rPr>
                <w:rFonts w:ascii="Times New Roman" w:hAnsi="Times New Roman"/>
                <w:bCs/>
                <w:sz w:val="18"/>
                <w:szCs w:val="18"/>
                <w:lang w:val="en-US"/>
              </w:rPr>
              <w:t xml:space="preserve"> (</w:t>
            </w:r>
            <w:r w:rsidRPr="0040135B">
              <w:rPr>
                <w:rFonts w:ascii="Times New Roman" w:hAnsi="Times New Roman"/>
                <w:bCs/>
                <w:i/>
                <w:sz w:val="18"/>
                <w:szCs w:val="18"/>
                <w:lang w:val="en-US"/>
              </w:rPr>
              <w:t>p</w:t>
            </w:r>
            <w:r w:rsidRPr="0040135B">
              <w:rPr>
                <w:rFonts w:ascii="Times New Roman" w:hAnsi="Times New Roman"/>
                <w:bCs/>
                <w:sz w:val="18"/>
                <w:szCs w:val="18"/>
                <w:lang w:val="en-US"/>
              </w:rPr>
              <w:t>-value)</w:t>
            </w:r>
          </w:p>
        </w:tc>
        <w:tc>
          <w:tcPr>
            <w:tcW w:w="522" w:type="pct"/>
            <w:tcBorders>
              <w:left w:val="nil"/>
              <w:bottom w:val="single" w:sz="12" w:space="0" w:color="auto"/>
              <w:right w:val="nil"/>
            </w:tcBorders>
          </w:tcPr>
          <w:p w14:paraId="7E33971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0.154</w:t>
            </w:r>
          </w:p>
        </w:tc>
        <w:tc>
          <w:tcPr>
            <w:tcW w:w="617" w:type="pct"/>
            <w:tcBorders>
              <w:left w:val="nil"/>
              <w:bottom w:val="single" w:sz="12" w:space="0" w:color="auto"/>
              <w:right w:val="nil"/>
            </w:tcBorders>
          </w:tcPr>
          <w:p w14:paraId="1C39056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single" w:sz="12" w:space="0" w:color="auto"/>
              <w:right w:val="nil"/>
            </w:tcBorders>
          </w:tcPr>
          <w:p w14:paraId="52923B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single" w:sz="12" w:space="0" w:color="auto"/>
              <w:right w:val="nil"/>
            </w:tcBorders>
          </w:tcPr>
          <w:p w14:paraId="4EFAF4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0.393</w:t>
            </w:r>
          </w:p>
        </w:tc>
        <w:tc>
          <w:tcPr>
            <w:tcW w:w="617" w:type="pct"/>
            <w:tcBorders>
              <w:left w:val="nil"/>
              <w:bottom w:val="single" w:sz="12" w:space="0" w:color="auto"/>
              <w:right w:val="nil"/>
            </w:tcBorders>
          </w:tcPr>
          <w:p w14:paraId="0C8AB2E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18" w:type="pct"/>
            <w:tcBorders>
              <w:left w:val="nil"/>
              <w:bottom w:val="single" w:sz="12" w:space="0" w:color="auto"/>
              <w:right w:val="nil"/>
            </w:tcBorders>
          </w:tcPr>
          <w:p w14:paraId="3FFCFD2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22" w:type="pct"/>
            <w:tcBorders>
              <w:left w:val="nil"/>
              <w:bottom w:val="single" w:sz="12" w:space="0" w:color="auto"/>
              <w:right w:val="nil"/>
            </w:tcBorders>
          </w:tcPr>
          <w:p w14:paraId="6788FA2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0.573</w:t>
            </w:r>
          </w:p>
        </w:tc>
        <w:tc>
          <w:tcPr>
            <w:tcW w:w="617" w:type="pct"/>
            <w:tcBorders>
              <w:left w:val="nil"/>
              <w:bottom w:val="single" w:sz="12" w:space="0" w:color="auto"/>
              <w:right w:val="nil"/>
            </w:tcBorders>
          </w:tcPr>
          <w:p w14:paraId="0CF2092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bl>
    <w:p w14:paraId="4C2DB427" w14:textId="77777777" w:rsidR="00984E59" w:rsidRPr="00AF4487" w:rsidRDefault="00984E59" w:rsidP="00984E59">
      <w:pPr>
        <w:spacing w:line="240" w:lineRule="auto"/>
        <w:rPr>
          <w:lang w:val="en-US"/>
        </w:rPr>
      </w:pPr>
      <w:r w:rsidRPr="00AF4487">
        <w:rPr>
          <w:rFonts w:ascii="Times New Roman" w:hAnsi="Times New Roman"/>
          <w:lang w:val="en-US"/>
        </w:rPr>
        <w:t>***, **, and * indicate statistical significance at the 1%, 5%, and 10% levels, respectively</w:t>
      </w:r>
    </w:p>
    <w:p w14:paraId="106517F5" w14:textId="77777777" w:rsidR="00984E59" w:rsidRDefault="00984E59" w:rsidP="00984E59">
      <w:pPr>
        <w:rPr>
          <w:rFonts w:ascii="Times New Roman" w:hAnsi="Times New Roman"/>
          <w:lang w:val="en-US"/>
        </w:rPr>
      </w:pPr>
    </w:p>
    <w:p w14:paraId="1154D90A" w14:textId="77777777" w:rsidR="00984E59" w:rsidRDefault="00984E59" w:rsidP="00984E59">
      <w:pPr>
        <w:rPr>
          <w:rFonts w:ascii="Times New Roman" w:hAnsi="Times New Roman"/>
          <w:lang w:val="en-US"/>
        </w:rPr>
      </w:pPr>
    </w:p>
    <w:p w14:paraId="7F170F99" w14:textId="77777777" w:rsidR="00984E59" w:rsidRDefault="00984E59" w:rsidP="00984E59">
      <w:pPr>
        <w:rPr>
          <w:rFonts w:ascii="Times New Roman" w:hAnsi="Times New Roman"/>
          <w:lang w:val="en-US"/>
        </w:rPr>
      </w:pPr>
    </w:p>
    <w:p w14:paraId="32BE5EEA" w14:textId="77777777" w:rsidR="00984E59" w:rsidRDefault="00984E59" w:rsidP="00984E59">
      <w:pPr>
        <w:rPr>
          <w:rFonts w:ascii="Times New Roman" w:hAnsi="Times New Roman"/>
          <w:lang w:val="en-US"/>
        </w:rPr>
      </w:pPr>
    </w:p>
    <w:p w14:paraId="4C4BF413" w14:textId="77777777" w:rsidR="00984E59" w:rsidRDefault="00984E59" w:rsidP="00984E59">
      <w:pPr>
        <w:rPr>
          <w:rFonts w:ascii="Times New Roman" w:hAnsi="Times New Roman"/>
          <w:lang w:val="en-US"/>
        </w:rPr>
      </w:pPr>
    </w:p>
    <w:p w14:paraId="5D35C9FA" w14:textId="77777777" w:rsidR="00984E59" w:rsidRPr="00AF4487" w:rsidRDefault="00984E59" w:rsidP="00984E59">
      <w:pPr>
        <w:widowControl w:val="0"/>
        <w:autoSpaceDE w:val="0"/>
        <w:autoSpaceDN w:val="0"/>
        <w:adjustRightInd w:val="0"/>
        <w:spacing w:after="0" w:line="240" w:lineRule="auto"/>
        <w:jc w:val="both"/>
        <w:rPr>
          <w:rFonts w:ascii="Times New Roman" w:hAnsi="Times New Roman"/>
          <w:bCs/>
          <w:i/>
          <w:sz w:val="24"/>
          <w:szCs w:val="20"/>
          <w:lang w:val="en-US"/>
        </w:rPr>
      </w:pPr>
      <w:r w:rsidRPr="00AF4487">
        <w:rPr>
          <w:rFonts w:ascii="Times New Roman" w:hAnsi="Times New Roman"/>
          <w:bCs/>
          <w:i/>
          <w:sz w:val="24"/>
          <w:szCs w:val="20"/>
          <w:lang w:val="en-US"/>
        </w:rPr>
        <w:lastRenderedPageBreak/>
        <w:t xml:space="preserve">Table 12. GMM and Heckman selection model </w:t>
      </w:r>
    </w:p>
    <w:p w14:paraId="73925129" w14:textId="77777777" w:rsidR="00984E59" w:rsidRPr="00AF4487" w:rsidRDefault="00984E59" w:rsidP="00984E59">
      <w:pPr>
        <w:spacing w:after="100" w:afterAutospacing="1" w:line="240" w:lineRule="auto"/>
        <w:contextualSpacing/>
        <w:jc w:val="both"/>
        <w:rPr>
          <w:rFonts w:ascii="Times New Roman" w:hAnsi="Times New Roman"/>
          <w:sz w:val="24"/>
          <w:szCs w:val="24"/>
          <w:lang w:val="en-US"/>
        </w:rPr>
      </w:pPr>
      <w:r w:rsidRPr="00AF4487">
        <w:rPr>
          <w:rFonts w:ascii="Times New Roman" w:hAnsi="Times New Roman"/>
          <w:bCs/>
          <w:sz w:val="24"/>
          <w:szCs w:val="20"/>
          <w:lang w:val="en-US"/>
        </w:rPr>
        <w:t>This table reports the results of generalized method of moments (GMM) regressions and Heckman selection for the effects of climate change initiatives and carbon performance on market value and for the effects of climate change initiatives on carbon performance.</w:t>
      </w:r>
      <w:r w:rsidRPr="00AF4487">
        <w:rPr>
          <w:rFonts w:ascii="Times New Roman" w:hAnsi="Times New Roman"/>
          <w:bCs/>
          <w:sz w:val="20"/>
          <w:szCs w:val="20"/>
          <w:lang w:val="en-US"/>
        </w:rPr>
        <w:t xml:space="preserve"> </w:t>
      </w:r>
      <w:r w:rsidRPr="00AF4487">
        <w:rPr>
          <w:rFonts w:ascii="Times New Roman" w:hAnsi="Times New Roman"/>
          <w:sz w:val="24"/>
          <w:szCs w:val="24"/>
          <w:lang w:val="en-US"/>
        </w:rPr>
        <w:t xml:space="preserve">All variables are defined and measured in Table 3. </w:t>
      </w:r>
      <w:r w:rsidRPr="00AF4487">
        <w:rPr>
          <w:rFonts w:ascii="Times New Roman" w:hAnsi="Times New Roman"/>
          <w:i/>
          <w:sz w:val="24"/>
          <w:szCs w:val="24"/>
          <w:lang w:val="en-US"/>
        </w:rPr>
        <w:t>t</w:t>
      </w:r>
      <w:r w:rsidRPr="00AF4487">
        <w:rPr>
          <w:rFonts w:ascii="Times New Roman" w:hAnsi="Times New Roman"/>
          <w:sz w:val="24"/>
          <w:szCs w:val="24"/>
          <w:lang w:val="en-US"/>
        </w:rPr>
        <w:t xml:space="preserve">-statistics for GMM and </w:t>
      </w:r>
      <w:r w:rsidRPr="00AF4487">
        <w:rPr>
          <w:rFonts w:ascii="Times New Roman" w:hAnsi="Times New Roman"/>
          <w:i/>
          <w:sz w:val="24"/>
          <w:szCs w:val="24"/>
          <w:lang w:val="en-US"/>
        </w:rPr>
        <w:t>z</w:t>
      </w:r>
      <w:r w:rsidRPr="00AF4487">
        <w:rPr>
          <w:rFonts w:ascii="Times New Roman" w:hAnsi="Times New Roman"/>
          <w:sz w:val="24"/>
          <w:szCs w:val="24"/>
          <w:lang w:val="en-US"/>
        </w:rPr>
        <w:t>-statistics for Heckman are reported in parentheses.</w:t>
      </w:r>
    </w:p>
    <w:tbl>
      <w:tblPr>
        <w:tblW w:w="5000" w:type="pct"/>
        <w:tblLook w:val="0000" w:firstRow="0" w:lastRow="0" w:firstColumn="0" w:lastColumn="0" w:noHBand="0" w:noVBand="0"/>
      </w:tblPr>
      <w:tblGrid>
        <w:gridCol w:w="2520"/>
        <w:gridCol w:w="1084"/>
        <w:gridCol w:w="1083"/>
        <w:gridCol w:w="1085"/>
        <w:gridCol w:w="300"/>
        <w:gridCol w:w="1205"/>
        <w:gridCol w:w="1205"/>
        <w:gridCol w:w="1207"/>
      </w:tblGrid>
      <w:tr w:rsidR="00984E59" w:rsidRPr="0040135B" w14:paraId="0342103A" w14:textId="77777777" w:rsidTr="00F45F14">
        <w:tc>
          <w:tcPr>
            <w:tcW w:w="1300" w:type="pct"/>
            <w:tcBorders>
              <w:top w:val="single" w:sz="12" w:space="0" w:color="auto"/>
            </w:tcBorders>
          </w:tcPr>
          <w:p w14:paraId="4F408DD3"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1678" w:type="pct"/>
            <w:gridSpan w:val="3"/>
            <w:tcBorders>
              <w:top w:val="single" w:sz="12" w:space="0" w:color="auto"/>
              <w:bottom w:val="single" w:sz="8" w:space="0" w:color="auto"/>
            </w:tcBorders>
          </w:tcPr>
          <w:p w14:paraId="7A8DC24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GMM</w:t>
            </w:r>
          </w:p>
        </w:tc>
        <w:tc>
          <w:tcPr>
            <w:tcW w:w="155" w:type="pct"/>
            <w:tcBorders>
              <w:top w:val="single" w:sz="12" w:space="0" w:color="auto"/>
            </w:tcBorders>
          </w:tcPr>
          <w:p w14:paraId="2B62E37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867" w:type="pct"/>
            <w:gridSpan w:val="3"/>
            <w:tcBorders>
              <w:top w:val="single" w:sz="12" w:space="0" w:color="auto"/>
              <w:bottom w:val="single" w:sz="8" w:space="0" w:color="auto"/>
            </w:tcBorders>
          </w:tcPr>
          <w:p w14:paraId="0BBD967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Heckman</w:t>
            </w:r>
          </w:p>
        </w:tc>
      </w:tr>
      <w:tr w:rsidR="00984E59" w:rsidRPr="0040135B" w14:paraId="7BCAF2D9" w14:textId="77777777" w:rsidTr="00F45F14">
        <w:tc>
          <w:tcPr>
            <w:tcW w:w="1300" w:type="pct"/>
          </w:tcPr>
          <w:p w14:paraId="18752F0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Borders>
              <w:top w:val="single" w:sz="8" w:space="0" w:color="auto"/>
            </w:tcBorders>
          </w:tcPr>
          <w:p w14:paraId="6298FA1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w:t>
            </w:r>
          </w:p>
        </w:tc>
        <w:tc>
          <w:tcPr>
            <w:tcW w:w="559" w:type="pct"/>
            <w:tcBorders>
              <w:top w:val="single" w:sz="8" w:space="0" w:color="auto"/>
            </w:tcBorders>
          </w:tcPr>
          <w:p w14:paraId="21BFA5E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w:t>
            </w:r>
          </w:p>
        </w:tc>
        <w:tc>
          <w:tcPr>
            <w:tcW w:w="560" w:type="pct"/>
            <w:tcBorders>
              <w:top w:val="single" w:sz="8" w:space="0" w:color="auto"/>
            </w:tcBorders>
          </w:tcPr>
          <w:p w14:paraId="504BEBA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w:t>
            </w:r>
          </w:p>
        </w:tc>
        <w:tc>
          <w:tcPr>
            <w:tcW w:w="155" w:type="pct"/>
          </w:tcPr>
          <w:p w14:paraId="0B9B442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top w:val="single" w:sz="8" w:space="0" w:color="auto"/>
            </w:tcBorders>
          </w:tcPr>
          <w:p w14:paraId="5E9141C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w:t>
            </w:r>
          </w:p>
        </w:tc>
        <w:tc>
          <w:tcPr>
            <w:tcW w:w="622" w:type="pct"/>
            <w:tcBorders>
              <w:top w:val="single" w:sz="8" w:space="0" w:color="auto"/>
            </w:tcBorders>
          </w:tcPr>
          <w:p w14:paraId="0595A4C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(5)</w:t>
            </w:r>
          </w:p>
        </w:tc>
        <w:tc>
          <w:tcPr>
            <w:tcW w:w="623" w:type="pct"/>
            <w:tcBorders>
              <w:top w:val="single" w:sz="8" w:space="0" w:color="auto"/>
            </w:tcBorders>
          </w:tcPr>
          <w:p w14:paraId="58DEF0D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w:t>
            </w:r>
          </w:p>
        </w:tc>
      </w:tr>
      <w:tr w:rsidR="00984E59" w:rsidRPr="0040135B" w14:paraId="53651D19" w14:textId="77777777" w:rsidTr="00F45F14">
        <w:tc>
          <w:tcPr>
            <w:tcW w:w="1300" w:type="pct"/>
            <w:tcBorders>
              <w:bottom w:val="single" w:sz="8" w:space="0" w:color="auto"/>
            </w:tcBorders>
          </w:tcPr>
          <w:p w14:paraId="33D36140"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Borders>
              <w:bottom w:val="single" w:sz="8" w:space="0" w:color="auto"/>
            </w:tcBorders>
          </w:tcPr>
          <w:p w14:paraId="4F4695D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559" w:type="pct"/>
            <w:tcBorders>
              <w:bottom w:val="single" w:sz="8" w:space="0" w:color="auto"/>
            </w:tcBorders>
          </w:tcPr>
          <w:p w14:paraId="61EE23E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560" w:type="pct"/>
            <w:tcBorders>
              <w:bottom w:val="single" w:sz="8" w:space="0" w:color="auto"/>
            </w:tcBorders>
          </w:tcPr>
          <w:p w14:paraId="07E5335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CCPE</w:t>
            </w:r>
          </w:p>
        </w:tc>
        <w:tc>
          <w:tcPr>
            <w:tcW w:w="155" w:type="pct"/>
          </w:tcPr>
          <w:p w14:paraId="7EF0185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bottom w:val="single" w:sz="8" w:space="0" w:color="auto"/>
            </w:tcBorders>
          </w:tcPr>
          <w:p w14:paraId="5BE31CE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622" w:type="pct"/>
            <w:tcBorders>
              <w:bottom w:val="single" w:sz="8" w:space="0" w:color="auto"/>
            </w:tcBorders>
          </w:tcPr>
          <w:p w14:paraId="32D956B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MV</w:t>
            </w:r>
          </w:p>
        </w:tc>
        <w:tc>
          <w:tcPr>
            <w:tcW w:w="623" w:type="pct"/>
            <w:tcBorders>
              <w:bottom w:val="single" w:sz="8" w:space="0" w:color="auto"/>
            </w:tcBorders>
          </w:tcPr>
          <w:p w14:paraId="56DF665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CCPE</w:t>
            </w:r>
          </w:p>
        </w:tc>
      </w:tr>
      <w:tr w:rsidR="00984E59" w:rsidRPr="0040135B" w14:paraId="5A0E41CF" w14:textId="77777777" w:rsidTr="00F45F14">
        <w:tc>
          <w:tcPr>
            <w:tcW w:w="1300" w:type="pct"/>
            <w:tcBorders>
              <w:top w:val="single" w:sz="8" w:space="0" w:color="auto"/>
            </w:tcBorders>
          </w:tcPr>
          <w:p w14:paraId="691A229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L.MV</w:t>
            </w:r>
          </w:p>
        </w:tc>
        <w:tc>
          <w:tcPr>
            <w:tcW w:w="559" w:type="pct"/>
            <w:tcBorders>
              <w:top w:val="single" w:sz="8" w:space="0" w:color="auto"/>
            </w:tcBorders>
          </w:tcPr>
          <w:p w14:paraId="2AAE0B3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0.512</w:t>
            </w:r>
            <w:r w:rsidRPr="0040135B">
              <w:rPr>
                <w:rFonts w:ascii="Times New Roman" w:hAnsi="Times New Roman"/>
                <w:sz w:val="18"/>
                <w:szCs w:val="18"/>
                <w:vertAlign w:val="superscript"/>
                <w:lang w:val="en-US"/>
              </w:rPr>
              <w:t>***</w:t>
            </w:r>
          </w:p>
        </w:tc>
        <w:tc>
          <w:tcPr>
            <w:tcW w:w="559" w:type="pct"/>
            <w:tcBorders>
              <w:top w:val="single" w:sz="8" w:space="0" w:color="auto"/>
            </w:tcBorders>
          </w:tcPr>
          <w:p w14:paraId="71F2242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0.509</w:t>
            </w:r>
            <w:r w:rsidRPr="0040135B">
              <w:rPr>
                <w:rFonts w:ascii="Times New Roman" w:hAnsi="Times New Roman"/>
                <w:sz w:val="18"/>
                <w:szCs w:val="18"/>
                <w:vertAlign w:val="superscript"/>
                <w:lang w:val="en-US"/>
              </w:rPr>
              <w:t>***</w:t>
            </w:r>
          </w:p>
        </w:tc>
        <w:tc>
          <w:tcPr>
            <w:tcW w:w="560" w:type="pct"/>
            <w:tcBorders>
              <w:top w:val="single" w:sz="8" w:space="0" w:color="auto"/>
            </w:tcBorders>
          </w:tcPr>
          <w:p w14:paraId="7163170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017786C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top w:val="single" w:sz="8" w:space="0" w:color="auto"/>
            </w:tcBorders>
          </w:tcPr>
          <w:p w14:paraId="6179E69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top w:val="single" w:sz="8" w:space="0" w:color="auto"/>
            </w:tcBorders>
          </w:tcPr>
          <w:p w14:paraId="1C90237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Borders>
              <w:top w:val="single" w:sz="8" w:space="0" w:color="auto"/>
            </w:tcBorders>
          </w:tcPr>
          <w:p w14:paraId="60ACA3A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31EAC370" w14:textId="77777777" w:rsidTr="00F45F14">
        <w:tc>
          <w:tcPr>
            <w:tcW w:w="1300" w:type="pct"/>
          </w:tcPr>
          <w:p w14:paraId="6FFF98BC"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3B934BC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(10.05)</w:t>
            </w:r>
          </w:p>
        </w:tc>
        <w:tc>
          <w:tcPr>
            <w:tcW w:w="559" w:type="pct"/>
          </w:tcPr>
          <w:p w14:paraId="1CCEBEE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(12.09)</w:t>
            </w:r>
          </w:p>
        </w:tc>
        <w:tc>
          <w:tcPr>
            <w:tcW w:w="560" w:type="pct"/>
          </w:tcPr>
          <w:p w14:paraId="427F555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29F9391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590F8BA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446C97C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150668A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4B04868B" w14:textId="77777777" w:rsidTr="00F45F14">
        <w:tc>
          <w:tcPr>
            <w:tcW w:w="1300" w:type="pct"/>
          </w:tcPr>
          <w:p w14:paraId="16586C91"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L.CCPE</w:t>
            </w:r>
          </w:p>
        </w:tc>
        <w:tc>
          <w:tcPr>
            <w:tcW w:w="559" w:type="pct"/>
          </w:tcPr>
          <w:p w14:paraId="5949B81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7C2813C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288BE02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0.587</w:t>
            </w:r>
            <w:r w:rsidRPr="0040135B">
              <w:rPr>
                <w:rFonts w:ascii="Times New Roman" w:hAnsi="Times New Roman"/>
                <w:sz w:val="18"/>
                <w:szCs w:val="18"/>
                <w:vertAlign w:val="superscript"/>
                <w:lang w:val="en-US"/>
              </w:rPr>
              <w:t>***</w:t>
            </w:r>
          </w:p>
        </w:tc>
        <w:tc>
          <w:tcPr>
            <w:tcW w:w="155" w:type="pct"/>
          </w:tcPr>
          <w:p w14:paraId="19234C2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7A2D440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598259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28E7431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13EFA249" w14:textId="77777777" w:rsidTr="00F45F14">
        <w:tc>
          <w:tcPr>
            <w:tcW w:w="1300" w:type="pct"/>
          </w:tcPr>
          <w:p w14:paraId="07AA522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2C1E328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1D84494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76FB9DB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(17.46)</w:t>
            </w:r>
          </w:p>
        </w:tc>
        <w:tc>
          <w:tcPr>
            <w:tcW w:w="155" w:type="pct"/>
          </w:tcPr>
          <w:p w14:paraId="2DDDE0B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4030D6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7426B78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0C5AD6D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39789BFE" w14:textId="77777777" w:rsidTr="00F45F14">
        <w:tc>
          <w:tcPr>
            <w:tcW w:w="1300" w:type="pct"/>
          </w:tcPr>
          <w:p w14:paraId="6B319140"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CCPE</w:t>
            </w:r>
          </w:p>
        </w:tc>
        <w:tc>
          <w:tcPr>
            <w:tcW w:w="559" w:type="pct"/>
          </w:tcPr>
          <w:p w14:paraId="679E301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-0.112</w:t>
            </w:r>
            <w:r w:rsidRPr="0040135B">
              <w:rPr>
                <w:rFonts w:ascii="Times New Roman" w:hAnsi="Times New Roman"/>
                <w:sz w:val="18"/>
                <w:szCs w:val="18"/>
                <w:vertAlign w:val="superscript"/>
                <w:lang w:val="en-US"/>
              </w:rPr>
              <w:t>**</w:t>
            </w:r>
          </w:p>
        </w:tc>
        <w:tc>
          <w:tcPr>
            <w:tcW w:w="559" w:type="pct"/>
          </w:tcPr>
          <w:p w14:paraId="3AA70B1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35604D9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4A8C64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06FC593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-0.050</w:t>
            </w:r>
            <w:r w:rsidRPr="0040135B">
              <w:rPr>
                <w:rFonts w:ascii="Times New Roman" w:hAnsi="Times New Roman"/>
                <w:sz w:val="18"/>
                <w:szCs w:val="18"/>
                <w:vertAlign w:val="superscript"/>
                <w:lang w:val="en-US"/>
              </w:rPr>
              <w:t>***</w:t>
            </w:r>
          </w:p>
        </w:tc>
        <w:tc>
          <w:tcPr>
            <w:tcW w:w="622" w:type="pct"/>
          </w:tcPr>
          <w:p w14:paraId="19F8453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6484107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20175FFA" w14:textId="77777777" w:rsidTr="00F45F14">
        <w:tc>
          <w:tcPr>
            <w:tcW w:w="1300" w:type="pct"/>
          </w:tcPr>
          <w:p w14:paraId="6305354A"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59DA45C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(-2.34)</w:t>
            </w:r>
          </w:p>
        </w:tc>
        <w:tc>
          <w:tcPr>
            <w:tcW w:w="559" w:type="pct"/>
          </w:tcPr>
          <w:p w14:paraId="25B4B53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209906D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29A7B28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2179CCA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(-4.63)</w:t>
            </w:r>
          </w:p>
        </w:tc>
        <w:tc>
          <w:tcPr>
            <w:tcW w:w="622" w:type="pct"/>
          </w:tcPr>
          <w:p w14:paraId="58ABE43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555E5C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2400483E" w14:textId="77777777" w:rsidTr="00F45F14">
        <w:tc>
          <w:tcPr>
            <w:tcW w:w="1300" w:type="pct"/>
          </w:tcPr>
          <w:p w14:paraId="3BC9B397"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PCCIs</w:t>
            </w:r>
          </w:p>
        </w:tc>
        <w:tc>
          <w:tcPr>
            <w:tcW w:w="559" w:type="pct"/>
          </w:tcPr>
          <w:p w14:paraId="43FB836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22ED785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0.005</w:t>
            </w:r>
            <w:r w:rsidRPr="0040135B">
              <w:rPr>
                <w:rFonts w:ascii="Times New Roman" w:hAnsi="Times New Roman"/>
                <w:sz w:val="18"/>
                <w:szCs w:val="18"/>
                <w:vertAlign w:val="superscript"/>
                <w:lang w:val="en-US"/>
              </w:rPr>
              <w:t>***</w:t>
            </w:r>
          </w:p>
        </w:tc>
        <w:tc>
          <w:tcPr>
            <w:tcW w:w="560" w:type="pct"/>
          </w:tcPr>
          <w:p w14:paraId="0B2F4F1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0.002</w:t>
            </w:r>
            <w:r w:rsidRPr="0040135B">
              <w:rPr>
                <w:rFonts w:ascii="Times New Roman" w:hAnsi="Times New Roman"/>
                <w:sz w:val="18"/>
                <w:szCs w:val="18"/>
                <w:vertAlign w:val="superscript"/>
                <w:lang w:val="en-US"/>
              </w:rPr>
              <w:t>**</w:t>
            </w:r>
          </w:p>
        </w:tc>
        <w:tc>
          <w:tcPr>
            <w:tcW w:w="155" w:type="pct"/>
          </w:tcPr>
          <w:p w14:paraId="30FB08B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298B288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5A9DC1A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0.004</w:t>
            </w:r>
            <w:r w:rsidRPr="0040135B">
              <w:rPr>
                <w:rFonts w:ascii="Times New Roman" w:hAnsi="Times New Roman"/>
                <w:sz w:val="18"/>
                <w:szCs w:val="18"/>
                <w:vertAlign w:val="superscript"/>
                <w:lang w:val="en-US"/>
              </w:rPr>
              <w:t>***</w:t>
            </w:r>
          </w:p>
        </w:tc>
        <w:tc>
          <w:tcPr>
            <w:tcW w:w="623" w:type="pct"/>
          </w:tcPr>
          <w:p w14:paraId="711A962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0.026</w:t>
            </w:r>
            <w:r w:rsidRPr="0040135B">
              <w:rPr>
                <w:rFonts w:ascii="Times New Roman" w:hAnsi="Times New Roman"/>
                <w:sz w:val="18"/>
                <w:szCs w:val="18"/>
                <w:vertAlign w:val="superscript"/>
                <w:lang w:val="en-US"/>
              </w:rPr>
              <w:t>***</w:t>
            </w:r>
          </w:p>
        </w:tc>
      </w:tr>
      <w:tr w:rsidR="00984E59" w:rsidRPr="0040135B" w14:paraId="1DDBD137" w14:textId="77777777" w:rsidTr="00F45F14">
        <w:tc>
          <w:tcPr>
            <w:tcW w:w="1300" w:type="pct"/>
          </w:tcPr>
          <w:p w14:paraId="39E02ACC"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67D6976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2E7ADBE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(4.45)</w:t>
            </w:r>
          </w:p>
        </w:tc>
        <w:tc>
          <w:tcPr>
            <w:tcW w:w="560" w:type="pct"/>
          </w:tcPr>
          <w:p w14:paraId="3A52069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(2.22)</w:t>
            </w:r>
          </w:p>
        </w:tc>
        <w:tc>
          <w:tcPr>
            <w:tcW w:w="155" w:type="pct"/>
          </w:tcPr>
          <w:p w14:paraId="77D32C4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7B57DD0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74C6C84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(2.93)</w:t>
            </w:r>
          </w:p>
        </w:tc>
        <w:tc>
          <w:tcPr>
            <w:tcW w:w="623" w:type="pct"/>
          </w:tcPr>
          <w:p w14:paraId="08FE464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(6.67)</w:t>
            </w:r>
          </w:p>
        </w:tc>
      </w:tr>
      <w:tr w:rsidR="00984E59" w:rsidRPr="0040135B" w14:paraId="5818E370" w14:textId="77777777" w:rsidTr="00F45F14">
        <w:tc>
          <w:tcPr>
            <w:tcW w:w="1300" w:type="pct"/>
          </w:tcPr>
          <w:p w14:paraId="14F5EB4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394F8A1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3B70530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5F2E8E8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181FDB5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192D845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023A2C1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0CBA09D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4B3805F7" w14:textId="77777777" w:rsidTr="00F45F14">
        <w:tc>
          <w:tcPr>
            <w:tcW w:w="1300" w:type="pct"/>
          </w:tcPr>
          <w:p w14:paraId="4DDA1818"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BSCOM</w:t>
            </w:r>
          </w:p>
        </w:tc>
        <w:tc>
          <w:tcPr>
            <w:tcW w:w="559" w:type="pct"/>
          </w:tcPr>
          <w:p w14:paraId="42DB282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0.111</w:t>
            </w:r>
            <w:r w:rsidRPr="0040135B">
              <w:rPr>
                <w:rFonts w:ascii="Times New Roman" w:hAnsi="Times New Roman"/>
                <w:sz w:val="18"/>
                <w:szCs w:val="18"/>
                <w:vertAlign w:val="superscript"/>
                <w:lang w:val="en-US"/>
              </w:rPr>
              <w:t>**</w:t>
            </w:r>
          </w:p>
        </w:tc>
        <w:tc>
          <w:tcPr>
            <w:tcW w:w="559" w:type="pct"/>
          </w:tcPr>
          <w:p w14:paraId="6CA085C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0.052</w:t>
            </w:r>
          </w:p>
        </w:tc>
        <w:tc>
          <w:tcPr>
            <w:tcW w:w="560" w:type="pct"/>
          </w:tcPr>
          <w:p w14:paraId="65384DA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0.031</w:t>
            </w:r>
          </w:p>
        </w:tc>
        <w:tc>
          <w:tcPr>
            <w:tcW w:w="155" w:type="pct"/>
          </w:tcPr>
          <w:p w14:paraId="3C07C1F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10A98A8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0.117</w:t>
            </w:r>
            <w:r w:rsidRPr="0040135B">
              <w:rPr>
                <w:rFonts w:ascii="Times New Roman" w:hAnsi="Times New Roman"/>
                <w:sz w:val="18"/>
                <w:szCs w:val="18"/>
                <w:vertAlign w:val="superscript"/>
                <w:lang w:val="en-US"/>
              </w:rPr>
              <w:t>***</w:t>
            </w:r>
          </w:p>
        </w:tc>
        <w:tc>
          <w:tcPr>
            <w:tcW w:w="622" w:type="pct"/>
          </w:tcPr>
          <w:p w14:paraId="53336C4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0.339</w:t>
            </w:r>
            <w:r w:rsidRPr="0040135B">
              <w:rPr>
                <w:rFonts w:ascii="Times New Roman" w:hAnsi="Times New Roman"/>
                <w:sz w:val="18"/>
                <w:szCs w:val="18"/>
                <w:vertAlign w:val="superscript"/>
                <w:lang w:val="en-US"/>
              </w:rPr>
              <w:t>***</w:t>
            </w:r>
          </w:p>
        </w:tc>
        <w:tc>
          <w:tcPr>
            <w:tcW w:w="623" w:type="pct"/>
          </w:tcPr>
          <w:p w14:paraId="76CDAB7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0.940</w:t>
            </w:r>
            <w:r w:rsidRPr="0040135B">
              <w:rPr>
                <w:rFonts w:ascii="Times New Roman" w:hAnsi="Times New Roman"/>
                <w:sz w:val="18"/>
                <w:szCs w:val="18"/>
                <w:vertAlign w:val="superscript"/>
                <w:lang w:val="en-US"/>
              </w:rPr>
              <w:t>***</w:t>
            </w:r>
          </w:p>
        </w:tc>
      </w:tr>
      <w:tr w:rsidR="00984E59" w:rsidRPr="0040135B" w14:paraId="0BDD63EC" w14:textId="77777777" w:rsidTr="00F45F14">
        <w:tc>
          <w:tcPr>
            <w:tcW w:w="1300" w:type="pct"/>
          </w:tcPr>
          <w:p w14:paraId="3F49B9CF"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0A6A155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(2.10)</w:t>
            </w:r>
          </w:p>
        </w:tc>
        <w:tc>
          <w:tcPr>
            <w:tcW w:w="559" w:type="pct"/>
          </w:tcPr>
          <w:p w14:paraId="22C0731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(1.07)</w:t>
            </w:r>
          </w:p>
        </w:tc>
        <w:tc>
          <w:tcPr>
            <w:tcW w:w="560" w:type="pct"/>
          </w:tcPr>
          <w:p w14:paraId="4C0CB2D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(0.66)</w:t>
            </w:r>
          </w:p>
        </w:tc>
        <w:tc>
          <w:tcPr>
            <w:tcW w:w="155" w:type="pct"/>
          </w:tcPr>
          <w:p w14:paraId="1E36C33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5ECFE2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(4.04)</w:t>
            </w:r>
          </w:p>
        </w:tc>
        <w:tc>
          <w:tcPr>
            <w:tcW w:w="622" w:type="pct"/>
          </w:tcPr>
          <w:p w14:paraId="5FDE4BA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(3.71)</w:t>
            </w:r>
          </w:p>
        </w:tc>
        <w:tc>
          <w:tcPr>
            <w:tcW w:w="623" w:type="pct"/>
          </w:tcPr>
          <w:p w14:paraId="6E09DFD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(2.91)</w:t>
            </w:r>
          </w:p>
        </w:tc>
      </w:tr>
      <w:tr w:rsidR="00984E59" w:rsidRPr="0040135B" w14:paraId="76B801B8" w14:textId="77777777" w:rsidTr="00F45F14">
        <w:tc>
          <w:tcPr>
            <w:tcW w:w="1300" w:type="pct"/>
          </w:tcPr>
          <w:p w14:paraId="474F115A"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3F59818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67CA53E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5802CD6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7E8E5FC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6FE199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4D28485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1D6CEC7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0C1CB1EF" w14:textId="77777777" w:rsidTr="00F45F14">
        <w:tc>
          <w:tcPr>
            <w:tcW w:w="1300" w:type="pct"/>
          </w:tcPr>
          <w:p w14:paraId="0C26D90C"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Controls</w:t>
            </w:r>
          </w:p>
        </w:tc>
        <w:tc>
          <w:tcPr>
            <w:tcW w:w="559" w:type="pct"/>
          </w:tcPr>
          <w:p w14:paraId="496155B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59" w:type="pct"/>
          </w:tcPr>
          <w:p w14:paraId="3622E5D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60" w:type="pct"/>
          </w:tcPr>
          <w:p w14:paraId="73D91D9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55" w:type="pct"/>
          </w:tcPr>
          <w:p w14:paraId="6B50D63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1736C3D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2" w:type="pct"/>
          </w:tcPr>
          <w:p w14:paraId="2B03CA1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3" w:type="pct"/>
          </w:tcPr>
          <w:p w14:paraId="4B6C12D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4340FB80" w14:textId="77777777" w:rsidTr="00F45F14">
        <w:tc>
          <w:tcPr>
            <w:tcW w:w="1300" w:type="pct"/>
          </w:tcPr>
          <w:p w14:paraId="43E2C4C9"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6DA43E3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50F4A79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54CE286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03F06AA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93973B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6C184F6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7BA9FC4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7F746D32" w14:textId="77777777" w:rsidTr="00F45F14">
        <w:tc>
          <w:tcPr>
            <w:tcW w:w="1300" w:type="pct"/>
          </w:tcPr>
          <w:p w14:paraId="2EFD3C23"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Mills ratio</w:t>
            </w:r>
          </w:p>
        </w:tc>
        <w:tc>
          <w:tcPr>
            <w:tcW w:w="559" w:type="pct"/>
          </w:tcPr>
          <w:p w14:paraId="43F8CE0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3B03B42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1824554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44E8555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201ECE9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0.063</w:t>
            </w:r>
            <w:r w:rsidRPr="0040135B">
              <w:rPr>
                <w:rFonts w:ascii="Times New Roman" w:hAnsi="Times New Roman"/>
                <w:sz w:val="18"/>
                <w:szCs w:val="18"/>
                <w:vertAlign w:val="superscript"/>
                <w:lang w:val="en-US"/>
              </w:rPr>
              <w:t>*</w:t>
            </w:r>
          </w:p>
        </w:tc>
        <w:tc>
          <w:tcPr>
            <w:tcW w:w="622" w:type="pct"/>
          </w:tcPr>
          <w:p w14:paraId="58E729A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0.523</w:t>
            </w:r>
            <w:r w:rsidRPr="0040135B">
              <w:rPr>
                <w:rFonts w:ascii="Times New Roman" w:hAnsi="Times New Roman"/>
                <w:sz w:val="18"/>
                <w:szCs w:val="18"/>
                <w:vertAlign w:val="superscript"/>
                <w:lang w:val="en-US"/>
              </w:rPr>
              <w:t>***</w:t>
            </w:r>
          </w:p>
        </w:tc>
        <w:tc>
          <w:tcPr>
            <w:tcW w:w="623" w:type="pct"/>
          </w:tcPr>
          <w:p w14:paraId="3734CB9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2.177</w:t>
            </w:r>
            <w:r w:rsidRPr="0040135B">
              <w:rPr>
                <w:rFonts w:ascii="Times New Roman" w:hAnsi="Times New Roman"/>
                <w:sz w:val="18"/>
                <w:szCs w:val="18"/>
                <w:vertAlign w:val="superscript"/>
                <w:lang w:val="en-US"/>
              </w:rPr>
              <w:t>***</w:t>
            </w:r>
          </w:p>
        </w:tc>
      </w:tr>
      <w:tr w:rsidR="00984E59" w:rsidRPr="0040135B" w14:paraId="278E8986" w14:textId="77777777" w:rsidTr="00F45F14">
        <w:tc>
          <w:tcPr>
            <w:tcW w:w="1300" w:type="pct"/>
          </w:tcPr>
          <w:p w14:paraId="308E2095"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p>
        </w:tc>
        <w:tc>
          <w:tcPr>
            <w:tcW w:w="559" w:type="pct"/>
          </w:tcPr>
          <w:p w14:paraId="5784D31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Pr>
          <w:p w14:paraId="1DA1EBF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Pr>
          <w:p w14:paraId="67E67D2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Pr>
          <w:p w14:paraId="105C4F3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4058734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(1.84)</w:t>
            </w:r>
          </w:p>
        </w:tc>
        <w:tc>
          <w:tcPr>
            <w:tcW w:w="622" w:type="pct"/>
          </w:tcPr>
          <w:p w14:paraId="1C4A893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(3.40)</w:t>
            </w:r>
          </w:p>
        </w:tc>
        <w:tc>
          <w:tcPr>
            <w:tcW w:w="623" w:type="pct"/>
          </w:tcPr>
          <w:p w14:paraId="727FAFF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(4.03)</w:t>
            </w:r>
          </w:p>
        </w:tc>
      </w:tr>
      <w:tr w:rsidR="00984E59" w:rsidRPr="0040135B" w14:paraId="7C30F646" w14:textId="77777777" w:rsidTr="00F45F14">
        <w:tc>
          <w:tcPr>
            <w:tcW w:w="1300" w:type="pct"/>
          </w:tcPr>
          <w:p w14:paraId="223E97A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Year effects</w:t>
            </w:r>
          </w:p>
        </w:tc>
        <w:tc>
          <w:tcPr>
            <w:tcW w:w="559" w:type="pct"/>
          </w:tcPr>
          <w:p w14:paraId="564C771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59" w:type="pct"/>
          </w:tcPr>
          <w:p w14:paraId="4E81D1F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60" w:type="pct"/>
          </w:tcPr>
          <w:p w14:paraId="656119C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55" w:type="pct"/>
          </w:tcPr>
          <w:p w14:paraId="59266C0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20A99F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2" w:type="pct"/>
          </w:tcPr>
          <w:p w14:paraId="5BC066C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3" w:type="pct"/>
          </w:tcPr>
          <w:p w14:paraId="7F33AAE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4AC45626" w14:textId="77777777" w:rsidTr="00F45F14">
        <w:tc>
          <w:tcPr>
            <w:tcW w:w="1300" w:type="pct"/>
          </w:tcPr>
          <w:p w14:paraId="7D64D3D6"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Sector effects</w:t>
            </w:r>
          </w:p>
        </w:tc>
        <w:tc>
          <w:tcPr>
            <w:tcW w:w="559" w:type="pct"/>
          </w:tcPr>
          <w:p w14:paraId="201FB50D"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59" w:type="pct"/>
          </w:tcPr>
          <w:p w14:paraId="7B71746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60" w:type="pct"/>
          </w:tcPr>
          <w:p w14:paraId="4A8ACA7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55" w:type="pct"/>
          </w:tcPr>
          <w:p w14:paraId="498507D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0F89FB0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2" w:type="pct"/>
          </w:tcPr>
          <w:p w14:paraId="3B6FF90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3" w:type="pct"/>
          </w:tcPr>
          <w:p w14:paraId="51B2932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633CC14D" w14:textId="77777777" w:rsidTr="00F45F14">
        <w:tc>
          <w:tcPr>
            <w:tcW w:w="1300" w:type="pct"/>
            <w:tcBorders>
              <w:bottom w:val="single" w:sz="8" w:space="0" w:color="auto"/>
            </w:tcBorders>
          </w:tcPr>
          <w:p w14:paraId="6929C9DE"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Country effects</w:t>
            </w:r>
          </w:p>
        </w:tc>
        <w:tc>
          <w:tcPr>
            <w:tcW w:w="559" w:type="pct"/>
            <w:tcBorders>
              <w:bottom w:val="single" w:sz="8" w:space="0" w:color="auto"/>
            </w:tcBorders>
          </w:tcPr>
          <w:p w14:paraId="0332303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59" w:type="pct"/>
            <w:tcBorders>
              <w:bottom w:val="single" w:sz="8" w:space="0" w:color="auto"/>
            </w:tcBorders>
          </w:tcPr>
          <w:p w14:paraId="3770EE1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560" w:type="pct"/>
            <w:tcBorders>
              <w:bottom w:val="single" w:sz="8" w:space="0" w:color="auto"/>
            </w:tcBorders>
          </w:tcPr>
          <w:p w14:paraId="026B0470"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155" w:type="pct"/>
          </w:tcPr>
          <w:p w14:paraId="5E95EE8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bottom w:val="single" w:sz="8" w:space="0" w:color="auto"/>
            </w:tcBorders>
          </w:tcPr>
          <w:p w14:paraId="38EC0FC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2" w:type="pct"/>
            <w:tcBorders>
              <w:bottom w:val="single" w:sz="8" w:space="0" w:color="auto"/>
            </w:tcBorders>
          </w:tcPr>
          <w:p w14:paraId="53261D4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c>
          <w:tcPr>
            <w:tcW w:w="623" w:type="pct"/>
            <w:tcBorders>
              <w:bottom w:val="single" w:sz="8" w:space="0" w:color="auto"/>
            </w:tcBorders>
          </w:tcPr>
          <w:p w14:paraId="783D5041"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Yes</w:t>
            </w:r>
          </w:p>
        </w:tc>
      </w:tr>
      <w:tr w:rsidR="00984E59" w:rsidRPr="0040135B" w14:paraId="165E6835" w14:textId="77777777" w:rsidTr="00F45F14">
        <w:tc>
          <w:tcPr>
            <w:tcW w:w="1300" w:type="pct"/>
            <w:tcBorders>
              <w:top w:val="single" w:sz="8" w:space="0" w:color="auto"/>
            </w:tcBorders>
          </w:tcPr>
          <w:p w14:paraId="2CD09232"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Observations</w:t>
            </w:r>
          </w:p>
        </w:tc>
        <w:tc>
          <w:tcPr>
            <w:tcW w:w="559" w:type="pct"/>
            <w:tcBorders>
              <w:top w:val="single" w:sz="8" w:space="0" w:color="auto"/>
            </w:tcBorders>
          </w:tcPr>
          <w:p w14:paraId="58855F3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7212</w:t>
            </w:r>
          </w:p>
        </w:tc>
        <w:tc>
          <w:tcPr>
            <w:tcW w:w="559" w:type="pct"/>
            <w:tcBorders>
              <w:top w:val="single" w:sz="8" w:space="0" w:color="auto"/>
            </w:tcBorders>
          </w:tcPr>
          <w:p w14:paraId="0FA336D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7590</w:t>
            </w:r>
          </w:p>
        </w:tc>
        <w:tc>
          <w:tcPr>
            <w:tcW w:w="560" w:type="pct"/>
            <w:tcBorders>
              <w:top w:val="single" w:sz="8" w:space="0" w:color="auto"/>
            </w:tcBorders>
          </w:tcPr>
          <w:p w14:paraId="037AEE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7007</w:t>
            </w:r>
          </w:p>
        </w:tc>
        <w:tc>
          <w:tcPr>
            <w:tcW w:w="155" w:type="pct"/>
          </w:tcPr>
          <w:p w14:paraId="1E24561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top w:val="single" w:sz="8" w:space="0" w:color="auto"/>
            </w:tcBorders>
          </w:tcPr>
          <w:p w14:paraId="730897DC"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7778</w:t>
            </w:r>
          </w:p>
        </w:tc>
        <w:tc>
          <w:tcPr>
            <w:tcW w:w="622" w:type="pct"/>
            <w:tcBorders>
              <w:top w:val="single" w:sz="8" w:space="0" w:color="auto"/>
            </w:tcBorders>
          </w:tcPr>
          <w:p w14:paraId="2BB6C06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8408</w:t>
            </w:r>
          </w:p>
        </w:tc>
        <w:tc>
          <w:tcPr>
            <w:tcW w:w="623" w:type="pct"/>
            <w:tcBorders>
              <w:top w:val="single" w:sz="8" w:space="0" w:color="auto"/>
            </w:tcBorders>
          </w:tcPr>
          <w:p w14:paraId="1CFFA4B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8407</w:t>
            </w:r>
          </w:p>
        </w:tc>
      </w:tr>
      <w:tr w:rsidR="00984E59" w:rsidRPr="0040135B" w14:paraId="78770688" w14:textId="77777777" w:rsidTr="00F45F14">
        <w:tc>
          <w:tcPr>
            <w:tcW w:w="1300" w:type="pct"/>
          </w:tcPr>
          <w:p w14:paraId="3ED0726D"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iCs/>
                <w:sz w:val="18"/>
                <w:szCs w:val="18"/>
              </w:rPr>
              <w:t>Arellano‐Bond (AR‐1)</w:t>
            </w:r>
          </w:p>
        </w:tc>
        <w:tc>
          <w:tcPr>
            <w:tcW w:w="559" w:type="pct"/>
          </w:tcPr>
          <w:p w14:paraId="5DC289C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559" w:type="pct"/>
          </w:tcPr>
          <w:p w14:paraId="0B2C6A6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560" w:type="pct"/>
          </w:tcPr>
          <w:p w14:paraId="41FA42A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155" w:type="pct"/>
          </w:tcPr>
          <w:p w14:paraId="38DC406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749FCF0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1D5A23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6BBE23F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11FB1BFE" w14:textId="77777777" w:rsidTr="00F45F14">
        <w:tc>
          <w:tcPr>
            <w:tcW w:w="1300" w:type="pct"/>
          </w:tcPr>
          <w:p w14:paraId="09429203"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iCs/>
                <w:sz w:val="18"/>
                <w:szCs w:val="18"/>
              </w:rPr>
              <w:t>Arellano‐Bond (AR‐2)</w:t>
            </w:r>
          </w:p>
        </w:tc>
        <w:tc>
          <w:tcPr>
            <w:tcW w:w="559" w:type="pct"/>
          </w:tcPr>
          <w:p w14:paraId="59E8214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0.202</w:t>
            </w:r>
          </w:p>
        </w:tc>
        <w:tc>
          <w:tcPr>
            <w:tcW w:w="559" w:type="pct"/>
          </w:tcPr>
          <w:p w14:paraId="395196B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0.731</w:t>
            </w:r>
          </w:p>
        </w:tc>
        <w:tc>
          <w:tcPr>
            <w:tcW w:w="560" w:type="pct"/>
          </w:tcPr>
          <w:p w14:paraId="0A105A08"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0.816</w:t>
            </w:r>
          </w:p>
        </w:tc>
        <w:tc>
          <w:tcPr>
            <w:tcW w:w="155" w:type="pct"/>
          </w:tcPr>
          <w:p w14:paraId="305A8D12"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1CE2ACC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3F0C16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4DC176E5"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649F91DC" w14:textId="77777777" w:rsidTr="00F45F14">
        <w:tc>
          <w:tcPr>
            <w:tcW w:w="1300" w:type="pct"/>
          </w:tcPr>
          <w:p w14:paraId="696D88DB"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iCs/>
                <w:sz w:val="18"/>
                <w:szCs w:val="18"/>
                <w:lang w:val="en-US"/>
              </w:rPr>
              <w:t>Hansen</w:t>
            </w:r>
            <w:r w:rsidRPr="0040135B">
              <w:rPr>
                <w:rFonts w:ascii="Times New Roman" w:hAnsi="Times New Roman"/>
                <w:iCs/>
                <w:sz w:val="18"/>
                <w:szCs w:val="18"/>
              </w:rPr>
              <w:t xml:space="preserve"> test </w:t>
            </w:r>
            <w:r w:rsidRPr="0040135B">
              <w:rPr>
                <w:rFonts w:ascii="Times New Roman" w:hAnsi="Times New Roman"/>
                <w:i/>
                <w:iCs/>
                <w:sz w:val="18"/>
                <w:szCs w:val="18"/>
                <w:lang w:val="en-US"/>
              </w:rPr>
              <w:t>(</w:t>
            </w:r>
            <w:r w:rsidRPr="0040135B">
              <w:rPr>
                <w:rFonts w:ascii="Times New Roman" w:hAnsi="Times New Roman"/>
                <w:i/>
                <w:iCs/>
                <w:sz w:val="18"/>
                <w:szCs w:val="18"/>
              </w:rPr>
              <w:t>p-value</w:t>
            </w:r>
            <w:r w:rsidRPr="0040135B">
              <w:rPr>
                <w:rFonts w:ascii="Times New Roman" w:hAnsi="Times New Roman"/>
                <w:i/>
                <w:iCs/>
                <w:sz w:val="18"/>
                <w:szCs w:val="18"/>
                <w:lang w:val="en-US"/>
              </w:rPr>
              <w:t>)</w:t>
            </w:r>
          </w:p>
        </w:tc>
        <w:tc>
          <w:tcPr>
            <w:tcW w:w="559" w:type="pct"/>
          </w:tcPr>
          <w:p w14:paraId="2A28327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0.100</w:t>
            </w:r>
          </w:p>
        </w:tc>
        <w:tc>
          <w:tcPr>
            <w:tcW w:w="559" w:type="pct"/>
          </w:tcPr>
          <w:p w14:paraId="6325EC0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0.129</w:t>
            </w:r>
          </w:p>
        </w:tc>
        <w:tc>
          <w:tcPr>
            <w:tcW w:w="560" w:type="pct"/>
          </w:tcPr>
          <w:p w14:paraId="40DDBE96"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0.315</w:t>
            </w:r>
          </w:p>
        </w:tc>
        <w:tc>
          <w:tcPr>
            <w:tcW w:w="155" w:type="pct"/>
          </w:tcPr>
          <w:p w14:paraId="15E550BE"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1957511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Pr>
          <w:p w14:paraId="45CF489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3" w:type="pct"/>
          </w:tcPr>
          <w:p w14:paraId="3C214D4F"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r>
      <w:tr w:rsidR="00984E59" w:rsidRPr="0040135B" w14:paraId="03DBA6D5" w14:textId="77777777" w:rsidTr="00F45F14">
        <w:tc>
          <w:tcPr>
            <w:tcW w:w="1300" w:type="pct"/>
            <w:tcBorders>
              <w:bottom w:val="single" w:sz="12" w:space="0" w:color="auto"/>
            </w:tcBorders>
          </w:tcPr>
          <w:p w14:paraId="58AB8DAC" w14:textId="77777777" w:rsidR="00984E59" w:rsidRPr="0040135B" w:rsidRDefault="00984E59" w:rsidP="00295B36">
            <w:pPr>
              <w:widowControl w:val="0"/>
              <w:autoSpaceDE w:val="0"/>
              <w:autoSpaceDN w:val="0"/>
              <w:adjustRightInd w:val="0"/>
              <w:spacing w:after="0" w:line="240" w:lineRule="auto"/>
              <w:rPr>
                <w:rFonts w:ascii="Times New Roman" w:hAnsi="Times New Roman"/>
                <w:sz w:val="18"/>
                <w:szCs w:val="18"/>
                <w:lang w:val="en-US"/>
              </w:rPr>
            </w:pPr>
            <w:r w:rsidRPr="0040135B">
              <w:rPr>
                <w:rFonts w:ascii="Times New Roman" w:hAnsi="Times New Roman"/>
                <w:sz w:val="18"/>
                <w:szCs w:val="18"/>
                <w:lang w:val="en-US"/>
              </w:rPr>
              <w:t>Wald chi2</w:t>
            </w:r>
          </w:p>
        </w:tc>
        <w:tc>
          <w:tcPr>
            <w:tcW w:w="559" w:type="pct"/>
            <w:tcBorders>
              <w:bottom w:val="single" w:sz="12" w:space="0" w:color="auto"/>
            </w:tcBorders>
          </w:tcPr>
          <w:p w14:paraId="4866D6C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59" w:type="pct"/>
            <w:tcBorders>
              <w:bottom w:val="single" w:sz="12" w:space="0" w:color="auto"/>
            </w:tcBorders>
          </w:tcPr>
          <w:p w14:paraId="2C4A5B39"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560" w:type="pct"/>
            <w:tcBorders>
              <w:bottom w:val="single" w:sz="12" w:space="0" w:color="auto"/>
            </w:tcBorders>
          </w:tcPr>
          <w:p w14:paraId="3B9A65C3"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155" w:type="pct"/>
            <w:tcBorders>
              <w:bottom w:val="single" w:sz="12" w:space="0" w:color="auto"/>
            </w:tcBorders>
          </w:tcPr>
          <w:p w14:paraId="2D3EAB54"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p>
        </w:tc>
        <w:tc>
          <w:tcPr>
            <w:tcW w:w="622" w:type="pct"/>
            <w:tcBorders>
              <w:bottom w:val="single" w:sz="12" w:space="0" w:color="auto"/>
            </w:tcBorders>
          </w:tcPr>
          <w:p w14:paraId="583F85EA"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622" w:type="pct"/>
            <w:tcBorders>
              <w:bottom w:val="single" w:sz="12" w:space="0" w:color="auto"/>
            </w:tcBorders>
          </w:tcPr>
          <w:p w14:paraId="18013807"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c>
          <w:tcPr>
            <w:tcW w:w="623" w:type="pct"/>
            <w:tcBorders>
              <w:bottom w:val="single" w:sz="12" w:space="0" w:color="auto"/>
            </w:tcBorders>
          </w:tcPr>
          <w:p w14:paraId="01CF2C1B" w14:textId="77777777" w:rsidR="00984E59" w:rsidRPr="0040135B" w:rsidRDefault="00984E59" w:rsidP="00295B36">
            <w:pPr>
              <w:widowControl w:val="0"/>
              <w:autoSpaceDE w:val="0"/>
              <w:autoSpaceDN w:val="0"/>
              <w:adjustRightInd w:val="0"/>
              <w:spacing w:after="0" w:line="240" w:lineRule="auto"/>
              <w:jc w:val="center"/>
              <w:rPr>
                <w:rFonts w:ascii="Times New Roman" w:hAnsi="Times New Roman"/>
                <w:sz w:val="18"/>
                <w:szCs w:val="18"/>
                <w:lang w:val="en-US"/>
              </w:rPr>
            </w:pPr>
            <w:r w:rsidRPr="0040135B">
              <w:rPr>
                <w:rFonts w:ascii="Times New Roman" w:hAnsi="Times New Roman"/>
                <w:sz w:val="18"/>
                <w:szCs w:val="18"/>
                <w:lang w:val="en-US"/>
              </w:rPr>
              <w:t>0.000***</w:t>
            </w:r>
          </w:p>
        </w:tc>
      </w:tr>
    </w:tbl>
    <w:p w14:paraId="1C9BF481" w14:textId="77777777" w:rsidR="00984E59" w:rsidRPr="00AF4487" w:rsidRDefault="00984E59" w:rsidP="00984E59">
      <w:pPr>
        <w:spacing w:line="240" w:lineRule="auto"/>
        <w:rPr>
          <w:lang w:val="en-US"/>
        </w:rPr>
      </w:pPr>
      <w:r w:rsidRPr="00AF4487">
        <w:rPr>
          <w:rFonts w:ascii="Times New Roman" w:hAnsi="Times New Roman"/>
          <w:lang w:val="en-US"/>
        </w:rPr>
        <w:t>***, **, and * indicate statistical significance at the 1%, 5%, and 10% levels, respectively</w:t>
      </w:r>
    </w:p>
    <w:p w14:paraId="25FFA909" w14:textId="77777777" w:rsidR="00984E59" w:rsidRPr="00AF4487" w:rsidRDefault="00984E59" w:rsidP="00984E59">
      <w:pPr>
        <w:rPr>
          <w:rFonts w:ascii="Times New Roman" w:hAnsi="Times New Roman"/>
          <w:lang w:val="en-US"/>
        </w:rPr>
      </w:pPr>
    </w:p>
    <w:p w14:paraId="5C0480FE" w14:textId="77777777" w:rsidR="00984E59" w:rsidRPr="00E22AA5" w:rsidRDefault="00984E59" w:rsidP="00984E59">
      <w:pPr>
        <w:rPr>
          <w:lang w:val="en-US"/>
        </w:rPr>
      </w:pPr>
    </w:p>
    <w:bookmarkEnd w:id="3"/>
    <w:bookmarkEnd w:id="4"/>
    <w:p w14:paraId="44E272F1" w14:textId="097BD328" w:rsidR="00984E59" w:rsidRPr="00AF4487" w:rsidRDefault="00984E59" w:rsidP="00EC5A9C">
      <w:pPr>
        <w:spacing w:line="240" w:lineRule="auto"/>
        <w:rPr>
          <w:rFonts w:ascii="Times New Roman" w:eastAsia="Calibri" w:hAnsi="Times New Roman" w:cs="Times New Roman"/>
          <w:sz w:val="28"/>
          <w:lang w:val="en-US"/>
        </w:rPr>
      </w:pPr>
    </w:p>
    <w:sectPr w:rsidR="00984E59" w:rsidRPr="00AF4487" w:rsidSect="00984E59">
      <w:pgSz w:w="12240" w:h="15840"/>
      <w:pgMar w:top="1134" w:right="850" w:bottom="1134"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lagila, John K" w:date="2022-12-23T18:44:00Z" w:initials="MJK">
    <w:p w14:paraId="334AEB8C" w14:textId="6ADC7D81" w:rsidR="00984B5F" w:rsidRPr="00984B5F" w:rsidRDefault="00984B5F">
      <w:pPr>
        <w:pStyle w:val="CommentText"/>
        <w:rPr>
          <w:lang w:val="en-GB"/>
        </w:rPr>
      </w:pPr>
      <w:r>
        <w:rPr>
          <w:rStyle w:val="CommentReference"/>
        </w:rPr>
        <w:annotationRef/>
      </w:r>
      <w:r w:rsidRPr="00984B5F">
        <w:rPr>
          <w:lang w:val="en-GB"/>
        </w:rPr>
        <w:t>M</w:t>
      </w:r>
      <w:r>
        <w:rPr>
          <w:lang w:val="en-GB"/>
        </w:rPr>
        <w:t>aybe (add bolded text to complete the comparative statement)</w:t>
      </w:r>
      <w:r w:rsidRPr="00984B5F">
        <w:rPr>
          <w:lang w:val="en-GB"/>
        </w:rPr>
        <w:t>:</w:t>
      </w:r>
      <w:r>
        <w:rPr>
          <w:b/>
          <w:bCs/>
          <w:lang w:val="en-GB"/>
        </w:rPr>
        <w:t xml:space="preserve"> </w:t>
      </w:r>
      <w:r w:rsidR="00813E0C">
        <w:rPr>
          <w:b/>
          <w:bCs/>
          <w:lang w:val="en-GB"/>
        </w:rPr>
        <w:t>“</w:t>
      </w:r>
      <w:r w:rsidRPr="00984B5F">
        <w:rPr>
          <w:b/>
          <w:bCs/>
          <w:lang w:val="en-GB"/>
        </w:rPr>
        <w:t>Compared to non-EU ETS countries,</w:t>
      </w:r>
      <w:r>
        <w:rPr>
          <w:lang w:val="en-GB"/>
        </w:rPr>
        <w:t xml:space="preserve"> o</w:t>
      </w:r>
      <w:r w:rsidRPr="00984B5F">
        <w:rPr>
          <w:lang w:val="en-GB"/>
        </w:rPr>
        <w:t>ur findings indicate that market</w:t>
      </w:r>
      <w:r>
        <w:rPr>
          <w:lang w:val="en-GB"/>
        </w:rPr>
        <w:t xml:space="preserve"> </w:t>
      </w:r>
      <w:r w:rsidR="00813E0C">
        <w:rPr>
          <w:lang w:val="en-GB"/>
        </w:rPr>
        <w:t xml:space="preserve">participants </w:t>
      </w:r>
      <w:r>
        <w:rPr>
          <w:lang w:val="en-GB"/>
        </w:rPr>
        <w:t>react more…</w:t>
      </w:r>
      <w:r w:rsidR="00813E0C">
        <w:rPr>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4AEB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0759E" w16cex:dateUtc="2022-12-23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4AEB8C" w16cid:durableId="27507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4161" w14:textId="77777777" w:rsidR="00E87B61" w:rsidRDefault="00E87B61" w:rsidP="00EC5A9C">
      <w:pPr>
        <w:spacing w:after="0" w:line="240" w:lineRule="auto"/>
      </w:pPr>
      <w:r>
        <w:separator/>
      </w:r>
    </w:p>
  </w:endnote>
  <w:endnote w:type="continuationSeparator" w:id="0">
    <w:p w14:paraId="7DCFE1A8" w14:textId="77777777" w:rsidR="00E87B61" w:rsidRDefault="00E87B61" w:rsidP="00EC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73BE" w14:textId="77777777" w:rsidR="00295B36" w:rsidRDefault="00295B36">
    <w:pPr>
      <w:widowControl w:val="0"/>
      <w:autoSpaceDE w:val="0"/>
      <w:autoSpaceDN w:val="0"/>
      <w:adjustRightInd w:val="0"/>
      <w:spacing w:after="0" w:line="240" w:lineRule="auto"/>
      <w:jc w:val="center"/>
      <w:rPr>
        <w:rFonts w:ascii="Garamond" w:hAnsi="Garamond" w:cs="Garamond"/>
        <w:sz w:val="20"/>
        <w:szCs w:val="20"/>
        <w:lang w:val="en-US"/>
      </w:rPr>
    </w:pPr>
    <w:r>
      <w:rPr>
        <w:rFonts w:ascii="Garamond" w:hAnsi="Garamond" w:cs="Garamond"/>
        <w:sz w:val="20"/>
        <w:szCs w:val="20"/>
        <w:lang w:val="en-US"/>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BBE9" w14:textId="77777777" w:rsidR="00E87B61" w:rsidRDefault="00E87B61" w:rsidP="00EC5A9C">
      <w:pPr>
        <w:spacing w:after="0" w:line="240" w:lineRule="auto"/>
      </w:pPr>
      <w:r>
        <w:separator/>
      </w:r>
    </w:p>
  </w:footnote>
  <w:footnote w:type="continuationSeparator" w:id="0">
    <w:p w14:paraId="2D8A9FAF" w14:textId="77777777" w:rsidR="00E87B61" w:rsidRDefault="00E87B61" w:rsidP="00EC5A9C">
      <w:pPr>
        <w:spacing w:after="0" w:line="240" w:lineRule="auto"/>
      </w:pPr>
      <w:r>
        <w:continuationSeparator/>
      </w:r>
    </w:p>
  </w:footnote>
  <w:footnote w:id="1">
    <w:p w14:paraId="07D52BEB" w14:textId="6C58485C" w:rsidR="00295B36" w:rsidRPr="00E146A3" w:rsidRDefault="00295B36" w:rsidP="00EC5A9C">
      <w:pPr>
        <w:pStyle w:val="FootnoteText1"/>
        <w:jc w:val="both"/>
        <w:rPr>
          <w:lang w:val="en-US"/>
        </w:rPr>
      </w:pPr>
      <w:r w:rsidRPr="003153EA">
        <w:rPr>
          <w:rStyle w:val="FootnoteReference"/>
        </w:rPr>
        <w:footnoteRef/>
      </w:r>
      <w:r w:rsidRPr="003153EA">
        <w:rPr>
          <w:lang w:val="en-US"/>
        </w:rPr>
        <w:t xml:space="preserve">The agreement also requires developed countries to support financially with a joint investment of 100 billion US dollars annually for combating global warming and climate change and promoting sustainability in developing economies </w:t>
      </w:r>
      <w:r w:rsidRPr="003153EA">
        <w:fldChar w:fldCharType="begin" w:fldLock="1"/>
      </w:r>
      <w:r w:rsidRPr="003153EA">
        <w:rPr>
          <w:lang w:val="en-US"/>
        </w:rPr>
        <w:instrText>ADDIN CSL_CITATION {"citationItems":[{"id":"ITEM-1","itemData":{"ISBN":"3981058208","URL":"http://unfccc.int/resource/docs/2015/cop21/eng/l09r01.pdf","abstract":"Adoption of a protocol, another legal instrument, or an agreed outcome with legal force under the Convention applicable to all Parties.","accessed":{"date-parts":[["2021","3","20"]]},"author":[{"dropping-particle":"","family":"United Nations","given":"","non-dropping-particle":"","parse-names":false,"suffix":""}],"container-title":"Conference of the Parties on its twenty-first session","id":"ITEM-1","issue":"December","issued":{"date-parts":[["2015"]]},"page":"32","title":"Adoption of the Paris Agreement","type":"webpage","volume":"21932"},"uris":["http://www.mendeley.com/documents/?uuid=66a311a8-9186-3a67-ba47-71f7c8a4541e"]}],"mendeley":{"formattedCitation":"(United Nations 2015)","manualFormatting":"(United Nations, 2015)","plainTextFormattedCitation":"(United Nations 2015)","previouslyFormattedCitation":"(United Nations 2015)"},"properties":{"noteIndex":0},"schema":"https://github.com/citation-style-language/schema/raw/master/csl-citation.json"}</w:instrText>
      </w:r>
      <w:r w:rsidRPr="003153EA">
        <w:fldChar w:fldCharType="separate"/>
      </w:r>
      <w:r w:rsidRPr="003153EA">
        <w:rPr>
          <w:noProof/>
          <w:lang w:val="en-US"/>
        </w:rPr>
        <w:t>(United Nations, 2015)</w:t>
      </w:r>
      <w:r w:rsidRPr="003153EA">
        <w:fldChar w:fldCharType="end"/>
      </w:r>
      <w:r w:rsidRPr="003153EA">
        <w:rPr>
          <w:lang w:val="en-US"/>
        </w:rPr>
        <w:t>.</w:t>
      </w:r>
    </w:p>
  </w:footnote>
  <w:footnote w:id="2">
    <w:p w14:paraId="18028C06" w14:textId="692780B6" w:rsidR="00295B36" w:rsidRPr="003153EA" w:rsidRDefault="00295B36" w:rsidP="00973E2D">
      <w:pPr>
        <w:pStyle w:val="FootnoteText1"/>
        <w:jc w:val="both"/>
        <w:rPr>
          <w:lang w:val="en-US"/>
        </w:rPr>
      </w:pPr>
      <w:r w:rsidRPr="003153EA">
        <w:rPr>
          <w:rStyle w:val="FootnoteReference"/>
        </w:rPr>
        <w:footnoteRef/>
      </w:r>
      <w:r w:rsidRPr="003153EA">
        <w:rPr>
          <w:lang w:val="en-US"/>
        </w:rPr>
        <w:t xml:space="preserve">This approach is consistent with prior research </w:t>
      </w:r>
      <w:r w:rsidRPr="003153EA">
        <w:rPr>
          <w:lang w:val="en-US"/>
        </w:rPr>
        <w:fldChar w:fldCharType="begin" w:fldLock="1"/>
      </w:r>
      <w:r w:rsidRPr="003153EA">
        <w:rPr>
          <w:lang w:val="en-US"/>
        </w:rPr>
        <w:instrText>ADDIN CSL_CITATION {"citationItems":[{"id":"ITEM-1","itemData":{"DOI":"10.1002/bse.2695","ISSN":"10990836","abstract":"Recently, there has been increasing demand by stakeholders for firms to demonstrate how they create value within the context of their operating environment. Consequently, a new reporting approach, integrated reporting (IR), was conceptualised with its development linked to the firm's integrated thinking (IT). Yet very little is known about the effects of IT on firms' reporting decisions. Hence, we investigate whether IT influences firms' decision to publish an assured sustainability report. Using an international dataset, we find that IT is positively associated with sustainability reporting assurance. We also find that this association is moderated by the type of legal system such that for firms in code law countries, the IT effects are reduced. Nevertheless, the effects of IT remain strong, indicating that IT is important for reporting decisions regardless of the firm's contextual setting. These findings have implications for policymakers and organisations interested in promoting high-quality sustainability reporting.","author":[{"dropping-particle":"","family":"Baboukardos","given":"Diogenis","non-dropping-particle":"","parse-names":false,"suffix":""},{"dropping-particle":"","family":"Mangena","given":"Musa","non-dropping-particle":"","parse-names":false,"suffix":""},{"dropping-particle":"","family":"Ishola","given":"Abdullahi","non-dropping-particle":"","parse-names":false,"suffix":""}],"container-title":"Business Strategy and the Environment","id":"ITEM-1","issue":"4","issued":{"date-parts":[["2021"]]},"page":"1580-1597","title":"Integrated thinking and sustainability reporting assurance: International evidence","type":"article-journal","volume":"30"},"uris":["http://www.mendeley.com/documents/?uuid=c323cdda-57ad-3c64-833b-bd112cafee77"]}],"mendeley":{"formattedCitation":"(Baboukardos et al. 2021)","manualFormatting":"(Baboukardos et al., 2021)","plainTextFormattedCitation":"(Baboukardos et al. 2021)","previouslyFormattedCitation":"(Baboukardos et al. 2021)"},"properties":{"noteIndex":0},"schema":"https://github.com/citation-style-language/schema/raw/master/csl-citation.json"}</w:instrText>
      </w:r>
      <w:r w:rsidRPr="003153EA">
        <w:rPr>
          <w:lang w:val="en-US"/>
        </w:rPr>
        <w:fldChar w:fldCharType="separate"/>
      </w:r>
      <w:r w:rsidRPr="003153EA">
        <w:rPr>
          <w:noProof/>
          <w:lang w:val="en-US"/>
        </w:rPr>
        <w:t xml:space="preserve">(Baboukardos </w:t>
      </w:r>
      <w:r w:rsidRPr="003153EA">
        <w:rPr>
          <w:i/>
          <w:iCs/>
          <w:noProof/>
          <w:lang w:val="en-US"/>
        </w:rPr>
        <w:t>et al</w:t>
      </w:r>
      <w:r w:rsidRPr="003153EA">
        <w:rPr>
          <w:noProof/>
          <w:lang w:val="en-US"/>
        </w:rPr>
        <w:t>., 2021)</w:t>
      </w:r>
      <w:r w:rsidRPr="003153EA">
        <w:rPr>
          <w:lang w:val="en-US"/>
        </w:rPr>
        <w:fldChar w:fldCharType="end"/>
      </w:r>
      <w:r w:rsidRPr="003153EA">
        <w:rPr>
          <w:lang w:val="en-US"/>
        </w:rPr>
        <w:fldChar w:fldCharType="begin"/>
      </w:r>
      <w:r w:rsidRPr="003153EA">
        <w:rPr>
          <w:lang w:val="en-US"/>
        </w:rPr>
        <w:instrText>Mendeley_Cursor_Bookmark</w:instrText>
      </w:r>
      <w:r w:rsidRPr="003153EA">
        <w:rPr>
          <w:lang w:val="en-US"/>
        </w:rPr>
        <w:fldChar w:fldCharType="end"/>
      </w:r>
      <w:r w:rsidRPr="003153EA">
        <w:rPr>
          <w:lang w:val="en-US"/>
        </w:rPr>
        <w:fldChar w:fldCharType="begin"/>
      </w:r>
      <w:r w:rsidRPr="003153EA">
        <w:rPr>
          <w:lang w:val="en-US"/>
        </w:rPr>
        <w:instrText>Mendeley_Cursor_Bookmark</w:instrText>
      </w:r>
      <w:r w:rsidRPr="003153EA">
        <w:rPr>
          <w:lang w:val="en-US"/>
        </w:rPr>
        <w:fldChar w:fldCharType="end"/>
      </w:r>
      <w:r w:rsidRPr="003153EA">
        <w:rPr>
          <w:lang w:val="en-US"/>
        </w:rPr>
        <w:t xml:space="preserve"> to capture changes in carbon performance, climate change initiatives, and market value over time. </w:t>
      </w:r>
    </w:p>
  </w:footnote>
  <w:footnote w:id="3">
    <w:p w14:paraId="34C277C1" w14:textId="11DCD7ED" w:rsidR="00295B36" w:rsidRPr="0035346E" w:rsidRDefault="00295B36" w:rsidP="00973E2D">
      <w:pPr>
        <w:pStyle w:val="FootnoteText1"/>
        <w:jc w:val="both"/>
        <w:rPr>
          <w:rFonts w:cs="Times New Roman"/>
          <w:lang w:val="en-US"/>
        </w:rPr>
      </w:pPr>
      <w:r w:rsidRPr="0035346E">
        <w:rPr>
          <w:rStyle w:val="FootnoteReference"/>
          <w:rFonts w:cs="Times New Roman"/>
        </w:rPr>
        <w:footnoteRef/>
      </w:r>
      <w:r w:rsidRPr="0035346E">
        <w:rPr>
          <w:rFonts w:cs="Times New Roman"/>
          <w:lang w:val="en-US"/>
        </w:rPr>
        <w:t>The sample is distributed evenly over the 18-year period, with around 450 observations each year.</w:t>
      </w:r>
    </w:p>
  </w:footnote>
  <w:footnote w:id="4">
    <w:p w14:paraId="488C790C" w14:textId="3AF751D4" w:rsidR="00295B36" w:rsidRPr="0035346E" w:rsidRDefault="00295B36" w:rsidP="00703F55">
      <w:pPr>
        <w:pStyle w:val="FootnoteText"/>
        <w:jc w:val="both"/>
        <w:rPr>
          <w:lang w:val="en-US"/>
        </w:rPr>
      </w:pPr>
      <w:r w:rsidRPr="00E7792B">
        <w:rPr>
          <w:rStyle w:val="FootnoteReference"/>
          <w:rFonts w:ascii="Times New Roman" w:hAnsi="Times New Roman" w:cs="Times New Roman"/>
          <w:color w:val="000000" w:themeColor="text1"/>
        </w:rPr>
        <w:footnoteRef/>
      </w:r>
      <w:r w:rsidRPr="00E7792B">
        <w:rPr>
          <w:rFonts w:ascii="Times New Roman" w:hAnsi="Times New Roman" w:cs="Times New Roman"/>
          <w:color w:val="000000" w:themeColor="text1"/>
          <w:lang w:val="en-US"/>
        </w:rPr>
        <w:t xml:space="preserve">The effects of PCCIs on CCPE might be observed gradually over time </w:t>
      </w:r>
      <w:r w:rsidRPr="00E7792B">
        <w:rPr>
          <w:rFonts w:ascii="Times New Roman" w:hAnsi="Times New Roman" w:cs="Times New Roman"/>
          <w:color w:val="000000" w:themeColor="text1"/>
          <w:lang w:val="en-US"/>
        </w:rPr>
        <w:fldChar w:fldCharType="begin" w:fldLock="1"/>
      </w:r>
      <w:r w:rsidRPr="00E7792B">
        <w:rPr>
          <w:rFonts w:ascii="Times New Roman" w:hAnsi="Times New Roman" w:cs="Times New Roman"/>
          <w:color w:val="000000" w:themeColor="text1"/>
          <w:lang w:val="en-US"/>
        </w:rPr>
        <w:instrText>ADDIN CSL_CITATION {"citationItems":[{"id":"ITEM-1","itemData":{"DOI":"10.1111/1467-8551.12395","ISSN":"14678551","abstract":"We examine the interrelationships among executive compensation, environmental-social-governance-based (ESG) sustainable compensation policy, carbon performance and market value. Using one of the largest datasets to date, consisting of 4379 firm-year observations, covering a period of 15 years (2002–2016) from 13 industrialized European countries and insights from neo-institutional theory (NIT), our findings are fourfold. First, our results suggest that process-oriented carbon performance is positively associated with market value, whereas actual carbon performance has no effect on market value. Second, we show that the market value–process-oriented carbon performance nexus is moderated by executive compensation. Third, our results indicate that executive compensation has a positive effect on process-oriented carbon performance, but has no similar effect on actual carbon performance. Fourth, we show that the process-oriented carbon performance–executive compensation nexus is reinforced for companies that adopt ESG-based sustainable compensation policy. Our results are generally robust to controlling for governance mechanisms, alternative measures/estimations and endogeneities. Overall, our evidence supports the legitimization aspect of NIT and suggests that the market tends to reward firms with superior process-oriented carbon performance instead of undervaluing firms with excessive actual carbon emissions. This implies that firms appear to use incentive-based mechanisms to symbolically improve their process-oriented carbon performance without substantively improving their actual carbon performance.","author":[{"dropping-particle":"","family":"Haque","given":"Faizul","non-dropping-particle":"","parse-names":false,"suffix":""},{"dropping-particle":"","family":"Ntim","given":"Collins G.","non-dropping-particle":"","parse-names":false,"suffix":""}],"container-title":"British Journal of Management","id":"ITEM-1","issue":"3","issued":{"date-parts":[["2020","7","1"]]},"page":"525-546","publisher":"Blackwell Publishing Ltd","title":"Executive Compensation, Sustainable Compensation Policy, Carbon Performance and Market Value","type":"article-journal","volume":"31"},"uris":["http://www.mendeley.com/documents/?uuid=233c96ce-971f-33e7-ad90-be8611789ad9"]}],"mendeley":{"formattedCitation":"(Haque and Ntim 2020)","plainTextFormattedCitation":"(Haque and Ntim 2020)","previouslyFormattedCitation":"(Haque and Ntim 2020)"},"properties":{"noteIndex":0},"schema":"https://github.com/citation-style-language/schema/raw/master/csl-citation.json"}</w:instrText>
      </w:r>
      <w:r w:rsidRPr="00E7792B">
        <w:rPr>
          <w:rFonts w:ascii="Times New Roman" w:hAnsi="Times New Roman" w:cs="Times New Roman"/>
          <w:color w:val="000000" w:themeColor="text1"/>
          <w:lang w:val="en-US"/>
        </w:rPr>
        <w:fldChar w:fldCharType="separate"/>
      </w:r>
      <w:r w:rsidRPr="00E7792B">
        <w:rPr>
          <w:rFonts w:ascii="Times New Roman" w:hAnsi="Times New Roman" w:cs="Times New Roman"/>
          <w:noProof/>
          <w:color w:val="000000" w:themeColor="text1"/>
          <w:lang w:val="en-US"/>
        </w:rPr>
        <w:t>(Haque and Ntim 2020)</w:t>
      </w:r>
      <w:r w:rsidRPr="00E7792B">
        <w:rPr>
          <w:rFonts w:ascii="Times New Roman" w:hAnsi="Times New Roman" w:cs="Times New Roman"/>
          <w:color w:val="000000" w:themeColor="text1"/>
          <w:lang w:val="en-US"/>
        </w:rPr>
        <w:fldChar w:fldCharType="end"/>
      </w:r>
      <w:r w:rsidRPr="00E7792B">
        <w:rPr>
          <w:rFonts w:ascii="Times New Roman" w:hAnsi="Times New Roman" w:cs="Times New Roman"/>
          <w:color w:val="000000" w:themeColor="text1"/>
          <w:lang w:val="en-US"/>
        </w:rPr>
        <w:t xml:space="preserve">. Hence, in addition to year </w:t>
      </w:r>
      <w:r w:rsidRPr="00E7792B">
        <w:rPr>
          <w:rFonts w:ascii="Times New Roman" w:hAnsi="Times New Roman" w:cs="Times New Roman"/>
          <w:i/>
          <w:color w:val="000000" w:themeColor="text1"/>
          <w:lang w:val="en-US"/>
        </w:rPr>
        <w:t>t</w:t>
      </w:r>
      <w:r w:rsidRPr="00E7792B">
        <w:rPr>
          <w:rFonts w:ascii="Times New Roman" w:hAnsi="Times New Roman" w:cs="Times New Roman"/>
          <w:color w:val="000000" w:themeColor="text1"/>
          <w:lang w:val="en-US"/>
        </w:rPr>
        <w:t>, we use the first and second lag values of PCCIs and other variables to ascertain whether PCCIs lead to emissions reduction in later years.</w:t>
      </w:r>
      <w:r w:rsidRPr="00E7792B">
        <w:rPr>
          <w:color w:val="000000" w:themeColor="text1"/>
          <w:lang w:val="en-US"/>
        </w:rPr>
        <w:t xml:space="preserve"> </w:t>
      </w:r>
    </w:p>
  </w:footnote>
  <w:footnote w:id="5">
    <w:p w14:paraId="2378FC16" w14:textId="2B81C87F" w:rsidR="00295B36" w:rsidRPr="008E3FE6" w:rsidRDefault="00295B36" w:rsidP="00734364">
      <w:pPr>
        <w:pStyle w:val="FootnoteText"/>
        <w:jc w:val="both"/>
        <w:rPr>
          <w:lang w:val="en-US"/>
        </w:rPr>
      </w:pPr>
      <w:r w:rsidRPr="008E3FE6">
        <w:rPr>
          <w:rStyle w:val="FootnoteReference"/>
        </w:rPr>
        <w:footnoteRef/>
      </w:r>
      <w:r w:rsidRPr="008E3FE6">
        <w:rPr>
          <w:rFonts w:ascii="Times New Roman" w:hAnsi="Times New Roman" w:cs="Times New Roman"/>
          <w:lang w:val="en-US"/>
        </w:rPr>
        <w:t xml:space="preserve">As climate change represents a global environmental threat, corporate impacts on the environment and ecosystems should be assessed at the planet level rather than at the national level </w:t>
      </w:r>
      <w:r w:rsidRPr="008E3FE6">
        <w:rPr>
          <w:rFonts w:ascii="Times New Roman" w:hAnsi="Times New Roman" w:cs="Times New Roman"/>
          <w:lang w:val="en-US"/>
        </w:rPr>
        <w:fldChar w:fldCharType="begin" w:fldLock="1"/>
      </w:r>
      <w:r w:rsidRPr="008E3FE6">
        <w:rPr>
          <w:rFonts w:ascii="Times New Roman" w:hAnsi="Times New Roman" w:cs="Times New Roman"/>
          <w:lang w:val="en-US"/>
        </w:rPr>
        <w:instrText>ADDIN CSL_CITATION {"citationItems":[{"id":"ITEM-1","itemData":{"DOI":"10.1108/AAAJ-06-2017-2957","ISSN":"09513574","abstract":"Purpose: We are currently experiencing what is often called the sixth period of mass extinction on planet Earth, caused undoubtedly by the impact of human activities and businesses on nature. The purpose of this paper is to explore the potential for accounting and corporate accountability to contribute to extinction prevention. The paper adopts an interdisciplinary approach, weaving scientific evidence and theory into organisational disclosure and reporting in order to demonstrate linkages between extinction, business behaviour, accounting and accountability as well as to provide a basis for developing a framework for narrative disclosure on extinction prevention. Design/methodology/approach: The paper is theoretical and interdisciplinary in approach, seeking to bring together scientific theories of extinction with a need for corporate and organisational accountability whilst recognising philosophical concerns in the extant environmental accounting literature about accepting any business role and capitalist mechanisms in ecological matters. The overarching framework derives from the concept of emancipatory accounting. Findings: The outcome of the writing is to: present an emancipatory “extinction accounting” framework which can be embedded within integrated reports, and a diagrammatic representation, in the form of an “ark”, of accounting and accountability mechanisms which, combined, can assist, the authors argue, in preventing extinction. The authors suggest that the emancipatory framework may also be applied to engagement meetings between the responsible investor community (and non-governmental organisations (NGOs)) and organisations on biodiversity and species protection. Research limitations/implications: The exploratory extinction accounting and accountability frameworks within this paper should provide a basis for further research into the emancipatory potential for organisational disclosures and mechanisms of governance and accountability to prevent species extinction. Practical implications: The next steps for researchers and practitioners involve development and implementation of the extinction accounting and engagement frameworks presented in this paper within integrated reporting and responsible investor practice. Social implications: As outlined in this paper, extinction of any species of flora and fauna can affect significantly the functioning of local and global ecosystems, the destruction of which can have, and is having, severe and dang…","author":[{"dropping-particle":"","family":"Atkins","given":"Jill","non-dropping-particle":"","parse-names":false,"suffix":""},{"dropping-particle":"","family":"Maroun","given":"Warren","non-dropping-particle":"","parse-names":false,"suffix":""}],"container-title":"Accounting, Auditing and Accountability Journal","id":"ITEM-1","issue":"3","issued":{"date-parts":[["2018"]]},"page":"750-786","title":"Integrated extinction accounting and accountability: building an ark","type":"article-journal","volume":"31"},"uris":["http://www.mendeley.com/documents/?uuid=8e92837a-d7a0-3ca9-aa44-b7520c236f51"]},{"id":"ITEM-2","itemData":{"DOI":"10.1080/14719037.2010.496266","ISSN":"14719045","abstract":"This article provides a critique of the Global Reporting Initiatives (GRI) guidelines, sustainability reporting (SR) guidelines and also examines their applicability to public and third sector organizations. The article finds that these guidelines promote a 'managerialist' approach to sustainability rather than an ecological and eco-justice informed approach, potentially causing them to fall into an evaluatory trap. This means that they do not contribute to sustainability. Since public and third sector organizations have yet to take up SR with the same fervour as the private sector, the opportunity exists to learn from the critique of the use of the GRI reports in practice. As such this article examines the implications of this finding for public and third sector organizations. A conclusion is that there is an opportunity for the GRI to develop guidelines further in line with existing practice to increase their relevance and utility. © 2010 Taylor &amp; Francis.","author":[{"dropping-particle":"","family":"Dumay","given":"John","non-dropping-particle":"","parse-names":false,"suffix":""},{"dropping-particle":"","family":"Guthrie","given":"James","non-dropping-particle":"","parse-names":false,"suffix":""},{"dropping-particle":"","family":"Farneti","given":"Federica","non-dropping-particle":"","parse-names":false,"suffix":""}],"container-title":"Public Management Review","id":"ITEM-2","issue":"4","issued":{"date-parts":[["2010"]]},"page":"531-548","title":"GRI sustainability reporting guidelines for public and third sector organizations: A critical review","type":"article-journal","volume":"12"},"uris":["http://www.mendeley.com/documents/?uuid=b5512533-5062-3018-a562-c4e1ee896493"]}],"mendeley":{"formattedCitation":"(Atkins and Maroun 2018; Dumay et al. 2010)","manualFormatting":"(Atkins and Maroun 2018; Dumay et al., 2010)","plainTextFormattedCitation":"(Atkins and Maroun 2018; Dumay et al. 2010)","previouslyFormattedCitation":"(Atkins and Maroun 2018; Dumay et al. 2010)"},"properties":{"noteIndex":0},"schema":"https://github.com/citation-style-language/schema/raw/master/csl-citation.json"}</w:instrText>
      </w:r>
      <w:r w:rsidRPr="008E3FE6">
        <w:rPr>
          <w:rFonts w:ascii="Times New Roman" w:hAnsi="Times New Roman" w:cs="Times New Roman"/>
          <w:lang w:val="en-US"/>
        </w:rPr>
        <w:fldChar w:fldCharType="separate"/>
      </w:r>
      <w:r w:rsidRPr="008E3FE6">
        <w:rPr>
          <w:rFonts w:ascii="Times New Roman" w:hAnsi="Times New Roman" w:cs="Times New Roman"/>
          <w:noProof/>
          <w:lang w:val="en-US"/>
        </w:rPr>
        <w:t xml:space="preserve">(Atkins and Maroun 2018; Dumay </w:t>
      </w:r>
      <w:r w:rsidRPr="008E3FE6">
        <w:rPr>
          <w:rFonts w:ascii="Times New Roman" w:hAnsi="Times New Roman" w:cs="Times New Roman"/>
          <w:i/>
          <w:iCs/>
          <w:noProof/>
          <w:lang w:val="en-US"/>
        </w:rPr>
        <w:t>et al</w:t>
      </w:r>
      <w:r w:rsidRPr="008E3FE6">
        <w:rPr>
          <w:rFonts w:ascii="Times New Roman" w:hAnsi="Times New Roman" w:cs="Times New Roman"/>
          <w:noProof/>
          <w:lang w:val="en-US"/>
        </w:rPr>
        <w:t>., 2010)</w:t>
      </w:r>
      <w:r w:rsidRPr="008E3FE6">
        <w:rPr>
          <w:rFonts w:ascii="Times New Roman" w:hAnsi="Times New Roman" w:cs="Times New Roman"/>
          <w:lang w:val="en-US"/>
        </w:rPr>
        <w:fldChar w:fldCharType="end"/>
      </w:r>
      <w:r w:rsidRPr="008E3FE6">
        <w:rPr>
          <w:rFonts w:ascii="Times New Roman" w:hAnsi="Times New Roman" w:cs="Times New Roman"/>
          <w:lang w:val="en-US"/>
        </w:rPr>
        <w:t xml:space="preserve">. Therefore, we assess PCCIs based on a wide range of climate change activities/practices designed to address environmental and ecological issues that are common in any part of the world.     </w:t>
      </w:r>
    </w:p>
  </w:footnote>
  <w:footnote w:id="6">
    <w:p w14:paraId="736B8AB7" w14:textId="20B98301" w:rsidR="00295B36" w:rsidRPr="008E3FE6" w:rsidRDefault="00295B36" w:rsidP="00734364">
      <w:pPr>
        <w:pStyle w:val="FootnoteText"/>
        <w:jc w:val="both"/>
        <w:rPr>
          <w:lang w:val="en-US"/>
        </w:rPr>
      </w:pPr>
      <w:r w:rsidRPr="008E3FE6">
        <w:rPr>
          <w:rStyle w:val="FootnoteReference"/>
        </w:rPr>
        <w:footnoteRef/>
      </w:r>
      <w:r w:rsidRPr="008E3FE6">
        <w:rPr>
          <w:rFonts w:ascii="Times New Roman" w:eastAsia="Calibri" w:hAnsi="Times New Roman" w:cs="Times New Roman"/>
          <w:lang w:val="en-US"/>
        </w:rPr>
        <w:t>The obtained alpha coefficient of 0.889, which is sufficiently higher than the cut-off level of 0.700, suggests that the instrument is reliable and suggests that the dimensions of the PCCIs have high internal consistency.</w:t>
      </w:r>
    </w:p>
  </w:footnote>
  <w:footnote w:id="7">
    <w:p w14:paraId="7FB58D8E" w14:textId="468BA605" w:rsidR="00295B36" w:rsidRPr="008E3FE6" w:rsidRDefault="00295B36" w:rsidP="00734364">
      <w:pPr>
        <w:pStyle w:val="FootnoteText1"/>
        <w:jc w:val="both"/>
        <w:rPr>
          <w:lang w:val="en-US"/>
        </w:rPr>
      </w:pPr>
      <w:r w:rsidRPr="008E3FE6">
        <w:rPr>
          <w:rStyle w:val="FootnoteReference"/>
        </w:rPr>
        <w:footnoteRef/>
      </w:r>
      <w:r w:rsidRPr="008E3FE6">
        <w:rPr>
          <w:rFonts w:eastAsia="Calibri" w:cs="Times New Roman"/>
          <w:lang w:val="en-US"/>
        </w:rPr>
        <w:t xml:space="preserve">ASSET4 ESG measures climate change initiatives/activities/ practices against all companies operating in the same sector. Hence, following the measurement approach used in prior research </w:t>
      </w:r>
      <w:r w:rsidRPr="008E3FE6">
        <w:rPr>
          <w:rFonts w:eastAsia="Calibri" w:cs="Times New Roman"/>
          <w:lang w:val="en-US"/>
        </w:rPr>
        <w:fldChar w:fldCharType="begin" w:fldLock="1"/>
      </w:r>
      <w:r w:rsidRPr="008E3FE6">
        <w:rPr>
          <w:rFonts w:eastAsia="Calibri" w:cs="Times New Roman"/>
          <w:lang w:val="en-US"/>
        </w:rPr>
        <w:instrText>ADDIN CSL_CITATION {"citationItems":[{"id":"ITEM-1","itemData":{"DOI":"10.1002/smj.3204","ISSN":"10970266","abstract":"Research summary: Research documents the performance effects of attending to shareholders and treating employees well but underplays national differences in the relative power of labor and capital. We advance a configurational perspective that acknowledges the fit between stakeholder engagement, context, firm attributes and performance. As a cornerstone of this perspective, we develop a typology of stakeholder engagement strategies expressing how firms navigate the tension between conforming with local expectations—by prioritizing shareholders or employees, according to context—and being distinctive—by diverging from their peers. Analyzing a cross-national sample of firms from 2004 to 2011, we identify combinations of engagement strategies, firm attributes, and contexts linked to high performance. Our findings highlight the multiple context-dependent paths, which link stakeholder engagement to high firm performance. Managerial summary: How do firms navigate pressures from shareholders and employees across different institutional environments? We develop a typology of stakeholder engagement strategies based on how firms in different countries strike a balance between conformity (i.e., prioritizing locally important stakeholders) and differentiation (i.e., prioritizing stakeholders that their local peers might neglect). Our findings show that the engagement strategies associated with high performance vary according to local institutional context and firm characteristics. In particular, by not merely prioritizing stakeholders who are already locally important, firms can use stakeholder engagement to differentiate themselves from their peers, and such engagement strategies are often linked to high performance.","author":[{"dropping-particle":"","family":"Gupta","given":"Kamini","non-dropping-particle":"","parse-names":false,"suffix":""},{"dropping-particle":"","family":"Crilly","given":"Donal","non-dropping-particle":"","parse-names":false,"suffix":""},{"dropping-particle":"","family":"Greckhamer","given":"Thomas","non-dropping-particle":"","parse-names":false,"suffix":""}],"container-title":"Strategic Management Journal","id":"ITEM-1","issue":"10","issued":{"date-parts":[["2020"]]},"page":"1869-1900","title":"Stakeholder engagement strategies, national institutions, and firm performance: A configurational perspective","type":"article-journal","volume":"41"},"uris":["http://www.mendeley.com/documents/?uuid=b2005217-dd36-3dae-b048-0ecb4a0388c6"]},{"id":"ITEM-2","itemData":{"DOI":"10.1016/j.bar.2021.101031","ISSN":"10958347","abstract":"We examine the effect of corporate environmental innovation (hereafter eco-innovation) on stock price crash risk and document a significant negative association. Utilising a large sample of publicly listed U.S. firms for the period 2003 to 2017, we find that an increase in eco-innovation from the 25th to the 75th percentile is associated with 17.62% reduction in stock price crash risk. This outcome remains robust to a variety of sensitivity tests and after accounting for potential endogeneity concerns. Eco-innovative firms attract more institutional investors and equity analyst following and disclose more information leading to lower stock price crash risk. Additional tests reveal that the negative effect of eco-innovation is contingent on the political leadership's ideology and environmental sensitivity. Our paper contributes to the ongoing discourse on the costs and benefits of eco-innovation, documenting the value-enhancing perspective of eco-innovation.","author":[{"dropping-particle":"","family":"Zaman","given":"Rashid","non-dropping-particle":"","parse-names":false,"suffix":""},{"dropping-particle":"","family":"Atawnah","given":"Nader","non-dropping-particle":"","parse-names":false,"suffix":""},{"dropping-particle":"","family":"Haseeb","given":"Muhammad","non-dropping-particle":"","parse-names":false,"suffix":""},{"dropping-particle":"","family":"Nadeem","given":"Muhammad","non-dropping-particle":"","parse-names":false,"suffix":""},{"dropping-particle":"","family":"Irfan","given":"Saadia","non-dropping-particle":"","parse-names":false,"suffix":""}],"container-title":"British Accounting Review","id":"ITEM-2","issued":{"date-parts":[["2021"]]},"title":"Does corporate eco-innovation affect stock price crash risk?","type":"article-journal"},"uris":["http://www.mendeley.com/documents/?uuid=9d181b5d-2f49-3876-9cf2-85f972519835"]}],"mendeley":{"formattedCitation":"(Gupta et al. 2020; Zaman et al. 2021)","manualFormatting":"(Gupta et al., 2020; Zaman et al., 2021)","plainTextFormattedCitation":"(Gupta et al. 2020; Zaman et al. 2021)","previouslyFormattedCitation":"(Gupta et al. 2020; Zaman et al. 2021)"},"properties":{"noteIndex":0},"schema":"https://github.com/citation-style-language/schema/raw/master/csl-citation.json"}</w:instrText>
      </w:r>
      <w:r w:rsidRPr="008E3FE6">
        <w:rPr>
          <w:rFonts w:eastAsia="Calibri" w:cs="Times New Roman"/>
          <w:lang w:val="en-US"/>
        </w:rPr>
        <w:fldChar w:fldCharType="separate"/>
      </w:r>
      <w:r w:rsidRPr="008E3FE6">
        <w:rPr>
          <w:rFonts w:eastAsia="Calibri" w:cs="Times New Roman"/>
          <w:noProof/>
          <w:lang w:val="en-US"/>
        </w:rPr>
        <w:t xml:space="preserve">(Gupta </w:t>
      </w:r>
      <w:r w:rsidRPr="008E3FE6">
        <w:rPr>
          <w:rFonts w:eastAsia="Calibri" w:cs="Times New Roman"/>
          <w:i/>
          <w:noProof/>
          <w:lang w:val="en-US"/>
        </w:rPr>
        <w:t>et al.,</w:t>
      </w:r>
      <w:r w:rsidRPr="008E3FE6">
        <w:rPr>
          <w:rFonts w:eastAsia="Calibri" w:cs="Times New Roman"/>
          <w:noProof/>
          <w:lang w:val="en-US"/>
        </w:rPr>
        <w:t xml:space="preserve"> 2020; Zaman </w:t>
      </w:r>
      <w:r w:rsidRPr="008E3FE6">
        <w:rPr>
          <w:rFonts w:eastAsia="Calibri" w:cs="Times New Roman"/>
          <w:i/>
          <w:noProof/>
          <w:lang w:val="en-US"/>
        </w:rPr>
        <w:t>et al.,</w:t>
      </w:r>
      <w:r w:rsidRPr="008E3FE6">
        <w:rPr>
          <w:rFonts w:eastAsia="Calibri" w:cs="Times New Roman"/>
          <w:noProof/>
          <w:lang w:val="en-US"/>
        </w:rPr>
        <w:t xml:space="preserve"> 2021)</w:t>
      </w:r>
      <w:r w:rsidRPr="008E3FE6">
        <w:rPr>
          <w:rFonts w:eastAsia="Calibri" w:cs="Times New Roman"/>
          <w:lang w:val="en-US"/>
        </w:rPr>
        <w:fldChar w:fldCharType="end"/>
      </w:r>
      <w:r w:rsidRPr="008E3FE6">
        <w:rPr>
          <w:rFonts w:eastAsia="Calibri" w:cs="Times New Roman"/>
          <w:lang w:val="en-US"/>
        </w:rPr>
        <w:t>, we develop the PCCIs index for each firm by comparing its activities to those of other firms from the same sector</w:t>
      </w:r>
      <w:r w:rsidRPr="008E3FE6">
        <w:rPr>
          <w:rFonts w:cs="Times New Roman"/>
          <w:lang w:val="en-US"/>
        </w:rPr>
        <w:t>.</w:t>
      </w:r>
    </w:p>
  </w:footnote>
  <w:footnote w:id="8">
    <w:p w14:paraId="7304832F" w14:textId="0E0B2BE5" w:rsidR="00295B36" w:rsidRPr="003153EA" w:rsidRDefault="00295B36" w:rsidP="00734364">
      <w:pPr>
        <w:pStyle w:val="FootnoteText1"/>
        <w:jc w:val="both"/>
        <w:rPr>
          <w:lang w:val="en-US"/>
        </w:rPr>
      </w:pPr>
      <w:r w:rsidRPr="008E3FE6">
        <w:rPr>
          <w:rStyle w:val="FootnoteReference"/>
        </w:rPr>
        <w:footnoteRef/>
      </w:r>
      <w:r w:rsidRPr="008E3FE6">
        <w:rPr>
          <w:lang w:val="en-US"/>
        </w:rPr>
        <w:t xml:space="preserve">Scope 1 includes direct GHG emissions in </w:t>
      </w:r>
      <w:proofErr w:type="spellStart"/>
      <w:r w:rsidRPr="008E3FE6">
        <w:rPr>
          <w:lang w:val="en-US"/>
        </w:rPr>
        <w:t>tonnes</w:t>
      </w:r>
      <w:proofErr w:type="spellEnd"/>
      <w:r w:rsidRPr="008E3FE6">
        <w:rPr>
          <w:lang w:val="en-US"/>
        </w:rPr>
        <w:t xml:space="preserve"> resulting from corporate activities, whereas Scope 2 represents indirect GHG emissions arising from the consumption of purchased energy resources, such as </w:t>
      </w:r>
      <w:r w:rsidRPr="008E3FE6">
        <w:rPr>
          <w:rFonts w:cs="Times New Roman"/>
          <w:lang w:val="en-US"/>
        </w:rPr>
        <w:t xml:space="preserve">electricity, cooling, heat and steam. </w:t>
      </w:r>
      <w:r w:rsidRPr="008E3FE6">
        <w:rPr>
          <w:lang w:val="en-US"/>
        </w:rPr>
        <w:t>Scope 3, which includes other indirect emissions, is not included in the analysis due to missing data for the majority of firms and years. Higher CCPE values indicate greater levels of GHG emissions (i.e., weaker carbon performance).</w:t>
      </w:r>
      <w:r w:rsidRPr="003153EA">
        <w:rPr>
          <w:lang w:val="en-US"/>
        </w:rPr>
        <w:t xml:space="preserve"> </w:t>
      </w:r>
    </w:p>
  </w:footnote>
  <w:footnote w:id="9">
    <w:p w14:paraId="75D29BC3" w14:textId="3D0B0F01" w:rsidR="00295B36" w:rsidRPr="00734364" w:rsidRDefault="00295B36" w:rsidP="00734364">
      <w:pPr>
        <w:pStyle w:val="FootnoteText"/>
        <w:jc w:val="both"/>
        <w:rPr>
          <w:lang w:val="en-US"/>
        </w:rPr>
      </w:pPr>
      <w:r w:rsidRPr="003153EA">
        <w:rPr>
          <w:rStyle w:val="FootnoteReference"/>
        </w:rPr>
        <w:footnoteRef/>
      </w:r>
      <w:r w:rsidRPr="003153EA">
        <w:rPr>
          <w:rFonts w:ascii="Times New Roman" w:hAnsi="Times New Roman" w:cs="Times New Roman"/>
          <w:lang w:val="en-US"/>
        </w:rPr>
        <w:t>Tobin’s q calculation includes market value of shares/stocks. In additional analysis, we have also checked the robustness of our findings by using other stock-based valuations measures, such as price-to-book and market-to-book ratios, which for brevity not reported here, but will be available upon request.</w:t>
      </w:r>
    </w:p>
  </w:footnote>
  <w:footnote w:id="10">
    <w:p w14:paraId="48F8E9EC" w14:textId="5A276EF3" w:rsidR="00295B36" w:rsidRPr="003153EA" w:rsidRDefault="00295B36" w:rsidP="00EC5A9C">
      <w:pPr>
        <w:spacing w:after="0" w:line="240" w:lineRule="auto"/>
        <w:jc w:val="both"/>
        <w:rPr>
          <w:rFonts w:ascii="Times New Roman" w:eastAsia="Calibri" w:hAnsi="Times New Roman" w:cs="Times New Roman"/>
          <w:sz w:val="20"/>
          <w:szCs w:val="20"/>
          <w:lang w:val="en-US"/>
        </w:rPr>
      </w:pPr>
      <w:r w:rsidRPr="003153EA">
        <w:rPr>
          <w:rStyle w:val="FootnoteReference"/>
        </w:rPr>
        <w:footnoteRef/>
      </w:r>
      <w:r w:rsidRPr="003153EA">
        <w:rPr>
          <w:rFonts w:ascii="Times New Roman" w:eastAsia="Calibri" w:hAnsi="Times New Roman" w:cs="Times New Roman"/>
          <w:sz w:val="20"/>
          <w:szCs w:val="20"/>
          <w:lang w:val="en-US"/>
        </w:rPr>
        <w:t xml:space="preserve">We also estimate the variation inflation factor (VIF) for each explanatory variable. As suggested by </w:t>
      </w:r>
      <w:r w:rsidRPr="003153EA">
        <w:rPr>
          <w:rFonts w:ascii="Times New Roman" w:eastAsia="Calibri" w:hAnsi="Times New Roman" w:cs="Times New Roman"/>
          <w:sz w:val="20"/>
          <w:szCs w:val="20"/>
          <w:lang w:val="en-US"/>
        </w:rPr>
        <w:fldChar w:fldCharType="begin" w:fldLock="1"/>
      </w:r>
      <w:r w:rsidRPr="003153EA">
        <w:rPr>
          <w:rFonts w:ascii="Times New Roman" w:eastAsia="Calibri" w:hAnsi="Times New Roman" w:cs="Times New Roman"/>
          <w:sz w:val="20"/>
          <w:szCs w:val="20"/>
          <w:lang w:val="en-US"/>
        </w:rPr>
        <w:instrText>ADDIN CSL_CITATION {"citationItems":[{"id":"ITEM-1","itemData":{"author":[{"dropping-particle":"","family":"Chatterjee","given":"S.","non-dropping-particle":"","parse-names":false,"suffix":""},{"dropping-particle":"","family":"Hadi","given":"A.","non-dropping-particle":"","parse-names":false,"suffix":""},{"dropping-particle":"","family":"Price","given":"B.","non-dropping-particle":"","parse-names":false,"suffix":""}],"edition":"third edit","id":"ITEM-1","issued":{"date-parts":[["2000"]]},"publisher":"John Wiley and Sons, Inc.","publisher-place":"New York","title":"Regression Analysis by Example","type":"book"},"uris":["http://www.mendeley.com/documents/?uuid=b6e44497-872e-42ed-8c11-5b8d65257130"]}],"mendeley":{"formattedCitation":"(Chatterjee et al. 2000)","manualFormatting":"Chatterjee et al. (2000)","plainTextFormattedCitation":"(Chatterjee et al. 2000)","previouslyFormattedCitation":"(Chatterjee et al. 2000)"},"properties":{"noteIndex":0},"schema":"https://github.com/citation-style-language/schema/raw/master/csl-citation.json"}</w:instrText>
      </w:r>
      <w:r w:rsidRPr="003153EA">
        <w:rPr>
          <w:rFonts w:ascii="Times New Roman" w:eastAsia="Calibri" w:hAnsi="Times New Roman" w:cs="Times New Roman"/>
          <w:sz w:val="20"/>
          <w:szCs w:val="20"/>
          <w:lang w:val="en-US"/>
        </w:rPr>
        <w:fldChar w:fldCharType="separate"/>
      </w:r>
      <w:r w:rsidRPr="003153EA">
        <w:rPr>
          <w:rFonts w:ascii="Times New Roman" w:eastAsia="Calibri" w:hAnsi="Times New Roman" w:cs="Times New Roman"/>
          <w:noProof/>
          <w:sz w:val="20"/>
          <w:szCs w:val="20"/>
          <w:lang w:val="en-US"/>
        </w:rPr>
        <w:t xml:space="preserve">Chatterjee </w:t>
      </w:r>
      <w:r w:rsidRPr="003153EA">
        <w:rPr>
          <w:rFonts w:ascii="Times New Roman" w:eastAsia="Calibri" w:hAnsi="Times New Roman" w:cs="Times New Roman"/>
          <w:i/>
          <w:iCs/>
          <w:noProof/>
          <w:sz w:val="20"/>
          <w:szCs w:val="20"/>
          <w:lang w:val="en-US"/>
        </w:rPr>
        <w:t>et al</w:t>
      </w:r>
      <w:r w:rsidRPr="003153EA">
        <w:rPr>
          <w:rFonts w:ascii="Times New Roman" w:eastAsia="Calibri" w:hAnsi="Times New Roman" w:cs="Times New Roman"/>
          <w:noProof/>
          <w:sz w:val="20"/>
          <w:szCs w:val="20"/>
          <w:lang w:val="en-US"/>
        </w:rPr>
        <w:t>. (2000)</w:t>
      </w:r>
      <w:r w:rsidRPr="003153EA">
        <w:rPr>
          <w:rFonts w:ascii="Times New Roman" w:eastAsia="Calibri" w:hAnsi="Times New Roman" w:cs="Times New Roman"/>
          <w:sz w:val="20"/>
          <w:szCs w:val="20"/>
          <w:lang w:val="en-US"/>
        </w:rPr>
        <w:fldChar w:fldCharType="end"/>
      </w:r>
      <w:r w:rsidRPr="003153EA">
        <w:rPr>
          <w:rFonts w:ascii="Times New Roman" w:eastAsia="Calibri" w:hAnsi="Times New Roman" w:cs="Times New Roman"/>
          <w:sz w:val="20"/>
          <w:szCs w:val="20"/>
          <w:lang w:val="en-US"/>
        </w:rPr>
        <w:t xml:space="preserve">, a VIF value, exceeding a threshold value of 10, indicates the presence of multicollinearity. The results (not reported) reveal that the highest VIF is 2.33 and the mean VIF is 1.39, thus indicating that multicollinearity does not appear to be an issue in our study. </w:t>
      </w:r>
    </w:p>
    <w:p w14:paraId="1032DFCC" w14:textId="77777777" w:rsidR="00295B36" w:rsidRPr="00A15246" w:rsidRDefault="00295B36" w:rsidP="00EC5A9C">
      <w:pPr>
        <w:pStyle w:val="FootnoteText"/>
        <w:rPr>
          <w:lang w:val="en-US"/>
        </w:rPr>
      </w:pPr>
    </w:p>
  </w:footnote>
  <w:footnote w:id="11">
    <w:p w14:paraId="7B016D60" w14:textId="59E57701" w:rsidR="00295B36" w:rsidRPr="00446CA1" w:rsidRDefault="00295B36" w:rsidP="00116BD0">
      <w:pPr>
        <w:pStyle w:val="FootnoteText"/>
        <w:jc w:val="both"/>
        <w:rPr>
          <w:lang w:val="en-US"/>
        </w:rPr>
      </w:pPr>
      <w:r w:rsidRPr="003153EA">
        <w:rPr>
          <w:rStyle w:val="FootnoteReference"/>
        </w:rPr>
        <w:footnoteRef/>
      </w:r>
      <w:r w:rsidRPr="003153EA">
        <w:rPr>
          <w:rFonts w:ascii="Times New Roman" w:eastAsia="Times New Roman" w:hAnsi="Times New Roman" w:cs="Times New Roman"/>
          <w:bCs/>
          <w:lang w:val="en-US" w:eastAsia="ru-RU"/>
        </w:rPr>
        <w:t xml:space="preserve">Consistent with prior studies </w:t>
      </w:r>
      <w:r w:rsidRPr="003153EA">
        <w:rPr>
          <w:rFonts w:ascii="Times New Roman" w:eastAsia="Times New Roman" w:hAnsi="Times New Roman" w:cs="Times New Roman"/>
          <w:bCs/>
          <w:lang w:val="en-US" w:eastAsia="ru-RU"/>
        </w:rPr>
        <w:fldChar w:fldCharType="begin" w:fldLock="1"/>
      </w:r>
      <w:r w:rsidRPr="003153EA">
        <w:rPr>
          <w:rFonts w:ascii="Times New Roman" w:eastAsia="Times New Roman" w:hAnsi="Times New Roman" w:cs="Times New Roman"/>
          <w:bCs/>
          <w:lang w:val="en-US" w:eastAsia="ru-RU"/>
        </w:rPr>
        <w:instrText>ADDIN CSL_CITATION {"citationItems":[{"id":"ITEM-1","itemData":{"DOI":"10.1111/1467-8551.12517","ISSN":"14678551","abstract":"We explore how a code, soft quota and a proposal for supranational law for board gender diversity affects women directors’ human capital characteristics and corporate outcomes with an unbalanced panel of 116 non-financial firms and 1,321 firm-year observations from 2003 to 2016 in Spain. Consistent with resource dependence theory, after a non-punitive law is passed, boards seek to appoint more female directors who possess human capital attributes that will reduce uncertainty and bring necessary resources to firms. Compared with their pre-law counterparts, the new female directors tend to have more human capital in terms of executive experience in non-listed firms, and some non-executive backgrounds, education and international experience; however, these new women directors generally possess less human capital than their male counterparts. Upper echelons theory suggests that board directors can meaningfully impact corporate outcomes. Overall, our results contradict upper echelons predictions about the impact of a regulation-driven increase of women directors on corporate outcomes. Indeed, we find a lack of impact of the increase in women's presence on boards on corporate outcomes. Regarding policy, our findings substantially differ from those reported for countries with ‘hard law’ board gender quotas.","author":[{"dropping-particle":"","family":"Martínez-García","given":"Irma","non-dropping-particle":"","parse-names":false,"suffix":""},{"dropping-particle":"","family":"Terjesen","given":"Siri","non-dropping-particle":"","parse-names":false,"suffix":""},{"dropping-particle":"","family":"Gómez-Ansón","given":"Silvia","non-dropping-particle":"","parse-names":false,"suffix":""}],"container-title":"British Journal of Management","id":"ITEM-1","issue":"2","issued":{"date-parts":[["2022"]]},"page":"753-783","title":"Board Gender Diversity Codes, Quotas and Threats of Supranational Legislation: Impact on Director Characteristics and Corporate Outcomes","type":"article-journal","volume":"33"},"uris":["http://www.mendeley.com/documents/?uuid=0a71edd8-5f70-3c24-90a8-2bb6becf2a22"]},{"id":"ITEM-2","itemData":{"DOI":"10.1016/J.JCORPFIN.2019.04.002","ISSN":"0929-1199","abstract":"Employing 63,464 firm-year observations of 8876 companies in 22 countries from 2000 to 2013, we conduct a series of multiple regression analyses that reveal a significantly positive relationship between board gender diversity and dividend payouts. The empirical results confirm that board gender diversity facilitates corporate governance and consequently promotes dividend payouts. We also show that a good institutional environment may weaken the effect of board gender diversity on dividend payouts. Institutional ownership is positively associated with board gender diversity and that corporate dividend payouts increase when female senior executives have shareholdings. The findings of our analysis are robust after controlling for potential endogeneity concerns.","author":[{"dropping-particle":"","family":"Ye","given":"Dezhu","non-dropping-particle":"","parse-names":false,"suffix":""},{"dropping-particle":"","family":"Deng","given":"Jie","non-dropping-particle":"","parse-names":false,"suffix":""},{"dropping-particle":"","family":"Liu","given":"Yi","non-dropping-particle":"","parse-names":false,"suffix":""},{"dropping-particle":"","family":"Szewczyk","given":"Samuel H.","non-dropping-particle":"","parse-names":false,"suffix":""},{"dropping-particle":"","family":"Chen","given":"Xiao","non-dropping-particle":"","parse-names":false,"suffix":""}],"container-title":"Journal of Corporate Finance","id":"ITEM-2","issued":{"date-parts":[["2019","10","1"]]},"page":"1-26","publisher":"North-Holland","title":"Does board gender diversity increase dividend payouts? Analysis of global evidence","type":"article-journal","volume":"58"},"uris":["http://www.mendeley.com/documents/?uuid=264846ff-1c77-3b53-b839-ad3dd7403136"]}],"mendeley":{"formattedCitation":"(Martínez-García et al. 2022; Ye et al. 2019)","manualFormatting":"(Martínez-García et al., 2022; Ye et al., 2019)","plainTextFormattedCitation":"(Martínez-García et al. 2022; Ye et al. 2019)","previouslyFormattedCitation":"(Martínez-García et al. 2022; Ye et al. 2019)"},"properties":{"noteIndex":0},"schema":"https://github.com/citation-style-language/schema/raw/master/csl-citation.json"}</w:instrText>
      </w:r>
      <w:r w:rsidRPr="003153EA">
        <w:rPr>
          <w:rFonts w:ascii="Times New Roman" w:eastAsia="Times New Roman" w:hAnsi="Times New Roman" w:cs="Times New Roman"/>
          <w:bCs/>
          <w:lang w:val="en-US" w:eastAsia="ru-RU"/>
        </w:rPr>
        <w:fldChar w:fldCharType="separate"/>
      </w:r>
      <w:r w:rsidRPr="003153EA">
        <w:rPr>
          <w:rFonts w:ascii="Times New Roman" w:eastAsia="Times New Roman" w:hAnsi="Times New Roman" w:cs="Times New Roman"/>
          <w:bCs/>
          <w:noProof/>
          <w:lang w:val="en-US" w:eastAsia="ru-RU"/>
        </w:rPr>
        <w:t xml:space="preserve">(Martínez-García </w:t>
      </w:r>
      <w:r w:rsidRPr="003153EA">
        <w:rPr>
          <w:rFonts w:ascii="Times New Roman" w:eastAsia="Times New Roman" w:hAnsi="Times New Roman" w:cs="Times New Roman"/>
          <w:bCs/>
          <w:i/>
          <w:iCs/>
          <w:noProof/>
          <w:lang w:val="en-US" w:eastAsia="ru-RU"/>
        </w:rPr>
        <w:t>et al.</w:t>
      </w:r>
      <w:r w:rsidRPr="003153EA">
        <w:rPr>
          <w:rFonts w:ascii="Times New Roman" w:eastAsia="Times New Roman" w:hAnsi="Times New Roman" w:cs="Times New Roman"/>
          <w:bCs/>
          <w:noProof/>
          <w:lang w:val="en-US" w:eastAsia="ru-RU"/>
        </w:rPr>
        <w:t xml:space="preserve">, 2022; Ye </w:t>
      </w:r>
      <w:r w:rsidRPr="003153EA">
        <w:rPr>
          <w:rFonts w:ascii="Times New Roman" w:eastAsia="Times New Roman" w:hAnsi="Times New Roman" w:cs="Times New Roman"/>
          <w:bCs/>
          <w:i/>
          <w:iCs/>
          <w:noProof/>
          <w:lang w:val="en-US" w:eastAsia="ru-RU"/>
        </w:rPr>
        <w:t>et al</w:t>
      </w:r>
      <w:r w:rsidRPr="003153EA">
        <w:rPr>
          <w:rFonts w:ascii="Times New Roman" w:eastAsia="Times New Roman" w:hAnsi="Times New Roman" w:cs="Times New Roman"/>
          <w:bCs/>
          <w:noProof/>
          <w:lang w:val="en-US" w:eastAsia="ru-RU"/>
        </w:rPr>
        <w:t>., 2019)</w:t>
      </w:r>
      <w:r w:rsidRPr="003153EA">
        <w:rPr>
          <w:rFonts w:ascii="Times New Roman" w:eastAsia="Times New Roman" w:hAnsi="Times New Roman" w:cs="Times New Roman"/>
          <w:bCs/>
          <w:lang w:val="en-US" w:eastAsia="ru-RU"/>
        </w:rPr>
        <w:fldChar w:fldCharType="end"/>
      </w:r>
      <w:r w:rsidRPr="003153EA">
        <w:rPr>
          <w:rFonts w:ascii="Times New Roman" w:eastAsia="Times New Roman" w:hAnsi="Times New Roman" w:cs="Times New Roman"/>
          <w:bCs/>
          <w:lang w:val="en-US" w:eastAsia="ru-RU"/>
        </w:rPr>
        <w:t>, we utilize the first lag and sector average values of the main independent variables as instruments. Following these studies, we rely on these instruments, as they are unlikely to be correlated with the error term and may not directly affect the dependent variables. T</w:t>
      </w:r>
      <w:r>
        <w:rPr>
          <w:rFonts w:ascii="Times New Roman" w:hAnsi="Times New Roman" w:cs="Times New Roman"/>
          <w:sz w:val="18"/>
          <w:szCs w:val="18"/>
          <w:lang w:val="en-US"/>
        </w:rPr>
        <w:t xml:space="preserve">he </w:t>
      </w:r>
      <w:r w:rsidRPr="003153EA">
        <w:rPr>
          <w:rFonts w:ascii="Times New Roman" w:hAnsi="Times New Roman" w:cs="Times New Roman"/>
          <w:bCs/>
          <w:sz w:val="18"/>
          <w:szCs w:val="18"/>
          <w:lang w:val="en-US"/>
        </w:rPr>
        <w:t>C</w:t>
      </w:r>
      <w:r>
        <w:rPr>
          <w:rFonts w:ascii="Times New Roman" w:hAnsi="Times New Roman" w:cs="Times New Roman"/>
          <w:bCs/>
          <w:sz w:val="18"/>
          <w:szCs w:val="18"/>
          <w:lang w:val="en-US"/>
        </w:rPr>
        <w:t xml:space="preserve">ragg-Donald Wald F, </w:t>
      </w:r>
      <w:r>
        <w:rPr>
          <w:rFonts w:ascii="Times New Roman" w:hAnsi="Times New Roman"/>
          <w:iCs/>
          <w:sz w:val="18"/>
          <w:szCs w:val="18"/>
          <w:lang w:val="en-US"/>
        </w:rPr>
        <w:t xml:space="preserve">Anderson-Rubin Wald Chi-sq., </w:t>
      </w:r>
      <w:r>
        <w:rPr>
          <w:rFonts w:ascii="Times New Roman" w:hAnsi="Times New Roman" w:cs="Times New Roman"/>
          <w:bCs/>
          <w:sz w:val="18"/>
          <w:szCs w:val="18"/>
          <w:lang w:val="en-US"/>
        </w:rPr>
        <w:t xml:space="preserve">and </w:t>
      </w:r>
      <w:proofErr w:type="spellStart"/>
      <w:r>
        <w:rPr>
          <w:rFonts w:ascii="Times New Roman" w:hAnsi="Times New Roman" w:cs="Times New Roman"/>
          <w:bCs/>
          <w:sz w:val="18"/>
          <w:szCs w:val="18"/>
          <w:lang w:val="en-US"/>
        </w:rPr>
        <w:t>Sargan</w:t>
      </w:r>
      <w:proofErr w:type="spellEnd"/>
      <w:r w:rsidRPr="003153EA">
        <w:rPr>
          <w:rFonts w:ascii="Times New Roman" w:hAnsi="Times New Roman" w:cs="Times New Roman"/>
          <w:bCs/>
          <w:sz w:val="18"/>
          <w:szCs w:val="18"/>
          <w:lang w:val="en-US"/>
        </w:rPr>
        <w:t xml:space="preserve"> statistics, reported in Table 11, suggest</w:t>
      </w:r>
      <w:r w:rsidRPr="003153EA">
        <w:rPr>
          <w:rFonts w:ascii="Times New Roman" w:eastAsia="Times New Roman" w:hAnsi="Times New Roman" w:cs="Times New Roman"/>
          <w:bCs/>
          <w:lang w:val="en-US" w:eastAsia="ru-RU"/>
        </w:rPr>
        <w:t xml:space="preserve"> that the selected instruments are suitable. </w:t>
      </w:r>
    </w:p>
  </w:footnote>
  <w:footnote w:id="12">
    <w:p w14:paraId="0AC05F84" w14:textId="76B3F275" w:rsidR="00295B36" w:rsidRPr="003153EA" w:rsidRDefault="00295B36" w:rsidP="00EC5A9C">
      <w:pPr>
        <w:pStyle w:val="FootnoteText"/>
        <w:jc w:val="both"/>
        <w:rPr>
          <w:lang w:val="en-US"/>
        </w:rPr>
      </w:pPr>
      <w:r w:rsidRPr="003153EA">
        <w:rPr>
          <w:rStyle w:val="FootnoteReference"/>
        </w:rPr>
        <w:footnoteRef/>
      </w:r>
      <w:r w:rsidRPr="003153EA">
        <w:rPr>
          <w:rFonts w:ascii="Times New Roman" w:eastAsia="Calibri" w:hAnsi="Times New Roman" w:cs="Times New Roman"/>
          <w:lang w:val="en-US"/>
        </w:rPr>
        <w:t xml:space="preserve">The first and second lags of explanatory variables are used as instruments, whereas year dummies and country-specific variables are classified as exogenous variables consistent with </w:t>
      </w:r>
      <w:r w:rsidRPr="003153EA">
        <w:rPr>
          <w:rFonts w:ascii="Times New Roman" w:eastAsia="Calibri" w:hAnsi="Times New Roman" w:cs="Times New Roman"/>
          <w:lang w:val="en-US"/>
        </w:rPr>
        <w:fldChar w:fldCharType="begin" w:fldLock="1"/>
      </w:r>
      <w:r w:rsidRPr="003153EA">
        <w:rPr>
          <w:rFonts w:ascii="Times New Roman" w:eastAsia="Calibri" w:hAnsi="Times New Roman" w:cs="Times New Roman"/>
          <w:lang w:val="en-US"/>
        </w:rPr>
        <w:instrText>ADDIN CSL_CITATION {"citationItems":[{"id":"ITEM-1","itemData":{"DOI":"10.1016/j.jfineco.2012.03.005","ISBN":"0304405X","ISSN":"0304405X","PMID":"1025006387","abstract":"We use a well-developed dynamic panel generalized method of moments (GMM) estimator to alleviate endogeneity concerns in two aspects of corporate governance research: the effect of board structure on firm performance and the determinants of board structure. The estimator incorporates the dynamic nature of internal governance choices to provide valid and powerful instruments that address unobserved heterogeneity and simultaneity. We re-examine the relation between board structure and performance using the GMM estimator in a panel of 6,000 firms over a period from 1991 to 2003, and find no causal relation between board structure and current firm performance. We illustrate why other commonly used estimators that ignore the dynamic relationship between current governance and past firm performance may be biased. We discuss where it may be appropriate to consider the dynamic panel GMM estimator in corporate governance research, as well as caveats to its use. © 2012 Elsevier B.V.","author":[{"dropping-particle":"","family":"Wintoki","given":"M. Babajide","non-dropping-particle":"","parse-names":false,"suffix":""},{"dropping-particle":"","family":"Linck","given":"James S.","non-dropping-particle":"","parse-names":false,"suffix":""},{"dropping-particle":"","family":"Netter","given":"Jeffry M.","non-dropping-particle":"","parse-names":false,"suffix":""}],"container-title":"Journal of Financial Economics","id":"ITEM-1","issue":"3","issued":{"date-parts":[["2012"]]},"page":"581-606","title":"Endogeneity and the dynamics of internal corporate governance","type":"article-journal","volume":"105"},"uris":["http://www.mendeley.com/documents/?uuid=0c2ec3e9-261c-41cc-aee0-3ea5cbdd508c"]}],"mendeley":{"formattedCitation":"(Wintoki et al. 2012)","manualFormatting":"Wintoki et al. (2012)","plainTextFormattedCitation":"(Wintoki et al. 2012)","previouslyFormattedCitation":"(Wintoki et al. 2012)"},"properties":{"noteIndex":0},"schema":"https://github.com/citation-style-language/schema/raw/master/csl-citation.json"}</w:instrText>
      </w:r>
      <w:r w:rsidRPr="003153EA">
        <w:rPr>
          <w:rFonts w:ascii="Times New Roman" w:eastAsia="Calibri" w:hAnsi="Times New Roman" w:cs="Times New Roman"/>
          <w:lang w:val="en-US"/>
        </w:rPr>
        <w:fldChar w:fldCharType="separate"/>
      </w:r>
      <w:r w:rsidRPr="003153EA">
        <w:rPr>
          <w:rFonts w:ascii="Times New Roman" w:eastAsia="Calibri" w:hAnsi="Times New Roman" w:cs="Times New Roman"/>
          <w:noProof/>
          <w:lang w:val="en-US"/>
        </w:rPr>
        <w:t xml:space="preserve">Wintoki </w:t>
      </w:r>
      <w:r w:rsidRPr="003153EA">
        <w:rPr>
          <w:rFonts w:ascii="Times New Roman" w:eastAsia="Calibri" w:hAnsi="Times New Roman" w:cs="Times New Roman"/>
          <w:i/>
          <w:iCs/>
          <w:noProof/>
          <w:lang w:val="en-US"/>
        </w:rPr>
        <w:t>et al</w:t>
      </w:r>
      <w:r w:rsidRPr="003153EA">
        <w:rPr>
          <w:rFonts w:ascii="Times New Roman" w:eastAsia="Calibri" w:hAnsi="Times New Roman" w:cs="Times New Roman"/>
          <w:noProof/>
          <w:lang w:val="en-US"/>
        </w:rPr>
        <w:t>. (2012)</w:t>
      </w:r>
      <w:r w:rsidRPr="003153EA">
        <w:rPr>
          <w:rFonts w:ascii="Times New Roman" w:eastAsia="Calibri" w:hAnsi="Times New Roman" w:cs="Times New Roman"/>
          <w:lang w:val="en-US"/>
        </w:rPr>
        <w:fldChar w:fldCharType="end"/>
      </w:r>
      <w:r w:rsidRPr="003153EA">
        <w:rPr>
          <w:rFonts w:ascii="Times New Roman" w:eastAsia="Calibri"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B0F"/>
    <w:multiLevelType w:val="hybridMultilevel"/>
    <w:tmpl w:val="AE8A9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97C0E"/>
    <w:multiLevelType w:val="multilevel"/>
    <w:tmpl w:val="79926C4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27646D"/>
    <w:multiLevelType w:val="multilevel"/>
    <w:tmpl w:val="50A0612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3200D60"/>
    <w:multiLevelType w:val="hybridMultilevel"/>
    <w:tmpl w:val="95602A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E63345F"/>
    <w:multiLevelType w:val="hybridMultilevel"/>
    <w:tmpl w:val="4C028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lagila, John K">
    <w15:presenceInfo w15:providerId="AD" w15:userId="S::jm22209@essex.ac.uk::176f22c6-72c5-405d-9473-66a2a9b7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9C"/>
    <w:rsid w:val="00000768"/>
    <w:rsid w:val="00002344"/>
    <w:rsid w:val="00002384"/>
    <w:rsid w:val="00003006"/>
    <w:rsid w:val="00003179"/>
    <w:rsid w:val="0000451C"/>
    <w:rsid w:val="00005438"/>
    <w:rsid w:val="000055BA"/>
    <w:rsid w:val="00005C7F"/>
    <w:rsid w:val="00010138"/>
    <w:rsid w:val="00011746"/>
    <w:rsid w:val="0001298C"/>
    <w:rsid w:val="00012EF6"/>
    <w:rsid w:val="00020DD2"/>
    <w:rsid w:val="00023336"/>
    <w:rsid w:val="000245A6"/>
    <w:rsid w:val="000273DE"/>
    <w:rsid w:val="00027FD8"/>
    <w:rsid w:val="000366BF"/>
    <w:rsid w:val="00041762"/>
    <w:rsid w:val="00044600"/>
    <w:rsid w:val="00044F8D"/>
    <w:rsid w:val="000458FA"/>
    <w:rsid w:val="00045B04"/>
    <w:rsid w:val="00045C06"/>
    <w:rsid w:val="00045E3D"/>
    <w:rsid w:val="000477A3"/>
    <w:rsid w:val="00047E11"/>
    <w:rsid w:val="00051A27"/>
    <w:rsid w:val="000536FF"/>
    <w:rsid w:val="000567DB"/>
    <w:rsid w:val="00057050"/>
    <w:rsid w:val="000622E4"/>
    <w:rsid w:val="00065CF8"/>
    <w:rsid w:val="00074F61"/>
    <w:rsid w:val="0007609C"/>
    <w:rsid w:val="00077C2B"/>
    <w:rsid w:val="00082BAB"/>
    <w:rsid w:val="000835A5"/>
    <w:rsid w:val="00083C73"/>
    <w:rsid w:val="00085000"/>
    <w:rsid w:val="00085233"/>
    <w:rsid w:val="00096298"/>
    <w:rsid w:val="000972ED"/>
    <w:rsid w:val="000A0D25"/>
    <w:rsid w:val="000A1279"/>
    <w:rsid w:val="000A344F"/>
    <w:rsid w:val="000A4A7A"/>
    <w:rsid w:val="000A6163"/>
    <w:rsid w:val="000B7639"/>
    <w:rsid w:val="000C09C4"/>
    <w:rsid w:val="000C20B9"/>
    <w:rsid w:val="000C3B9D"/>
    <w:rsid w:val="000C44EB"/>
    <w:rsid w:val="000C4B86"/>
    <w:rsid w:val="000D1B08"/>
    <w:rsid w:val="000D2962"/>
    <w:rsid w:val="000E1B4C"/>
    <w:rsid w:val="000E4682"/>
    <w:rsid w:val="000E4A51"/>
    <w:rsid w:val="000E7A3E"/>
    <w:rsid w:val="000F296D"/>
    <w:rsid w:val="001004BB"/>
    <w:rsid w:val="00100C13"/>
    <w:rsid w:val="00100DB7"/>
    <w:rsid w:val="0010270E"/>
    <w:rsid w:val="00102ABD"/>
    <w:rsid w:val="001031D1"/>
    <w:rsid w:val="001047DC"/>
    <w:rsid w:val="0010673C"/>
    <w:rsid w:val="00111438"/>
    <w:rsid w:val="0011163B"/>
    <w:rsid w:val="00114A3F"/>
    <w:rsid w:val="0011631E"/>
    <w:rsid w:val="00116BD0"/>
    <w:rsid w:val="00116E30"/>
    <w:rsid w:val="001176CB"/>
    <w:rsid w:val="001178D8"/>
    <w:rsid w:val="00120173"/>
    <w:rsid w:val="00121A81"/>
    <w:rsid w:val="00124AAB"/>
    <w:rsid w:val="00126C6F"/>
    <w:rsid w:val="00126FBA"/>
    <w:rsid w:val="00131448"/>
    <w:rsid w:val="001334CD"/>
    <w:rsid w:val="00136764"/>
    <w:rsid w:val="00140E0D"/>
    <w:rsid w:val="001443A9"/>
    <w:rsid w:val="00146DA7"/>
    <w:rsid w:val="0015151E"/>
    <w:rsid w:val="0015176B"/>
    <w:rsid w:val="00152375"/>
    <w:rsid w:val="00153764"/>
    <w:rsid w:val="00153E43"/>
    <w:rsid w:val="001549B0"/>
    <w:rsid w:val="00160A5F"/>
    <w:rsid w:val="00162046"/>
    <w:rsid w:val="0016357D"/>
    <w:rsid w:val="00167803"/>
    <w:rsid w:val="00167D8F"/>
    <w:rsid w:val="001702B1"/>
    <w:rsid w:val="0017096E"/>
    <w:rsid w:val="00172319"/>
    <w:rsid w:val="001740D5"/>
    <w:rsid w:val="0017655D"/>
    <w:rsid w:val="00182900"/>
    <w:rsid w:val="00183319"/>
    <w:rsid w:val="00185EDB"/>
    <w:rsid w:val="00186632"/>
    <w:rsid w:val="00191125"/>
    <w:rsid w:val="001936B6"/>
    <w:rsid w:val="00194177"/>
    <w:rsid w:val="001955A8"/>
    <w:rsid w:val="00196E5F"/>
    <w:rsid w:val="001973C1"/>
    <w:rsid w:val="001A5D4F"/>
    <w:rsid w:val="001A7C06"/>
    <w:rsid w:val="001B4C30"/>
    <w:rsid w:val="001B54E5"/>
    <w:rsid w:val="001B6443"/>
    <w:rsid w:val="001C0C42"/>
    <w:rsid w:val="001C2F6C"/>
    <w:rsid w:val="001C372C"/>
    <w:rsid w:val="001C3AFC"/>
    <w:rsid w:val="001C4E46"/>
    <w:rsid w:val="001D02A1"/>
    <w:rsid w:val="001D050E"/>
    <w:rsid w:val="001D0B64"/>
    <w:rsid w:val="001D1734"/>
    <w:rsid w:val="001D6569"/>
    <w:rsid w:val="001E009A"/>
    <w:rsid w:val="001E0E98"/>
    <w:rsid w:val="001E166C"/>
    <w:rsid w:val="001E1AAF"/>
    <w:rsid w:val="001E3694"/>
    <w:rsid w:val="001E776C"/>
    <w:rsid w:val="001F102F"/>
    <w:rsid w:val="001F42BC"/>
    <w:rsid w:val="001F6B2D"/>
    <w:rsid w:val="0020118A"/>
    <w:rsid w:val="002015BA"/>
    <w:rsid w:val="00202D3F"/>
    <w:rsid w:val="00204A82"/>
    <w:rsid w:val="00205382"/>
    <w:rsid w:val="00205891"/>
    <w:rsid w:val="00206D37"/>
    <w:rsid w:val="002070F5"/>
    <w:rsid w:val="00211215"/>
    <w:rsid w:val="00212897"/>
    <w:rsid w:val="00212BDC"/>
    <w:rsid w:val="00213709"/>
    <w:rsid w:val="00214B9E"/>
    <w:rsid w:val="002158D7"/>
    <w:rsid w:val="00215C12"/>
    <w:rsid w:val="002165C0"/>
    <w:rsid w:val="0022061B"/>
    <w:rsid w:val="00220DDF"/>
    <w:rsid w:val="002217A8"/>
    <w:rsid w:val="00221EAB"/>
    <w:rsid w:val="00226FF7"/>
    <w:rsid w:val="002271A5"/>
    <w:rsid w:val="002316AA"/>
    <w:rsid w:val="00231BB8"/>
    <w:rsid w:val="002323B5"/>
    <w:rsid w:val="00232E27"/>
    <w:rsid w:val="00234192"/>
    <w:rsid w:val="00234232"/>
    <w:rsid w:val="0023463E"/>
    <w:rsid w:val="00237626"/>
    <w:rsid w:val="0024010B"/>
    <w:rsid w:val="00240557"/>
    <w:rsid w:val="002432F5"/>
    <w:rsid w:val="00245600"/>
    <w:rsid w:val="00245817"/>
    <w:rsid w:val="00245AA1"/>
    <w:rsid w:val="0024608F"/>
    <w:rsid w:val="002460C0"/>
    <w:rsid w:val="002521C6"/>
    <w:rsid w:val="0025313F"/>
    <w:rsid w:val="00255251"/>
    <w:rsid w:val="002563E9"/>
    <w:rsid w:val="00260038"/>
    <w:rsid w:val="0026056B"/>
    <w:rsid w:val="00265F2F"/>
    <w:rsid w:val="00270EC1"/>
    <w:rsid w:val="00272855"/>
    <w:rsid w:val="002742D3"/>
    <w:rsid w:val="00274766"/>
    <w:rsid w:val="00275B4B"/>
    <w:rsid w:val="00276F65"/>
    <w:rsid w:val="00277330"/>
    <w:rsid w:val="00277F1D"/>
    <w:rsid w:val="00280D3A"/>
    <w:rsid w:val="0028656E"/>
    <w:rsid w:val="00295B36"/>
    <w:rsid w:val="00297BE6"/>
    <w:rsid w:val="002A0132"/>
    <w:rsid w:val="002A0AF6"/>
    <w:rsid w:val="002A3908"/>
    <w:rsid w:val="002A581B"/>
    <w:rsid w:val="002B0D62"/>
    <w:rsid w:val="002B1D53"/>
    <w:rsid w:val="002B304C"/>
    <w:rsid w:val="002B4B1B"/>
    <w:rsid w:val="002B6686"/>
    <w:rsid w:val="002B6CA9"/>
    <w:rsid w:val="002B6E42"/>
    <w:rsid w:val="002C0B3F"/>
    <w:rsid w:val="002C41F8"/>
    <w:rsid w:val="002C63BE"/>
    <w:rsid w:val="002C68D4"/>
    <w:rsid w:val="002C6D40"/>
    <w:rsid w:val="002C7095"/>
    <w:rsid w:val="002C76A6"/>
    <w:rsid w:val="002D0EAC"/>
    <w:rsid w:val="002D3A38"/>
    <w:rsid w:val="002D3A83"/>
    <w:rsid w:val="002D72E9"/>
    <w:rsid w:val="002E0AC1"/>
    <w:rsid w:val="002E10BC"/>
    <w:rsid w:val="002E2341"/>
    <w:rsid w:val="002E38F7"/>
    <w:rsid w:val="002E472F"/>
    <w:rsid w:val="002E6A18"/>
    <w:rsid w:val="002F204D"/>
    <w:rsid w:val="002F2D0C"/>
    <w:rsid w:val="002F4239"/>
    <w:rsid w:val="002F5E89"/>
    <w:rsid w:val="0030043D"/>
    <w:rsid w:val="00304FFB"/>
    <w:rsid w:val="003059F2"/>
    <w:rsid w:val="00306BA1"/>
    <w:rsid w:val="00311332"/>
    <w:rsid w:val="003117CC"/>
    <w:rsid w:val="00311BCF"/>
    <w:rsid w:val="00313443"/>
    <w:rsid w:val="003153EA"/>
    <w:rsid w:val="0031585D"/>
    <w:rsid w:val="0031727A"/>
    <w:rsid w:val="00321508"/>
    <w:rsid w:val="00324918"/>
    <w:rsid w:val="003261DB"/>
    <w:rsid w:val="003271A8"/>
    <w:rsid w:val="00327AC7"/>
    <w:rsid w:val="00335231"/>
    <w:rsid w:val="0033741A"/>
    <w:rsid w:val="00337565"/>
    <w:rsid w:val="00344697"/>
    <w:rsid w:val="00344CDC"/>
    <w:rsid w:val="00347116"/>
    <w:rsid w:val="003513F2"/>
    <w:rsid w:val="0035346E"/>
    <w:rsid w:val="003536E5"/>
    <w:rsid w:val="00354714"/>
    <w:rsid w:val="00360CF6"/>
    <w:rsid w:val="00361AB7"/>
    <w:rsid w:val="00362DE4"/>
    <w:rsid w:val="00364158"/>
    <w:rsid w:val="0036673D"/>
    <w:rsid w:val="00367F93"/>
    <w:rsid w:val="003717B0"/>
    <w:rsid w:val="00373D15"/>
    <w:rsid w:val="00381AF6"/>
    <w:rsid w:val="00383628"/>
    <w:rsid w:val="0038508E"/>
    <w:rsid w:val="003857DB"/>
    <w:rsid w:val="00386A93"/>
    <w:rsid w:val="003918E1"/>
    <w:rsid w:val="00392E92"/>
    <w:rsid w:val="00394635"/>
    <w:rsid w:val="003A0243"/>
    <w:rsid w:val="003A1CA6"/>
    <w:rsid w:val="003A25C0"/>
    <w:rsid w:val="003A4443"/>
    <w:rsid w:val="003B09AF"/>
    <w:rsid w:val="003B0CC8"/>
    <w:rsid w:val="003B3050"/>
    <w:rsid w:val="003B4062"/>
    <w:rsid w:val="003B6CC9"/>
    <w:rsid w:val="003B7399"/>
    <w:rsid w:val="003B75C7"/>
    <w:rsid w:val="003B7CA3"/>
    <w:rsid w:val="003C0695"/>
    <w:rsid w:val="003C162A"/>
    <w:rsid w:val="003C2D46"/>
    <w:rsid w:val="003C3215"/>
    <w:rsid w:val="003C670D"/>
    <w:rsid w:val="003C7157"/>
    <w:rsid w:val="003E25DD"/>
    <w:rsid w:val="003E404B"/>
    <w:rsid w:val="003E4897"/>
    <w:rsid w:val="003E6C53"/>
    <w:rsid w:val="003E757B"/>
    <w:rsid w:val="003F10C8"/>
    <w:rsid w:val="003F45D8"/>
    <w:rsid w:val="0040042F"/>
    <w:rsid w:val="00403AA2"/>
    <w:rsid w:val="00410C30"/>
    <w:rsid w:val="00411227"/>
    <w:rsid w:val="004118E4"/>
    <w:rsid w:val="00412EDA"/>
    <w:rsid w:val="00413083"/>
    <w:rsid w:val="00420DA6"/>
    <w:rsid w:val="00420FAD"/>
    <w:rsid w:val="0042169C"/>
    <w:rsid w:val="00421D89"/>
    <w:rsid w:val="0042206F"/>
    <w:rsid w:val="00423C83"/>
    <w:rsid w:val="00424072"/>
    <w:rsid w:val="00424EEC"/>
    <w:rsid w:val="004276CB"/>
    <w:rsid w:val="004300DD"/>
    <w:rsid w:val="004318CA"/>
    <w:rsid w:val="00432F90"/>
    <w:rsid w:val="0043631C"/>
    <w:rsid w:val="00436A73"/>
    <w:rsid w:val="00442EBF"/>
    <w:rsid w:val="004457DB"/>
    <w:rsid w:val="00447120"/>
    <w:rsid w:val="00447C99"/>
    <w:rsid w:val="004520FA"/>
    <w:rsid w:val="00461665"/>
    <w:rsid w:val="00461751"/>
    <w:rsid w:val="00462271"/>
    <w:rsid w:val="004664EC"/>
    <w:rsid w:val="0046754E"/>
    <w:rsid w:val="004707CC"/>
    <w:rsid w:val="00471CAE"/>
    <w:rsid w:val="00474357"/>
    <w:rsid w:val="00476390"/>
    <w:rsid w:val="004803B4"/>
    <w:rsid w:val="004817A8"/>
    <w:rsid w:val="0048189A"/>
    <w:rsid w:val="00482500"/>
    <w:rsid w:val="00482A5A"/>
    <w:rsid w:val="004839E0"/>
    <w:rsid w:val="00484E78"/>
    <w:rsid w:val="004859B3"/>
    <w:rsid w:val="004865EE"/>
    <w:rsid w:val="004869C0"/>
    <w:rsid w:val="00487949"/>
    <w:rsid w:val="004902C8"/>
    <w:rsid w:val="00490F90"/>
    <w:rsid w:val="00493417"/>
    <w:rsid w:val="004969AD"/>
    <w:rsid w:val="004A2C39"/>
    <w:rsid w:val="004A5014"/>
    <w:rsid w:val="004A6503"/>
    <w:rsid w:val="004A6967"/>
    <w:rsid w:val="004A7021"/>
    <w:rsid w:val="004B11EC"/>
    <w:rsid w:val="004B128C"/>
    <w:rsid w:val="004B49AC"/>
    <w:rsid w:val="004B57AB"/>
    <w:rsid w:val="004B5D58"/>
    <w:rsid w:val="004B6223"/>
    <w:rsid w:val="004B6856"/>
    <w:rsid w:val="004C2838"/>
    <w:rsid w:val="004C4957"/>
    <w:rsid w:val="004D157D"/>
    <w:rsid w:val="004D1768"/>
    <w:rsid w:val="004D2C55"/>
    <w:rsid w:val="004D3E01"/>
    <w:rsid w:val="004D5096"/>
    <w:rsid w:val="004D61D6"/>
    <w:rsid w:val="004E0548"/>
    <w:rsid w:val="004E151E"/>
    <w:rsid w:val="004E248C"/>
    <w:rsid w:val="004E5245"/>
    <w:rsid w:val="004E5CEF"/>
    <w:rsid w:val="004E61C6"/>
    <w:rsid w:val="004F001A"/>
    <w:rsid w:val="004F2E49"/>
    <w:rsid w:val="004F49B8"/>
    <w:rsid w:val="004F6ED3"/>
    <w:rsid w:val="004F7009"/>
    <w:rsid w:val="004F790A"/>
    <w:rsid w:val="00500FB2"/>
    <w:rsid w:val="005016F0"/>
    <w:rsid w:val="00504AA7"/>
    <w:rsid w:val="00504F69"/>
    <w:rsid w:val="0050554D"/>
    <w:rsid w:val="0050717F"/>
    <w:rsid w:val="0050742C"/>
    <w:rsid w:val="00507F19"/>
    <w:rsid w:val="00511E00"/>
    <w:rsid w:val="0051235F"/>
    <w:rsid w:val="00512442"/>
    <w:rsid w:val="0051467B"/>
    <w:rsid w:val="00517C2B"/>
    <w:rsid w:val="00523679"/>
    <w:rsid w:val="00524E19"/>
    <w:rsid w:val="00525A66"/>
    <w:rsid w:val="00526AD2"/>
    <w:rsid w:val="00530358"/>
    <w:rsid w:val="00532A1D"/>
    <w:rsid w:val="00533CC2"/>
    <w:rsid w:val="00541ECB"/>
    <w:rsid w:val="005461D0"/>
    <w:rsid w:val="0054708C"/>
    <w:rsid w:val="00551619"/>
    <w:rsid w:val="0055798E"/>
    <w:rsid w:val="00557BB6"/>
    <w:rsid w:val="00560ED3"/>
    <w:rsid w:val="00562B6E"/>
    <w:rsid w:val="00572711"/>
    <w:rsid w:val="00572F1C"/>
    <w:rsid w:val="00577AC0"/>
    <w:rsid w:val="005802CE"/>
    <w:rsid w:val="005810EE"/>
    <w:rsid w:val="00583040"/>
    <w:rsid w:val="00583697"/>
    <w:rsid w:val="00584EC4"/>
    <w:rsid w:val="005852A5"/>
    <w:rsid w:val="0058672C"/>
    <w:rsid w:val="00587231"/>
    <w:rsid w:val="00587DB2"/>
    <w:rsid w:val="00590520"/>
    <w:rsid w:val="00592365"/>
    <w:rsid w:val="00592BD5"/>
    <w:rsid w:val="005A4C4E"/>
    <w:rsid w:val="005A541C"/>
    <w:rsid w:val="005A5CBF"/>
    <w:rsid w:val="005A67C2"/>
    <w:rsid w:val="005A688B"/>
    <w:rsid w:val="005B0140"/>
    <w:rsid w:val="005B017B"/>
    <w:rsid w:val="005B0CC1"/>
    <w:rsid w:val="005B123B"/>
    <w:rsid w:val="005B663A"/>
    <w:rsid w:val="005C0052"/>
    <w:rsid w:val="005C03EA"/>
    <w:rsid w:val="005C5382"/>
    <w:rsid w:val="005C662A"/>
    <w:rsid w:val="005C771B"/>
    <w:rsid w:val="005D168A"/>
    <w:rsid w:val="005D1BA2"/>
    <w:rsid w:val="005D1FB7"/>
    <w:rsid w:val="005D27E2"/>
    <w:rsid w:val="005D2E81"/>
    <w:rsid w:val="005D4D4D"/>
    <w:rsid w:val="005D5F2F"/>
    <w:rsid w:val="005D6CA1"/>
    <w:rsid w:val="005D74F5"/>
    <w:rsid w:val="005E203E"/>
    <w:rsid w:val="005E4F02"/>
    <w:rsid w:val="005E5321"/>
    <w:rsid w:val="005E532E"/>
    <w:rsid w:val="005E5E91"/>
    <w:rsid w:val="005F31D0"/>
    <w:rsid w:val="005F3E3F"/>
    <w:rsid w:val="005F3FE5"/>
    <w:rsid w:val="005F7862"/>
    <w:rsid w:val="00600F01"/>
    <w:rsid w:val="0060128B"/>
    <w:rsid w:val="006012BF"/>
    <w:rsid w:val="00601E4C"/>
    <w:rsid w:val="0060675E"/>
    <w:rsid w:val="00606AFB"/>
    <w:rsid w:val="00612458"/>
    <w:rsid w:val="006126D5"/>
    <w:rsid w:val="006144A7"/>
    <w:rsid w:val="00617764"/>
    <w:rsid w:val="00626A39"/>
    <w:rsid w:val="00634BD6"/>
    <w:rsid w:val="006358BC"/>
    <w:rsid w:val="00635BE5"/>
    <w:rsid w:val="00636B10"/>
    <w:rsid w:val="00636BE7"/>
    <w:rsid w:val="00640D16"/>
    <w:rsid w:val="00643FBC"/>
    <w:rsid w:val="0064622C"/>
    <w:rsid w:val="0064674F"/>
    <w:rsid w:val="00647B26"/>
    <w:rsid w:val="00647F3D"/>
    <w:rsid w:val="00650F33"/>
    <w:rsid w:val="006522F4"/>
    <w:rsid w:val="00654C9F"/>
    <w:rsid w:val="00660F01"/>
    <w:rsid w:val="00662127"/>
    <w:rsid w:val="00663748"/>
    <w:rsid w:val="00670B58"/>
    <w:rsid w:val="006715A3"/>
    <w:rsid w:val="00672078"/>
    <w:rsid w:val="0067479F"/>
    <w:rsid w:val="00680A2A"/>
    <w:rsid w:val="00690C78"/>
    <w:rsid w:val="0069102A"/>
    <w:rsid w:val="00691AD6"/>
    <w:rsid w:val="00693BEB"/>
    <w:rsid w:val="006946D4"/>
    <w:rsid w:val="00694F25"/>
    <w:rsid w:val="006A29CE"/>
    <w:rsid w:val="006A650D"/>
    <w:rsid w:val="006A6CDE"/>
    <w:rsid w:val="006A6E55"/>
    <w:rsid w:val="006B2612"/>
    <w:rsid w:val="006B3DCE"/>
    <w:rsid w:val="006B52D0"/>
    <w:rsid w:val="006B5B2B"/>
    <w:rsid w:val="006B5E74"/>
    <w:rsid w:val="006C0C5B"/>
    <w:rsid w:val="006C33A6"/>
    <w:rsid w:val="006C4A1A"/>
    <w:rsid w:val="006C6004"/>
    <w:rsid w:val="006D122B"/>
    <w:rsid w:val="006D1A1E"/>
    <w:rsid w:val="006D3AFD"/>
    <w:rsid w:val="006D4714"/>
    <w:rsid w:val="006D4AF2"/>
    <w:rsid w:val="006D5124"/>
    <w:rsid w:val="006D5B25"/>
    <w:rsid w:val="006E0DD5"/>
    <w:rsid w:val="006E15E5"/>
    <w:rsid w:val="006E32F2"/>
    <w:rsid w:val="006E528D"/>
    <w:rsid w:val="006E6B35"/>
    <w:rsid w:val="006E7729"/>
    <w:rsid w:val="006F02E9"/>
    <w:rsid w:val="006F0AF5"/>
    <w:rsid w:val="006F2B36"/>
    <w:rsid w:val="006F3494"/>
    <w:rsid w:val="006F73FE"/>
    <w:rsid w:val="00702961"/>
    <w:rsid w:val="00703F55"/>
    <w:rsid w:val="0070416D"/>
    <w:rsid w:val="00706330"/>
    <w:rsid w:val="0070797E"/>
    <w:rsid w:val="0071013E"/>
    <w:rsid w:val="0071137A"/>
    <w:rsid w:val="007169A4"/>
    <w:rsid w:val="007203B4"/>
    <w:rsid w:val="00720FAC"/>
    <w:rsid w:val="00723589"/>
    <w:rsid w:val="007249EF"/>
    <w:rsid w:val="00725801"/>
    <w:rsid w:val="00732838"/>
    <w:rsid w:val="00734364"/>
    <w:rsid w:val="00734C6D"/>
    <w:rsid w:val="0073640F"/>
    <w:rsid w:val="00736ABC"/>
    <w:rsid w:val="0074147B"/>
    <w:rsid w:val="0074212B"/>
    <w:rsid w:val="00746429"/>
    <w:rsid w:val="00752A7D"/>
    <w:rsid w:val="0075592B"/>
    <w:rsid w:val="00762ACB"/>
    <w:rsid w:val="00762E1C"/>
    <w:rsid w:val="007636C4"/>
    <w:rsid w:val="00764112"/>
    <w:rsid w:val="00766578"/>
    <w:rsid w:val="00771C04"/>
    <w:rsid w:val="00774557"/>
    <w:rsid w:val="007759EB"/>
    <w:rsid w:val="00780742"/>
    <w:rsid w:val="00786103"/>
    <w:rsid w:val="00792AD9"/>
    <w:rsid w:val="007A0136"/>
    <w:rsid w:val="007A225C"/>
    <w:rsid w:val="007A3D45"/>
    <w:rsid w:val="007A5377"/>
    <w:rsid w:val="007B020B"/>
    <w:rsid w:val="007B0D02"/>
    <w:rsid w:val="007B0F0A"/>
    <w:rsid w:val="007B1F1A"/>
    <w:rsid w:val="007B4137"/>
    <w:rsid w:val="007B41F9"/>
    <w:rsid w:val="007B51A4"/>
    <w:rsid w:val="007B5234"/>
    <w:rsid w:val="007B536E"/>
    <w:rsid w:val="007B5410"/>
    <w:rsid w:val="007B7206"/>
    <w:rsid w:val="007B7AD2"/>
    <w:rsid w:val="007C07DF"/>
    <w:rsid w:val="007C7A5B"/>
    <w:rsid w:val="007D0193"/>
    <w:rsid w:val="007D0A08"/>
    <w:rsid w:val="007D0DBA"/>
    <w:rsid w:val="007D0F0E"/>
    <w:rsid w:val="007D3F6D"/>
    <w:rsid w:val="007D5880"/>
    <w:rsid w:val="007D6C21"/>
    <w:rsid w:val="007D6CD4"/>
    <w:rsid w:val="007E0CDA"/>
    <w:rsid w:val="007E33ED"/>
    <w:rsid w:val="007E5D5A"/>
    <w:rsid w:val="007E6D4F"/>
    <w:rsid w:val="007E6DE8"/>
    <w:rsid w:val="007E77E1"/>
    <w:rsid w:val="007F01C9"/>
    <w:rsid w:val="007F13F0"/>
    <w:rsid w:val="007F2D19"/>
    <w:rsid w:val="007F3051"/>
    <w:rsid w:val="007F3BAC"/>
    <w:rsid w:val="007F426C"/>
    <w:rsid w:val="007F70F0"/>
    <w:rsid w:val="007F7F49"/>
    <w:rsid w:val="00802B60"/>
    <w:rsid w:val="008058D0"/>
    <w:rsid w:val="00806672"/>
    <w:rsid w:val="00810AEB"/>
    <w:rsid w:val="008118AA"/>
    <w:rsid w:val="00812FD0"/>
    <w:rsid w:val="00813E0C"/>
    <w:rsid w:val="00814465"/>
    <w:rsid w:val="008207C6"/>
    <w:rsid w:val="00822817"/>
    <w:rsid w:val="00822929"/>
    <w:rsid w:val="00822D88"/>
    <w:rsid w:val="008242D4"/>
    <w:rsid w:val="00824BE0"/>
    <w:rsid w:val="008275B4"/>
    <w:rsid w:val="008304AD"/>
    <w:rsid w:val="00830E3B"/>
    <w:rsid w:val="00831562"/>
    <w:rsid w:val="0083173B"/>
    <w:rsid w:val="008317F1"/>
    <w:rsid w:val="008335E9"/>
    <w:rsid w:val="0083680C"/>
    <w:rsid w:val="00841653"/>
    <w:rsid w:val="008419D9"/>
    <w:rsid w:val="00845AF4"/>
    <w:rsid w:val="00845B7C"/>
    <w:rsid w:val="008511CE"/>
    <w:rsid w:val="00851397"/>
    <w:rsid w:val="00854968"/>
    <w:rsid w:val="00855A4C"/>
    <w:rsid w:val="00856582"/>
    <w:rsid w:val="00857E44"/>
    <w:rsid w:val="00863738"/>
    <w:rsid w:val="00863C83"/>
    <w:rsid w:val="008659D1"/>
    <w:rsid w:val="00865E92"/>
    <w:rsid w:val="008664B1"/>
    <w:rsid w:val="008669CB"/>
    <w:rsid w:val="00870E86"/>
    <w:rsid w:val="008718D3"/>
    <w:rsid w:val="008749EF"/>
    <w:rsid w:val="0087523D"/>
    <w:rsid w:val="008773DA"/>
    <w:rsid w:val="0088178C"/>
    <w:rsid w:val="008831CB"/>
    <w:rsid w:val="00884150"/>
    <w:rsid w:val="008848E0"/>
    <w:rsid w:val="0088500B"/>
    <w:rsid w:val="00885D8E"/>
    <w:rsid w:val="008875B9"/>
    <w:rsid w:val="00891AA5"/>
    <w:rsid w:val="008960A8"/>
    <w:rsid w:val="00896FAE"/>
    <w:rsid w:val="008A0313"/>
    <w:rsid w:val="008A7C34"/>
    <w:rsid w:val="008B1794"/>
    <w:rsid w:val="008B237A"/>
    <w:rsid w:val="008B2D1D"/>
    <w:rsid w:val="008B3722"/>
    <w:rsid w:val="008B4DA8"/>
    <w:rsid w:val="008C0F02"/>
    <w:rsid w:val="008C0FA4"/>
    <w:rsid w:val="008C1553"/>
    <w:rsid w:val="008C4033"/>
    <w:rsid w:val="008C70E1"/>
    <w:rsid w:val="008D0193"/>
    <w:rsid w:val="008D1D6F"/>
    <w:rsid w:val="008D245C"/>
    <w:rsid w:val="008D34C7"/>
    <w:rsid w:val="008D3FC9"/>
    <w:rsid w:val="008D5387"/>
    <w:rsid w:val="008D55E7"/>
    <w:rsid w:val="008D6B82"/>
    <w:rsid w:val="008D723D"/>
    <w:rsid w:val="008D7F31"/>
    <w:rsid w:val="008E0428"/>
    <w:rsid w:val="008E2ADA"/>
    <w:rsid w:val="008E3FE6"/>
    <w:rsid w:val="008E43D1"/>
    <w:rsid w:val="008F3D14"/>
    <w:rsid w:val="008F4A5E"/>
    <w:rsid w:val="008F7F64"/>
    <w:rsid w:val="00901A09"/>
    <w:rsid w:val="009044B6"/>
    <w:rsid w:val="00904879"/>
    <w:rsid w:val="0090528A"/>
    <w:rsid w:val="009057B8"/>
    <w:rsid w:val="0090676D"/>
    <w:rsid w:val="0091095D"/>
    <w:rsid w:val="00913D25"/>
    <w:rsid w:val="0091629D"/>
    <w:rsid w:val="00916631"/>
    <w:rsid w:val="00917768"/>
    <w:rsid w:val="00917BBA"/>
    <w:rsid w:val="00920CCA"/>
    <w:rsid w:val="0092194F"/>
    <w:rsid w:val="00923F2B"/>
    <w:rsid w:val="009276A8"/>
    <w:rsid w:val="00927D3A"/>
    <w:rsid w:val="00933A67"/>
    <w:rsid w:val="0094285B"/>
    <w:rsid w:val="009443A3"/>
    <w:rsid w:val="00945A74"/>
    <w:rsid w:val="00946478"/>
    <w:rsid w:val="009478FA"/>
    <w:rsid w:val="009527AE"/>
    <w:rsid w:val="009543F7"/>
    <w:rsid w:val="009556A9"/>
    <w:rsid w:val="009610C8"/>
    <w:rsid w:val="00961577"/>
    <w:rsid w:val="00961951"/>
    <w:rsid w:val="00961E1E"/>
    <w:rsid w:val="00962469"/>
    <w:rsid w:val="0096251C"/>
    <w:rsid w:val="009669D3"/>
    <w:rsid w:val="00970454"/>
    <w:rsid w:val="00970A23"/>
    <w:rsid w:val="00970AF2"/>
    <w:rsid w:val="0097203A"/>
    <w:rsid w:val="0097336D"/>
    <w:rsid w:val="00973E2D"/>
    <w:rsid w:val="00974471"/>
    <w:rsid w:val="00974F0C"/>
    <w:rsid w:val="0097695C"/>
    <w:rsid w:val="0097714A"/>
    <w:rsid w:val="00977DEB"/>
    <w:rsid w:val="00980D86"/>
    <w:rsid w:val="00980FF9"/>
    <w:rsid w:val="00983E28"/>
    <w:rsid w:val="00984B5F"/>
    <w:rsid w:val="00984E59"/>
    <w:rsid w:val="009872C0"/>
    <w:rsid w:val="0098739B"/>
    <w:rsid w:val="00987681"/>
    <w:rsid w:val="00992AFC"/>
    <w:rsid w:val="00996769"/>
    <w:rsid w:val="00997E0D"/>
    <w:rsid w:val="009A5F76"/>
    <w:rsid w:val="009A6CF1"/>
    <w:rsid w:val="009B0312"/>
    <w:rsid w:val="009B2C20"/>
    <w:rsid w:val="009B2CF6"/>
    <w:rsid w:val="009B4CA2"/>
    <w:rsid w:val="009B71DC"/>
    <w:rsid w:val="009C2597"/>
    <w:rsid w:val="009C5E34"/>
    <w:rsid w:val="009D0C24"/>
    <w:rsid w:val="009D0C2F"/>
    <w:rsid w:val="009D3B14"/>
    <w:rsid w:val="009E01E7"/>
    <w:rsid w:val="009E13F9"/>
    <w:rsid w:val="009E4510"/>
    <w:rsid w:val="009E5607"/>
    <w:rsid w:val="009F4397"/>
    <w:rsid w:val="009F4764"/>
    <w:rsid w:val="009F49D1"/>
    <w:rsid w:val="009F51B2"/>
    <w:rsid w:val="009F7848"/>
    <w:rsid w:val="009F788D"/>
    <w:rsid w:val="00A007F7"/>
    <w:rsid w:val="00A01A94"/>
    <w:rsid w:val="00A03B48"/>
    <w:rsid w:val="00A0548F"/>
    <w:rsid w:val="00A06088"/>
    <w:rsid w:val="00A06741"/>
    <w:rsid w:val="00A07960"/>
    <w:rsid w:val="00A102D6"/>
    <w:rsid w:val="00A11CD6"/>
    <w:rsid w:val="00A15AE2"/>
    <w:rsid w:val="00A23ED1"/>
    <w:rsid w:val="00A25CFE"/>
    <w:rsid w:val="00A3130F"/>
    <w:rsid w:val="00A317E8"/>
    <w:rsid w:val="00A35FC3"/>
    <w:rsid w:val="00A42406"/>
    <w:rsid w:val="00A44A1B"/>
    <w:rsid w:val="00A45F14"/>
    <w:rsid w:val="00A4728C"/>
    <w:rsid w:val="00A512B8"/>
    <w:rsid w:val="00A51C64"/>
    <w:rsid w:val="00A52882"/>
    <w:rsid w:val="00A5428F"/>
    <w:rsid w:val="00A5637F"/>
    <w:rsid w:val="00A61FD4"/>
    <w:rsid w:val="00A6387B"/>
    <w:rsid w:val="00A676FE"/>
    <w:rsid w:val="00A67B24"/>
    <w:rsid w:val="00A70467"/>
    <w:rsid w:val="00A70FDB"/>
    <w:rsid w:val="00A722D7"/>
    <w:rsid w:val="00A77D66"/>
    <w:rsid w:val="00A808A9"/>
    <w:rsid w:val="00A81EAD"/>
    <w:rsid w:val="00A8287F"/>
    <w:rsid w:val="00A91FCB"/>
    <w:rsid w:val="00A96736"/>
    <w:rsid w:val="00AA296C"/>
    <w:rsid w:val="00AA2D9B"/>
    <w:rsid w:val="00AA4CCF"/>
    <w:rsid w:val="00AA66FB"/>
    <w:rsid w:val="00AA7664"/>
    <w:rsid w:val="00AA7E0C"/>
    <w:rsid w:val="00AB5DFA"/>
    <w:rsid w:val="00AC084D"/>
    <w:rsid w:val="00AC215E"/>
    <w:rsid w:val="00AC2908"/>
    <w:rsid w:val="00AC4F9C"/>
    <w:rsid w:val="00AC6ECF"/>
    <w:rsid w:val="00AD0E46"/>
    <w:rsid w:val="00AD13D9"/>
    <w:rsid w:val="00AD1FFF"/>
    <w:rsid w:val="00AD4E74"/>
    <w:rsid w:val="00AD7BD9"/>
    <w:rsid w:val="00AE176D"/>
    <w:rsid w:val="00AE47E2"/>
    <w:rsid w:val="00AE4D22"/>
    <w:rsid w:val="00AF0875"/>
    <w:rsid w:val="00AF0B9E"/>
    <w:rsid w:val="00AF0D30"/>
    <w:rsid w:val="00AF1625"/>
    <w:rsid w:val="00AF270C"/>
    <w:rsid w:val="00AF308E"/>
    <w:rsid w:val="00AF43D6"/>
    <w:rsid w:val="00AF4487"/>
    <w:rsid w:val="00AF4DCF"/>
    <w:rsid w:val="00AF4EC6"/>
    <w:rsid w:val="00AF57DF"/>
    <w:rsid w:val="00B029F3"/>
    <w:rsid w:val="00B03FD9"/>
    <w:rsid w:val="00B048E8"/>
    <w:rsid w:val="00B04EA8"/>
    <w:rsid w:val="00B06723"/>
    <w:rsid w:val="00B070F0"/>
    <w:rsid w:val="00B076AB"/>
    <w:rsid w:val="00B07A99"/>
    <w:rsid w:val="00B15212"/>
    <w:rsid w:val="00B156BF"/>
    <w:rsid w:val="00B15D21"/>
    <w:rsid w:val="00B160B8"/>
    <w:rsid w:val="00B222DC"/>
    <w:rsid w:val="00B24647"/>
    <w:rsid w:val="00B260BA"/>
    <w:rsid w:val="00B275BD"/>
    <w:rsid w:val="00B30321"/>
    <w:rsid w:val="00B333FA"/>
    <w:rsid w:val="00B34016"/>
    <w:rsid w:val="00B3766E"/>
    <w:rsid w:val="00B4327D"/>
    <w:rsid w:val="00B462EF"/>
    <w:rsid w:val="00B46334"/>
    <w:rsid w:val="00B51FFE"/>
    <w:rsid w:val="00B55CC5"/>
    <w:rsid w:val="00B5677D"/>
    <w:rsid w:val="00B62A3C"/>
    <w:rsid w:val="00B634A9"/>
    <w:rsid w:val="00B63567"/>
    <w:rsid w:val="00B6440C"/>
    <w:rsid w:val="00B64E9F"/>
    <w:rsid w:val="00B66ACE"/>
    <w:rsid w:val="00B67089"/>
    <w:rsid w:val="00B712A9"/>
    <w:rsid w:val="00B73DD8"/>
    <w:rsid w:val="00B75FF4"/>
    <w:rsid w:val="00B76295"/>
    <w:rsid w:val="00B82C1F"/>
    <w:rsid w:val="00B844EC"/>
    <w:rsid w:val="00B85CDF"/>
    <w:rsid w:val="00B85D77"/>
    <w:rsid w:val="00B87C8B"/>
    <w:rsid w:val="00B957B5"/>
    <w:rsid w:val="00BA0D50"/>
    <w:rsid w:val="00BA0ECF"/>
    <w:rsid w:val="00BA4141"/>
    <w:rsid w:val="00BB0685"/>
    <w:rsid w:val="00BB10E7"/>
    <w:rsid w:val="00BB4562"/>
    <w:rsid w:val="00BC12F0"/>
    <w:rsid w:val="00BC20DC"/>
    <w:rsid w:val="00BC3489"/>
    <w:rsid w:val="00BC3542"/>
    <w:rsid w:val="00BC5139"/>
    <w:rsid w:val="00BC5F58"/>
    <w:rsid w:val="00BD3370"/>
    <w:rsid w:val="00BD46FC"/>
    <w:rsid w:val="00BD51C5"/>
    <w:rsid w:val="00BD5DEB"/>
    <w:rsid w:val="00BD66AD"/>
    <w:rsid w:val="00BE0ACE"/>
    <w:rsid w:val="00BE1175"/>
    <w:rsid w:val="00BE1756"/>
    <w:rsid w:val="00BE35F4"/>
    <w:rsid w:val="00BE3C02"/>
    <w:rsid w:val="00BE5752"/>
    <w:rsid w:val="00BE6EB3"/>
    <w:rsid w:val="00BF0607"/>
    <w:rsid w:val="00BF409B"/>
    <w:rsid w:val="00BF48A3"/>
    <w:rsid w:val="00BF4A3D"/>
    <w:rsid w:val="00BF4FEC"/>
    <w:rsid w:val="00C00B61"/>
    <w:rsid w:val="00C05632"/>
    <w:rsid w:val="00C07450"/>
    <w:rsid w:val="00C12539"/>
    <w:rsid w:val="00C13F36"/>
    <w:rsid w:val="00C14631"/>
    <w:rsid w:val="00C153C2"/>
    <w:rsid w:val="00C16E06"/>
    <w:rsid w:val="00C20C10"/>
    <w:rsid w:val="00C212FA"/>
    <w:rsid w:val="00C22C4D"/>
    <w:rsid w:val="00C240CB"/>
    <w:rsid w:val="00C25417"/>
    <w:rsid w:val="00C2599D"/>
    <w:rsid w:val="00C267BF"/>
    <w:rsid w:val="00C26F57"/>
    <w:rsid w:val="00C27BB0"/>
    <w:rsid w:val="00C33E3D"/>
    <w:rsid w:val="00C35F28"/>
    <w:rsid w:val="00C36657"/>
    <w:rsid w:val="00C36B71"/>
    <w:rsid w:val="00C37F50"/>
    <w:rsid w:val="00C40B94"/>
    <w:rsid w:val="00C40E2B"/>
    <w:rsid w:val="00C44A73"/>
    <w:rsid w:val="00C5105D"/>
    <w:rsid w:val="00C55919"/>
    <w:rsid w:val="00C60650"/>
    <w:rsid w:val="00C612E0"/>
    <w:rsid w:val="00C669C9"/>
    <w:rsid w:val="00C67B1F"/>
    <w:rsid w:val="00C70152"/>
    <w:rsid w:val="00C73F2E"/>
    <w:rsid w:val="00C74A13"/>
    <w:rsid w:val="00C76AD0"/>
    <w:rsid w:val="00C76E83"/>
    <w:rsid w:val="00C77A99"/>
    <w:rsid w:val="00C80A37"/>
    <w:rsid w:val="00C80FD1"/>
    <w:rsid w:val="00C85FF7"/>
    <w:rsid w:val="00C87B78"/>
    <w:rsid w:val="00C90D38"/>
    <w:rsid w:val="00C91FF2"/>
    <w:rsid w:val="00C9224C"/>
    <w:rsid w:val="00C934AD"/>
    <w:rsid w:val="00C95FD9"/>
    <w:rsid w:val="00CA0673"/>
    <w:rsid w:val="00CA0785"/>
    <w:rsid w:val="00CA0ADA"/>
    <w:rsid w:val="00CA2DE2"/>
    <w:rsid w:val="00CA49E1"/>
    <w:rsid w:val="00CA6C2B"/>
    <w:rsid w:val="00CB143F"/>
    <w:rsid w:val="00CB1C36"/>
    <w:rsid w:val="00CB43A0"/>
    <w:rsid w:val="00CC1387"/>
    <w:rsid w:val="00CC219E"/>
    <w:rsid w:val="00CC347E"/>
    <w:rsid w:val="00CC3C12"/>
    <w:rsid w:val="00CC4355"/>
    <w:rsid w:val="00CC5225"/>
    <w:rsid w:val="00CC7799"/>
    <w:rsid w:val="00CD272E"/>
    <w:rsid w:val="00CD4E09"/>
    <w:rsid w:val="00CD65E0"/>
    <w:rsid w:val="00CD718B"/>
    <w:rsid w:val="00CE3495"/>
    <w:rsid w:val="00CE57FD"/>
    <w:rsid w:val="00CE5F01"/>
    <w:rsid w:val="00CE78C3"/>
    <w:rsid w:val="00CF13E2"/>
    <w:rsid w:val="00CF255D"/>
    <w:rsid w:val="00CF361E"/>
    <w:rsid w:val="00CF44DD"/>
    <w:rsid w:val="00CF4896"/>
    <w:rsid w:val="00CF598A"/>
    <w:rsid w:val="00D00B44"/>
    <w:rsid w:val="00D0385A"/>
    <w:rsid w:val="00D03A8D"/>
    <w:rsid w:val="00D04317"/>
    <w:rsid w:val="00D0537E"/>
    <w:rsid w:val="00D056DC"/>
    <w:rsid w:val="00D06267"/>
    <w:rsid w:val="00D06B47"/>
    <w:rsid w:val="00D1254B"/>
    <w:rsid w:val="00D13D86"/>
    <w:rsid w:val="00D15AFF"/>
    <w:rsid w:val="00D2217A"/>
    <w:rsid w:val="00D24EA8"/>
    <w:rsid w:val="00D25968"/>
    <w:rsid w:val="00D27ABC"/>
    <w:rsid w:val="00D3019E"/>
    <w:rsid w:val="00D3141B"/>
    <w:rsid w:val="00D34ACC"/>
    <w:rsid w:val="00D35B02"/>
    <w:rsid w:val="00D375C9"/>
    <w:rsid w:val="00D402A7"/>
    <w:rsid w:val="00D4291C"/>
    <w:rsid w:val="00D4300D"/>
    <w:rsid w:val="00D43EA7"/>
    <w:rsid w:val="00D45084"/>
    <w:rsid w:val="00D52BEB"/>
    <w:rsid w:val="00D539CF"/>
    <w:rsid w:val="00D55AB7"/>
    <w:rsid w:val="00D55FAE"/>
    <w:rsid w:val="00D575A9"/>
    <w:rsid w:val="00D5783E"/>
    <w:rsid w:val="00D606CF"/>
    <w:rsid w:val="00D60978"/>
    <w:rsid w:val="00D60C8F"/>
    <w:rsid w:val="00D61404"/>
    <w:rsid w:val="00D65523"/>
    <w:rsid w:val="00D660AF"/>
    <w:rsid w:val="00D6685A"/>
    <w:rsid w:val="00D676D7"/>
    <w:rsid w:val="00D71B80"/>
    <w:rsid w:val="00D754F3"/>
    <w:rsid w:val="00D77154"/>
    <w:rsid w:val="00D821DA"/>
    <w:rsid w:val="00D84FF4"/>
    <w:rsid w:val="00D8776A"/>
    <w:rsid w:val="00D87AE2"/>
    <w:rsid w:val="00D9108F"/>
    <w:rsid w:val="00D92FE8"/>
    <w:rsid w:val="00D93772"/>
    <w:rsid w:val="00D945E8"/>
    <w:rsid w:val="00D94F91"/>
    <w:rsid w:val="00D96D39"/>
    <w:rsid w:val="00D971FC"/>
    <w:rsid w:val="00DA0B49"/>
    <w:rsid w:val="00DA0CE9"/>
    <w:rsid w:val="00DA37D8"/>
    <w:rsid w:val="00DA7E6A"/>
    <w:rsid w:val="00DB0C42"/>
    <w:rsid w:val="00DB0EED"/>
    <w:rsid w:val="00DB11AC"/>
    <w:rsid w:val="00DB43DF"/>
    <w:rsid w:val="00DB60B3"/>
    <w:rsid w:val="00DB681A"/>
    <w:rsid w:val="00DB6BB2"/>
    <w:rsid w:val="00DC0616"/>
    <w:rsid w:val="00DC1234"/>
    <w:rsid w:val="00DC52A1"/>
    <w:rsid w:val="00DC70B0"/>
    <w:rsid w:val="00DC7C83"/>
    <w:rsid w:val="00DD072C"/>
    <w:rsid w:val="00DD3A59"/>
    <w:rsid w:val="00DD6B6C"/>
    <w:rsid w:val="00DE03AB"/>
    <w:rsid w:val="00DE05A3"/>
    <w:rsid w:val="00DE6189"/>
    <w:rsid w:val="00DE6288"/>
    <w:rsid w:val="00DF0177"/>
    <w:rsid w:val="00DF03A4"/>
    <w:rsid w:val="00DF1348"/>
    <w:rsid w:val="00DF4BCB"/>
    <w:rsid w:val="00DF52F4"/>
    <w:rsid w:val="00E00466"/>
    <w:rsid w:val="00E021E0"/>
    <w:rsid w:val="00E0308D"/>
    <w:rsid w:val="00E069E9"/>
    <w:rsid w:val="00E079F1"/>
    <w:rsid w:val="00E07CF1"/>
    <w:rsid w:val="00E10C1C"/>
    <w:rsid w:val="00E13DEB"/>
    <w:rsid w:val="00E17B91"/>
    <w:rsid w:val="00E20716"/>
    <w:rsid w:val="00E20CCC"/>
    <w:rsid w:val="00E22836"/>
    <w:rsid w:val="00E24053"/>
    <w:rsid w:val="00E24B25"/>
    <w:rsid w:val="00E24DC3"/>
    <w:rsid w:val="00E25DC6"/>
    <w:rsid w:val="00E267FA"/>
    <w:rsid w:val="00E26B78"/>
    <w:rsid w:val="00E30E92"/>
    <w:rsid w:val="00E31E10"/>
    <w:rsid w:val="00E42A13"/>
    <w:rsid w:val="00E42D3F"/>
    <w:rsid w:val="00E4452D"/>
    <w:rsid w:val="00E445BF"/>
    <w:rsid w:val="00E46BDE"/>
    <w:rsid w:val="00E47FFD"/>
    <w:rsid w:val="00E504D9"/>
    <w:rsid w:val="00E50815"/>
    <w:rsid w:val="00E50972"/>
    <w:rsid w:val="00E53087"/>
    <w:rsid w:val="00E533FA"/>
    <w:rsid w:val="00E55655"/>
    <w:rsid w:val="00E62CE0"/>
    <w:rsid w:val="00E71C73"/>
    <w:rsid w:val="00E7346E"/>
    <w:rsid w:val="00E7792B"/>
    <w:rsid w:val="00E80399"/>
    <w:rsid w:val="00E81F50"/>
    <w:rsid w:val="00E8203A"/>
    <w:rsid w:val="00E83B9F"/>
    <w:rsid w:val="00E84409"/>
    <w:rsid w:val="00E85EAB"/>
    <w:rsid w:val="00E86D25"/>
    <w:rsid w:val="00E87B61"/>
    <w:rsid w:val="00E91D47"/>
    <w:rsid w:val="00E91E4E"/>
    <w:rsid w:val="00E920D3"/>
    <w:rsid w:val="00E92F3B"/>
    <w:rsid w:val="00E96E65"/>
    <w:rsid w:val="00EA4684"/>
    <w:rsid w:val="00EA534D"/>
    <w:rsid w:val="00EB010A"/>
    <w:rsid w:val="00EB0110"/>
    <w:rsid w:val="00EB0F79"/>
    <w:rsid w:val="00EB4CC4"/>
    <w:rsid w:val="00EB51DC"/>
    <w:rsid w:val="00EC17C0"/>
    <w:rsid w:val="00EC1C4C"/>
    <w:rsid w:val="00EC3CEC"/>
    <w:rsid w:val="00EC4822"/>
    <w:rsid w:val="00EC4B4E"/>
    <w:rsid w:val="00EC540E"/>
    <w:rsid w:val="00EC5919"/>
    <w:rsid w:val="00EC5A9C"/>
    <w:rsid w:val="00EC6D60"/>
    <w:rsid w:val="00ED0F83"/>
    <w:rsid w:val="00ED2148"/>
    <w:rsid w:val="00ED2517"/>
    <w:rsid w:val="00ED2678"/>
    <w:rsid w:val="00ED3604"/>
    <w:rsid w:val="00ED4131"/>
    <w:rsid w:val="00ED525A"/>
    <w:rsid w:val="00EE4052"/>
    <w:rsid w:val="00EE4A9B"/>
    <w:rsid w:val="00EE4FEB"/>
    <w:rsid w:val="00EE547D"/>
    <w:rsid w:val="00EE7B6A"/>
    <w:rsid w:val="00EF0286"/>
    <w:rsid w:val="00EF0456"/>
    <w:rsid w:val="00EF14EA"/>
    <w:rsid w:val="00EF298B"/>
    <w:rsid w:val="00EF47DC"/>
    <w:rsid w:val="00EF6F7B"/>
    <w:rsid w:val="00F05019"/>
    <w:rsid w:val="00F0538E"/>
    <w:rsid w:val="00F11247"/>
    <w:rsid w:val="00F147FE"/>
    <w:rsid w:val="00F22B1C"/>
    <w:rsid w:val="00F32D2F"/>
    <w:rsid w:val="00F36830"/>
    <w:rsid w:val="00F36F8D"/>
    <w:rsid w:val="00F37B57"/>
    <w:rsid w:val="00F401BC"/>
    <w:rsid w:val="00F42782"/>
    <w:rsid w:val="00F42B68"/>
    <w:rsid w:val="00F4391B"/>
    <w:rsid w:val="00F45023"/>
    <w:rsid w:val="00F45F14"/>
    <w:rsid w:val="00F47644"/>
    <w:rsid w:val="00F521B3"/>
    <w:rsid w:val="00F527F5"/>
    <w:rsid w:val="00F542EC"/>
    <w:rsid w:val="00F6554A"/>
    <w:rsid w:val="00F65A30"/>
    <w:rsid w:val="00F662E6"/>
    <w:rsid w:val="00F67FB7"/>
    <w:rsid w:val="00F70592"/>
    <w:rsid w:val="00F73CE5"/>
    <w:rsid w:val="00F741E4"/>
    <w:rsid w:val="00F75CA8"/>
    <w:rsid w:val="00F76953"/>
    <w:rsid w:val="00F77C15"/>
    <w:rsid w:val="00F812F2"/>
    <w:rsid w:val="00F84AA8"/>
    <w:rsid w:val="00F93694"/>
    <w:rsid w:val="00F936AB"/>
    <w:rsid w:val="00F96D79"/>
    <w:rsid w:val="00F96D92"/>
    <w:rsid w:val="00FA078F"/>
    <w:rsid w:val="00FA2864"/>
    <w:rsid w:val="00FA3598"/>
    <w:rsid w:val="00FB22D4"/>
    <w:rsid w:val="00FB3656"/>
    <w:rsid w:val="00FB56AB"/>
    <w:rsid w:val="00FB7BB9"/>
    <w:rsid w:val="00FC20AD"/>
    <w:rsid w:val="00FC226E"/>
    <w:rsid w:val="00FC34E2"/>
    <w:rsid w:val="00FC36B8"/>
    <w:rsid w:val="00FC43FF"/>
    <w:rsid w:val="00FC44C6"/>
    <w:rsid w:val="00FC55F9"/>
    <w:rsid w:val="00FC67BC"/>
    <w:rsid w:val="00FC799D"/>
    <w:rsid w:val="00FD1820"/>
    <w:rsid w:val="00FD3BC9"/>
    <w:rsid w:val="00FD4A0A"/>
    <w:rsid w:val="00FD6634"/>
    <w:rsid w:val="00FD6E1B"/>
    <w:rsid w:val="00FE00F5"/>
    <w:rsid w:val="00FE1541"/>
    <w:rsid w:val="00FE1D7D"/>
    <w:rsid w:val="00FE2A42"/>
    <w:rsid w:val="00FE5866"/>
    <w:rsid w:val="00FE5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9B744"/>
  <w15:chartTrackingRefBased/>
  <w15:docId w15:val="{F2319F28-00A8-4F56-8FE0-347690B9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5A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EC5A9C"/>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9C"/>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semiHidden/>
    <w:rsid w:val="00EC5A9C"/>
    <w:rPr>
      <w:rFonts w:ascii="Calibri Light" w:eastAsia="Times New Roman" w:hAnsi="Calibri Light" w:cs="Times New Roman"/>
      <w:color w:val="2F5496"/>
      <w:sz w:val="26"/>
      <w:szCs w:val="26"/>
    </w:rPr>
  </w:style>
  <w:style w:type="paragraph" w:customStyle="1" w:styleId="Heading21">
    <w:name w:val="Heading 21"/>
    <w:basedOn w:val="Normal"/>
    <w:next w:val="Normal"/>
    <w:uiPriority w:val="9"/>
    <w:unhideWhenUsed/>
    <w:qFormat/>
    <w:rsid w:val="00EC5A9C"/>
    <w:pPr>
      <w:keepNext/>
      <w:keepLines/>
      <w:spacing w:before="40" w:after="0" w:line="240" w:lineRule="auto"/>
      <w:outlineLvl w:val="1"/>
    </w:pPr>
    <w:rPr>
      <w:rFonts w:ascii="Calibri Light" w:eastAsia="Times New Roman" w:hAnsi="Calibri Light" w:cs="Times New Roman"/>
      <w:color w:val="2F5496"/>
      <w:sz w:val="26"/>
      <w:szCs w:val="26"/>
      <w:lang w:val="en-US"/>
    </w:rPr>
  </w:style>
  <w:style w:type="numbering" w:customStyle="1" w:styleId="NoList1">
    <w:name w:val="No List1"/>
    <w:next w:val="NoList"/>
    <w:uiPriority w:val="99"/>
    <w:semiHidden/>
    <w:unhideWhenUsed/>
    <w:rsid w:val="00EC5A9C"/>
  </w:style>
  <w:style w:type="paragraph" w:customStyle="1" w:styleId="ListParagraph1">
    <w:name w:val="List Paragraph1"/>
    <w:basedOn w:val="Normal"/>
    <w:next w:val="ListParagraph"/>
    <w:uiPriority w:val="34"/>
    <w:qFormat/>
    <w:rsid w:val="00EC5A9C"/>
    <w:pPr>
      <w:spacing w:line="240" w:lineRule="auto"/>
      <w:ind w:left="720"/>
      <w:contextualSpacing/>
    </w:pPr>
    <w:rPr>
      <w:rFonts w:ascii="Times New Roman" w:hAnsi="Times New Roman"/>
      <w:sz w:val="28"/>
      <w:lang w:val="en-US"/>
    </w:rPr>
  </w:style>
  <w:style w:type="table" w:customStyle="1" w:styleId="TableGrid1">
    <w:name w:val="Table Grid1"/>
    <w:basedOn w:val="TableNormal"/>
    <w:next w:val="TableGrid"/>
    <w:uiPriority w:val="39"/>
    <w:rsid w:val="00EC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A9C"/>
    <w:rPr>
      <w:color w:val="0000FF"/>
      <w:u w:val="single"/>
    </w:rPr>
  </w:style>
  <w:style w:type="paragraph" w:customStyle="1" w:styleId="Header1">
    <w:name w:val="Header1"/>
    <w:basedOn w:val="Normal"/>
    <w:next w:val="Header"/>
    <w:link w:val="HeaderChar"/>
    <w:uiPriority w:val="99"/>
    <w:unhideWhenUsed/>
    <w:rsid w:val="00EC5A9C"/>
    <w:pPr>
      <w:tabs>
        <w:tab w:val="center" w:pos="4677"/>
        <w:tab w:val="right" w:pos="9355"/>
      </w:tabs>
      <w:spacing w:after="0" w:line="240" w:lineRule="auto"/>
    </w:pPr>
    <w:rPr>
      <w:rFonts w:ascii="Times New Roman" w:hAnsi="Times New Roman"/>
      <w:sz w:val="28"/>
    </w:rPr>
  </w:style>
  <w:style w:type="character" w:customStyle="1" w:styleId="HeaderChar">
    <w:name w:val="Header Char"/>
    <w:basedOn w:val="DefaultParagraphFont"/>
    <w:link w:val="Header1"/>
    <w:uiPriority w:val="99"/>
    <w:rsid w:val="00EC5A9C"/>
    <w:rPr>
      <w:rFonts w:ascii="Times New Roman" w:hAnsi="Times New Roman"/>
      <w:sz w:val="28"/>
    </w:rPr>
  </w:style>
  <w:style w:type="paragraph" w:customStyle="1" w:styleId="Footer1">
    <w:name w:val="Footer1"/>
    <w:basedOn w:val="Normal"/>
    <w:next w:val="Footer"/>
    <w:link w:val="FooterChar"/>
    <w:uiPriority w:val="99"/>
    <w:unhideWhenUsed/>
    <w:rsid w:val="00EC5A9C"/>
    <w:pPr>
      <w:tabs>
        <w:tab w:val="center" w:pos="4677"/>
        <w:tab w:val="right" w:pos="9355"/>
      </w:tabs>
      <w:spacing w:after="0" w:line="240" w:lineRule="auto"/>
    </w:pPr>
    <w:rPr>
      <w:rFonts w:ascii="Times New Roman" w:hAnsi="Times New Roman"/>
      <w:sz w:val="28"/>
    </w:rPr>
  </w:style>
  <w:style w:type="character" w:customStyle="1" w:styleId="FooterChar">
    <w:name w:val="Footer Char"/>
    <w:basedOn w:val="DefaultParagraphFont"/>
    <w:link w:val="Footer1"/>
    <w:uiPriority w:val="99"/>
    <w:rsid w:val="00EC5A9C"/>
    <w:rPr>
      <w:rFonts w:ascii="Times New Roman" w:hAnsi="Times New Roman"/>
      <w:sz w:val="28"/>
    </w:rPr>
  </w:style>
  <w:style w:type="character" w:customStyle="1" w:styleId="ref-lnk">
    <w:name w:val="ref-lnk"/>
    <w:basedOn w:val="DefaultParagraphFont"/>
    <w:rsid w:val="00EC5A9C"/>
  </w:style>
  <w:style w:type="numbering" w:customStyle="1" w:styleId="NoList11">
    <w:name w:val="No List11"/>
    <w:next w:val="NoList"/>
    <w:uiPriority w:val="99"/>
    <w:semiHidden/>
    <w:unhideWhenUsed/>
    <w:rsid w:val="00EC5A9C"/>
  </w:style>
  <w:style w:type="character" w:styleId="CommentReference">
    <w:name w:val="annotation reference"/>
    <w:basedOn w:val="DefaultParagraphFont"/>
    <w:uiPriority w:val="99"/>
    <w:semiHidden/>
    <w:unhideWhenUsed/>
    <w:rsid w:val="00EC5A9C"/>
    <w:rPr>
      <w:sz w:val="16"/>
      <w:szCs w:val="16"/>
    </w:rPr>
  </w:style>
  <w:style w:type="paragraph" w:customStyle="1" w:styleId="CommentText1">
    <w:name w:val="Comment Text1"/>
    <w:basedOn w:val="Normal"/>
    <w:next w:val="CommentText"/>
    <w:link w:val="CommentTextChar"/>
    <w:uiPriority w:val="99"/>
    <w:unhideWhenUsed/>
    <w:rsid w:val="00EC5A9C"/>
    <w:pPr>
      <w:spacing w:line="240" w:lineRule="auto"/>
    </w:pPr>
    <w:rPr>
      <w:rFonts w:ascii="Times New Roman" w:hAnsi="Times New Roman"/>
      <w:sz w:val="20"/>
      <w:szCs w:val="20"/>
    </w:rPr>
  </w:style>
  <w:style w:type="character" w:customStyle="1" w:styleId="CommentTextChar">
    <w:name w:val="Comment Text Char"/>
    <w:basedOn w:val="DefaultParagraphFont"/>
    <w:link w:val="CommentText1"/>
    <w:uiPriority w:val="99"/>
    <w:rsid w:val="00EC5A9C"/>
    <w:rPr>
      <w:rFonts w:ascii="Times New Roman" w:hAnsi="Times New Roman"/>
      <w:sz w:val="20"/>
      <w:szCs w:val="20"/>
    </w:rPr>
  </w:style>
  <w:style w:type="paragraph" w:customStyle="1" w:styleId="CommentSubject1">
    <w:name w:val="Comment Subject1"/>
    <w:basedOn w:val="CommentText"/>
    <w:next w:val="CommentText"/>
    <w:uiPriority w:val="99"/>
    <w:semiHidden/>
    <w:unhideWhenUsed/>
    <w:rsid w:val="00EC5A9C"/>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EC5A9C"/>
    <w:rPr>
      <w:rFonts w:ascii="Times New Roman" w:hAnsi="Times New Roman"/>
      <w:b/>
      <w:bCs/>
      <w:sz w:val="20"/>
      <w:szCs w:val="20"/>
    </w:rPr>
  </w:style>
  <w:style w:type="paragraph" w:customStyle="1" w:styleId="FootnoteText1">
    <w:name w:val="Footnote Text1"/>
    <w:basedOn w:val="Normal"/>
    <w:next w:val="FootnoteText"/>
    <w:link w:val="FootnoteTextChar"/>
    <w:uiPriority w:val="99"/>
    <w:unhideWhenUsed/>
    <w:rsid w:val="00EC5A9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1"/>
    <w:uiPriority w:val="99"/>
    <w:rsid w:val="00EC5A9C"/>
    <w:rPr>
      <w:rFonts w:ascii="Times New Roman" w:hAnsi="Times New Roman"/>
      <w:sz w:val="20"/>
      <w:szCs w:val="20"/>
    </w:rPr>
  </w:style>
  <w:style w:type="character" w:styleId="FootnoteReference">
    <w:name w:val="footnote reference"/>
    <w:basedOn w:val="DefaultParagraphFont"/>
    <w:uiPriority w:val="99"/>
    <w:semiHidden/>
    <w:unhideWhenUsed/>
    <w:rsid w:val="00EC5A9C"/>
    <w:rPr>
      <w:vertAlign w:val="superscript"/>
    </w:rPr>
  </w:style>
  <w:style w:type="paragraph" w:customStyle="1" w:styleId="BalloonText1">
    <w:name w:val="Balloon Text1"/>
    <w:basedOn w:val="Normal"/>
    <w:next w:val="BalloonText"/>
    <w:link w:val="BalloonTextChar"/>
    <w:uiPriority w:val="99"/>
    <w:semiHidden/>
    <w:unhideWhenUsed/>
    <w:rsid w:val="00EC5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EC5A9C"/>
    <w:rPr>
      <w:rFonts w:ascii="Segoe UI" w:hAnsi="Segoe UI" w:cs="Segoe UI"/>
      <w:sz w:val="18"/>
      <w:szCs w:val="18"/>
    </w:rPr>
  </w:style>
  <w:style w:type="character" w:customStyle="1" w:styleId="UnresolvedMention1">
    <w:name w:val="Unresolved Mention1"/>
    <w:basedOn w:val="DefaultParagraphFont"/>
    <w:uiPriority w:val="99"/>
    <w:semiHidden/>
    <w:unhideWhenUsed/>
    <w:rsid w:val="00EC5A9C"/>
    <w:rPr>
      <w:color w:val="605E5C"/>
      <w:shd w:val="clear" w:color="auto" w:fill="E1DFDD"/>
    </w:rPr>
  </w:style>
  <w:style w:type="character" w:customStyle="1" w:styleId="FollowedHyperlink1">
    <w:name w:val="FollowedHyperlink1"/>
    <w:basedOn w:val="DefaultParagraphFont"/>
    <w:uiPriority w:val="99"/>
    <w:semiHidden/>
    <w:unhideWhenUsed/>
    <w:rsid w:val="00EC5A9C"/>
    <w:rPr>
      <w:color w:val="954F72"/>
      <w:u w:val="single"/>
    </w:rPr>
  </w:style>
  <w:style w:type="character" w:styleId="EndnoteReference">
    <w:name w:val="endnote reference"/>
    <w:basedOn w:val="DefaultParagraphFont"/>
    <w:uiPriority w:val="99"/>
    <w:semiHidden/>
    <w:unhideWhenUsed/>
    <w:rsid w:val="00EC5A9C"/>
    <w:rPr>
      <w:vertAlign w:val="superscript"/>
    </w:rPr>
  </w:style>
  <w:style w:type="character" w:customStyle="1" w:styleId="Heading2Char1">
    <w:name w:val="Heading 2 Char1"/>
    <w:basedOn w:val="DefaultParagraphFont"/>
    <w:uiPriority w:val="9"/>
    <w:semiHidden/>
    <w:rsid w:val="00EC5A9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C5A9C"/>
    <w:pPr>
      <w:ind w:left="720"/>
      <w:contextualSpacing/>
    </w:pPr>
  </w:style>
  <w:style w:type="table" w:styleId="TableGrid">
    <w:name w:val="Table Grid"/>
    <w:basedOn w:val="TableNormal"/>
    <w:uiPriority w:val="39"/>
    <w:rsid w:val="00EC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semiHidden/>
    <w:unhideWhenUsed/>
    <w:rsid w:val="00EC5A9C"/>
    <w:pPr>
      <w:tabs>
        <w:tab w:val="center" w:pos="4677"/>
        <w:tab w:val="right" w:pos="9355"/>
      </w:tabs>
      <w:spacing w:after="0" w:line="240" w:lineRule="auto"/>
    </w:pPr>
  </w:style>
  <w:style w:type="character" w:customStyle="1" w:styleId="HeaderChar1">
    <w:name w:val="Header Char1"/>
    <w:basedOn w:val="DefaultParagraphFont"/>
    <w:link w:val="Header"/>
    <w:uiPriority w:val="99"/>
    <w:semiHidden/>
    <w:rsid w:val="00EC5A9C"/>
  </w:style>
  <w:style w:type="paragraph" w:styleId="Footer">
    <w:name w:val="footer"/>
    <w:basedOn w:val="Normal"/>
    <w:link w:val="FooterChar1"/>
    <w:uiPriority w:val="99"/>
    <w:semiHidden/>
    <w:unhideWhenUsed/>
    <w:rsid w:val="00EC5A9C"/>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rsid w:val="00EC5A9C"/>
  </w:style>
  <w:style w:type="paragraph" w:styleId="CommentText">
    <w:name w:val="annotation text"/>
    <w:basedOn w:val="Normal"/>
    <w:link w:val="CommentTextChar1"/>
    <w:uiPriority w:val="99"/>
    <w:semiHidden/>
    <w:unhideWhenUsed/>
    <w:rsid w:val="00EC5A9C"/>
    <w:pPr>
      <w:spacing w:line="240" w:lineRule="auto"/>
    </w:pPr>
    <w:rPr>
      <w:sz w:val="20"/>
      <w:szCs w:val="20"/>
    </w:rPr>
  </w:style>
  <w:style w:type="character" w:customStyle="1" w:styleId="CommentTextChar1">
    <w:name w:val="Comment Text Char1"/>
    <w:basedOn w:val="DefaultParagraphFont"/>
    <w:link w:val="CommentText"/>
    <w:uiPriority w:val="99"/>
    <w:semiHidden/>
    <w:rsid w:val="00EC5A9C"/>
    <w:rPr>
      <w:sz w:val="20"/>
      <w:szCs w:val="20"/>
    </w:rPr>
  </w:style>
  <w:style w:type="paragraph" w:styleId="CommentSubject">
    <w:name w:val="annotation subject"/>
    <w:basedOn w:val="CommentText"/>
    <w:next w:val="CommentText"/>
    <w:link w:val="CommentSubjectChar"/>
    <w:uiPriority w:val="99"/>
    <w:semiHidden/>
    <w:unhideWhenUsed/>
    <w:rsid w:val="00EC5A9C"/>
    <w:rPr>
      <w:rFonts w:ascii="Times New Roman" w:hAnsi="Times New Roman"/>
      <w:b/>
      <w:bCs/>
    </w:rPr>
  </w:style>
  <w:style w:type="character" w:customStyle="1" w:styleId="CommentSubjectChar1">
    <w:name w:val="Comment Subject Char1"/>
    <w:basedOn w:val="CommentTextChar1"/>
    <w:uiPriority w:val="99"/>
    <w:semiHidden/>
    <w:rsid w:val="00EC5A9C"/>
    <w:rPr>
      <w:b/>
      <w:bCs/>
      <w:sz w:val="20"/>
      <w:szCs w:val="20"/>
    </w:rPr>
  </w:style>
  <w:style w:type="paragraph" w:styleId="FootnoteText">
    <w:name w:val="footnote text"/>
    <w:basedOn w:val="Normal"/>
    <w:link w:val="FootnoteTextChar1"/>
    <w:uiPriority w:val="99"/>
    <w:semiHidden/>
    <w:unhideWhenUsed/>
    <w:rsid w:val="00EC5A9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EC5A9C"/>
    <w:rPr>
      <w:sz w:val="20"/>
      <w:szCs w:val="20"/>
    </w:rPr>
  </w:style>
  <w:style w:type="paragraph" w:styleId="BalloonText">
    <w:name w:val="Balloon Text"/>
    <w:basedOn w:val="Normal"/>
    <w:link w:val="BalloonTextChar1"/>
    <w:uiPriority w:val="99"/>
    <w:semiHidden/>
    <w:unhideWhenUsed/>
    <w:rsid w:val="00EC5A9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EC5A9C"/>
    <w:rPr>
      <w:rFonts w:ascii="Segoe UI" w:hAnsi="Segoe UI" w:cs="Segoe UI"/>
      <w:sz w:val="18"/>
      <w:szCs w:val="18"/>
    </w:rPr>
  </w:style>
  <w:style w:type="character" w:styleId="FollowedHyperlink">
    <w:name w:val="FollowedHyperlink"/>
    <w:basedOn w:val="DefaultParagraphFont"/>
    <w:uiPriority w:val="99"/>
    <w:semiHidden/>
    <w:unhideWhenUsed/>
    <w:rsid w:val="00EC5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12139">
      <w:bodyDiv w:val="1"/>
      <w:marLeft w:val="0"/>
      <w:marRight w:val="0"/>
      <w:marTop w:val="0"/>
      <w:marBottom w:val="0"/>
      <w:divBdr>
        <w:top w:val="none" w:sz="0" w:space="0" w:color="auto"/>
        <w:left w:val="none" w:sz="0" w:space="0" w:color="auto"/>
        <w:bottom w:val="none" w:sz="0" w:space="0" w:color="auto"/>
        <w:right w:val="none" w:sz="0" w:space="0" w:color="auto"/>
      </w:divBdr>
    </w:div>
    <w:div w:id="618731458">
      <w:bodyDiv w:val="1"/>
      <w:marLeft w:val="0"/>
      <w:marRight w:val="0"/>
      <w:marTop w:val="0"/>
      <w:marBottom w:val="0"/>
      <w:divBdr>
        <w:top w:val="none" w:sz="0" w:space="0" w:color="auto"/>
        <w:left w:val="none" w:sz="0" w:space="0" w:color="auto"/>
        <w:bottom w:val="none" w:sz="0" w:space="0" w:color="auto"/>
        <w:right w:val="none" w:sz="0" w:space="0" w:color="auto"/>
      </w:divBdr>
    </w:div>
    <w:div w:id="730813785">
      <w:bodyDiv w:val="1"/>
      <w:marLeft w:val="0"/>
      <w:marRight w:val="0"/>
      <w:marTop w:val="0"/>
      <w:marBottom w:val="0"/>
      <w:divBdr>
        <w:top w:val="none" w:sz="0" w:space="0" w:color="auto"/>
        <w:left w:val="none" w:sz="0" w:space="0" w:color="auto"/>
        <w:bottom w:val="none" w:sz="0" w:space="0" w:color="auto"/>
        <w:right w:val="none" w:sz="0" w:space="0" w:color="auto"/>
      </w:divBdr>
    </w:div>
    <w:div w:id="872688051">
      <w:bodyDiv w:val="1"/>
      <w:marLeft w:val="0"/>
      <w:marRight w:val="0"/>
      <w:marTop w:val="0"/>
      <w:marBottom w:val="0"/>
      <w:divBdr>
        <w:top w:val="none" w:sz="0" w:space="0" w:color="auto"/>
        <w:left w:val="none" w:sz="0" w:space="0" w:color="auto"/>
        <w:bottom w:val="none" w:sz="0" w:space="0" w:color="auto"/>
        <w:right w:val="none" w:sz="0" w:space="0" w:color="auto"/>
      </w:divBdr>
    </w:div>
    <w:div w:id="1144276690">
      <w:bodyDiv w:val="1"/>
      <w:marLeft w:val="0"/>
      <w:marRight w:val="0"/>
      <w:marTop w:val="0"/>
      <w:marBottom w:val="0"/>
      <w:divBdr>
        <w:top w:val="none" w:sz="0" w:space="0" w:color="auto"/>
        <w:left w:val="none" w:sz="0" w:space="0" w:color="auto"/>
        <w:bottom w:val="none" w:sz="0" w:space="0" w:color="auto"/>
        <w:right w:val="none" w:sz="0" w:space="0" w:color="auto"/>
      </w:divBdr>
    </w:div>
    <w:div w:id="1361660197">
      <w:bodyDiv w:val="1"/>
      <w:marLeft w:val="0"/>
      <w:marRight w:val="0"/>
      <w:marTop w:val="0"/>
      <w:marBottom w:val="0"/>
      <w:divBdr>
        <w:top w:val="none" w:sz="0" w:space="0" w:color="auto"/>
        <w:left w:val="none" w:sz="0" w:space="0" w:color="auto"/>
        <w:bottom w:val="none" w:sz="0" w:space="0" w:color="auto"/>
        <w:right w:val="none" w:sz="0" w:space="0" w:color="auto"/>
      </w:divBdr>
    </w:div>
    <w:div w:id="161934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E223DE1-BBCD-4CD1-B51C-91C36C79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99566</Words>
  <Characters>596404</Characters>
  <Application>Microsoft Office Word</Application>
  <DocSecurity>0</DocSecurity>
  <Lines>31389</Lines>
  <Paragraphs>17845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dc:creator>
  <cp:keywords/>
  <dc:description/>
  <cp:lastModifiedBy>Collins Ntim</cp:lastModifiedBy>
  <cp:revision>4</cp:revision>
  <dcterms:created xsi:type="dcterms:W3CDTF">2023-01-18T13:59:00Z</dcterms:created>
  <dcterms:modified xsi:type="dcterms:W3CDTF">2023-01-18T14:07:00Z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http://www.zotero.org/styles/academy-of-management-journal</vt:lpwstr>
  </property>
  <property fmtid="{D5CDD505-2E9C-101B-9397-08002B2CF9AE}" pid="3" name="Mendeley Recent Style Name 0_1">
    <vt:lpwstr>Academy of Management Journal</vt:lpwstr>
  </property>
  <property fmtid="{D5CDD505-2E9C-101B-9397-08002B2CF9AE}" pid="4" name="Mendeley Recent Style Id 1_1">
    <vt:lpwstr>http://www.zotero.org/styles/accounting-organizations-and-society</vt:lpwstr>
  </property>
  <property fmtid="{D5CDD505-2E9C-101B-9397-08002B2CF9AE}" pid="5" name="Mendeley Recent Style Name 1_1">
    <vt:lpwstr>Accounting, Organizations and Society</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http://www.zotero.org/styles/apa-6th-edition</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http://www.zotero.org/styles/edward-elgar-business-and-social-sciences</vt:lpwstr>
  </property>
  <property fmtid="{D5CDD505-2E9C-101B-9397-08002B2CF9AE}" pid="13" name="Mendeley Recent Style Name 5_1">
    <vt:lpwstr>Edward Elgar Publishing - Business and Social Sciences</vt:lpwstr>
  </property>
  <property fmtid="{D5CDD505-2E9C-101B-9397-08002B2CF9AE}" pid="14" name="Mendeley Recent Style Id 6_1">
    <vt:lpwstr>http://www.zotero.org/styles/european-accounting-review</vt:lpwstr>
  </property>
  <property fmtid="{D5CDD505-2E9C-101B-9397-08002B2CF9AE}" pid="15" name="Mendeley Recent Style Name 6_1">
    <vt:lpwstr>European Accounting Review</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http://www.zotero.org/styles/journal-of-business-ethics</vt:lpwstr>
  </property>
  <property fmtid="{D5CDD505-2E9C-101B-9397-08002B2CF9AE}" pid="19" name="Mendeley Recent Style Name 8_1">
    <vt:lpwstr>Journal of Business Ethics</vt:lpwstr>
  </property>
  <property fmtid="{D5CDD505-2E9C-101B-9397-08002B2CF9AE}" pid="20" name="Mendeley Recent Style Id 9_1">
    <vt:lpwstr>http://www.zotero.org/styles/journal-of-international-accounting-auditing-and-taxation</vt:lpwstr>
  </property>
  <property fmtid="{D5CDD505-2E9C-101B-9397-08002B2CF9AE}" pid="21" name="Mendeley Recent Style Name 9_1">
    <vt:lpwstr>Journal of International Accounting, Auditing and Taxation</vt:lpwstr>
  </property>
  <property fmtid="{D5CDD505-2E9C-101B-9397-08002B2CF9AE}" pid="22" name="Mendeley Document_1">
    <vt:lpwstr>True</vt:lpwstr>
  </property>
  <property fmtid="{D5CDD505-2E9C-101B-9397-08002B2CF9AE}" pid="23" name="Mendeley Unique User Id_1">
    <vt:lpwstr>cff584a7-821b-3161-af93-1ab60addadb8</vt:lpwstr>
  </property>
  <property fmtid="{D5CDD505-2E9C-101B-9397-08002B2CF9AE}" pid="24" name="Mendeley Citation Style_1">
    <vt:lpwstr>http://www.zotero.org/styles/edward-elgar-business-and-social-sciences</vt:lpwstr>
  </property>
</Properties>
</file>