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F20BB" w14:textId="0CCC508E" w:rsidR="00661045" w:rsidRDefault="00A45D83" w:rsidP="0010549A">
      <w:pPr>
        <w:pStyle w:val="Heading1"/>
        <w:jc w:val="both"/>
      </w:pPr>
      <w:r>
        <w:t xml:space="preserve">Examining the effect </w:t>
      </w:r>
      <w:r w:rsidR="003A6245">
        <w:t xml:space="preserve">of interventions in </w:t>
      </w:r>
      <w:r w:rsidR="00963C50">
        <w:t>e</w:t>
      </w:r>
      <w:r w:rsidR="00760C32">
        <w:t xml:space="preserve">mergency </w:t>
      </w:r>
      <w:r w:rsidR="000F09A5">
        <w:t>c</w:t>
      </w:r>
      <w:r w:rsidR="00760C32">
        <w:t xml:space="preserve">are for </w:t>
      </w:r>
      <w:r w:rsidR="000F09A5">
        <w:t>o</w:t>
      </w:r>
      <w:r w:rsidR="00760C32">
        <w:t xml:space="preserve">lder </w:t>
      </w:r>
      <w:r w:rsidR="000F09A5">
        <w:t>p</w:t>
      </w:r>
      <w:r w:rsidR="00760C32">
        <w:t>eople</w:t>
      </w:r>
      <w:r>
        <w:t xml:space="preserve"> using </w:t>
      </w:r>
      <w:r w:rsidR="00A65FBA">
        <w:t>a system dynamics</w:t>
      </w:r>
      <w:r w:rsidR="006628FC">
        <w:t xml:space="preserve"> decision support</w:t>
      </w:r>
      <w:r w:rsidR="0035536A">
        <w:t xml:space="preserve"> </w:t>
      </w:r>
      <w:r w:rsidR="00C461EF">
        <w:t>tool</w:t>
      </w:r>
    </w:p>
    <w:p w14:paraId="2D3B781E" w14:textId="4A7FC8D4" w:rsidR="0018409A" w:rsidRDefault="008C7C78" w:rsidP="0010549A">
      <w:pPr>
        <w:pStyle w:val="Heading2"/>
      </w:pPr>
      <w:r>
        <w:t>Abstract</w:t>
      </w:r>
    </w:p>
    <w:p w14:paraId="176DE3A7" w14:textId="6B6EE103" w:rsidR="00680A45" w:rsidRDefault="00680A45" w:rsidP="00680A45">
      <w:pPr>
        <w:pStyle w:val="Abstract"/>
        <w:spacing w:before="0" w:after="0"/>
        <w:jc w:val="both"/>
      </w:pPr>
      <w:r>
        <w:t xml:space="preserve">Background: </w:t>
      </w:r>
      <w:r w:rsidR="000D148C">
        <w:t xml:space="preserve">Rising demand for </w:t>
      </w:r>
      <w:r w:rsidR="00510132">
        <w:t>Emergency and Urgent Care is a major international issue</w:t>
      </w:r>
      <w:r w:rsidR="00DD75D0">
        <w:t xml:space="preserve"> and outcomes for </w:t>
      </w:r>
      <w:r w:rsidR="00510132">
        <w:t>older people</w:t>
      </w:r>
      <w:r w:rsidR="00A6263B">
        <w:t xml:space="preserve"> remain sub-optimal</w:t>
      </w:r>
      <w:r w:rsidR="00510132">
        <w:t>.</w:t>
      </w:r>
      <w:r w:rsidR="005C3585">
        <w:t xml:space="preserve"> </w:t>
      </w:r>
      <w:r w:rsidR="00C17F49">
        <w:t>E</w:t>
      </w:r>
      <w:r w:rsidR="00A6263B">
        <w:t xml:space="preserve">mbarking upon large scale service development is costly in terms of time, energy, </w:t>
      </w:r>
      <w:r w:rsidR="00C17F49">
        <w:t xml:space="preserve">and </w:t>
      </w:r>
      <w:r w:rsidR="00A6263B">
        <w:t xml:space="preserve">resources </w:t>
      </w:r>
      <w:r w:rsidR="00BB60BB">
        <w:t>with no guarantee of</w:t>
      </w:r>
      <w:r w:rsidR="00C17F49">
        <w:t xml:space="preserve"> </w:t>
      </w:r>
      <w:r w:rsidR="00A6263B">
        <w:t>improve</w:t>
      </w:r>
      <w:r w:rsidR="00BB60BB">
        <w:t>d</w:t>
      </w:r>
      <w:r w:rsidR="00A6263B">
        <w:t xml:space="preserve"> outcomes; computer simulation modelling offer</w:t>
      </w:r>
      <w:r w:rsidR="00C17F49">
        <w:t>s</w:t>
      </w:r>
      <w:r w:rsidR="00A6263B">
        <w:t xml:space="preserve"> an alternative, low risk and lower cost approach</w:t>
      </w:r>
      <w:r w:rsidR="00CF4543">
        <w:t xml:space="preserve"> to explore possible interventions</w:t>
      </w:r>
      <w:r w:rsidR="00A6263B">
        <w:t>.</w:t>
      </w:r>
    </w:p>
    <w:p w14:paraId="1A603727" w14:textId="2D5C7BBD" w:rsidR="00680A45" w:rsidRDefault="00680A45" w:rsidP="00680A45">
      <w:pPr>
        <w:pStyle w:val="Abstract"/>
        <w:spacing w:before="0" w:after="0"/>
        <w:jc w:val="both"/>
      </w:pPr>
      <w:r>
        <w:t xml:space="preserve">Method: </w:t>
      </w:r>
      <w:r w:rsidR="00510132" w:rsidRPr="00510132">
        <w:t xml:space="preserve">A system dynamics computer simulation model </w:t>
      </w:r>
      <w:r w:rsidR="00F06163">
        <w:t>was</w:t>
      </w:r>
      <w:r w:rsidR="00510132" w:rsidRPr="00510132">
        <w:t xml:space="preserve"> developed </w:t>
      </w:r>
      <w:r w:rsidR="00963C50">
        <w:t xml:space="preserve">as a decision support tool for service planners. The model </w:t>
      </w:r>
      <w:r w:rsidR="00510132" w:rsidRPr="00510132">
        <w:t>represent</w:t>
      </w:r>
      <w:r w:rsidR="00963C50">
        <w:t>s</w:t>
      </w:r>
      <w:r w:rsidR="00510132" w:rsidRPr="00510132">
        <w:t xml:space="preserve"> patient flow through the </w:t>
      </w:r>
      <w:r w:rsidR="005A37CA">
        <w:t xml:space="preserve">emergency </w:t>
      </w:r>
      <w:r w:rsidR="00963C50">
        <w:t>care</w:t>
      </w:r>
      <w:r w:rsidR="00510132" w:rsidRPr="00510132">
        <w:t xml:space="preserve"> process from the point of </w:t>
      </w:r>
      <w:r w:rsidR="005A37CA">
        <w:t>calling for help</w:t>
      </w:r>
      <w:r w:rsidR="00510132" w:rsidRPr="00510132">
        <w:t xml:space="preserve"> through to </w:t>
      </w:r>
      <w:r w:rsidR="00963C50">
        <w:t xml:space="preserve">ED attendance, </w:t>
      </w:r>
      <w:r w:rsidR="00BB60BB">
        <w:t xml:space="preserve">possible </w:t>
      </w:r>
      <w:r w:rsidR="00510132" w:rsidRPr="00510132">
        <w:t>admission</w:t>
      </w:r>
      <w:r w:rsidR="00963C50">
        <w:t>,</w:t>
      </w:r>
      <w:r w:rsidR="00510132" w:rsidRPr="00510132">
        <w:t xml:space="preserve"> </w:t>
      </w:r>
      <w:r w:rsidR="00963C50">
        <w:t>and discharge</w:t>
      </w:r>
      <w:r w:rsidR="005A37CA">
        <w:t xml:space="preserve"> or death</w:t>
      </w:r>
      <w:r w:rsidR="0048500F">
        <w:t>.</w:t>
      </w:r>
      <w:r w:rsidR="00510132" w:rsidRPr="00510132">
        <w:t xml:space="preserve"> The model </w:t>
      </w:r>
      <w:r w:rsidR="00510132">
        <w:t>was</w:t>
      </w:r>
      <w:r w:rsidR="00510132" w:rsidRPr="00510132">
        <w:t xml:space="preserve"> </w:t>
      </w:r>
      <w:r w:rsidR="00E11F11">
        <w:t>validated</w:t>
      </w:r>
      <w:r w:rsidR="00510132" w:rsidRPr="00510132">
        <w:t xml:space="preserve"> </w:t>
      </w:r>
      <w:r w:rsidR="00A94F8C">
        <w:t>against</w:t>
      </w:r>
      <w:r w:rsidR="00510132" w:rsidRPr="00510132">
        <w:t xml:space="preserve"> </w:t>
      </w:r>
      <w:r w:rsidR="00963C50">
        <w:t xml:space="preserve">five </w:t>
      </w:r>
      <w:r w:rsidR="00510132" w:rsidRPr="00510132">
        <w:t xml:space="preserve">different </w:t>
      </w:r>
      <w:r w:rsidR="00F06163">
        <w:t>evidence-based</w:t>
      </w:r>
      <w:r w:rsidR="00224D4C">
        <w:t xml:space="preserve"> </w:t>
      </w:r>
      <w:r w:rsidR="00510132" w:rsidRPr="00510132">
        <w:t>interventions</w:t>
      </w:r>
      <w:r w:rsidR="00F06163">
        <w:t xml:space="preserve"> (geriatric emergency medicine, front door frailty, hospital at home, proactive care, and acute frailty units)</w:t>
      </w:r>
      <w:r w:rsidR="00510132" w:rsidRPr="00510132">
        <w:t xml:space="preserve"> </w:t>
      </w:r>
      <w:r w:rsidR="004C5D06">
        <w:t xml:space="preserve">on </w:t>
      </w:r>
      <w:r w:rsidR="00510132" w:rsidRPr="00510132">
        <w:t>patient outcomes such as mortality, re</w:t>
      </w:r>
      <w:r w:rsidR="008413C3" w:rsidRPr="00510132">
        <w:t>admission,</w:t>
      </w:r>
      <w:r w:rsidR="00510132" w:rsidRPr="00510132">
        <w:t xml:space="preserve"> and length of stay.</w:t>
      </w:r>
    </w:p>
    <w:p w14:paraId="48B3C508" w14:textId="5E22544E" w:rsidR="00266354" w:rsidRDefault="00680A45" w:rsidP="00BD055D">
      <w:pPr>
        <w:pStyle w:val="Abstract"/>
        <w:spacing w:before="0" w:after="0"/>
        <w:jc w:val="both"/>
      </w:pPr>
      <w:r>
        <w:t xml:space="preserve">Results: </w:t>
      </w:r>
      <w:r w:rsidR="00FF6768">
        <w:t xml:space="preserve">The model output estimations </w:t>
      </w:r>
      <w:r w:rsidR="002D40D9">
        <w:t xml:space="preserve">are </w:t>
      </w:r>
      <w:r w:rsidR="00BB60BB">
        <w:t>consistent with</w:t>
      </w:r>
      <w:r w:rsidR="00FF6768">
        <w:t xml:space="preserve"> empirical evidence. </w:t>
      </w:r>
      <w:r w:rsidR="00963C50">
        <w:t>E</w:t>
      </w:r>
      <w:r w:rsidR="00C17F49">
        <w:t>ach</w:t>
      </w:r>
      <w:r w:rsidR="009C2B7B">
        <w:t xml:space="preserve"> intervention ha</w:t>
      </w:r>
      <w:r w:rsidR="00C17F49">
        <w:t>s</w:t>
      </w:r>
      <w:r w:rsidR="009C2B7B">
        <w:t xml:space="preserve"> different levels of effect on patient outcomes</w:t>
      </w:r>
      <w:r w:rsidR="00C17F49">
        <w:t>.</w:t>
      </w:r>
      <w:r w:rsidR="009C2B7B">
        <w:t xml:space="preserve"> </w:t>
      </w:r>
      <w:r w:rsidR="00C17F49">
        <w:t>M</w:t>
      </w:r>
      <w:r w:rsidR="009C2B7B">
        <w:t xml:space="preserve">ost </w:t>
      </w:r>
      <w:r w:rsidR="00963C50">
        <w:t xml:space="preserve">of the interventions </w:t>
      </w:r>
      <w:r w:rsidR="00C17F49">
        <w:t xml:space="preserve">show </w:t>
      </w:r>
      <w:r w:rsidR="00D676AD">
        <w:t xml:space="preserve">potential </w:t>
      </w:r>
      <w:r w:rsidR="009C2B7B">
        <w:t>reduc</w:t>
      </w:r>
      <w:r w:rsidR="00C17F49">
        <w:t>tion</w:t>
      </w:r>
      <w:r w:rsidR="00D676AD">
        <w:t>s</w:t>
      </w:r>
      <w:r w:rsidR="00C17F49">
        <w:t xml:space="preserve"> in</w:t>
      </w:r>
      <w:r w:rsidR="009C2B7B">
        <w:t xml:space="preserve"> </w:t>
      </w:r>
      <w:r w:rsidR="00A038DA">
        <w:t xml:space="preserve">hospital </w:t>
      </w:r>
      <w:r w:rsidR="009C2B7B">
        <w:t>admissions</w:t>
      </w:r>
      <w:r w:rsidR="00D676AD">
        <w:t xml:space="preserve">, </w:t>
      </w:r>
      <w:r w:rsidR="0046069C">
        <w:t>readmissions,</w:t>
      </w:r>
      <w:r w:rsidR="00D676AD">
        <w:t xml:space="preserve"> and</w:t>
      </w:r>
      <w:r w:rsidR="00A038DA">
        <w:t xml:space="preserve"> hospital related deaths. </w:t>
      </w:r>
    </w:p>
    <w:p w14:paraId="10A972CC" w14:textId="669F2969" w:rsidR="00BD055D" w:rsidRPr="00BD055D" w:rsidRDefault="00BD055D" w:rsidP="001C771D">
      <w:pPr>
        <w:pStyle w:val="Keywords"/>
        <w:spacing w:before="0"/>
        <w:jc w:val="both"/>
      </w:pPr>
      <w:r>
        <w:t>Conclusions:</w:t>
      </w:r>
      <w:r w:rsidR="001C771D">
        <w:t xml:space="preserve"> </w:t>
      </w:r>
      <w:r w:rsidR="00CF31F0">
        <w:t xml:space="preserve">System dynamics modelling can be used to support decisions on </w:t>
      </w:r>
      <w:r w:rsidR="0046069C">
        <w:t>which</w:t>
      </w:r>
      <w:r w:rsidR="00CF31F0">
        <w:t xml:space="preserve"> emergency care interventions to</w:t>
      </w:r>
      <w:r w:rsidR="0046069C">
        <w:t xml:space="preserve"> implement to</w:t>
      </w:r>
      <w:r w:rsidR="00CF31F0">
        <w:t xml:space="preserve"> improve outcomes for older </w:t>
      </w:r>
      <w:r w:rsidR="00D676AD">
        <w:t>people</w:t>
      </w:r>
      <w:r w:rsidR="00CF31F0">
        <w:t>.</w:t>
      </w:r>
    </w:p>
    <w:p w14:paraId="339AA204" w14:textId="020040FF" w:rsidR="0020415E" w:rsidRPr="0020415E" w:rsidRDefault="00997B0F" w:rsidP="00F30DFF">
      <w:pPr>
        <w:pStyle w:val="Keywords"/>
      </w:pPr>
      <w:r>
        <w:t xml:space="preserve">Keywords: </w:t>
      </w:r>
      <w:r w:rsidR="00EA4E8E">
        <w:t>Frailty</w:t>
      </w:r>
      <w:r>
        <w:t xml:space="preserve">; </w:t>
      </w:r>
      <w:r w:rsidR="000A2432">
        <w:t xml:space="preserve">Emergency </w:t>
      </w:r>
      <w:r w:rsidR="001B475B">
        <w:t xml:space="preserve">and Urgent </w:t>
      </w:r>
      <w:r w:rsidR="000A2432">
        <w:t>Care</w:t>
      </w:r>
      <w:r w:rsidR="000872F7">
        <w:t>;</w:t>
      </w:r>
      <w:r w:rsidR="000A2432">
        <w:t xml:space="preserve"> Interventions</w:t>
      </w:r>
      <w:r w:rsidR="000872F7">
        <w:t>; system dynamics</w:t>
      </w:r>
    </w:p>
    <w:p w14:paraId="7ADEFE9A" w14:textId="37FB9597" w:rsidR="00997B0F" w:rsidRPr="00FE1E46" w:rsidRDefault="00CA6E8E" w:rsidP="00FE1E46">
      <w:pPr>
        <w:pStyle w:val="Heading1"/>
      </w:pPr>
      <w:r w:rsidRPr="00FE1E46">
        <w:t>Background</w:t>
      </w:r>
    </w:p>
    <w:p w14:paraId="4337A23D" w14:textId="03F69049" w:rsidR="004769BB" w:rsidRDefault="00927734" w:rsidP="00CB4918">
      <w:pPr>
        <w:pStyle w:val="Paragraph"/>
        <w:ind w:firstLine="720"/>
        <w:jc w:val="both"/>
      </w:pPr>
      <w:r>
        <w:t xml:space="preserve">Rising demand for </w:t>
      </w:r>
      <w:r w:rsidR="00AE5B04">
        <w:t>Emergency and Urgent Care (EUC) is a major international issue</w:t>
      </w:r>
      <w:r w:rsidR="00A94F8C">
        <w:t xml:space="preserve"> and d</w:t>
      </w:r>
      <w:r w:rsidR="00C12385" w:rsidRPr="00C12385">
        <w:t xml:space="preserve">emand is rising annually, especially in older people. </w:t>
      </w:r>
      <w:r w:rsidR="0072602E" w:rsidRPr="00B25F2E">
        <w:t xml:space="preserve">The management of older </w:t>
      </w:r>
      <w:r w:rsidR="0072602E">
        <w:t>people</w:t>
      </w:r>
      <w:r w:rsidR="0072602E" w:rsidRPr="00B25F2E">
        <w:t xml:space="preserve"> in the </w:t>
      </w:r>
      <w:r w:rsidR="0072602E">
        <w:t>EUC system</w:t>
      </w:r>
      <w:r w:rsidR="0072602E" w:rsidRPr="00B25F2E">
        <w:t xml:space="preserve"> </w:t>
      </w:r>
      <w:r w:rsidR="0072602E">
        <w:t>remains sub-optimal</w:t>
      </w:r>
      <w:r w:rsidR="00A94F8C">
        <w:t xml:space="preserve"> </w:t>
      </w:r>
      <w:r w:rsidR="00A94F8C">
        <w:fldChar w:fldCharType="begin"/>
      </w:r>
      <w:r w:rsidR="00A94F8C">
        <w:instrText xml:space="preserve"> ADDIN EN.CITE &lt;EndNote&gt;&lt;Cite&gt;&lt;Author&gt;Elliott&lt;/Author&gt;&lt;Year&gt;2020&lt;/Year&gt;&lt;RecNum&gt;5494&lt;/RecNum&gt;&lt;DisplayText&gt;[1]&lt;/DisplayText&gt;&lt;record&gt;&lt;rec-number&gt;5494&lt;/rec-number&gt;&lt;foreign-keys&gt;&lt;key app="EN" db-id="zs5ada52fwzzflexpwcv0awr0ptttxa9frxe" timestamp="1607964626"&gt;5494&lt;/key&gt;&lt;/foreign-keys&gt;&lt;ref-type name="Journal Article"&gt;17&lt;/ref-type&gt;&lt;contributors&gt;&lt;authors&gt;&lt;author&gt;Elliott, Amy&lt;/author&gt;&lt;author&gt;Taub, Nick&lt;/author&gt;&lt;author&gt;Banerjee, Jay&lt;/author&gt;&lt;author&gt;Aijaz, Faisal&lt;/author&gt;&lt;author&gt;Jones, Will&lt;/author&gt;&lt;author&gt;Teece, Lucy&lt;/author&gt;&lt;author&gt;van Oppen, James&lt;/author&gt;&lt;author&gt;Conroy, Simon&lt;/author&gt;&lt;/authors&gt;&lt;/contributors&gt;&lt;titles&gt;&lt;title&gt;Does the Clinical Frailty Scale at Triage Predict Outcomes From Emergency Care for Older People?&lt;/title&gt;&lt;secondary-title&gt;Annals of Emergency Medicine&lt;/secondary-title&gt;&lt;/titles&gt;&lt;periodical&gt;&lt;full-title&gt;Annals of Emergency Medicine&lt;/full-title&gt;&lt;/periodical&gt;&lt;dates&gt;&lt;year&gt;2020&lt;/year&gt;&lt;pub-dates&gt;&lt;date&gt;2020/12/13/&lt;/date&gt;&lt;/pub-dates&gt;&lt;/dates&gt;&lt;isbn&gt;0196-0644&lt;/isbn&gt;&lt;urls&gt;&lt;related-urls&gt;&lt;url&gt;http://www.sciencedirect.com/science/article/pii/S0196064420307459&lt;/url&gt;&lt;/related-urls&gt;&lt;/urls&gt;&lt;electronic-resource-num&gt;https://doi.org/10.1016/j.annemergmed.2020.09.006&lt;/electronic-resource-num&gt;&lt;/record&gt;&lt;/Cite&gt;&lt;/EndNote&gt;</w:instrText>
      </w:r>
      <w:r w:rsidR="00A94F8C">
        <w:fldChar w:fldCharType="separate"/>
      </w:r>
      <w:r w:rsidR="00A94F8C">
        <w:rPr>
          <w:noProof/>
        </w:rPr>
        <w:t>[1]</w:t>
      </w:r>
      <w:r w:rsidR="00A94F8C">
        <w:fldChar w:fldCharType="end"/>
      </w:r>
      <w:r w:rsidR="0072602E">
        <w:t>,</w:t>
      </w:r>
      <w:r w:rsidR="0072602E" w:rsidRPr="00B25F2E">
        <w:t xml:space="preserve"> despite </w:t>
      </w:r>
      <w:r w:rsidR="00DD75D0">
        <w:t xml:space="preserve">guidance from </w:t>
      </w:r>
      <w:r w:rsidR="0072602E" w:rsidRPr="00B25F2E">
        <w:t xml:space="preserve">organisations such as the </w:t>
      </w:r>
      <w:r w:rsidR="00F06163">
        <w:t xml:space="preserve">National Institute of Health and Care Excellence, the </w:t>
      </w:r>
      <w:r w:rsidR="0072602E" w:rsidRPr="00B25F2E">
        <w:t>British Geriatrics Society</w:t>
      </w:r>
      <w:r w:rsidR="00E203F6">
        <w:t>,</w:t>
      </w:r>
      <w:r w:rsidR="0072602E" w:rsidRPr="00B25F2E">
        <w:t xml:space="preserve"> and the Royal College of Emergency Medicine</w:t>
      </w:r>
      <w:r w:rsidR="0046069C">
        <w:t xml:space="preserve"> </w:t>
      </w:r>
      <w:r w:rsidR="0072602E" w:rsidRPr="00B25F2E">
        <w:fldChar w:fldCharType="begin">
          <w:fldData xml:space="preserve">PEVuZE5vdGU+PENpdGU+PEF1dGhvcj5CYW5lcmplZTwvQXV0aG9yPjxZZWFyPjIwMTI8L1llYXI+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</w:fldData>
        </w:fldChar>
      </w:r>
      <w:r w:rsidR="00A94F8C">
        <w:instrText xml:space="preserve"> ADDIN EN.CITE </w:instrText>
      </w:r>
      <w:r w:rsidR="00A94F8C">
        <w:fldChar w:fldCharType="begin">
          <w:fldData xml:space="preserve">PEVuZE5vdGU+PENpdGU+PEF1dGhvcj5CYW5lcmplZTwvQXV0aG9yPjxZZWFyPjIwMTI8L1llYXI+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</w:fldData>
        </w:fldChar>
      </w:r>
      <w:r w:rsidR="00A94F8C">
        <w:instrText xml:space="preserve"> ADDIN EN.CITE.DATA </w:instrText>
      </w:r>
      <w:r w:rsidR="00A94F8C">
        <w:fldChar w:fldCharType="end"/>
      </w:r>
      <w:r w:rsidR="0072602E" w:rsidRPr="00B25F2E">
        <w:fldChar w:fldCharType="separate"/>
      </w:r>
      <w:r w:rsidR="00A94F8C">
        <w:rPr>
          <w:noProof/>
        </w:rPr>
        <w:t>[2-5]</w:t>
      </w:r>
      <w:r w:rsidR="0072602E" w:rsidRPr="00B25F2E">
        <w:fldChar w:fldCharType="end"/>
      </w:r>
      <w:r w:rsidR="0072602E" w:rsidRPr="00B25F2E">
        <w:t>.</w:t>
      </w:r>
      <w:r w:rsidR="00093C21" w:rsidRPr="00093C21">
        <w:t xml:space="preserve"> </w:t>
      </w:r>
    </w:p>
    <w:p w14:paraId="2625A1B4" w14:textId="303B7AB6" w:rsidR="00A924C7" w:rsidRDefault="00095538" w:rsidP="006134A2">
      <w:pPr>
        <w:ind w:firstLine="720"/>
        <w:jc w:val="both"/>
      </w:pPr>
      <w:r w:rsidRPr="00AD458D">
        <w:lastRenderedPageBreak/>
        <w:t xml:space="preserve">It may be that by adopting </w:t>
      </w:r>
      <w:r w:rsidR="00FE1E46" w:rsidRPr="00AD458D">
        <w:t>frailty attuned</w:t>
      </w:r>
      <w:r w:rsidRPr="00AD458D">
        <w:t xml:space="preserve"> </w:t>
      </w:r>
      <w:r w:rsidR="004E4246" w:rsidRPr="00AD458D">
        <w:t>care pathways</w:t>
      </w:r>
      <w:r w:rsidRPr="00AD458D">
        <w:t xml:space="preserve">, outcomes </w:t>
      </w:r>
      <w:r w:rsidR="0046069C" w:rsidRPr="00AD458D">
        <w:t>for older people</w:t>
      </w:r>
      <w:r w:rsidRPr="00AD458D">
        <w:t xml:space="preserve"> can be</w:t>
      </w:r>
      <w:r w:rsidR="00944620" w:rsidRPr="00AD458D">
        <w:t xml:space="preserve"> improved</w:t>
      </w:r>
      <w:r w:rsidRPr="00AD458D">
        <w:t xml:space="preserve">. For example, </w:t>
      </w:r>
      <w:r w:rsidR="004828D3" w:rsidRPr="00AD458D">
        <w:t>geriatrician led</w:t>
      </w:r>
      <w:r w:rsidRPr="00AD458D">
        <w:t xml:space="preserve"> services focusing on older people in the ED have been shown to reduce admissions</w:t>
      </w:r>
      <w:r w:rsidR="004828D3" w:rsidRPr="00AD458D">
        <w:t xml:space="preserve"> </w:t>
      </w:r>
      <w:r w:rsidR="00FE1E46" w:rsidRPr="00AD458D">
        <w:fldChar w:fldCharType="begin"/>
      </w:r>
      <w:r w:rsidR="00A94F8C">
        <w:instrText xml:space="preserve"> ADDIN EN.CITE &lt;EndNote&gt;&lt;Cite&gt;&lt;Author&gt;Jay&lt;/Author&gt;&lt;Year&gt;2016&lt;/Year&gt;&lt;RecNum&gt;3696&lt;/RecNum&gt;&lt;DisplayText&gt;[6]&lt;/DisplayText&gt;&lt;record&gt;&lt;rec-number&gt;3696&lt;/rec-number&gt;&lt;foreign-keys&gt;&lt;key app="EN" db-id="zs5ada52fwzzflexpwcv0awr0ptttxa9frxe" timestamp="1481815383"&gt;3696&lt;/key&gt;&lt;/foreign-keys&gt;&lt;ref-type name="Journal Article"&gt;17&lt;/ref-type&gt;&lt;contributors&gt;&lt;authors&gt;&lt;author&gt;Jay, Samuel&lt;/author&gt;&lt;author&gt;Whittaker, Paula&lt;/author&gt;&lt;author&gt;Mcintosh, Jerome&lt;/author&gt;&lt;author&gt;Hadden, Nicholas&lt;/author&gt;&lt;/authors&gt;&lt;/contributors&gt;&lt;titles&gt;&lt;title&gt;Can consultant geriatrician led comprehensive geriatric assessment in the emergency department reduce hospital admission rates? A systematic review&lt;/title&gt;&lt;secondary-title&gt;Age and Ageing&lt;/secondary-title&gt;&lt;/titles&gt;&lt;periodical&gt;&lt;full-title&gt;Age and Ageing&lt;/full-title&gt;&lt;/periodical&gt;&lt;dates&gt;&lt;year&gt;2016&lt;/year&gt;&lt;pub-dates&gt;&lt;date&gt;December 9, 2016&lt;/date&gt;&lt;/pub-dates&gt;&lt;/dates&gt;&lt;urls&gt;&lt;related-urls&gt;&lt;url&gt;http://ageing.oxfordjournals.org/content/early/2016/12/09/ageing.afw231.abstract&lt;/url&gt;&lt;/related-urls&gt;&lt;/urls&gt;&lt;electronic-resource-num&gt;10.1093/ageing/afw231&lt;/electronic-resource-num&gt;&lt;/record&gt;&lt;/Cite&gt;&lt;/EndNote&gt;</w:instrText>
      </w:r>
      <w:r w:rsidR="00FE1E46" w:rsidRPr="00AD458D">
        <w:fldChar w:fldCharType="separate"/>
      </w:r>
      <w:r w:rsidR="00A94F8C">
        <w:rPr>
          <w:noProof/>
        </w:rPr>
        <w:t>[6]</w:t>
      </w:r>
      <w:r w:rsidR="00FE1E46" w:rsidRPr="00AD458D">
        <w:fldChar w:fldCharType="end"/>
      </w:r>
      <w:r w:rsidRPr="00AD458D">
        <w:t>.</w:t>
      </w:r>
      <w:r w:rsidR="004769BB" w:rsidRPr="00AD458D">
        <w:t xml:space="preserve"> </w:t>
      </w:r>
      <w:r w:rsidR="00AD458D" w:rsidRPr="00AD458D">
        <w:t>However, context is important, and outcomes for patients will vary depending on the nature of the intervention, where and how it is implemented</w:t>
      </w:r>
      <w:r w:rsidR="00AD458D">
        <w:t xml:space="preserve">. </w:t>
      </w:r>
      <w:r w:rsidR="004828D3">
        <w:t>For example, a seven-day</w:t>
      </w:r>
      <w:r w:rsidR="00FE1E46">
        <w:t>,</w:t>
      </w:r>
      <w:r w:rsidR="004828D3">
        <w:t xml:space="preserve"> geriatrician led emergency department service might be possible in larger hospitals which are </w:t>
      </w:r>
      <w:r w:rsidR="004828D3" w:rsidRPr="003268E9">
        <w:rPr>
          <w:i/>
          <w:iCs/>
        </w:rPr>
        <w:t>relatively</w:t>
      </w:r>
      <w:r w:rsidR="004828D3">
        <w:t xml:space="preserve"> well </w:t>
      </w:r>
      <w:r w:rsidR="00FE1E46">
        <w:t>staffed but</w:t>
      </w:r>
      <w:r w:rsidR="004828D3">
        <w:t xml:space="preserve"> will be less feasible in smaller hospitals with different staffing levels.</w:t>
      </w:r>
    </w:p>
    <w:p w14:paraId="06FE5B7F" w14:textId="49E7FEC5" w:rsidR="004F18E3" w:rsidRPr="00427CA2" w:rsidRDefault="00A95C50">
      <w:pPr>
        <w:pStyle w:val="Newparagraph"/>
        <w:jc w:val="both"/>
      </w:pPr>
      <w:r w:rsidRPr="00427CA2">
        <w:t xml:space="preserve">Computer simulation is widely used </w:t>
      </w:r>
      <w:r w:rsidR="009E3716" w:rsidRPr="00427CA2">
        <w:t>in</w:t>
      </w:r>
      <w:r w:rsidRPr="00427CA2">
        <w:t xml:space="preserve"> business and industry</w:t>
      </w:r>
      <w:r w:rsidR="009E3716" w:rsidRPr="00427CA2">
        <w:t xml:space="preserve"> to test</w:t>
      </w:r>
      <w:r w:rsidRPr="00427CA2">
        <w:t xml:space="preserve"> </w:t>
      </w:r>
      <w:r w:rsidR="009E3716" w:rsidRPr="00427CA2">
        <w:t>p</w:t>
      </w:r>
      <w:r w:rsidRPr="00427CA2">
        <w:t xml:space="preserve">rocess or service redesign ideas on a computerised version </w:t>
      </w:r>
      <w:r w:rsidR="009E3716" w:rsidRPr="00427CA2">
        <w:t xml:space="preserve">(a model) </w:t>
      </w:r>
      <w:r w:rsidRPr="00427CA2">
        <w:t xml:space="preserve">of the real-world system before incurring the risks and costs of implementation. System Dynamics (SD) </w:t>
      </w:r>
      <w:r w:rsidR="009E3716" w:rsidRPr="00427CA2">
        <w:t xml:space="preserve">is a </w:t>
      </w:r>
      <w:r w:rsidR="00E84562" w:rsidRPr="00427CA2">
        <w:t xml:space="preserve">particular </w:t>
      </w:r>
      <w:r w:rsidRPr="00427CA2">
        <w:t xml:space="preserve">simulation </w:t>
      </w:r>
      <w:r w:rsidR="009E3716" w:rsidRPr="00427CA2">
        <w:t xml:space="preserve">approach that </w:t>
      </w:r>
      <w:r w:rsidR="00512B4D" w:rsidRPr="00427CA2">
        <w:t xml:space="preserve">takes an aggregated, strategic view and captures the interactions between the different parts of a complex system </w:t>
      </w:r>
      <w:r w:rsidR="00512B4D" w:rsidRPr="0010549A">
        <w:t>[</w:t>
      </w:r>
      <w:r w:rsidR="008311FB" w:rsidRPr="0010549A">
        <w:t>7</w:t>
      </w:r>
      <w:r w:rsidR="00512B4D" w:rsidRPr="0010549A">
        <w:t>]</w:t>
      </w:r>
      <w:r w:rsidR="00512B4D" w:rsidRPr="00427CA2">
        <w:t>.</w:t>
      </w:r>
      <w:r w:rsidR="00907E1B" w:rsidRPr="00427CA2">
        <w:t xml:space="preserve"> </w:t>
      </w:r>
      <w:r w:rsidR="00E84562" w:rsidRPr="00427CA2">
        <w:t xml:space="preserve">In healthcare, SD is typically used to model </w:t>
      </w:r>
      <w:r w:rsidR="00512B4D" w:rsidRPr="00427CA2">
        <w:t>patient</w:t>
      </w:r>
      <w:r w:rsidR="00E84562" w:rsidRPr="00427CA2">
        <w:t xml:space="preserve"> flow</w:t>
      </w:r>
      <w:r w:rsidR="00512B4D" w:rsidRPr="00427CA2">
        <w:t xml:space="preserve"> </w:t>
      </w:r>
      <w:r w:rsidR="00970645" w:rsidRPr="00427CA2">
        <w:t>around</w:t>
      </w:r>
      <w:r w:rsidR="00512B4D" w:rsidRPr="00427CA2">
        <w:t xml:space="preserve"> </w:t>
      </w:r>
      <w:r w:rsidR="002513CA" w:rsidRPr="00427CA2">
        <w:t>a</w:t>
      </w:r>
      <w:r w:rsidR="00512B4D" w:rsidRPr="00427CA2">
        <w:t xml:space="preserve"> care system</w:t>
      </w:r>
      <w:r w:rsidR="00E84562" w:rsidRPr="00427CA2">
        <w:t xml:space="preserve"> </w:t>
      </w:r>
      <w:r w:rsidR="00F44A8E">
        <w:t>with the number of patients at different parts of the system monitored over time</w:t>
      </w:r>
      <w:r w:rsidR="00E84562" w:rsidRPr="00427CA2">
        <w:t>. SD</w:t>
      </w:r>
      <w:r w:rsidR="009E3716" w:rsidRPr="00427CA2">
        <w:t xml:space="preserve"> </w:t>
      </w:r>
      <w:r w:rsidRPr="00427CA2">
        <w:t>has been used to support</w:t>
      </w:r>
      <w:r w:rsidR="009E3716" w:rsidRPr="00427CA2">
        <w:t xml:space="preserve"> </w:t>
      </w:r>
      <w:r w:rsidR="002513CA" w:rsidRPr="00427CA2">
        <w:t xml:space="preserve">healthcare </w:t>
      </w:r>
      <w:r w:rsidR="009E3716" w:rsidRPr="00427CA2">
        <w:t>policy decisions</w:t>
      </w:r>
      <w:r w:rsidRPr="00427CA2">
        <w:t xml:space="preserve"> </w:t>
      </w:r>
      <w:r w:rsidRPr="0010549A">
        <w:t>[</w:t>
      </w:r>
      <w:r w:rsidR="008311FB" w:rsidRPr="0010549A">
        <w:t>8</w:t>
      </w:r>
      <w:r w:rsidRPr="0010549A">
        <w:t>]</w:t>
      </w:r>
      <w:r w:rsidR="00512B4D" w:rsidRPr="00427CA2">
        <w:t xml:space="preserve"> and to show how small changes in one part of </w:t>
      </w:r>
      <w:r w:rsidR="002513CA" w:rsidRPr="00427CA2">
        <w:t xml:space="preserve">a </w:t>
      </w:r>
      <w:r w:rsidR="00E853DA" w:rsidRPr="00427CA2">
        <w:t>health</w:t>
      </w:r>
      <w:r w:rsidR="002513CA" w:rsidRPr="00427CA2">
        <w:t>care</w:t>
      </w:r>
      <w:r w:rsidR="00512B4D" w:rsidRPr="00427CA2">
        <w:t xml:space="preserve"> system can have knock-on effects in another part </w:t>
      </w:r>
      <w:r w:rsidR="00512B4D" w:rsidRPr="0010549A">
        <w:t>[</w:t>
      </w:r>
      <w:r w:rsidR="00616652" w:rsidRPr="0010549A">
        <w:t>9</w:t>
      </w:r>
      <w:r w:rsidR="00512B4D" w:rsidRPr="0010549A">
        <w:t>,</w:t>
      </w:r>
      <w:r w:rsidR="00616652" w:rsidRPr="0010549A">
        <w:t>10</w:t>
      </w:r>
      <w:r w:rsidR="00512B4D" w:rsidRPr="0010549A">
        <w:t>].</w:t>
      </w:r>
    </w:p>
    <w:p w14:paraId="55830982" w14:textId="35CAB00D" w:rsidR="00F06163" w:rsidRPr="00F06163" w:rsidRDefault="00291C0F" w:rsidP="00291C0F">
      <w:pPr>
        <w:autoSpaceDE w:val="0"/>
        <w:autoSpaceDN w:val="0"/>
        <w:adjustRightInd w:val="0"/>
        <w:ind w:firstLine="720"/>
        <w:jc w:val="both"/>
      </w:pPr>
      <w:r>
        <w:t xml:space="preserve">The aim of this study was to develop </w:t>
      </w:r>
      <w:r w:rsidR="001755E9">
        <w:t xml:space="preserve">and validate </w:t>
      </w:r>
      <w:r>
        <w:t xml:space="preserve">a whole-system, </w:t>
      </w:r>
      <w:r w:rsidR="00FE1E46">
        <w:t>evidence-based</w:t>
      </w:r>
      <w:r>
        <w:t xml:space="preserve"> SD model for people aged 75 or older attending Emergency Departments</w:t>
      </w:r>
      <w:r w:rsidR="001755E9">
        <w:t xml:space="preserve">. The model was then applied in a hypothetical scenario </w:t>
      </w:r>
      <w:r w:rsidR="00391ABA">
        <w:t xml:space="preserve">to assess the potential impact of five </w:t>
      </w:r>
      <w:r w:rsidR="00391ABA" w:rsidRPr="00391ABA">
        <w:t xml:space="preserve">evidence-based interventions </w:t>
      </w:r>
      <w:r w:rsidR="00391ABA">
        <w:t>on</w:t>
      </w:r>
      <w:r w:rsidR="00391ABA" w:rsidRPr="00391ABA">
        <w:t xml:space="preserve"> mortality, readmission, and length of stay</w:t>
      </w:r>
      <w:r>
        <w:t>.</w:t>
      </w:r>
    </w:p>
    <w:p w14:paraId="795A6D86" w14:textId="71B5224A" w:rsidR="007B4357" w:rsidRDefault="00CA6E8E" w:rsidP="009C42A4">
      <w:pPr>
        <w:pStyle w:val="Heading1"/>
      </w:pPr>
      <w:r>
        <w:t>Methods</w:t>
      </w:r>
    </w:p>
    <w:p w14:paraId="32C41ED7" w14:textId="0CB72B1A" w:rsidR="00DD6260" w:rsidRDefault="0042024C" w:rsidP="00E20EC0">
      <w:pPr>
        <w:pStyle w:val="Paragraph"/>
        <w:ind w:firstLine="720"/>
        <w:jc w:val="both"/>
      </w:pPr>
      <w:r>
        <w:t xml:space="preserve">The development of the </w:t>
      </w:r>
      <w:r w:rsidR="00291C0F">
        <w:t xml:space="preserve">SD </w:t>
      </w:r>
      <w:r w:rsidR="000E2D98">
        <w:t>decision support tool</w:t>
      </w:r>
      <w:r>
        <w:t xml:space="preserve"> </w:t>
      </w:r>
      <w:r w:rsidR="00CA6E8E">
        <w:t xml:space="preserve">was </w:t>
      </w:r>
      <w:r>
        <w:t xml:space="preserve">part of a wider study </w:t>
      </w:r>
      <w:r w:rsidR="00291C0F">
        <w:t>on</w:t>
      </w:r>
      <w:r w:rsidR="00A606A6">
        <w:t xml:space="preserve"> </w:t>
      </w:r>
      <w:r w:rsidR="00DD6260">
        <w:t>Emergency Care for Older People (ECOP)</w:t>
      </w:r>
      <w:r w:rsidR="00027346">
        <w:t xml:space="preserve"> [</w:t>
      </w:r>
      <w:r w:rsidR="00027346" w:rsidRPr="004A34AC">
        <w:rPr>
          <w:rFonts w:cs="ScalaLancetPro"/>
          <w:color w:val="000000"/>
        </w:rPr>
        <w:t>NIHR (</w:t>
      </w:r>
      <w:r w:rsidR="00027346">
        <w:rPr>
          <w:rFonts w:cs="ScalaLancetPro"/>
          <w:color w:val="000000"/>
        </w:rPr>
        <w:t>17/05/96</w:t>
      </w:r>
      <w:r w:rsidR="00027346" w:rsidRPr="004A34AC">
        <w:rPr>
          <w:rFonts w:cs="ScalaLancetPro"/>
          <w:color w:val="000000"/>
        </w:rPr>
        <w:t>)</w:t>
      </w:r>
      <w:r w:rsidR="00027346">
        <w:t>]</w:t>
      </w:r>
      <w:r w:rsidR="00291C0F">
        <w:t xml:space="preserve">. </w:t>
      </w:r>
      <w:r w:rsidR="005B5D92">
        <w:t>First, t</w:t>
      </w:r>
      <w:r w:rsidR="0086641F">
        <w:t xml:space="preserve">he selection of interventions was informed by </w:t>
      </w:r>
      <w:r w:rsidR="00291C0F">
        <w:t>a systematic review of reviews</w:t>
      </w:r>
      <w:r w:rsidR="0086641F">
        <w:t>, which</w:t>
      </w:r>
      <w:r w:rsidR="00DD6260">
        <w:t xml:space="preserve"> </w:t>
      </w:r>
      <w:r w:rsidR="00A606A6">
        <w:t xml:space="preserve">considered </w:t>
      </w:r>
      <w:r w:rsidR="001D4175" w:rsidRPr="00CB4918">
        <w:rPr>
          <w:i/>
        </w:rPr>
        <w:t>what</w:t>
      </w:r>
      <w:r w:rsidR="001D4175">
        <w:t xml:space="preserve"> </w:t>
      </w:r>
      <w:r w:rsidR="00A606A6">
        <w:t xml:space="preserve">care models </w:t>
      </w:r>
      <w:r w:rsidR="00533673">
        <w:t xml:space="preserve">had been </w:t>
      </w:r>
      <w:r w:rsidR="00291C0F">
        <w:t>reported in the literature</w:t>
      </w:r>
      <w:r w:rsidR="009C42A4">
        <w:t xml:space="preserve"> </w:t>
      </w:r>
      <w:r w:rsidR="009C42A4" w:rsidRPr="0010549A">
        <w:fldChar w:fldCharType="begin"/>
      </w:r>
      <w:r w:rsidR="00602F5F">
        <w:instrText xml:space="preserve"> ADDIN EN.CITE &lt;EndNote&gt;&lt;Cite&gt;&lt;Author&gt;Preston&lt;/Author&gt;&lt;Year&gt;2020&lt;/Year&gt;&lt;RecNum&gt;5391&lt;/RecNum&gt;&lt;DisplayText&gt;[7]&lt;/DisplayText&gt;&lt;record&gt;&lt;rec-number&gt;5391&lt;/rec-number&gt;&lt;foreign-keys&gt;&lt;key app="EN" db-id="zs5ada52fwzzflexpwcv0awr0ptttxa9frxe" timestamp="1603790627"&gt;5391&lt;/key&gt;&lt;/foreign-keys&gt;&lt;ref-type name="Journal Article"&gt;17&lt;/ref-type&gt;&lt;contributors&gt;&lt;authors&gt;&lt;author&gt;Preston, Louise&lt;/author&gt;&lt;author&gt;van Oppen, James David&lt;/author&gt;&lt;author&gt;Conroy, Simon Paul&lt;/author&gt;&lt;author&gt;Ablard, Suzanne&lt;/author&gt;&lt;author&gt;Buckley Woods, Helen&lt;/author&gt;&lt;author&gt;Mason, Suzanne M&lt;/author&gt;&lt;/authors&gt;&lt;/contributors&gt;&lt;titles&gt;&lt;title&gt;Improving outcomes for older people in the emergency department: a review of reviews&lt;/title&gt;&lt;secondary-title&gt;Emergency Medicine Journal&lt;/secondary-title&gt;&lt;/titles&gt;&lt;periodical&gt;&lt;full-title&gt;Emergency Medicine Journal&lt;/full-title&gt;&lt;/periodical&gt;&lt;pages&gt;emermed-2020-209514&lt;/pages&gt;&lt;dates&gt;&lt;year&gt;2020&lt;/year&gt;&lt;/dates&gt;&lt;urls&gt;&lt;related-urls&gt;&lt;url&gt;https://emj.bmj.com/content/emermed/early/2020/10/25/emermed-2020-209514.full.pdf&lt;/url&gt;&lt;/related-urls&gt;&lt;/urls&gt;&lt;electronic-resource-num&gt;10.1136/emermed-2020-209514&lt;/electronic-resource-num&gt;&lt;/record&gt;&lt;/Cite&gt;&lt;/EndNote&gt;</w:instrText>
      </w:r>
      <w:r w:rsidR="009C42A4" w:rsidRPr="0010549A">
        <w:fldChar w:fldCharType="separate"/>
      </w:r>
      <w:r w:rsidR="00602F5F">
        <w:rPr>
          <w:noProof/>
        </w:rPr>
        <w:t>[</w:t>
      </w:r>
      <w:r w:rsidR="00F26732">
        <w:rPr>
          <w:noProof/>
        </w:rPr>
        <w:t>11</w:t>
      </w:r>
      <w:r w:rsidR="00602F5F">
        <w:rPr>
          <w:noProof/>
        </w:rPr>
        <w:t>]</w:t>
      </w:r>
      <w:r w:rsidR="009C42A4" w:rsidRPr="0010549A">
        <w:fldChar w:fldCharType="end"/>
      </w:r>
      <w:r w:rsidR="00291C0F" w:rsidRPr="009C42A4">
        <w:rPr>
          <w:b/>
          <w:bCs/>
        </w:rPr>
        <w:t>.</w:t>
      </w:r>
      <w:r w:rsidR="001F39EB" w:rsidRPr="009C42A4">
        <w:t xml:space="preserve"> </w:t>
      </w:r>
      <w:r w:rsidR="00291C0F">
        <w:t>Second, a</w:t>
      </w:r>
      <w:r w:rsidR="00F152B4">
        <w:t xml:space="preserve"> qualitative study </w:t>
      </w:r>
      <w:r w:rsidR="00291C0F">
        <w:t>captur</w:t>
      </w:r>
      <w:r w:rsidR="009C42A4">
        <w:t>e</w:t>
      </w:r>
      <w:r w:rsidR="00391ABA">
        <w:t>d</w:t>
      </w:r>
      <w:r w:rsidR="00F152B4">
        <w:t xml:space="preserve"> </w:t>
      </w:r>
      <w:r w:rsidR="00F152B4" w:rsidRPr="00CB4918">
        <w:rPr>
          <w:i/>
        </w:rPr>
        <w:t>how</w:t>
      </w:r>
      <w:r w:rsidR="00F152B4">
        <w:t xml:space="preserve"> </w:t>
      </w:r>
      <w:r w:rsidR="00F83C38">
        <w:t xml:space="preserve">these </w:t>
      </w:r>
      <w:r w:rsidR="00291C0F">
        <w:lastRenderedPageBreak/>
        <w:t>emergency care models</w:t>
      </w:r>
      <w:r w:rsidR="00F152B4">
        <w:t xml:space="preserve"> </w:t>
      </w:r>
      <w:r w:rsidR="00391ABA">
        <w:t>are</w:t>
      </w:r>
      <w:r w:rsidR="00F152B4">
        <w:t xml:space="preserve"> delivered</w:t>
      </w:r>
      <w:r w:rsidR="0002076F">
        <w:t xml:space="preserve"> </w:t>
      </w:r>
      <w:r w:rsidR="009C42A4">
        <w:t>(to be reported separately)</w:t>
      </w:r>
      <w:r w:rsidR="00F152B4">
        <w:t>.</w:t>
      </w:r>
      <w:r w:rsidR="00E20EC0">
        <w:t xml:space="preserve"> </w:t>
      </w:r>
      <w:r w:rsidR="00291C0F">
        <w:t>Third,</w:t>
      </w:r>
      <w:r w:rsidR="00391ABA">
        <w:t xml:space="preserve"> the SD model </w:t>
      </w:r>
      <w:r w:rsidR="00DE45C9">
        <w:t xml:space="preserve">was developed using </w:t>
      </w:r>
      <w:r w:rsidR="00391ABA">
        <w:t>parameters</w:t>
      </w:r>
      <w:r w:rsidR="00291C0F">
        <w:t xml:space="preserve"> </w:t>
      </w:r>
      <w:r w:rsidR="00AF59A8">
        <w:t xml:space="preserve">which </w:t>
      </w:r>
      <w:r w:rsidR="00391ABA">
        <w:t xml:space="preserve">were based on </w:t>
      </w:r>
      <w:r w:rsidR="00485F6E">
        <w:t xml:space="preserve">the EUC pathways and service outcomes experienced by </w:t>
      </w:r>
      <w:r w:rsidR="00485F6E" w:rsidRPr="00485F6E">
        <w:t xml:space="preserve">368,754 people aged 75+ who attended an ED in the </w:t>
      </w:r>
      <w:r w:rsidR="00485F6E">
        <w:t xml:space="preserve">Yorkshire and Humber </w:t>
      </w:r>
      <w:r w:rsidR="00485F6E" w:rsidRPr="00485F6E">
        <w:t>region between April 2012 and March 2017</w:t>
      </w:r>
      <w:r w:rsidR="00485F6E">
        <w:t>.</w:t>
      </w:r>
      <w:r w:rsidR="00753FE2">
        <w:t xml:space="preserve"> The SD decision support tool was sense-checked (by a wide range of professional healthcare experts) and the outputs validated against hospital metric data collected as part of the study and </w:t>
      </w:r>
      <w:r w:rsidR="00BB60BB">
        <w:t>Office for National Statistics (</w:t>
      </w:r>
      <w:r w:rsidR="00753FE2">
        <w:t>ONS</w:t>
      </w:r>
      <w:r w:rsidR="00BB60BB">
        <w:t>)</w:t>
      </w:r>
      <w:r w:rsidR="00753FE2">
        <w:t xml:space="preserve"> data.</w:t>
      </w:r>
      <w:r w:rsidR="0058586A">
        <w:t xml:space="preserve"> Following validation, the decision support tool was used to examine the effect of each of the five interventions on a hypothetical hospital setting.</w:t>
      </w:r>
      <w:r w:rsidR="00753FE2">
        <w:t xml:space="preserve">  </w:t>
      </w:r>
      <w:r w:rsidR="00485F6E">
        <w:t xml:space="preserve"> </w:t>
      </w:r>
    </w:p>
    <w:p w14:paraId="4C0A35CC" w14:textId="1A828D1B" w:rsidR="00C30B1C" w:rsidRDefault="00DE45C9" w:rsidP="009C42A4">
      <w:pPr>
        <w:pStyle w:val="Heading2"/>
      </w:pPr>
      <w:r>
        <w:t>Selection of i</w:t>
      </w:r>
      <w:r w:rsidR="00353C9A" w:rsidRPr="00353C9A">
        <w:t>nterventions</w:t>
      </w:r>
    </w:p>
    <w:p w14:paraId="3D2F9812" w14:textId="45CE5E76" w:rsidR="00F2550A" w:rsidRDefault="008966E3" w:rsidP="006E74D2">
      <w:pPr>
        <w:jc w:val="both"/>
      </w:pPr>
      <w:r>
        <w:t>T</w:t>
      </w:r>
      <w:r w:rsidR="009C42A4">
        <w:t>he review</w:t>
      </w:r>
      <w:r w:rsidR="00D45643">
        <w:t xml:space="preserve"> describe</w:t>
      </w:r>
      <w:r w:rsidR="009C42A4">
        <w:t>d multiple</w:t>
      </w:r>
      <w:r w:rsidR="00D45643">
        <w:t xml:space="preserve"> </w:t>
      </w:r>
      <w:r w:rsidR="00916F7A">
        <w:t xml:space="preserve">potential </w:t>
      </w:r>
      <w:r w:rsidR="00D45643">
        <w:t>interventions</w:t>
      </w:r>
      <w:r w:rsidR="009C42A4">
        <w:t xml:space="preserve"> </w:t>
      </w:r>
      <w:r w:rsidR="009C42A4" w:rsidRPr="0010549A">
        <w:fldChar w:fldCharType="begin"/>
      </w:r>
      <w:r w:rsidR="00602F5F">
        <w:instrText xml:space="preserve"> ADDIN EN.CITE &lt;EndNote&gt;&lt;Cite&gt;&lt;Author&gt;Preston&lt;/Author&gt;&lt;Year&gt;2020&lt;/Year&gt;&lt;RecNum&gt;5391&lt;/RecNum&gt;&lt;DisplayText&gt;[7]&lt;/DisplayText&gt;&lt;record&gt;&lt;rec-number&gt;5391&lt;/rec-number&gt;&lt;foreign-keys&gt;&lt;key app="EN" db-id="zs5ada52fwzzflexpwcv0awr0ptttxa9frxe" timestamp="1603790627"&gt;5391&lt;/key&gt;&lt;/foreign-keys&gt;&lt;ref-type name="Journal Article"&gt;17&lt;/ref-type&gt;&lt;contributors&gt;&lt;authors&gt;&lt;author&gt;Preston, Louise&lt;/author&gt;&lt;author&gt;van Oppen, James David&lt;/author&gt;&lt;author&gt;Conroy, Simon Paul&lt;/author&gt;&lt;author&gt;Ablard, Suzanne&lt;/author&gt;&lt;author&gt;Buckley Woods, Helen&lt;/author&gt;&lt;author&gt;Mason, Suzanne M&lt;/author&gt;&lt;/authors&gt;&lt;/contributors&gt;&lt;titles&gt;&lt;title&gt;Improving outcomes for older people in the emergency department: a review of reviews&lt;/title&gt;&lt;secondary-title&gt;Emergency Medicine Journal&lt;/secondary-title&gt;&lt;/titles&gt;&lt;periodical&gt;&lt;full-title&gt;Emergency Medicine Journal&lt;/full-title&gt;&lt;/periodical&gt;&lt;pages&gt;emermed-2020-209514&lt;/pages&gt;&lt;dates&gt;&lt;year&gt;2020&lt;/year&gt;&lt;/dates&gt;&lt;urls&gt;&lt;related-urls&gt;&lt;url&gt;https://emj.bmj.com/content/emermed/early/2020/10/25/emermed-2020-209514.full.pdf&lt;/url&gt;&lt;/related-urls&gt;&lt;/urls&gt;&lt;electronic-resource-num&gt;10.1136/emermed-2020-209514&lt;/electronic-resource-num&gt;&lt;/record&gt;&lt;/Cite&gt;&lt;/EndNote&gt;</w:instrText>
      </w:r>
      <w:r w:rsidR="009C42A4" w:rsidRPr="0010549A">
        <w:fldChar w:fldCharType="separate"/>
      </w:r>
      <w:r w:rsidR="00602F5F">
        <w:rPr>
          <w:noProof/>
        </w:rPr>
        <w:t>[</w:t>
      </w:r>
      <w:r w:rsidR="004245BF">
        <w:rPr>
          <w:noProof/>
        </w:rPr>
        <w:t>11</w:t>
      </w:r>
      <w:r w:rsidR="00602F5F">
        <w:rPr>
          <w:noProof/>
        </w:rPr>
        <w:t>]</w:t>
      </w:r>
      <w:r w:rsidR="009C42A4" w:rsidRPr="0010549A">
        <w:fldChar w:fldCharType="end"/>
      </w:r>
      <w:r w:rsidR="00533673">
        <w:t xml:space="preserve">, five of which </w:t>
      </w:r>
      <w:r>
        <w:t xml:space="preserve"> </w:t>
      </w:r>
      <w:r w:rsidR="009C42A4">
        <w:t>were selected</w:t>
      </w:r>
      <w:r w:rsidR="00D45643">
        <w:t xml:space="preserve"> based on the quality of the evidence </w:t>
      </w:r>
      <w:r w:rsidR="007C60BA">
        <w:t xml:space="preserve">on </w:t>
      </w:r>
      <w:r w:rsidR="00D45643">
        <w:t xml:space="preserve">the effect sizes </w:t>
      </w:r>
      <w:r w:rsidR="00533673">
        <w:t xml:space="preserve">and </w:t>
      </w:r>
      <w:r w:rsidR="00BB60BB">
        <w:t xml:space="preserve">following </w:t>
      </w:r>
      <w:r w:rsidR="00533673">
        <w:t>discussion with stake</w:t>
      </w:r>
      <w:r w:rsidR="00C47A02">
        <w:t>h</w:t>
      </w:r>
      <w:r w:rsidR="00533673">
        <w:t>olders</w:t>
      </w:r>
      <w:r>
        <w:t>: proactive care, hospital at home, geriatric emergency medicine, front door frailty, and acute frailty units</w:t>
      </w:r>
      <w:r w:rsidR="00D45643">
        <w:t xml:space="preserve">. </w:t>
      </w:r>
      <w:r w:rsidR="002C11E9">
        <w:t>The</w:t>
      </w:r>
      <w:r w:rsidR="009C42A4">
        <w:t xml:space="preserve">se were </w:t>
      </w:r>
      <w:r w:rsidR="00F2550A">
        <w:t xml:space="preserve">divided into three categories </w:t>
      </w:r>
      <w:r>
        <w:t xml:space="preserve">(pre-ED, ED, post-ED) </w:t>
      </w:r>
      <w:r w:rsidR="00F2550A">
        <w:t xml:space="preserve">depending on where the intervention </w:t>
      </w:r>
      <w:r w:rsidR="00533673">
        <w:t xml:space="preserve">was </w:t>
      </w:r>
      <w:r w:rsidR="00F2550A">
        <w:t>implemented</w:t>
      </w:r>
      <w:r>
        <w:t xml:space="preserve">. The interventions </w:t>
      </w:r>
      <w:r w:rsidR="00850945">
        <w:t xml:space="preserve">and </w:t>
      </w:r>
      <w:r w:rsidR="00790A8A">
        <w:t>the effect size</w:t>
      </w:r>
      <w:r w:rsidR="00AE46C3">
        <w:t>s</w:t>
      </w:r>
      <w:r w:rsidR="00790A8A">
        <w:t xml:space="preserve"> are </w:t>
      </w:r>
      <w:r w:rsidR="0046069C">
        <w:t>summarised</w:t>
      </w:r>
      <w:r w:rsidR="00790A8A">
        <w:t xml:space="preserve"> in </w:t>
      </w:r>
      <w:r w:rsidR="00752521">
        <w:t xml:space="preserve">Table 1 </w:t>
      </w:r>
      <w:r w:rsidR="00BF7AE6">
        <w:t>(see also Appendix 1)</w:t>
      </w:r>
      <w:r w:rsidR="00790A8A">
        <w:t>.</w:t>
      </w:r>
      <w:r w:rsidR="00195D77">
        <w:t xml:space="preserve"> </w:t>
      </w:r>
    </w:p>
    <w:p w14:paraId="2BCB9DFB" w14:textId="0C7670CD" w:rsidR="0051492D" w:rsidRDefault="00B601E5" w:rsidP="0051492D">
      <w:pPr>
        <w:pStyle w:val="Heading2"/>
      </w:pPr>
      <w:r>
        <w:t>How are o</w:t>
      </w:r>
      <w:r w:rsidR="0051492D">
        <w:t>pening times</w:t>
      </w:r>
      <w:r>
        <w:t xml:space="preserve"> captured in the model</w:t>
      </w:r>
    </w:p>
    <w:p w14:paraId="026FCBD5" w14:textId="772BF89A" w:rsidR="00195D77" w:rsidRPr="00195D77" w:rsidRDefault="00195D77" w:rsidP="00195D77">
      <w:pPr>
        <w:pStyle w:val="Newparagraph"/>
        <w:jc w:val="both"/>
      </w:pPr>
      <w:r>
        <w:t xml:space="preserve">The decision support tool also allows the user to select the time that the chosen intervention is operational. For example, during </w:t>
      </w:r>
      <w:r w:rsidR="00B4168D">
        <w:t xml:space="preserve">a </w:t>
      </w:r>
      <w:r>
        <w:t xml:space="preserve">typical 9am-5pm </w:t>
      </w:r>
      <w:r w:rsidR="00B4168D">
        <w:t xml:space="preserve">schedule </w:t>
      </w:r>
      <w:r>
        <w:t>each weekday, 24 hours a day, 7 days a week, weekends</w:t>
      </w:r>
      <w:r w:rsidR="00C363F1">
        <w:t>,</w:t>
      </w:r>
      <w:r>
        <w:t xml:space="preserve"> or other user</w:t>
      </w:r>
      <w:r w:rsidR="00163129">
        <w:t>-</w:t>
      </w:r>
      <w:r>
        <w:t>specified times.</w:t>
      </w:r>
      <w:r w:rsidR="00163129">
        <w:t xml:space="preserve"> This</w:t>
      </w:r>
      <w:r w:rsidR="00C363F1">
        <w:t xml:space="preserve"> enables the user to see the effect of an intervention on hospital outcomes </w:t>
      </w:r>
      <w:r w:rsidR="00602F5F">
        <w:t xml:space="preserve">depending upon which </w:t>
      </w:r>
      <w:r w:rsidR="00C363F1">
        <w:t xml:space="preserve">proportion of the patients are targeted. For example, if the intervention is operational all the </w:t>
      </w:r>
      <w:r w:rsidR="00533673">
        <w:t>time,</w:t>
      </w:r>
      <w:r w:rsidR="00C363F1">
        <w:t xml:space="preserve"> then you would expect </w:t>
      </w:r>
      <w:r w:rsidR="00533673">
        <w:t xml:space="preserve">up to </w:t>
      </w:r>
      <w:r w:rsidR="00C363F1">
        <w:t xml:space="preserve">100% of the patients to receive the intervention. However, if the service only runs during the week and not at weekends then the proportion of patients affected by the intervention </w:t>
      </w:r>
      <w:r w:rsidR="00533673">
        <w:t xml:space="preserve">will </w:t>
      </w:r>
      <w:r w:rsidR="00C363F1">
        <w:t>be far smaller (less than 50%).</w:t>
      </w:r>
      <w:r w:rsidR="00163129">
        <w:t xml:space="preserve"> </w:t>
      </w:r>
      <w:r w:rsidR="00102145">
        <w:t xml:space="preserve">In effect, the decision support tool has been developed so </w:t>
      </w:r>
      <w:r w:rsidR="00102145">
        <w:lastRenderedPageBreak/>
        <w:t xml:space="preserve">that the user can see a more realistic effect size of a selected intervention. </w:t>
      </w:r>
      <w:r w:rsidR="008226EA">
        <w:t xml:space="preserve">In relation to the geriatric emergency medicine intervention the user can </w:t>
      </w:r>
      <w:r w:rsidR="00B601E5">
        <w:t>also</w:t>
      </w:r>
      <w:r w:rsidR="008226EA">
        <w:t xml:space="preserve"> select the effect size</w:t>
      </w:r>
      <w:r w:rsidR="001849DC">
        <w:t xml:space="preserve"> </w:t>
      </w:r>
      <w:r w:rsidR="00602F5F">
        <w:t>for</w:t>
      </w:r>
      <w:r w:rsidR="001849DC">
        <w:t xml:space="preserve"> hospital admission</w:t>
      </w:r>
      <w:r w:rsidR="00602F5F">
        <w:t xml:space="preserve">s </w:t>
      </w:r>
      <w:r w:rsidR="008226EA">
        <w:t xml:space="preserve">from </w:t>
      </w:r>
      <w:r w:rsidR="00602F5F">
        <w:t xml:space="preserve">the reported range </w:t>
      </w:r>
      <w:r w:rsidR="00602F5F">
        <w:fldChar w:fldCharType="begin"/>
      </w:r>
      <w:r w:rsidR="00602F5F">
        <w:instrText xml:space="preserve"> ADDIN EN.CITE &lt;EndNote&gt;&lt;Cite&gt;&lt;Author&gt;Jay&lt;/Author&gt;&lt;Year&gt;2016&lt;/Year&gt;&lt;RecNum&gt;3696&lt;/RecNum&gt;&lt;DisplayText&gt;[6]&lt;/DisplayText&gt;&lt;record&gt;&lt;rec-number&gt;3696&lt;/rec-number&gt;&lt;foreign-keys&gt;&lt;key app="EN" db-id="zs5ada52fwzzflexpwcv0awr0ptttxa9frxe" timestamp="1481815383"&gt;3696&lt;/key&gt;&lt;/foreign-keys&gt;&lt;ref-type name="Journal Article"&gt;17&lt;/ref-type&gt;&lt;contributors&gt;&lt;authors&gt;&lt;author&gt;Jay, Samuel&lt;/author&gt;&lt;author&gt;Whittaker, Paula&lt;/author&gt;&lt;author&gt;Mcintosh, Jerome&lt;/author&gt;&lt;author&gt;Hadden, Nicholas&lt;/author&gt;&lt;/authors&gt;&lt;/contributors&gt;&lt;titles&gt;&lt;title&gt;Can consultant geriatrician led comprehensive geriatric assessment in the emergency department reduce hospital admission rates? A systematic review&lt;/title&gt;&lt;secondary-title&gt;Age and Ageing&lt;/secondary-title&gt;&lt;/titles&gt;&lt;periodical&gt;&lt;full-title&gt;Age and Ageing&lt;/full-title&gt;&lt;/periodical&gt;&lt;dates&gt;&lt;year&gt;2016&lt;/year&gt;&lt;pub-dates&gt;&lt;date&gt;December 9, 2016&lt;/date&gt;&lt;/pub-dates&gt;&lt;/dates&gt;&lt;urls&gt;&lt;related-urls&gt;&lt;url&gt;http://ageing.oxfordjournals.org/content/early/2016/12/09/ageing.afw231.abstract&lt;/url&gt;&lt;/related-urls&gt;&lt;/urls&gt;&lt;electronic-resource-num&gt;10.1093/ageing/afw231&lt;/electronic-resource-num&gt;&lt;/record&gt;&lt;/Cite&gt;&lt;/EndNote&gt;</w:instrText>
      </w:r>
      <w:r w:rsidR="00602F5F">
        <w:fldChar w:fldCharType="separate"/>
      </w:r>
      <w:r w:rsidR="00602F5F">
        <w:rPr>
          <w:noProof/>
        </w:rPr>
        <w:t>[6]</w:t>
      </w:r>
      <w:r w:rsidR="00602F5F">
        <w:fldChar w:fldCharType="end"/>
      </w:r>
      <w:r w:rsidR="008226EA">
        <w:t>.</w:t>
      </w:r>
      <w:r w:rsidR="00102145">
        <w:t xml:space="preserve"> </w:t>
      </w:r>
    </w:p>
    <w:p w14:paraId="71632313" w14:textId="77777777" w:rsidR="00B06229" w:rsidRDefault="00B06229">
      <w:pPr>
        <w:spacing w:line="240" w:lineRule="auto"/>
      </w:pPr>
      <w:bookmarkStart w:id="0" w:name="_Ref89159709"/>
      <w:r>
        <w:br w:type="page"/>
      </w:r>
    </w:p>
    <w:p w14:paraId="42D3E407" w14:textId="4D4529D8" w:rsidR="00F9786D" w:rsidRPr="00EC53F4" w:rsidRDefault="00AE46C3" w:rsidP="00191EC9">
      <w:pPr>
        <w:spacing w:line="240" w:lineRule="auto"/>
      </w:pPr>
      <w:r>
        <w:lastRenderedPageBreak/>
        <w:t xml:space="preserve">Table </w:t>
      </w:r>
      <w:r w:rsidR="0046025A">
        <w:fldChar w:fldCharType="begin"/>
      </w:r>
      <w:r w:rsidR="0046025A">
        <w:instrText xml:space="preserve"> SEQ Table \* ARABIC </w:instrText>
      </w:r>
      <w:r w:rsidR="0046025A">
        <w:fldChar w:fldCharType="separate"/>
      </w:r>
      <w:r w:rsidR="00B66878">
        <w:rPr>
          <w:noProof/>
        </w:rPr>
        <w:t>1</w:t>
      </w:r>
      <w:r w:rsidR="0046025A">
        <w:rPr>
          <w:noProof/>
        </w:rPr>
        <w:fldChar w:fldCharType="end"/>
      </w:r>
      <w:bookmarkEnd w:id="0"/>
      <w:r>
        <w:t xml:space="preserve"> </w:t>
      </w:r>
      <w:r w:rsidR="00F9786D" w:rsidRPr="00EC53F4">
        <w:t xml:space="preserve">Interventions: </w:t>
      </w:r>
      <w:r w:rsidR="00B66878">
        <w:t>s</w:t>
      </w:r>
      <w:r w:rsidR="00F9786D" w:rsidRPr="00EC53F4">
        <w:t>tudies and documented effect sizes</w:t>
      </w:r>
    </w:p>
    <w:tbl>
      <w:tblPr>
        <w:tblStyle w:val="GridTable4-Accent1"/>
        <w:tblW w:w="0" w:type="auto"/>
        <w:tblLook w:val="04A0" w:firstRow="1" w:lastRow="0" w:firstColumn="1" w:lastColumn="0" w:noHBand="0" w:noVBand="1"/>
      </w:tblPr>
      <w:tblGrid>
        <w:gridCol w:w="1696"/>
        <w:gridCol w:w="2694"/>
        <w:gridCol w:w="2951"/>
        <w:gridCol w:w="1536"/>
      </w:tblGrid>
      <w:tr w:rsidR="00F9786D" w:rsidRPr="009E6FCE" w14:paraId="2B15CF45" w14:textId="77777777" w:rsidTr="008576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3433809" w14:textId="77777777" w:rsidR="00F9786D" w:rsidRPr="009E6FCE" w:rsidRDefault="00F9786D" w:rsidP="001A1E45">
            <w:pPr>
              <w:pStyle w:val="Newparagraph"/>
              <w:spacing w:line="240" w:lineRule="auto"/>
              <w:ind w:firstLine="0"/>
              <w:jc w:val="center"/>
              <w:rPr>
                <w:sz w:val="22"/>
                <w:szCs w:val="22"/>
              </w:rPr>
            </w:pPr>
            <w:r w:rsidRPr="009E6FCE">
              <w:rPr>
                <w:sz w:val="22"/>
                <w:szCs w:val="22"/>
              </w:rPr>
              <w:t>Intervention</w:t>
            </w:r>
          </w:p>
        </w:tc>
        <w:tc>
          <w:tcPr>
            <w:tcW w:w="2694" w:type="dxa"/>
          </w:tcPr>
          <w:p w14:paraId="74C99DB0" w14:textId="77777777" w:rsidR="00F9786D" w:rsidRPr="009E6FCE" w:rsidRDefault="00F9786D" w:rsidP="001A1E45">
            <w:pPr>
              <w:pStyle w:val="Newparagraph"/>
              <w:spacing w:line="240" w:lineRule="auto"/>
              <w:ind w:firstLine="0"/>
              <w:jc w:val="center"/>
              <w:cnfStyle w:val="100000000000" w:firstRow="1" w:lastRow="0" w:firstColumn="0" w:lastColumn="0" w:oddVBand="0" w:evenVBand="0" w:oddHBand="0" w:evenHBand="0" w:firstRowFirstColumn="0" w:firstRowLastColumn="0" w:lastRowFirstColumn="0" w:lastRowLastColumn="0"/>
              <w:rPr>
                <w:sz w:val="22"/>
                <w:szCs w:val="22"/>
              </w:rPr>
            </w:pPr>
            <w:r w:rsidRPr="009E6FCE">
              <w:rPr>
                <w:sz w:val="22"/>
                <w:szCs w:val="22"/>
              </w:rPr>
              <w:t>Description</w:t>
            </w:r>
          </w:p>
        </w:tc>
        <w:tc>
          <w:tcPr>
            <w:tcW w:w="2951" w:type="dxa"/>
          </w:tcPr>
          <w:p w14:paraId="75B362D8" w14:textId="77777777" w:rsidR="00F9786D" w:rsidRPr="009E6FCE" w:rsidRDefault="00F9786D" w:rsidP="001A1E45">
            <w:pPr>
              <w:pStyle w:val="Newparagraph"/>
              <w:spacing w:line="240" w:lineRule="auto"/>
              <w:ind w:firstLine="0"/>
              <w:jc w:val="center"/>
              <w:cnfStyle w:val="100000000000" w:firstRow="1" w:lastRow="0" w:firstColumn="0" w:lastColumn="0" w:oddVBand="0" w:evenVBand="0" w:oddHBand="0" w:evenHBand="0" w:firstRowFirstColumn="0" w:firstRowLastColumn="0" w:lastRowFirstColumn="0" w:lastRowLastColumn="0"/>
              <w:rPr>
                <w:sz w:val="22"/>
                <w:szCs w:val="22"/>
              </w:rPr>
            </w:pPr>
            <w:r w:rsidRPr="009E6FCE">
              <w:rPr>
                <w:sz w:val="22"/>
                <w:szCs w:val="22"/>
              </w:rPr>
              <w:t>Effect Size</w:t>
            </w:r>
          </w:p>
        </w:tc>
        <w:tc>
          <w:tcPr>
            <w:tcW w:w="1536" w:type="dxa"/>
          </w:tcPr>
          <w:p w14:paraId="7DE3E6AF" w14:textId="77777777" w:rsidR="00F9786D" w:rsidRPr="009E6FCE" w:rsidRDefault="00F9786D" w:rsidP="001A1E45">
            <w:pPr>
              <w:pStyle w:val="Newparagraph"/>
              <w:spacing w:line="240" w:lineRule="auto"/>
              <w:ind w:firstLine="0"/>
              <w:jc w:val="center"/>
              <w:cnfStyle w:val="100000000000" w:firstRow="1" w:lastRow="0" w:firstColumn="0" w:lastColumn="0" w:oddVBand="0" w:evenVBand="0" w:oddHBand="0" w:evenHBand="0" w:firstRowFirstColumn="0" w:firstRowLastColumn="0" w:lastRowFirstColumn="0" w:lastRowLastColumn="0"/>
              <w:rPr>
                <w:sz w:val="22"/>
                <w:szCs w:val="22"/>
              </w:rPr>
            </w:pPr>
            <w:r w:rsidRPr="009E6FCE">
              <w:rPr>
                <w:sz w:val="22"/>
                <w:szCs w:val="22"/>
              </w:rPr>
              <w:t>References</w:t>
            </w:r>
          </w:p>
        </w:tc>
      </w:tr>
      <w:tr w:rsidR="00F9786D" w:rsidRPr="009E6FCE" w14:paraId="3A9DDA08" w14:textId="77777777" w:rsidTr="00857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EBD621B" w14:textId="77777777" w:rsidR="00F9786D" w:rsidRPr="009E6FCE" w:rsidRDefault="00F9786D" w:rsidP="001A1E45">
            <w:pPr>
              <w:pStyle w:val="Newparagraph"/>
              <w:spacing w:line="240" w:lineRule="auto"/>
              <w:ind w:firstLine="0"/>
              <w:rPr>
                <w:sz w:val="22"/>
                <w:szCs w:val="22"/>
              </w:rPr>
            </w:pPr>
            <w:r w:rsidRPr="009E6FCE">
              <w:rPr>
                <w:sz w:val="22"/>
                <w:szCs w:val="22"/>
              </w:rPr>
              <w:t>PRE-ED</w:t>
            </w:r>
          </w:p>
        </w:tc>
        <w:tc>
          <w:tcPr>
            <w:tcW w:w="2694" w:type="dxa"/>
          </w:tcPr>
          <w:p w14:paraId="4269900F" w14:textId="77777777" w:rsidR="00F9786D" w:rsidRPr="009E6FCE" w:rsidRDefault="00F9786D" w:rsidP="001A1E45">
            <w:pPr>
              <w:pStyle w:val="Newparagraph"/>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951" w:type="dxa"/>
          </w:tcPr>
          <w:p w14:paraId="66C858CD" w14:textId="77777777" w:rsidR="00F9786D" w:rsidRPr="009E6FCE" w:rsidRDefault="00F9786D" w:rsidP="001A1E45">
            <w:pPr>
              <w:pStyle w:val="Newparagraph"/>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536" w:type="dxa"/>
          </w:tcPr>
          <w:p w14:paraId="2F03AA02" w14:textId="77777777" w:rsidR="00F9786D" w:rsidRPr="009E6FCE" w:rsidRDefault="00F9786D" w:rsidP="001A1E45">
            <w:pPr>
              <w:pStyle w:val="Newparagraph"/>
              <w:spacing w:line="240" w:lineRule="auto"/>
              <w:ind w:firstLine="0"/>
              <w:jc w:val="center"/>
              <w:cnfStyle w:val="000000100000" w:firstRow="0" w:lastRow="0" w:firstColumn="0" w:lastColumn="0" w:oddVBand="0" w:evenVBand="0" w:oddHBand="1" w:evenHBand="0" w:firstRowFirstColumn="0" w:firstRowLastColumn="0" w:lastRowFirstColumn="0" w:lastRowLastColumn="0"/>
              <w:rPr>
                <w:b/>
                <w:bCs/>
                <w:color w:val="FF0000"/>
                <w:sz w:val="22"/>
                <w:szCs w:val="22"/>
              </w:rPr>
            </w:pPr>
          </w:p>
        </w:tc>
      </w:tr>
      <w:tr w:rsidR="00F9786D" w:rsidRPr="009E6FCE" w14:paraId="4BCFF071" w14:textId="77777777" w:rsidTr="00857654">
        <w:tc>
          <w:tcPr>
            <w:cnfStyle w:val="001000000000" w:firstRow="0" w:lastRow="0" w:firstColumn="1" w:lastColumn="0" w:oddVBand="0" w:evenVBand="0" w:oddHBand="0" w:evenHBand="0" w:firstRowFirstColumn="0" w:firstRowLastColumn="0" w:lastRowFirstColumn="0" w:lastRowLastColumn="0"/>
            <w:tcW w:w="1696" w:type="dxa"/>
          </w:tcPr>
          <w:p w14:paraId="54C22D70" w14:textId="77777777" w:rsidR="00F9786D" w:rsidRPr="009E6FCE" w:rsidRDefault="00F9786D" w:rsidP="001A1E45">
            <w:pPr>
              <w:pStyle w:val="Newparagraph"/>
              <w:spacing w:line="240" w:lineRule="auto"/>
              <w:ind w:firstLine="0"/>
              <w:rPr>
                <w:b w:val="0"/>
                <w:bCs w:val="0"/>
                <w:i/>
                <w:iCs/>
                <w:sz w:val="22"/>
                <w:szCs w:val="22"/>
              </w:rPr>
            </w:pPr>
            <w:r w:rsidRPr="009E6FCE">
              <w:rPr>
                <w:b w:val="0"/>
                <w:bCs w:val="0"/>
                <w:i/>
                <w:iCs/>
                <w:sz w:val="22"/>
                <w:szCs w:val="22"/>
              </w:rPr>
              <w:t>Proactive Care</w:t>
            </w:r>
          </w:p>
        </w:tc>
        <w:tc>
          <w:tcPr>
            <w:tcW w:w="2694" w:type="dxa"/>
          </w:tcPr>
          <w:p w14:paraId="54A24718" w14:textId="49809A46" w:rsidR="00F9786D" w:rsidRPr="009E6FCE" w:rsidRDefault="00D676AD">
            <w:pPr>
              <w:pStyle w:val="Newparagraph"/>
              <w:spacing w:line="240" w:lineRule="auto"/>
              <w:ind w:firstLine="0"/>
              <w:cnfStyle w:val="000000000000" w:firstRow="0" w:lastRow="0" w:firstColumn="0" w:lastColumn="0" w:oddVBand="0" w:evenVBand="0" w:oddHBand="0" w:evenHBand="0" w:firstRowFirstColumn="0" w:firstRowLastColumn="0" w:lastRowFirstColumn="0" w:lastRowLastColumn="0"/>
              <w:rPr>
                <w:sz w:val="22"/>
                <w:szCs w:val="22"/>
              </w:rPr>
            </w:pPr>
            <w:r w:rsidRPr="009E6FCE">
              <w:rPr>
                <w:sz w:val="22"/>
                <w:szCs w:val="22"/>
              </w:rPr>
              <w:t xml:space="preserve">Primary care led population risk stratification </w:t>
            </w:r>
            <w:r w:rsidR="00B2716C" w:rsidRPr="009E6FCE">
              <w:rPr>
                <w:sz w:val="22"/>
                <w:szCs w:val="22"/>
              </w:rPr>
              <w:t>and nurse</w:t>
            </w:r>
            <w:r w:rsidR="00F9786D" w:rsidRPr="009E6FCE">
              <w:rPr>
                <w:sz w:val="22"/>
                <w:szCs w:val="22"/>
              </w:rPr>
              <w:t xml:space="preserve">‐led care program consisting of </w:t>
            </w:r>
            <w:r w:rsidR="00B2716C" w:rsidRPr="009E6FCE">
              <w:rPr>
                <w:sz w:val="22"/>
                <w:szCs w:val="22"/>
              </w:rPr>
              <w:t>CGA</w:t>
            </w:r>
            <w:r w:rsidR="00F9786D" w:rsidRPr="009E6FCE">
              <w:rPr>
                <w:sz w:val="22"/>
                <w:szCs w:val="22"/>
              </w:rPr>
              <w:t>, care planning</w:t>
            </w:r>
            <w:r w:rsidR="007C5D47" w:rsidRPr="009E6FCE">
              <w:rPr>
                <w:sz w:val="22"/>
                <w:szCs w:val="22"/>
              </w:rPr>
              <w:t xml:space="preserve"> and </w:t>
            </w:r>
            <w:r w:rsidR="00F9786D" w:rsidRPr="009E6FCE">
              <w:rPr>
                <w:sz w:val="22"/>
                <w:szCs w:val="22"/>
              </w:rPr>
              <w:t>care coordination</w:t>
            </w:r>
            <w:r w:rsidR="007C5D47" w:rsidRPr="009E6FCE">
              <w:rPr>
                <w:sz w:val="22"/>
                <w:szCs w:val="22"/>
              </w:rPr>
              <w:t xml:space="preserve"> for high</w:t>
            </w:r>
            <w:r w:rsidR="009517C5" w:rsidRPr="009E6FCE">
              <w:rPr>
                <w:sz w:val="22"/>
                <w:szCs w:val="22"/>
              </w:rPr>
              <w:t>-</w:t>
            </w:r>
            <w:r w:rsidR="007C5D47" w:rsidRPr="009E6FCE">
              <w:rPr>
                <w:sz w:val="22"/>
                <w:szCs w:val="22"/>
              </w:rPr>
              <w:t>risk individuals</w:t>
            </w:r>
            <w:r w:rsidR="00F9786D" w:rsidRPr="009E6FCE">
              <w:rPr>
                <w:sz w:val="22"/>
                <w:szCs w:val="22"/>
              </w:rPr>
              <w:t>.</w:t>
            </w:r>
          </w:p>
        </w:tc>
        <w:tc>
          <w:tcPr>
            <w:tcW w:w="2951" w:type="dxa"/>
          </w:tcPr>
          <w:p w14:paraId="708E4E7D" w14:textId="1589E826" w:rsidR="00F9786D" w:rsidRPr="009E6FCE" w:rsidRDefault="00F9786D" w:rsidP="009517C5">
            <w:pPr>
              <w:pStyle w:val="Newparagraph"/>
              <w:numPr>
                <w:ilvl w:val="0"/>
                <w:numId w:val="55"/>
              </w:numPr>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9E6FCE">
              <w:rPr>
                <w:sz w:val="22"/>
                <w:szCs w:val="22"/>
              </w:rPr>
              <w:t>Negligible effects on mortality, admissions to hospitals or care homes.</w:t>
            </w:r>
          </w:p>
        </w:tc>
        <w:tc>
          <w:tcPr>
            <w:tcW w:w="1536" w:type="dxa"/>
          </w:tcPr>
          <w:p w14:paraId="1E660B65" w14:textId="3E37A417" w:rsidR="00F9786D" w:rsidRPr="009E6FCE" w:rsidRDefault="00F9786D" w:rsidP="001A1E45">
            <w:pPr>
              <w:pStyle w:val="Newparagraph"/>
              <w:spacing w:line="240" w:lineRule="auto"/>
              <w:ind w:firstLine="0"/>
              <w:cnfStyle w:val="000000000000" w:firstRow="0" w:lastRow="0" w:firstColumn="0" w:lastColumn="0" w:oddVBand="0" w:evenVBand="0" w:oddHBand="0" w:evenHBand="0" w:firstRowFirstColumn="0" w:firstRowLastColumn="0" w:lastRowFirstColumn="0" w:lastRowLastColumn="0"/>
              <w:rPr>
                <w:color w:val="FF0000"/>
                <w:sz w:val="22"/>
                <w:szCs w:val="22"/>
              </w:rPr>
            </w:pPr>
            <w:r w:rsidRPr="009E6FCE">
              <w:rPr>
                <w:sz w:val="22"/>
                <w:szCs w:val="22"/>
              </w:rPr>
              <w:t>[1</w:t>
            </w:r>
            <w:r w:rsidR="00FA5369" w:rsidRPr="009E6FCE">
              <w:rPr>
                <w:sz w:val="22"/>
                <w:szCs w:val="22"/>
              </w:rPr>
              <w:t>2</w:t>
            </w:r>
            <w:r w:rsidRPr="009E6FCE">
              <w:rPr>
                <w:sz w:val="22"/>
                <w:szCs w:val="22"/>
              </w:rPr>
              <w:t>],[1</w:t>
            </w:r>
            <w:r w:rsidR="00FA5369" w:rsidRPr="009E6FCE">
              <w:rPr>
                <w:sz w:val="22"/>
                <w:szCs w:val="22"/>
              </w:rPr>
              <w:t>3</w:t>
            </w:r>
            <w:r w:rsidRPr="009E6FCE">
              <w:rPr>
                <w:sz w:val="22"/>
                <w:szCs w:val="22"/>
              </w:rPr>
              <w:t>],[1</w:t>
            </w:r>
            <w:r w:rsidR="00FA5369" w:rsidRPr="009E6FCE">
              <w:rPr>
                <w:sz w:val="22"/>
                <w:szCs w:val="22"/>
              </w:rPr>
              <w:t>4</w:t>
            </w:r>
            <w:r w:rsidRPr="009E6FCE">
              <w:rPr>
                <w:sz w:val="22"/>
                <w:szCs w:val="22"/>
              </w:rPr>
              <w:t>]</w:t>
            </w:r>
          </w:p>
        </w:tc>
      </w:tr>
      <w:tr w:rsidR="00F9786D" w:rsidRPr="009E6FCE" w14:paraId="70665BEC" w14:textId="77777777" w:rsidTr="00857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347F539" w14:textId="77777777" w:rsidR="00F9786D" w:rsidRPr="009E6FCE" w:rsidRDefault="00F9786D" w:rsidP="001A1E45">
            <w:pPr>
              <w:pStyle w:val="Newparagraph"/>
              <w:spacing w:line="240" w:lineRule="auto"/>
              <w:ind w:firstLine="0"/>
              <w:rPr>
                <w:b w:val="0"/>
                <w:bCs w:val="0"/>
                <w:i/>
                <w:iCs/>
                <w:sz w:val="22"/>
                <w:szCs w:val="22"/>
              </w:rPr>
            </w:pPr>
            <w:r w:rsidRPr="009E6FCE">
              <w:rPr>
                <w:b w:val="0"/>
                <w:bCs w:val="0"/>
                <w:i/>
                <w:iCs/>
                <w:sz w:val="22"/>
                <w:szCs w:val="22"/>
              </w:rPr>
              <w:t>Hospital at home</w:t>
            </w:r>
          </w:p>
        </w:tc>
        <w:tc>
          <w:tcPr>
            <w:tcW w:w="2694" w:type="dxa"/>
          </w:tcPr>
          <w:p w14:paraId="7A973AD5" w14:textId="7EDD431B" w:rsidR="00F9786D" w:rsidRPr="009E6FCE" w:rsidRDefault="00F9786D" w:rsidP="001A1E45">
            <w:pPr>
              <w:pStyle w:val="Newparagraph"/>
              <w:spacing w:line="240" w:lineRule="auto"/>
              <w:ind w:firstLine="0"/>
              <w:jc w:val="both"/>
              <w:cnfStyle w:val="000000100000" w:firstRow="0" w:lastRow="0" w:firstColumn="0" w:lastColumn="0" w:oddVBand="0" w:evenVBand="0" w:oddHBand="1" w:evenHBand="0" w:firstRowFirstColumn="0" w:firstRowLastColumn="0" w:lastRowFirstColumn="0" w:lastRowLastColumn="0"/>
              <w:rPr>
                <w:sz w:val="22"/>
                <w:szCs w:val="22"/>
              </w:rPr>
            </w:pPr>
            <w:r w:rsidRPr="009E6FCE">
              <w:rPr>
                <w:sz w:val="22"/>
                <w:szCs w:val="22"/>
              </w:rPr>
              <w:t xml:space="preserve">Providing holistic care to people with </w:t>
            </w:r>
            <w:r w:rsidR="007C5D47" w:rsidRPr="009E6FCE">
              <w:rPr>
                <w:sz w:val="22"/>
                <w:szCs w:val="22"/>
              </w:rPr>
              <w:t>urgent care</w:t>
            </w:r>
            <w:r w:rsidRPr="009E6FCE">
              <w:rPr>
                <w:sz w:val="22"/>
                <w:szCs w:val="22"/>
              </w:rPr>
              <w:t xml:space="preserve"> cris</w:t>
            </w:r>
            <w:r w:rsidR="007C5D47" w:rsidRPr="009E6FCE">
              <w:rPr>
                <w:sz w:val="22"/>
                <w:szCs w:val="22"/>
              </w:rPr>
              <w:t>e</w:t>
            </w:r>
            <w:r w:rsidRPr="009E6FCE">
              <w:rPr>
                <w:sz w:val="22"/>
                <w:szCs w:val="22"/>
              </w:rPr>
              <w:t>s in their own homes.</w:t>
            </w:r>
          </w:p>
        </w:tc>
        <w:tc>
          <w:tcPr>
            <w:tcW w:w="2951" w:type="dxa"/>
          </w:tcPr>
          <w:p w14:paraId="53DEAF94" w14:textId="12376ABB" w:rsidR="00602F5F" w:rsidRPr="009E6FCE" w:rsidRDefault="00ED31B4" w:rsidP="00BD6477">
            <w:pPr>
              <w:pStyle w:val="Newparagraph"/>
              <w:numPr>
                <w:ilvl w:val="0"/>
                <w:numId w:val="55"/>
              </w:numPr>
              <w:spacing w:line="240" w:lineRule="auto"/>
              <w:cnfStyle w:val="000000100000" w:firstRow="0" w:lastRow="0" w:firstColumn="0" w:lastColumn="0" w:oddVBand="0" w:evenVBand="0" w:oddHBand="1" w:evenHBand="0" w:firstRowFirstColumn="0" w:firstRowLastColumn="0" w:lastRowFirstColumn="0" w:lastRowLastColumn="0"/>
              <w:rPr>
                <w:sz w:val="22"/>
                <w:szCs w:val="22"/>
              </w:rPr>
            </w:pPr>
            <w:r w:rsidRPr="009E6FCE">
              <w:rPr>
                <w:sz w:val="22"/>
                <w:szCs w:val="22"/>
              </w:rPr>
              <w:t xml:space="preserve">Hospital at Home with CGA led to similar mortality </w:t>
            </w:r>
            <w:r w:rsidR="00602F5F" w:rsidRPr="009E6FCE">
              <w:rPr>
                <w:sz w:val="22"/>
                <w:szCs w:val="22"/>
              </w:rPr>
              <w:t xml:space="preserve">compared to </w:t>
            </w:r>
            <w:r w:rsidR="00BE63E4" w:rsidRPr="009E6FCE">
              <w:rPr>
                <w:sz w:val="22"/>
                <w:szCs w:val="22"/>
              </w:rPr>
              <w:t>hospital delivered</w:t>
            </w:r>
            <w:r w:rsidR="00602F5F" w:rsidRPr="009E6FCE">
              <w:rPr>
                <w:sz w:val="22"/>
                <w:szCs w:val="22"/>
              </w:rPr>
              <w:t xml:space="preserve"> CGA</w:t>
            </w:r>
            <w:r w:rsidRPr="009E6FCE">
              <w:rPr>
                <w:sz w:val="22"/>
                <w:szCs w:val="22"/>
              </w:rPr>
              <w:t>.</w:t>
            </w:r>
          </w:p>
          <w:p w14:paraId="0AFC88BC" w14:textId="5FB4659E" w:rsidR="00ED31B4" w:rsidRPr="009E6FCE" w:rsidRDefault="00602F5F" w:rsidP="00BD6477">
            <w:pPr>
              <w:pStyle w:val="Newparagraph"/>
              <w:numPr>
                <w:ilvl w:val="0"/>
                <w:numId w:val="55"/>
              </w:numPr>
              <w:spacing w:line="240" w:lineRule="auto"/>
              <w:cnfStyle w:val="000000100000" w:firstRow="0" w:lastRow="0" w:firstColumn="0" w:lastColumn="0" w:oddVBand="0" w:evenVBand="0" w:oddHBand="1" w:evenHBand="0" w:firstRowFirstColumn="0" w:firstRowLastColumn="0" w:lastRowFirstColumn="0" w:lastRowLastColumn="0"/>
              <w:rPr>
                <w:sz w:val="22"/>
                <w:szCs w:val="22"/>
              </w:rPr>
            </w:pPr>
            <w:r w:rsidRPr="009E6FCE">
              <w:rPr>
                <w:sz w:val="22"/>
                <w:szCs w:val="22"/>
              </w:rPr>
              <w:t>M</w:t>
            </w:r>
            <w:r w:rsidR="00ED31B4" w:rsidRPr="009E6FCE">
              <w:rPr>
                <w:sz w:val="22"/>
                <w:szCs w:val="22"/>
              </w:rPr>
              <w:t xml:space="preserve">ortality (Risk ratio = 0.98, CI = [0.65, 1.47]). </w:t>
            </w:r>
          </w:p>
          <w:p w14:paraId="48F49012" w14:textId="54ADFDBA" w:rsidR="00507ED1" w:rsidRPr="009E6FCE" w:rsidRDefault="00602F5F" w:rsidP="00BD6477">
            <w:pPr>
              <w:pStyle w:val="Newparagraph"/>
              <w:numPr>
                <w:ilvl w:val="0"/>
                <w:numId w:val="55"/>
              </w:numPr>
              <w:spacing w:line="240" w:lineRule="auto"/>
              <w:cnfStyle w:val="000000100000" w:firstRow="0" w:lastRow="0" w:firstColumn="0" w:lastColumn="0" w:oddVBand="0" w:evenVBand="0" w:oddHBand="1" w:evenHBand="0" w:firstRowFirstColumn="0" w:firstRowLastColumn="0" w:lastRowFirstColumn="0" w:lastRowLastColumn="0"/>
              <w:rPr>
                <w:sz w:val="22"/>
                <w:szCs w:val="22"/>
              </w:rPr>
            </w:pPr>
            <w:r w:rsidRPr="009E6FCE">
              <w:rPr>
                <w:sz w:val="22"/>
                <w:szCs w:val="22"/>
              </w:rPr>
              <w:t>O</w:t>
            </w:r>
            <w:r w:rsidR="00507ED1" w:rsidRPr="009E6FCE">
              <w:rPr>
                <w:sz w:val="22"/>
                <w:szCs w:val="22"/>
              </w:rPr>
              <w:t xml:space="preserve">lder people living at home at </w:t>
            </w:r>
            <w:r w:rsidRPr="009E6FCE">
              <w:rPr>
                <w:sz w:val="22"/>
                <w:szCs w:val="22"/>
              </w:rPr>
              <w:t xml:space="preserve">six </w:t>
            </w:r>
            <w:r w:rsidR="00507ED1" w:rsidRPr="009E6FCE">
              <w:rPr>
                <w:sz w:val="22"/>
                <w:szCs w:val="22"/>
              </w:rPr>
              <w:t>months</w:t>
            </w:r>
            <w:r w:rsidRPr="009E6FCE">
              <w:rPr>
                <w:sz w:val="22"/>
                <w:szCs w:val="22"/>
              </w:rPr>
              <w:t xml:space="preserve"> (</w:t>
            </w:r>
            <w:r w:rsidR="00507ED1" w:rsidRPr="009E6FCE">
              <w:rPr>
                <w:sz w:val="22"/>
                <w:szCs w:val="22"/>
              </w:rPr>
              <w:t>affecting readmissions</w:t>
            </w:r>
            <w:r w:rsidRPr="009E6FCE">
              <w:rPr>
                <w:sz w:val="22"/>
                <w:szCs w:val="22"/>
              </w:rPr>
              <w:t>)</w:t>
            </w:r>
            <w:r w:rsidR="00507ED1" w:rsidRPr="009E6FCE">
              <w:rPr>
                <w:sz w:val="22"/>
                <w:szCs w:val="22"/>
              </w:rPr>
              <w:t xml:space="preserve"> (Risk ratio = 1.05, CI = [0.95,1.15]).</w:t>
            </w:r>
          </w:p>
          <w:p w14:paraId="16B90741" w14:textId="384DEFB0" w:rsidR="00F9786D" w:rsidRPr="009E6FCE" w:rsidRDefault="00507ED1" w:rsidP="00BD6477">
            <w:pPr>
              <w:pStyle w:val="Newparagraph"/>
              <w:numPr>
                <w:ilvl w:val="0"/>
                <w:numId w:val="55"/>
              </w:numPr>
              <w:spacing w:line="240" w:lineRule="auto"/>
              <w:cnfStyle w:val="000000100000" w:firstRow="0" w:lastRow="0" w:firstColumn="0" w:lastColumn="0" w:oddVBand="0" w:evenVBand="0" w:oddHBand="1" w:evenHBand="0" w:firstRowFirstColumn="0" w:firstRowLastColumn="0" w:lastRowFirstColumn="0" w:lastRowLastColumn="0"/>
              <w:rPr>
                <w:sz w:val="22"/>
                <w:szCs w:val="22"/>
              </w:rPr>
            </w:pPr>
            <w:r w:rsidRPr="009E6FCE">
              <w:rPr>
                <w:sz w:val="22"/>
                <w:szCs w:val="22"/>
              </w:rPr>
              <w:t xml:space="preserve">Reduction in admissions to long term residential care </w:t>
            </w:r>
            <w:r w:rsidR="007C5D47" w:rsidRPr="009E6FCE">
              <w:rPr>
                <w:sz w:val="22"/>
                <w:szCs w:val="22"/>
              </w:rPr>
              <w:t xml:space="preserve">at </w:t>
            </w:r>
            <w:r w:rsidR="00602F5F" w:rsidRPr="009E6FCE">
              <w:rPr>
                <w:sz w:val="22"/>
                <w:szCs w:val="22"/>
              </w:rPr>
              <w:t>si</w:t>
            </w:r>
            <w:r w:rsidR="003268E9" w:rsidRPr="009E6FCE">
              <w:rPr>
                <w:sz w:val="22"/>
                <w:szCs w:val="22"/>
              </w:rPr>
              <w:t>x</w:t>
            </w:r>
            <w:r w:rsidR="00602F5F" w:rsidRPr="009E6FCE">
              <w:rPr>
                <w:sz w:val="22"/>
                <w:szCs w:val="22"/>
              </w:rPr>
              <w:t xml:space="preserve"> </w:t>
            </w:r>
            <w:r w:rsidR="00F9786D" w:rsidRPr="009E6FCE">
              <w:rPr>
                <w:sz w:val="22"/>
                <w:szCs w:val="22"/>
              </w:rPr>
              <w:t>months (Risk ratio = 0.58</w:t>
            </w:r>
            <w:r w:rsidRPr="009E6FCE">
              <w:rPr>
                <w:sz w:val="22"/>
                <w:szCs w:val="22"/>
              </w:rPr>
              <w:t>, CI = [0.45, 0.76]</w:t>
            </w:r>
            <w:r w:rsidR="00F9786D" w:rsidRPr="009E6FCE">
              <w:rPr>
                <w:sz w:val="22"/>
                <w:szCs w:val="22"/>
              </w:rPr>
              <w:t>).</w:t>
            </w:r>
          </w:p>
        </w:tc>
        <w:tc>
          <w:tcPr>
            <w:tcW w:w="1536" w:type="dxa"/>
          </w:tcPr>
          <w:p w14:paraId="5357F532" w14:textId="779EDAA6" w:rsidR="00F9786D" w:rsidRPr="009E6FCE" w:rsidRDefault="00F9786D" w:rsidP="001A1E45">
            <w:pPr>
              <w:pStyle w:val="Newparagraph"/>
              <w:spacing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r w:rsidRPr="009E6FCE">
              <w:rPr>
                <w:sz w:val="22"/>
                <w:szCs w:val="22"/>
              </w:rPr>
              <w:t>[1</w:t>
            </w:r>
            <w:r w:rsidR="001D37EF" w:rsidRPr="009E6FCE">
              <w:rPr>
                <w:sz w:val="22"/>
                <w:szCs w:val="22"/>
              </w:rPr>
              <w:t>5</w:t>
            </w:r>
            <w:r w:rsidRPr="009E6FCE">
              <w:rPr>
                <w:sz w:val="22"/>
                <w:szCs w:val="22"/>
              </w:rPr>
              <w:t>]</w:t>
            </w:r>
          </w:p>
        </w:tc>
      </w:tr>
      <w:tr w:rsidR="00F9786D" w:rsidRPr="009E6FCE" w14:paraId="6007987C" w14:textId="77777777" w:rsidTr="00857654">
        <w:tc>
          <w:tcPr>
            <w:cnfStyle w:val="001000000000" w:firstRow="0" w:lastRow="0" w:firstColumn="1" w:lastColumn="0" w:oddVBand="0" w:evenVBand="0" w:oddHBand="0" w:evenHBand="0" w:firstRowFirstColumn="0" w:firstRowLastColumn="0" w:lastRowFirstColumn="0" w:lastRowLastColumn="0"/>
            <w:tcW w:w="1696" w:type="dxa"/>
          </w:tcPr>
          <w:p w14:paraId="21E167FE" w14:textId="77777777" w:rsidR="00F9786D" w:rsidRPr="009E6FCE" w:rsidRDefault="00F9786D" w:rsidP="001A1E45">
            <w:pPr>
              <w:pStyle w:val="Newparagraph"/>
              <w:spacing w:line="240" w:lineRule="auto"/>
              <w:ind w:firstLine="0"/>
              <w:rPr>
                <w:sz w:val="22"/>
                <w:szCs w:val="22"/>
              </w:rPr>
            </w:pPr>
            <w:r w:rsidRPr="009E6FCE">
              <w:rPr>
                <w:sz w:val="22"/>
                <w:szCs w:val="22"/>
              </w:rPr>
              <w:t>In-ED</w:t>
            </w:r>
          </w:p>
        </w:tc>
        <w:tc>
          <w:tcPr>
            <w:tcW w:w="2694" w:type="dxa"/>
          </w:tcPr>
          <w:p w14:paraId="5F5F4D78" w14:textId="77777777" w:rsidR="00F9786D" w:rsidRPr="009E6FCE" w:rsidRDefault="00F9786D" w:rsidP="001A1E45">
            <w:pPr>
              <w:pStyle w:val="Newparagraph"/>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951" w:type="dxa"/>
          </w:tcPr>
          <w:p w14:paraId="662BD865" w14:textId="77777777" w:rsidR="00F9786D" w:rsidRPr="009E6FCE" w:rsidRDefault="00F9786D" w:rsidP="001A1E45">
            <w:pPr>
              <w:pStyle w:val="Newparagraph"/>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536" w:type="dxa"/>
          </w:tcPr>
          <w:p w14:paraId="3B1998CC" w14:textId="77777777" w:rsidR="00F9786D" w:rsidRPr="009E6FCE" w:rsidRDefault="00F9786D" w:rsidP="001A1E45">
            <w:pPr>
              <w:pStyle w:val="Newparagraph"/>
              <w:spacing w:line="240" w:lineRule="auto"/>
              <w:ind w:firstLine="0"/>
              <w:cnfStyle w:val="000000000000" w:firstRow="0" w:lastRow="0" w:firstColumn="0" w:lastColumn="0" w:oddVBand="0" w:evenVBand="0" w:oddHBand="0" w:evenHBand="0" w:firstRowFirstColumn="0" w:firstRowLastColumn="0" w:lastRowFirstColumn="0" w:lastRowLastColumn="0"/>
              <w:rPr>
                <w:sz w:val="22"/>
                <w:szCs w:val="22"/>
              </w:rPr>
            </w:pPr>
          </w:p>
        </w:tc>
      </w:tr>
      <w:tr w:rsidR="00F9786D" w:rsidRPr="009E6FCE" w14:paraId="3DE13449" w14:textId="77777777" w:rsidTr="00857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E71A6BD" w14:textId="77777777" w:rsidR="00F9786D" w:rsidRPr="009E6FCE" w:rsidRDefault="00F9786D" w:rsidP="001A1E45">
            <w:pPr>
              <w:pStyle w:val="Newparagraph"/>
              <w:spacing w:line="240" w:lineRule="auto"/>
              <w:ind w:firstLine="0"/>
              <w:rPr>
                <w:b w:val="0"/>
                <w:bCs w:val="0"/>
                <w:i/>
                <w:iCs/>
                <w:sz w:val="22"/>
                <w:szCs w:val="22"/>
              </w:rPr>
            </w:pPr>
            <w:r w:rsidRPr="009E6FCE">
              <w:rPr>
                <w:b w:val="0"/>
                <w:bCs w:val="0"/>
                <w:i/>
                <w:iCs/>
                <w:sz w:val="22"/>
                <w:szCs w:val="22"/>
              </w:rPr>
              <w:t>Geriatric Emergency Medicine</w:t>
            </w:r>
          </w:p>
        </w:tc>
        <w:tc>
          <w:tcPr>
            <w:tcW w:w="2694" w:type="dxa"/>
          </w:tcPr>
          <w:p w14:paraId="09166466" w14:textId="02E652F6" w:rsidR="00F9786D" w:rsidRPr="009E6FCE" w:rsidRDefault="00F9786D" w:rsidP="001A1E45">
            <w:pPr>
              <w:pStyle w:val="Newparagraph"/>
              <w:spacing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r w:rsidRPr="009E6FCE">
              <w:rPr>
                <w:sz w:val="22"/>
                <w:szCs w:val="22"/>
              </w:rPr>
              <w:t xml:space="preserve">Consultant geriatrician led </w:t>
            </w:r>
            <w:r w:rsidR="00B2716C" w:rsidRPr="009E6FCE">
              <w:rPr>
                <w:sz w:val="22"/>
                <w:szCs w:val="22"/>
              </w:rPr>
              <w:t>CGA</w:t>
            </w:r>
          </w:p>
        </w:tc>
        <w:tc>
          <w:tcPr>
            <w:tcW w:w="2951" w:type="dxa"/>
          </w:tcPr>
          <w:p w14:paraId="12F12927" w14:textId="20F111B9" w:rsidR="00BD6477" w:rsidRPr="009E6FCE" w:rsidRDefault="00F9786D" w:rsidP="00BD6477">
            <w:pPr>
              <w:pStyle w:val="Newparagraph"/>
              <w:numPr>
                <w:ilvl w:val="0"/>
                <w:numId w:val="56"/>
              </w:numPr>
              <w:spacing w:line="240" w:lineRule="auto"/>
              <w:cnfStyle w:val="000000100000" w:firstRow="0" w:lastRow="0" w:firstColumn="0" w:lastColumn="0" w:oddVBand="0" w:evenVBand="0" w:oddHBand="1" w:evenHBand="0" w:firstRowFirstColumn="0" w:firstRowLastColumn="0" w:lastRowFirstColumn="0" w:lastRowLastColumn="0"/>
              <w:rPr>
                <w:sz w:val="22"/>
                <w:szCs w:val="22"/>
              </w:rPr>
            </w:pPr>
            <w:r w:rsidRPr="009E6FCE">
              <w:rPr>
                <w:sz w:val="22"/>
                <w:szCs w:val="22"/>
              </w:rPr>
              <w:t>Reduced admissions (absolute risk reduction 2.6%</w:t>
            </w:r>
            <w:r w:rsidR="00B2716C" w:rsidRPr="009E6FCE">
              <w:rPr>
                <w:sz w:val="22"/>
                <w:szCs w:val="22"/>
              </w:rPr>
              <w:t>-</w:t>
            </w:r>
            <w:r w:rsidRPr="009E6FCE">
              <w:rPr>
                <w:sz w:val="22"/>
                <w:szCs w:val="22"/>
              </w:rPr>
              <w:t>19.7%)</w:t>
            </w:r>
          </w:p>
          <w:p w14:paraId="3B165853" w14:textId="51857E9F" w:rsidR="00F9786D" w:rsidRPr="009E6FCE" w:rsidRDefault="00BD6477" w:rsidP="00BD6477">
            <w:pPr>
              <w:pStyle w:val="Newparagraph"/>
              <w:numPr>
                <w:ilvl w:val="0"/>
                <w:numId w:val="56"/>
              </w:numPr>
              <w:spacing w:line="240" w:lineRule="auto"/>
              <w:cnfStyle w:val="000000100000" w:firstRow="0" w:lastRow="0" w:firstColumn="0" w:lastColumn="0" w:oddVBand="0" w:evenVBand="0" w:oddHBand="1" w:evenHBand="0" w:firstRowFirstColumn="0" w:firstRowLastColumn="0" w:lastRowFirstColumn="0" w:lastRowLastColumn="0"/>
              <w:rPr>
                <w:sz w:val="22"/>
                <w:szCs w:val="22"/>
              </w:rPr>
            </w:pPr>
            <w:r w:rsidRPr="009E6FCE">
              <w:rPr>
                <w:sz w:val="22"/>
                <w:szCs w:val="22"/>
              </w:rPr>
              <w:t>Reduced r</w:t>
            </w:r>
            <w:r w:rsidR="00F9786D" w:rsidRPr="009E6FCE">
              <w:rPr>
                <w:sz w:val="22"/>
                <w:szCs w:val="22"/>
              </w:rPr>
              <w:t>eadmissions (</w:t>
            </w:r>
            <w:r w:rsidR="00631138" w:rsidRPr="009E6FCE">
              <w:rPr>
                <w:sz w:val="22"/>
                <w:szCs w:val="22"/>
              </w:rPr>
              <w:t>R</w:t>
            </w:r>
            <w:r w:rsidR="00F9786D" w:rsidRPr="009E6FCE">
              <w:rPr>
                <w:sz w:val="22"/>
                <w:szCs w:val="22"/>
              </w:rPr>
              <w:t>isk ratio = 0.74</w:t>
            </w:r>
            <w:r w:rsidR="00631138" w:rsidRPr="009E6FCE">
              <w:rPr>
                <w:sz w:val="22"/>
                <w:szCs w:val="22"/>
              </w:rPr>
              <w:t>, CI = [0.55,1.00]</w:t>
            </w:r>
            <w:r w:rsidR="00F9786D" w:rsidRPr="009E6FCE">
              <w:rPr>
                <w:sz w:val="22"/>
                <w:szCs w:val="22"/>
              </w:rPr>
              <w:t>).</w:t>
            </w:r>
          </w:p>
        </w:tc>
        <w:tc>
          <w:tcPr>
            <w:tcW w:w="1536" w:type="dxa"/>
          </w:tcPr>
          <w:p w14:paraId="634735A0" w14:textId="6E88A408" w:rsidR="00F9786D" w:rsidRPr="009E6FCE" w:rsidRDefault="00F9786D" w:rsidP="001A1E45">
            <w:pPr>
              <w:pStyle w:val="Newparagraph"/>
              <w:spacing w:line="240" w:lineRule="auto"/>
              <w:ind w:firstLine="0"/>
              <w:cnfStyle w:val="000000100000" w:firstRow="0" w:lastRow="0" w:firstColumn="0" w:lastColumn="0" w:oddVBand="0" w:evenVBand="0" w:oddHBand="1" w:evenHBand="0" w:firstRowFirstColumn="0" w:firstRowLastColumn="0" w:lastRowFirstColumn="0" w:lastRowLastColumn="0"/>
              <w:rPr>
                <w:color w:val="FF0000"/>
                <w:sz w:val="22"/>
                <w:szCs w:val="22"/>
              </w:rPr>
            </w:pPr>
            <w:r w:rsidRPr="009E6FCE">
              <w:rPr>
                <w:sz w:val="22"/>
                <w:szCs w:val="22"/>
              </w:rPr>
              <w:t>[1</w:t>
            </w:r>
            <w:r w:rsidR="00550DB0" w:rsidRPr="009E6FCE">
              <w:rPr>
                <w:sz w:val="22"/>
                <w:szCs w:val="22"/>
              </w:rPr>
              <w:t>6</w:t>
            </w:r>
            <w:r w:rsidRPr="009E6FCE">
              <w:rPr>
                <w:sz w:val="22"/>
                <w:szCs w:val="22"/>
              </w:rPr>
              <w:t>], [1</w:t>
            </w:r>
            <w:r w:rsidR="00550DB0" w:rsidRPr="009E6FCE">
              <w:rPr>
                <w:sz w:val="22"/>
                <w:szCs w:val="22"/>
              </w:rPr>
              <w:t>7</w:t>
            </w:r>
            <w:r w:rsidRPr="009E6FCE">
              <w:rPr>
                <w:sz w:val="22"/>
                <w:szCs w:val="22"/>
              </w:rPr>
              <w:t>], [1</w:t>
            </w:r>
            <w:r w:rsidR="00550DB0" w:rsidRPr="009E6FCE">
              <w:rPr>
                <w:sz w:val="22"/>
                <w:szCs w:val="22"/>
              </w:rPr>
              <w:t>8</w:t>
            </w:r>
            <w:r w:rsidRPr="009E6FCE">
              <w:rPr>
                <w:sz w:val="22"/>
                <w:szCs w:val="22"/>
              </w:rPr>
              <w:t>], [1</w:t>
            </w:r>
            <w:r w:rsidR="00550DB0" w:rsidRPr="009E6FCE">
              <w:rPr>
                <w:sz w:val="22"/>
                <w:szCs w:val="22"/>
              </w:rPr>
              <w:t>9</w:t>
            </w:r>
            <w:r w:rsidRPr="009E6FCE">
              <w:rPr>
                <w:sz w:val="22"/>
                <w:szCs w:val="22"/>
              </w:rPr>
              <w:t>], [</w:t>
            </w:r>
            <w:r w:rsidR="00550DB0" w:rsidRPr="009E6FCE">
              <w:rPr>
                <w:sz w:val="22"/>
                <w:szCs w:val="22"/>
              </w:rPr>
              <w:t>20</w:t>
            </w:r>
            <w:r w:rsidRPr="009E6FCE">
              <w:rPr>
                <w:sz w:val="22"/>
                <w:szCs w:val="22"/>
              </w:rPr>
              <w:t>]</w:t>
            </w:r>
          </w:p>
        </w:tc>
      </w:tr>
      <w:tr w:rsidR="00F9786D" w:rsidRPr="009E6FCE" w14:paraId="1FFD0091" w14:textId="77777777" w:rsidTr="00857654">
        <w:tc>
          <w:tcPr>
            <w:cnfStyle w:val="001000000000" w:firstRow="0" w:lastRow="0" w:firstColumn="1" w:lastColumn="0" w:oddVBand="0" w:evenVBand="0" w:oddHBand="0" w:evenHBand="0" w:firstRowFirstColumn="0" w:firstRowLastColumn="0" w:lastRowFirstColumn="0" w:lastRowLastColumn="0"/>
            <w:tcW w:w="1696" w:type="dxa"/>
          </w:tcPr>
          <w:p w14:paraId="039FA359" w14:textId="77777777" w:rsidR="00F9786D" w:rsidRPr="009E6FCE" w:rsidRDefault="00F9786D" w:rsidP="001A1E45">
            <w:pPr>
              <w:pStyle w:val="Newparagraph"/>
              <w:spacing w:line="240" w:lineRule="auto"/>
              <w:ind w:firstLine="0"/>
              <w:rPr>
                <w:b w:val="0"/>
                <w:bCs w:val="0"/>
                <w:i/>
                <w:iCs/>
                <w:sz w:val="22"/>
                <w:szCs w:val="22"/>
              </w:rPr>
            </w:pPr>
            <w:r w:rsidRPr="009E6FCE">
              <w:rPr>
                <w:b w:val="0"/>
                <w:bCs w:val="0"/>
                <w:i/>
                <w:iCs/>
                <w:sz w:val="22"/>
                <w:szCs w:val="22"/>
              </w:rPr>
              <w:t>Front door frailty</w:t>
            </w:r>
          </w:p>
        </w:tc>
        <w:tc>
          <w:tcPr>
            <w:tcW w:w="2694" w:type="dxa"/>
          </w:tcPr>
          <w:p w14:paraId="1E4A441B" w14:textId="59094C9B" w:rsidR="00F9786D" w:rsidRPr="009E6FCE" w:rsidRDefault="007C5D47" w:rsidP="003268E9">
            <w:pPr>
              <w:pStyle w:val="Newparagraph"/>
              <w:spacing w:line="240" w:lineRule="auto"/>
              <w:ind w:firstLine="0"/>
              <w:cnfStyle w:val="000000000000" w:firstRow="0" w:lastRow="0" w:firstColumn="0" w:lastColumn="0" w:oddVBand="0" w:evenVBand="0" w:oddHBand="0" w:evenHBand="0" w:firstRowFirstColumn="0" w:firstRowLastColumn="0" w:lastRowFirstColumn="0" w:lastRowLastColumn="0"/>
              <w:rPr>
                <w:sz w:val="22"/>
                <w:szCs w:val="22"/>
              </w:rPr>
            </w:pPr>
            <w:r w:rsidRPr="009E6FCE">
              <w:rPr>
                <w:sz w:val="22"/>
                <w:szCs w:val="22"/>
              </w:rPr>
              <w:t>Nurse or allied health professional</w:t>
            </w:r>
            <w:r w:rsidR="00B2716C" w:rsidRPr="009E6FCE">
              <w:rPr>
                <w:sz w:val="22"/>
                <w:szCs w:val="22"/>
              </w:rPr>
              <w:t xml:space="preserve"> l</w:t>
            </w:r>
            <w:r w:rsidRPr="009E6FCE">
              <w:rPr>
                <w:sz w:val="22"/>
                <w:szCs w:val="22"/>
              </w:rPr>
              <w:t>ed CGA, often involving community in-reach.</w:t>
            </w:r>
          </w:p>
        </w:tc>
        <w:tc>
          <w:tcPr>
            <w:tcW w:w="2951" w:type="dxa"/>
          </w:tcPr>
          <w:p w14:paraId="698E3F83" w14:textId="77777777" w:rsidR="009517C5" w:rsidRPr="009E6FCE" w:rsidRDefault="00F9786D" w:rsidP="003268E9">
            <w:pPr>
              <w:pStyle w:val="Newparagraph"/>
              <w:numPr>
                <w:ilvl w:val="0"/>
                <w:numId w:val="57"/>
              </w:numPr>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9E6FCE">
              <w:rPr>
                <w:sz w:val="22"/>
                <w:szCs w:val="22"/>
              </w:rPr>
              <w:t>Reduced mortality (risk ratio = 0.92</w:t>
            </w:r>
            <w:r w:rsidR="007850BB" w:rsidRPr="009E6FCE">
              <w:rPr>
                <w:sz w:val="22"/>
                <w:szCs w:val="22"/>
              </w:rPr>
              <w:t>, CI = [0.55, 1.52]</w:t>
            </w:r>
            <w:r w:rsidRPr="009E6FCE">
              <w:rPr>
                <w:sz w:val="22"/>
                <w:szCs w:val="22"/>
              </w:rPr>
              <w:t>),</w:t>
            </w:r>
          </w:p>
          <w:p w14:paraId="74124B01" w14:textId="77777777" w:rsidR="009517C5" w:rsidRPr="009E6FCE" w:rsidRDefault="009517C5" w:rsidP="003268E9">
            <w:pPr>
              <w:pStyle w:val="Newparagraph"/>
              <w:numPr>
                <w:ilvl w:val="0"/>
                <w:numId w:val="57"/>
              </w:numPr>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9E6FCE">
              <w:rPr>
                <w:sz w:val="22"/>
                <w:szCs w:val="22"/>
              </w:rPr>
              <w:t>Reduced</w:t>
            </w:r>
            <w:r w:rsidR="00F9786D" w:rsidRPr="009E6FCE">
              <w:rPr>
                <w:sz w:val="22"/>
                <w:szCs w:val="22"/>
              </w:rPr>
              <w:t xml:space="preserve"> admissions (risk ratio = 0.</w:t>
            </w:r>
            <w:r w:rsidR="007850BB" w:rsidRPr="009E6FCE">
              <w:rPr>
                <w:sz w:val="22"/>
                <w:szCs w:val="22"/>
              </w:rPr>
              <w:t>9, CI = [0.7, 1.16]</w:t>
            </w:r>
            <w:r w:rsidR="00F9786D" w:rsidRPr="009E6FCE">
              <w:rPr>
                <w:sz w:val="22"/>
                <w:szCs w:val="22"/>
              </w:rPr>
              <w:t>)</w:t>
            </w:r>
            <w:r w:rsidRPr="009E6FCE">
              <w:rPr>
                <w:sz w:val="22"/>
                <w:szCs w:val="22"/>
              </w:rPr>
              <w:t>,</w:t>
            </w:r>
          </w:p>
          <w:p w14:paraId="1CAAB72B" w14:textId="77777777" w:rsidR="009517C5" w:rsidRPr="009E6FCE" w:rsidRDefault="009517C5" w:rsidP="003268E9">
            <w:pPr>
              <w:pStyle w:val="Newparagraph"/>
              <w:numPr>
                <w:ilvl w:val="0"/>
                <w:numId w:val="57"/>
              </w:numPr>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9E6FCE">
              <w:rPr>
                <w:sz w:val="22"/>
                <w:szCs w:val="22"/>
              </w:rPr>
              <w:t>Reduced</w:t>
            </w:r>
            <w:r w:rsidR="00F9786D" w:rsidRPr="009E6FCE">
              <w:rPr>
                <w:sz w:val="22"/>
                <w:szCs w:val="22"/>
              </w:rPr>
              <w:t xml:space="preserve"> readmissions (risk ratio = 0.95</w:t>
            </w:r>
            <w:r w:rsidR="007850BB" w:rsidRPr="009E6FCE">
              <w:rPr>
                <w:sz w:val="22"/>
                <w:szCs w:val="22"/>
              </w:rPr>
              <w:t>, CI = [0.83, 1.08]</w:t>
            </w:r>
            <w:r w:rsidR="00F9786D" w:rsidRPr="009E6FCE">
              <w:rPr>
                <w:sz w:val="22"/>
                <w:szCs w:val="22"/>
              </w:rPr>
              <w:t>),</w:t>
            </w:r>
          </w:p>
          <w:p w14:paraId="2223912F" w14:textId="0326CCE8" w:rsidR="00F9786D" w:rsidRPr="009E6FCE" w:rsidRDefault="00602F5F" w:rsidP="003268E9">
            <w:pPr>
              <w:pStyle w:val="Newparagraph"/>
              <w:numPr>
                <w:ilvl w:val="0"/>
                <w:numId w:val="57"/>
              </w:numPr>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9E6FCE">
              <w:rPr>
                <w:sz w:val="22"/>
                <w:szCs w:val="22"/>
              </w:rPr>
              <w:t>R</w:t>
            </w:r>
            <w:r w:rsidR="007C5D47" w:rsidRPr="009E6FCE">
              <w:rPr>
                <w:sz w:val="22"/>
                <w:szCs w:val="22"/>
              </w:rPr>
              <w:t xml:space="preserve">educed institutionalisation </w:t>
            </w:r>
            <w:r w:rsidR="00F9786D" w:rsidRPr="009E6FCE">
              <w:rPr>
                <w:sz w:val="22"/>
                <w:szCs w:val="22"/>
              </w:rPr>
              <w:t>(risk ratio = 0.75</w:t>
            </w:r>
            <w:r w:rsidR="007850BB" w:rsidRPr="009E6FCE">
              <w:rPr>
                <w:sz w:val="22"/>
                <w:szCs w:val="22"/>
              </w:rPr>
              <w:t>, CI = [0.44, 1.29]</w:t>
            </w:r>
            <w:r w:rsidR="00F9786D" w:rsidRPr="009E6FCE">
              <w:rPr>
                <w:sz w:val="22"/>
                <w:szCs w:val="22"/>
              </w:rPr>
              <w:t>).</w:t>
            </w:r>
          </w:p>
        </w:tc>
        <w:tc>
          <w:tcPr>
            <w:tcW w:w="1536" w:type="dxa"/>
          </w:tcPr>
          <w:p w14:paraId="49857597" w14:textId="3B3F97D7" w:rsidR="00F9786D" w:rsidRPr="009E6FCE" w:rsidRDefault="00F9786D" w:rsidP="001A1E45">
            <w:pPr>
              <w:pStyle w:val="Newparagraph"/>
              <w:spacing w:line="240" w:lineRule="auto"/>
              <w:ind w:firstLine="0"/>
              <w:cnfStyle w:val="000000000000" w:firstRow="0" w:lastRow="0" w:firstColumn="0" w:lastColumn="0" w:oddVBand="0" w:evenVBand="0" w:oddHBand="0" w:evenHBand="0" w:firstRowFirstColumn="0" w:firstRowLastColumn="0" w:lastRowFirstColumn="0" w:lastRowLastColumn="0"/>
              <w:rPr>
                <w:color w:val="FF0000"/>
                <w:sz w:val="22"/>
                <w:szCs w:val="22"/>
              </w:rPr>
            </w:pPr>
            <w:r w:rsidRPr="009E6FCE">
              <w:rPr>
                <w:sz w:val="22"/>
                <w:szCs w:val="22"/>
              </w:rPr>
              <w:t>[1</w:t>
            </w:r>
            <w:r w:rsidR="003F3A35" w:rsidRPr="009E6FCE">
              <w:rPr>
                <w:sz w:val="22"/>
                <w:szCs w:val="22"/>
              </w:rPr>
              <w:t>7</w:t>
            </w:r>
            <w:r w:rsidRPr="009E6FCE">
              <w:rPr>
                <w:sz w:val="22"/>
                <w:szCs w:val="22"/>
              </w:rPr>
              <w:t>], [1</w:t>
            </w:r>
            <w:r w:rsidR="0092325C" w:rsidRPr="009E6FCE">
              <w:rPr>
                <w:sz w:val="22"/>
                <w:szCs w:val="22"/>
              </w:rPr>
              <w:t>9</w:t>
            </w:r>
            <w:r w:rsidRPr="009E6FCE">
              <w:rPr>
                <w:sz w:val="22"/>
                <w:szCs w:val="22"/>
              </w:rPr>
              <w:t>], [</w:t>
            </w:r>
            <w:r w:rsidR="0092325C" w:rsidRPr="009E6FCE">
              <w:rPr>
                <w:sz w:val="22"/>
                <w:szCs w:val="22"/>
              </w:rPr>
              <w:t>20</w:t>
            </w:r>
            <w:r w:rsidRPr="009E6FCE">
              <w:rPr>
                <w:sz w:val="22"/>
                <w:szCs w:val="22"/>
              </w:rPr>
              <w:t>], [</w:t>
            </w:r>
            <w:r w:rsidR="00A93DB6" w:rsidRPr="009E6FCE">
              <w:rPr>
                <w:sz w:val="22"/>
                <w:szCs w:val="22"/>
              </w:rPr>
              <w:t>21</w:t>
            </w:r>
            <w:r w:rsidRPr="009E6FCE">
              <w:rPr>
                <w:sz w:val="22"/>
                <w:szCs w:val="22"/>
              </w:rPr>
              <w:t>], [2</w:t>
            </w:r>
            <w:r w:rsidR="00A93DB6" w:rsidRPr="009E6FCE">
              <w:rPr>
                <w:sz w:val="22"/>
                <w:szCs w:val="22"/>
              </w:rPr>
              <w:t>2</w:t>
            </w:r>
            <w:r w:rsidRPr="009E6FCE">
              <w:rPr>
                <w:sz w:val="22"/>
                <w:szCs w:val="22"/>
              </w:rPr>
              <w:t>], [2</w:t>
            </w:r>
            <w:r w:rsidR="00A93DB6" w:rsidRPr="009E6FCE">
              <w:rPr>
                <w:sz w:val="22"/>
                <w:szCs w:val="22"/>
              </w:rPr>
              <w:t>3</w:t>
            </w:r>
            <w:r w:rsidRPr="009E6FCE">
              <w:rPr>
                <w:sz w:val="22"/>
                <w:szCs w:val="22"/>
              </w:rPr>
              <w:t>]</w:t>
            </w:r>
          </w:p>
        </w:tc>
      </w:tr>
      <w:tr w:rsidR="00F9786D" w:rsidRPr="009E6FCE" w14:paraId="6A5D8D95" w14:textId="77777777" w:rsidTr="00857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80B84EE" w14:textId="77777777" w:rsidR="00F9786D" w:rsidRPr="009E6FCE" w:rsidRDefault="00F9786D" w:rsidP="001A1E45">
            <w:pPr>
              <w:pStyle w:val="Newparagraph"/>
              <w:spacing w:line="240" w:lineRule="auto"/>
              <w:ind w:firstLine="0"/>
              <w:jc w:val="center"/>
              <w:rPr>
                <w:sz w:val="22"/>
                <w:szCs w:val="22"/>
              </w:rPr>
            </w:pPr>
            <w:r w:rsidRPr="009E6FCE">
              <w:rPr>
                <w:sz w:val="22"/>
                <w:szCs w:val="22"/>
              </w:rPr>
              <w:t>POST-ED</w:t>
            </w:r>
          </w:p>
        </w:tc>
        <w:tc>
          <w:tcPr>
            <w:tcW w:w="2694" w:type="dxa"/>
          </w:tcPr>
          <w:p w14:paraId="7CF77885" w14:textId="77777777" w:rsidR="00F9786D" w:rsidRPr="009E6FCE" w:rsidRDefault="00F9786D" w:rsidP="001A1E45">
            <w:pPr>
              <w:pStyle w:val="Newparagraph"/>
              <w:spacing w:line="240" w:lineRule="auto"/>
              <w:ind w:firstLine="0"/>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2951" w:type="dxa"/>
          </w:tcPr>
          <w:p w14:paraId="3CD79342" w14:textId="77777777" w:rsidR="00F9786D" w:rsidRPr="009E6FCE" w:rsidRDefault="00F9786D" w:rsidP="001A1E45">
            <w:pPr>
              <w:pStyle w:val="Newparagraph"/>
              <w:spacing w:line="240" w:lineRule="auto"/>
              <w:ind w:firstLine="0"/>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1536" w:type="dxa"/>
          </w:tcPr>
          <w:p w14:paraId="35391814" w14:textId="77777777" w:rsidR="00F9786D" w:rsidRPr="009E6FCE" w:rsidRDefault="00F9786D" w:rsidP="001A1E45">
            <w:pPr>
              <w:pStyle w:val="Newparagraph"/>
              <w:spacing w:line="240" w:lineRule="auto"/>
              <w:ind w:firstLine="0"/>
              <w:cnfStyle w:val="000000100000" w:firstRow="0" w:lastRow="0" w:firstColumn="0" w:lastColumn="0" w:oddVBand="0" w:evenVBand="0" w:oddHBand="1" w:evenHBand="0" w:firstRowFirstColumn="0" w:firstRowLastColumn="0" w:lastRowFirstColumn="0" w:lastRowLastColumn="0"/>
              <w:rPr>
                <w:b/>
                <w:bCs/>
                <w:color w:val="FF0000"/>
                <w:sz w:val="22"/>
                <w:szCs w:val="22"/>
              </w:rPr>
            </w:pPr>
          </w:p>
        </w:tc>
      </w:tr>
      <w:tr w:rsidR="00F9786D" w:rsidRPr="009E6FCE" w14:paraId="3D21B645" w14:textId="77777777" w:rsidTr="00857654">
        <w:tc>
          <w:tcPr>
            <w:cnfStyle w:val="001000000000" w:firstRow="0" w:lastRow="0" w:firstColumn="1" w:lastColumn="0" w:oddVBand="0" w:evenVBand="0" w:oddHBand="0" w:evenHBand="0" w:firstRowFirstColumn="0" w:firstRowLastColumn="0" w:lastRowFirstColumn="0" w:lastRowLastColumn="0"/>
            <w:tcW w:w="1696" w:type="dxa"/>
          </w:tcPr>
          <w:p w14:paraId="220D7090" w14:textId="77777777" w:rsidR="00F9786D" w:rsidRPr="009E6FCE" w:rsidRDefault="00F9786D" w:rsidP="001A1E45">
            <w:pPr>
              <w:pStyle w:val="Newparagraph"/>
              <w:spacing w:line="240" w:lineRule="auto"/>
              <w:ind w:firstLine="0"/>
              <w:rPr>
                <w:b w:val="0"/>
                <w:bCs w:val="0"/>
                <w:i/>
                <w:iCs/>
                <w:sz w:val="22"/>
                <w:szCs w:val="22"/>
              </w:rPr>
            </w:pPr>
            <w:r w:rsidRPr="009E6FCE">
              <w:rPr>
                <w:b w:val="0"/>
                <w:bCs w:val="0"/>
                <w:i/>
                <w:iCs/>
                <w:sz w:val="22"/>
                <w:szCs w:val="22"/>
              </w:rPr>
              <w:t>Acute Frailty Unit</w:t>
            </w:r>
          </w:p>
        </w:tc>
        <w:tc>
          <w:tcPr>
            <w:tcW w:w="2694" w:type="dxa"/>
          </w:tcPr>
          <w:p w14:paraId="78A3F935" w14:textId="7E339F11" w:rsidR="00F9786D" w:rsidRPr="009E6FCE" w:rsidRDefault="007C5D47" w:rsidP="001A1E45">
            <w:pPr>
              <w:pStyle w:val="Newparagraph"/>
              <w:spacing w:line="240" w:lineRule="auto"/>
              <w:ind w:firstLine="0"/>
              <w:jc w:val="both"/>
              <w:cnfStyle w:val="000000000000" w:firstRow="0" w:lastRow="0" w:firstColumn="0" w:lastColumn="0" w:oddVBand="0" w:evenVBand="0" w:oddHBand="0" w:evenHBand="0" w:firstRowFirstColumn="0" w:firstRowLastColumn="0" w:lastRowFirstColumn="0" w:lastRowLastColumn="0"/>
              <w:rPr>
                <w:sz w:val="22"/>
                <w:szCs w:val="22"/>
              </w:rPr>
            </w:pPr>
            <w:r w:rsidRPr="009E6FCE">
              <w:rPr>
                <w:sz w:val="22"/>
                <w:szCs w:val="22"/>
              </w:rPr>
              <w:t>Geriatrician led CGA delivered in short stay areas for admitted patients.</w:t>
            </w:r>
          </w:p>
        </w:tc>
        <w:tc>
          <w:tcPr>
            <w:tcW w:w="2951" w:type="dxa"/>
          </w:tcPr>
          <w:p w14:paraId="51561BFC" w14:textId="77777777" w:rsidR="009517C5" w:rsidRPr="009E6FCE" w:rsidRDefault="00F9786D" w:rsidP="003268E9">
            <w:pPr>
              <w:pStyle w:val="Newparagraph"/>
              <w:numPr>
                <w:ilvl w:val="0"/>
                <w:numId w:val="59"/>
              </w:numPr>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9E6FCE">
              <w:rPr>
                <w:sz w:val="22"/>
                <w:szCs w:val="22"/>
              </w:rPr>
              <w:t>Reduced mortality (risk ratio = 0.86</w:t>
            </w:r>
            <w:r w:rsidR="00D90277" w:rsidRPr="009E6FCE">
              <w:rPr>
                <w:sz w:val="22"/>
                <w:szCs w:val="22"/>
              </w:rPr>
              <w:t>, CI = [0.68, 1.1]</w:t>
            </w:r>
            <w:r w:rsidR="00B2716C" w:rsidRPr="009E6FCE">
              <w:rPr>
                <w:sz w:val="22"/>
                <w:szCs w:val="22"/>
              </w:rPr>
              <w:t xml:space="preserve">), </w:t>
            </w:r>
          </w:p>
          <w:p w14:paraId="459C6F99" w14:textId="584EDABD" w:rsidR="00F9786D" w:rsidRPr="009E6FCE" w:rsidRDefault="009517C5" w:rsidP="003268E9">
            <w:pPr>
              <w:pStyle w:val="Newparagraph"/>
              <w:numPr>
                <w:ilvl w:val="0"/>
                <w:numId w:val="59"/>
              </w:numPr>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9E6FCE">
              <w:rPr>
                <w:sz w:val="22"/>
                <w:szCs w:val="22"/>
              </w:rPr>
              <w:t xml:space="preserve">Reduced </w:t>
            </w:r>
            <w:r w:rsidR="00F9786D" w:rsidRPr="009E6FCE">
              <w:rPr>
                <w:sz w:val="22"/>
                <w:szCs w:val="22"/>
              </w:rPr>
              <w:t>readmissions (risk ratio = 0.78</w:t>
            </w:r>
            <w:r w:rsidR="00D90277" w:rsidRPr="009E6FCE">
              <w:rPr>
                <w:sz w:val="22"/>
                <w:szCs w:val="22"/>
              </w:rPr>
              <w:t>, CI = [0.67, 0.92]</w:t>
            </w:r>
            <w:r w:rsidR="00F9786D" w:rsidRPr="009E6FCE">
              <w:rPr>
                <w:sz w:val="22"/>
                <w:szCs w:val="22"/>
              </w:rPr>
              <w:t>)</w:t>
            </w:r>
          </w:p>
        </w:tc>
        <w:tc>
          <w:tcPr>
            <w:tcW w:w="1536" w:type="dxa"/>
          </w:tcPr>
          <w:p w14:paraId="1D72187A" w14:textId="11B0DB31" w:rsidR="00F9786D" w:rsidRPr="009E6FCE" w:rsidRDefault="00F9786D" w:rsidP="001A1E45">
            <w:pPr>
              <w:pStyle w:val="Newparagraph"/>
              <w:spacing w:line="240" w:lineRule="auto"/>
              <w:ind w:firstLine="0"/>
              <w:cnfStyle w:val="000000000000" w:firstRow="0" w:lastRow="0" w:firstColumn="0" w:lastColumn="0" w:oddVBand="0" w:evenVBand="0" w:oddHBand="0" w:evenHBand="0" w:firstRowFirstColumn="0" w:firstRowLastColumn="0" w:lastRowFirstColumn="0" w:lastRowLastColumn="0"/>
              <w:rPr>
                <w:color w:val="FF0000"/>
                <w:sz w:val="22"/>
                <w:szCs w:val="22"/>
              </w:rPr>
            </w:pPr>
            <w:r w:rsidRPr="009E6FCE">
              <w:rPr>
                <w:sz w:val="22"/>
                <w:szCs w:val="22"/>
              </w:rPr>
              <w:t>[2</w:t>
            </w:r>
            <w:r w:rsidR="0088171F" w:rsidRPr="009E6FCE">
              <w:rPr>
                <w:sz w:val="22"/>
                <w:szCs w:val="22"/>
              </w:rPr>
              <w:t>4</w:t>
            </w:r>
            <w:r w:rsidRPr="009E6FCE">
              <w:rPr>
                <w:sz w:val="22"/>
                <w:szCs w:val="22"/>
              </w:rPr>
              <w:t>]</w:t>
            </w:r>
          </w:p>
        </w:tc>
      </w:tr>
    </w:tbl>
    <w:p w14:paraId="00ADEDEB" w14:textId="709C646E" w:rsidR="00F9786D" w:rsidRPr="00B2716C" w:rsidRDefault="00B2716C" w:rsidP="00F9786D">
      <w:pPr>
        <w:pStyle w:val="Newparagraph"/>
        <w:ind w:left="360" w:firstLine="0"/>
      </w:pPr>
      <w:r w:rsidRPr="00B2716C">
        <w:t>CGA = Comprehensive Geriatric Assessment</w:t>
      </w:r>
    </w:p>
    <w:p w14:paraId="264EC0BC" w14:textId="415231BB" w:rsidR="009C42A4" w:rsidRPr="009C42A4" w:rsidRDefault="009C42A4" w:rsidP="009C42A4">
      <w:pPr>
        <w:pStyle w:val="Heading2"/>
      </w:pPr>
      <w:r w:rsidRPr="009C42A4">
        <w:lastRenderedPageBreak/>
        <w:t>Data</w:t>
      </w:r>
      <w:r w:rsidR="008A7F04">
        <w:t xml:space="preserve"> extraction</w:t>
      </w:r>
    </w:p>
    <w:p w14:paraId="06C86605" w14:textId="19DE1857" w:rsidR="009C42A4" w:rsidRDefault="00443B57">
      <w:pPr>
        <w:ind w:firstLine="720"/>
        <w:jc w:val="both"/>
      </w:pPr>
      <w:r>
        <w:t>We carried out a linked data analysis of routine healthcare data for the entire Yorkshire and Humber (Y&amp;H) region of the United Kingdom (population 5.5 million)</w:t>
      </w:r>
      <w:r w:rsidR="008549DA">
        <w:t xml:space="preserve"> using data from the </w:t>
      </w:r>
      <w:proofErr w:type="spellStart"/>
      <w:r w:rsidR="008549DA">
        <w:t>CUREd</w:t>
      </w:r>
      <w:proofErr w:type="spellEnd"/>
      <w:r w:rsidR="008549DA">
        <w:t xml:space="preserve"> </w:t>
      </w:r>
      <w:r w:rsidR="00602F5F">
        <w:t xml:space="preserve">research database </w:t>
      </w:r>
      <w:r w:rsidR="008549DA" w:rsidRPr="0010549A">
        <w:t>[</w:t>
      </w:r>
      <w:r w:rsidR="00F64DE3" w:rsidRPr="0010549A">
        <w:t>25</w:t>
      </w:r>
      <w:r w:rsidR="00BF172D" w:rsidRPr="0010549A">
        <w:t>, 26</w:t>
      </w:r>
      <w:r w:rsidR="008549DA" w:rsidRPr="0010549A">
        <w:t>]</w:t>
      </w:r>
      <w:r w:rsidR="008549DA">
        <w:t xml:space="preserve"> (a large</w:t>
      </w:r>
      <w:r w:rsidR="00602F5F">
        <w:t>,</w:t>
      </w:r>
      <w:r w:rsidR="008549DA">
        <w:t xml:space="preserve"> linked database comprising of healthcare information for approximately one-tenth of England’s population)</w:t>
      </w:r>
      <w:r>
        <w:t xml:space="preserve">. </w:t>
      </w:r>
      <w:r w:rsidR="008549DA">
        <w:t xml:space="preserve">The database </w:t>
      </w:r>
      <w:r w:rsidR="000345EB">
        <w:t>links</w:t>
      </w:r>
      <w:r w:rsidR="008549DA">
        <w:t xml:space="preserve"> NHS 111 calls, </w:t>
      </w:r>
      <w:r w:rsidR="000345EB">
        <w:t>a</w:t>
      </w:r>
      <w:r w:rsidR="008549DA">
        <w:t xml:space="preserve">mbulance incidents, Accident &amp; Emergency, Admitted Patient Care episodes and </w:t>
      </w:r>
      <w:r w:rsidR="000345EB">
        <w:t xml:space="preserve">provider spell </w:t>
      </w:r>
      <w:r w:rsidR="008549DA">
        <w:t>datasets</w:t>
      </w:r>
      <w:r w:rsidR="00602F5F">
        <w:t xml:space="preserve">, combining </w:t>
      </w:r>
      <w:r w:rsidR="008549DA">
        <w:t>over 23 million linked patient episodes of care</w:t>
      </w:r>
      <w:r w:rsidR="000345EB">
        <w:t xml:space="preserve"> from</w:t>
      </w:r>
      <w:r w:rsidR="008549DA">
        <w:t xml:space="preserve"> April 2011 </w:t>
      </w:r>
      <w:r w:rsidR="000345EB">
        <w:t xml:space="preserve">until </w:t>
      </w:r>
      <w:r w:rsidR="008549DA">
        <w:t xml:space="preserve">March 2017. </w:t>
      </w:r>
      <w:r>
        <w:t>Emergency care in the region over the period was provided by one ambulance service (Yorkshire Ambulance Service) with a single emergency phone number (999), an NHS telephone triage service (NHS</w:t>
      </w:r>
      <w:r w:rsidR="000345EB">
        <w:t xml:space="preserve"> </w:t>
      </w:r>
      <w:r>
        <w:t>111), 18 Type 1 Emergency Departments (24-hour consultant-led services with resuscitation facilities) and 13 acute hospital trusts.</w:t>
      </w:r>
      <w:r w:rsidR="009C42A4">
        <w:t xml:space="preserve"> </w:t>
      </w:r>
      <w:r w:rsidR="00485F6E">
        <w:t>I</w:t>
      </w:r>
      <w:r w:rsidR="009C42A4">
        <w:t xml:space="preserve">t is possible to track each patient from their initial emergency call, </w:t>
      </w:r>
      <w:r w:rsidR="00602F5F">
        <w:t xml:space="preserve">any </w:t>
      </w:r>
      <w:r w:rsidR="009C42A4">
        <w:t>conveyanc</w:t>
      </w:r>
      <w:r w:rsidR="007C5D47">
        <w:t>e</w:t>
      </w:r>
      <w:r w:rsidR="009C42A4">
        <w:t xml:space="preserve"> to the ED, </w:t>
      </w:r>
      <w:r w:rsidR="00485F6E">
        <w:t xml:space="preserve">their ED </w:t>
      </w:r>
      <w:r>
        <w:t>attendance, through to ED discharge or</w:t>
      </w:r>
      <w:r w:rsidR="007C5D47">
        <w:t xml:space="preserve"> </w:t>
      </w:r>
      <w:r w:rsidR="009C42A4">
        <w:t>hospital admission</w:t>
      </w:r>
      <w:r>
        <w:t>, and ED re-attendance</w:t>
      </w:r>
      <w:r w:rsidR="009C42A4">
        <w:t>.</w:t>
      </w:r>
    </w:p>
    <w:p w14:paraId="50FE8DCE" w14:textId="37F3B44F" w:rsidR="009C42A4" w:rsidRDefault="009C42A4" w:rsidP="009C42A4">
      <w:pPr>
        <w:ind w:firstLine="720"/>
        <w:jc w:val="both"/>
      </w:pPr>
      <w:r>
        <w:t>The data analysis informed the following parameters (Appendix</w:t>
      </w:r>
      <w:r w:rsidR="00B2716C">
        <w:t xml:space="preserve"> </w:t>
      </w:r>
      <w:r w:rsidR="007A71A3">
        <w:t>Table A1</w:t>
      </w:r>
      <w:r>
        <w:t>)</w:t>
      </w:r>
      <w:r w:rsidR="004C30F5">
        <w:t xml:space="preserve"> for each age 5-year band (75-79, 80-84, 85-89, 90-94 and 95+)</w:t>
      </w:r>
      <w:r>
        <w:t>:</w:t>
      </w:r>
    </w:p>
    <w:p w14:paraId="4A6E8693" w14:textId="60A0967F" w:rsidR="007906B8" w:rsidRDefault="00443B57" w:rsidP="007906B8">
      <w:pPr>
        <w:pStyle w:val="ListParagraph"/>
        <w:numPr>
          <w:ilvl w:val="0"/>
          <w:numId w:val="39"/>
        </w:numPr>
        <w:jc w:val="both"/>
      </w:pPr>
      <w:r>
        <w:t>N</w:t>
      </w:r>
      <w:r w:rsidR="007906B8">
        <w:t>umber of patients in ED and in hospital</w:t>
      </w:r>
    </w:p>
    <w:p w14:paraId="31008381" w14:textId="1FD6974A" w:rsidR="009C42A4" w:rsidRDefault="00CB0AE2" w:rsidP="009C42A4">
      <w:pPr>
        <w:pStyle w:val="ListParagraph"/>
        <w:numPr>
          <w:ilvl w:val="0"/>
          <w:numId w:val="39"/>
        </w:numPr>
        <w:jc w:val="both"/>
      </w:pPr>
      <w:r>
        <w:t xml:space="preserve">Average daily number of </w:t>
      </w:r>
      <w:r w:rsidR="009C42A4">
        <w:t>ED attendances</w:t>
      </w:r>
      <w:r w:rsidR="00443B57">
        <w:t xml:space="preserve"> </w:t>
      </w:r>
    </w:p>
    <w:p w14:paraId="6E252D3A" w14:textId="0CEF156E" w:rsidR="007906B8" w:rsidRDefault="00CB0AE2" w:rsidP="007906B8">
      <w:pPr>
        <w:pStyle w:val="ListParagraph"/>
        <w:numPr>
          <w:ilvl w:val="0"/>
          <w:numId w:val="39"/>
        </w:numPr>
        <w:jc w:val="both"/>
      </w:pPr>
      <w:r>
        <w:t>Average daily number of e</w:t>
      </w:r>
      <w:r w:rsidR="007906B8">
        <w:t>mergency admissions via ED</w:t>
      </w:r>
    </w:p>
    <w:p w14:paraId="7BC1ABEC" w14:textId="6502E970" w:rsidR="009C42A4" w:rsidRDefault="00CB0AE2" w:rsidP="009C42A4">
      <w:pPr>
        <w:pStyle w:val="ListParagraph"/>
        <w:numPr>
          <w:ilvl w:val="0"/>
          <w:numId w:val="39"/>
        </w:numPr>
        <w:jc w:val="both"/>
      </w:pPr>
      <w:r>
        <w:t>Average daily number of e</w:t>
      </w:r>
      <w:r w:rsidR="009C42A4">
        <w:t>mergency admissions</w:t>
      </w:r>
      <w:r w:rsidR="007906B8">
        <w:t xml:space="preserve"> </w:t>
      </w:r>
      <w:r w:rsidR="007906B8" w:rsidRPr="007906B8">
        <w:rPr>
          <w:b/>
          <w:bCs/>
        </w:rPr>
        <w:t>not</w:t>
      </w:r>
      <w:r w:rsidR="007906B8">
        <w:t xml:space="preserve"> via ED</w:t>
      </w:r>
      <w:r>
        <w:t>,</w:t>
      </w:r>
      <w:r w:rsidR="007906B8">
        <w:t xml:space="preserve"> e.g. direct admissions to specialty services</w:t>
      </w:r>
    </w:p>
    <w:p w14:paraId="6AB61FC4" w14:textId="620277C4" w:rsidR="00443B57" w:rsidRDefault="00443B57" w:rsidP="007906B8">
      <w:pPr>
        <w:pStyle w:val="ListParagraph"/>
        <w:numPr>
          <w:ilvl w:val="0"/>
          <w:numId w:val="39"/>
        </w:numPr>
        <w:jc w:val="both"/>
      </w:pPr>
      <w:r>
        <w:t xml:space="preserve">Average </w:t>
      </w:r>
      <w:r w:rsidR="008B5F2F">
        <w:t xml:space="preserve">length </w:t>
      </w:r>
      <w:r>
        <w:t>o</w:t>
      </w:r>
      <w:r w:rsidR="008B5F2F">
        <w:t>f stay</w:t>
      </w:r>
    </w:p>
    <w:p w14:paraId="71E33FB8" w14:textId="626F8109" w:rsidR="007906B8" w:rsidRPr="00CB0AE2" w:rsidRDefault="00CB0AE2" w:rsidP="007906B8">
      <w:pPr>
        <w:pStyle w:val="ListParagraph"/>
        <w:numPr>
          <w:ilvl w:val="0"/>
          <w:numId w:val="39"/>
        </w:numPr>
        <w:jc w:val="both"/>
      </w:pPr>
      <w:r>
        <w:t>Average</w:t>
      </w:r>
      <w:r w:rsidRPr="00DD4DC0" w:rsidDel="00CB0AE2">
        <w:t xml:space="preserve"> </w:t>
      </w:r>
      <w:r>
        <w:t xml:space="preserve">daily </w:t>
      </w:r>
      <w:r w:rsidRPr="00DD4DC0">
        <w:t>number of i</w:t>
      </w:r>
      <w:r w:rsidR="007906B8" w:rsidRPr="00CB0AE2">
        <w:t>n</w:t>
      </w:r>
      <w:r w:rsidR="00B33F17">
        <w:t>-</w:t>
      </w:r>
      <w:r w:rsidR="007906B8" w:rsidRPr="00CB0AE2">
        <w:t>patient</w:t>
      </w:r>
      <w:r w:rsidRPr="00CB0AE2">
        <w:t xml:space="preserve"> </w:t>
      </w:r>
      <w:r w:rsidRPr="00DD4DC0">
        <w:t>d</w:t>
      </w:r>
      <w:r>
        <w:t>eaths</w:t>
      </w:r>
    </w:p>
    <w:p w14:paraId="04FD8F80" w14:textId="7B5195B4" w:rsidR="009C42A4" w:rsidRDefault="00CB0AE2" w:rsidP="007906B8">
      <w:pPr>
        <w:pStyle w:val="ListParagraph"/>
        <w:numPr>
          <w:ilvl w:val="0"/>
          <w:numId w:val="39"/>
        </w:numPr>
        <w:jc w:val="both"/>
      </w:pPr>
      <w:r>
        <w:t>Average</w:t>
      </w:r>
      <w:r w:rsidR="009C42A4">
        <w:t xml:space="preserve"> proportion of patients </w:t>
      </w:r>
      <w:r>
        <w:t>who</w:t>
      </w:r>
      <w:r w:rsidR="009C42A4">
        <w:t xml:space="preserve"> re-attend ED within 30</w:t>
      </w:r>
      <w:r w:rsidR="00B33F17">
        <w:t xml:space="preserve"> </w:t>
      </w:r>
      <w:r w:rsidR="009C42A4">
        <w:t>days of discharge</w:t>
      </w:r>
    </w:p>
    <w:p w14:paraId="710B1BE7" w14:textId="77777777" w:rsidR="007249D8" w:rsidRDefault="007249D8" w:rsidP="00104172">
      <w:pPr>
        <w:jc w:val="both"/>
      </w:pPr>
    </w:p>
    <w:p w14:paraId="7F6E58BC" w14:textId="78587587" w:rsidR="00104172" w:rsidRPr="00104172" w:rsidRDefault="007249D8" w:rsidP="0010549A">
      <w:pPr>
        <w:ind w:firstLine="360"/>
        <w:jc w:val="both"/>
        <w:rPr>
          <w:sz w:val="22"/>
          <w:szCs w:val="22"/>
          <w:lang w:eastAsia="zh-CN"/>
        </w:rPr>
      </w:pPr>
      <w:r>
        <w:lastRenderedPageBreak/>
        <w:t>As t</w:t>
      </w:r>
      <w:r w:rsidR="009C42A4">
        <w:t xml:space="preserve">he </w:t>
      </w:r>
      <w:r w:rsidR="00CB0AE2">
        <w:t xml:space="preserve">model </w:t>
      </w:r>
      <w:r w:rsidR="007C5D47">
        <w:t xml:space="preserve">follows a cohort of older people </w:t>
      </w:r>
      <w:r w:rsidR="00970645">
        <w:t xml:space="preserve">for </w:t>
      </w:r>
      <w:r w:rsidR="007C5D47">
        <w:t xml:space="preserve">one </w:t>
      </w:r>
      <w:r w:rsidR="00970645">
        <w:t>year</w:t>
      </w:r>
      <w:r w:rsidR="007C5D47">
        <w:t xml:space="preserve">, the metrics above </w:t>
      </w:r>
      <w:r>
        <w:t xml:space="preserve">are </w:t>
      </w:r>
      <w:r w:rsidR="00970645">
        <w:t xml:space="preserve">updated daily as patients move through the system. The model </w:t>
      </w:r>
      <w:r w:rsidR="00CB0AE2">
        <w:t xml:space="preserve">does not take account of </w:t>
      </w:r>
      <w:r w:rsidR="00475666">
        <w:t xml:space="preserve">time of day, </w:t>
      </w:r>
      <w:r w:rsidR="00CB0AE2">
        <w:t>day of week</w:t>
      </w:r>
      <w:r w:rsidR="00475666">
        <w:t>,</w:t>
      </w:r>
      <w:r w:rsidR="00CB0AE2">
        <w:t xml:space="preserve"> or </w:t>
      </w:r>
      <w:r w:rsidR="00475666">
        <w:t>month</w:t>
      </w:r>
      <w:r w:rsidR="00CB0AE2">
        <w:t>, but uses the average</w:t>
      </w:r>
      <w:r w:rsidR="00475666">
        <w:t>s</w:t>
      </w:r>
      <w:r w:rsidR="00CB0AE2">
        <w:t xml:space="preserve"> </w:t>
      </w:r>
      <w:r w:rsidR="00475666">
        <w:t xml:space="preserve">for these parameters </w:t>
      </w:r>
      <w:r w:rsidR="00CB0AE2">
        <w:t xml:space="preserve">over the </w:t>
      </w:r>
      <w:r w:rsidR="00475666">
        <w:t xml:space="preserve">full </w:t>
      </w:r>
      <w:r w:rsidR="00CB0AE2">
        <w:t xml:space="preserve">six years of data in the </w:t>
      </w:r>
      <w:proofErr w:type="spellStart"/>
      <w:r w:rsidR="00CB0AE2">
        <w:t>CUR</w:t>
      </w:r>
      <w:r w:rsidR="00475666">
        <w:t>Ed</w:t>
      </w:r>
      <w:proofErr w:type="spellEnd"/>
      <w:r w:rsidR="00CB0AE2">
        <w:t xml:space="preserve"> dataset</w:t>
      </w:r>
      <w:r w:rsidR="00B33F17">
        <w:t xml:space="preserve">, thereby smoothing out any daily or seasonal variation. </w:t>
      </w:r>
      <w:r w:rsidR="00970645">
        <w:t xml:space="preserve">This is because </w:t>
      </w:r>
      <w:r w:rsidR="0057590A">
        <w:t>system dynamics modelling</w:t>
      </w:r>
      <w:r w:rsidR="00475666">
        <w:t xml:space="preserve"> takes a</w:t>
      </w:r>
      <w:r w:rsidR="00907E1B">
        <w:t>n aggregated, high</w:t>
      </w:r>
      <w:r w:rsidR="00475666">
        <w:t xml:space="preserve">-level perspective </w:t>
      </w:r>
      <w:r w:rsidR="0088051A">
        <w:t xml:space="preserve">of the whole system </w:t>
      </w:r>
      <w:r w:rsidR="00475666">
        <w:t xml:space="preserve">that </w:t>
      </w:r>
      <w:r w:rsidR="00B33F17">
        <w:t>‘</w:t>
      </w:r>
      <w:r w:rsidR="00475666">
        <w:t>focuses on the wood rather than the trees</w:t>
      </w:r>
      <w:r w:rsidR="00B33F17">
        <w:t>’</w:t>
      </w:r>
      <w:r w:rsidR="00970645">
        <w:t>:</w:t>
      </w:r>
      <w:r w:rsidR="00475666">
        <w:t xml:space="preserve"> </w:t>
      </w:r>
      <w:r w:rsidR="00970645">
        <w:t>t</w:t>
      </w:r>
      <w:r w:rsidR="009C42A4">
        <w:t xml:space="preserve">he </w:t>
      </w:r>
      <w:r w:rsidR="009C42A4" w:rsidRPr="00045C51">
        <w:t>aim</w:t>
      </w:r>
      <w:r w:rsidR="009C42A4">
        <w:t xml:space="preserve"> of the tool is to understand and compare the </w:t>
      </w:r>
      <w:r w:rsidR="00475666">
        <w:t xml:space="preserve">broad </w:t>
      </w:r>
      <w:r w:rsidR="009C42A4">
        <w:t>impact of different interventions</w:t>
      </w:r>
      <w:r w:rsidR="00B33F17">
        <w:t>,</w:t>
      </w:r>
      <w:r w:rsidR="009C42A4">
        <w:t xml:space="preserve"> </w:t>
      </w:r>
      <w:r w:rsidR="009C42A4" w:rsidRPr="00045C51">
        <w:t xml:space="preserve">not to produce </w:t>
      </w:r>
      <w:r w:rsidR="00970645">
        <w:t>detailed</w:t>
      </w:r>
      <w:r w:rsidR="009C42A4" w:rsidRPr="00045C51">
        <w:t xml:space="preserve"> forecasts of future patient numbers</w:t>
      </w:r>
      <w:r w:rsidR="00B33F17">
        <w:t xml:space="preserve"> or waiting times in ED. </w:t>
      </w:r>
      <w:r w:rsidR="00104172" w:rsidRPr="00104172">
        <w:rPr>
          <w:lang w:eastAsia="zh-CN"/>
        </w:rPr>
        <w:t xml:space="preserve">The model shows how an intervention in ED, which may potentially affect not only the length of stay for admitted patients but also reattendance or readmission rates after discharge, has complex knock-on effects over time </w:t>
      </w:r>
      <w:r w:rsidR="0057590A">
        <w:rPr>
          <w:lang w:eastAsia="zh-CN"/>
        </w:rPr>
        <w:t>at the hospital level</w:t>
      </w:r>
      <w:r w:rsidR="00104172" w:rsidRPr="00104172">
        <w:rPr>
          <w:lang w:eastAsia="zh-CN"/>
        </w:rPr>
        <w:t>.</w:t>
      </w:r>
    </w:p>
    <w:p w14:paraId="20DC32FA" w14:textId="77777777" w:rsidR="00261EFC" w:rsidRDefault="00261EFC" w:rsidP="00261EFC">
      <w:pPr>
        <w:spacing w:line="240" w:lineRule="auto"/>
        <w:jc w:val="both"/>
      </w:pPr>
    </w:p>
    <w:p w14:paraId="2E941970" w14:textId="4B0E2D3E" w:rsidR="009C42A4" w:rsidRDefault="009C42A4" w:rsidP="0010549A">
      <w:pPr>
        <w:spacing w:line="360" w:lineRule="auto"/>
        <w:ind w:firstLine="360"/>
        <w:jc w:val="both"/>
      </w:pPr>
      <w:r>
        <w:t xml:space="preserve">The </w:t>
      </w:r>
      <w:r w:rsidR="00E507AA">
        <w:t xml:space="preserve">SD </w:t>
      </w:r>
      <w:r>
        <w:t xml:space="preserve">model </w:t>
      </w:r>
      <w:r w:rsidR="007906B8">
        <w:t>drew</w:t>
      </w:r>
      <w:r>
        <w:t xml:space="preserve"> upon several other data </w:t>
      </w:r>
      <w:r w:rsidR="007906B8">
        <w:t>sources for</w:t>
      </w:r>
      <w:r>
        <w:t xml:space="preserve"> the model parameters and initial </w:t>
      </w:r>
      <w:r w:rsidR="00E507AA">
        <w:t>patient population</w:t>
      </w:r>
      <w:r>
        <w:t xml:space="preserve"> levels:</w:t>
      </w:r>
    </w:p>
    <w:p w14:paraId="02A0B07D" w14:textId="7B0A76B4" w:rsidR="009C42A4" w:rsidRDefault="00602F5F" w:rsidP="009C42A4">
      <w:pPr>
        <w:pStyle w:val="Paragraph"/>
        <w:numPr>
          <w:ilvl w:val="0"/>
          <w:numId w:val="37"/>
        </w:numPr>
        <w:jc w:val="both"/>
      </w:pPr>
      <w:r>
        <w:t>ONS</w:t>
      </w:r>
      <w:r w:rsidR="009C42A4">
        <w:t xml:space="preserve"> mortality statistics</w:t>
      </w:r>
      <w:r w:rsidR="00B2716C">
        <w:t xml:space="preserve"> (2019) [</w:t>
      </w:r>
      <w:r w:rsidR="00B2716C" w:rsidRPr="0010549A">
        <w:t>2</w:t>
      </w:r>
      <w:r w:rsidR="00F84E38" w:rsidRPr="0010549A">
        <w:t>7</w:t>
      </w:r>
      <w:r w:rsidR="00B2716C">
        <w:t>]</w:t>
      </w:r>
      <w:r w:rsidR="009C42A4">
        <w:t xml:space="preserve"> and population estimates</w:t>
      </w:r>
      <w:r w:rsidR="00B2716C">
        <w:t xml:space="preserve"> for the Yorkshire and Humber region (mid-2019) [</w:t>
      </w:r>
      <w:r w:rsidR="00B2716C" w:rsidRPr="0010549A">
        <w:t>2</w:t>
      </w:r>
      <w:r w:rsidR="00F84E38" w:rsidRPr="0010549A">
        <w:t>8</w:t>
      </w:r>
      <w:r w:rsidR="00B2716C">
        <w:t>].</w:t>
      </w:r>
    </w:p>
    <w:p w14:paraId="6CC049F5" w14:textId="448F4401" w:rsidR="007906B8" w:rsidRDefault="009C42A4" w:rsidP="001A1E45">
      <w:pPr>
        <w:pStyle w:val="Newparagraph"/>
        <w:numPr>
          <w:ilvl w:val="0"/>
          <w:numId w:val="37"/>
        </w:numPr>
        <w:ind w:left="360" w:firstLine="0"/>
        <w:jc w:val="both"/>
      </w:pPr>
      <w:r>
        <w:t>Care home</w:t>
      </w:r>
      <w:r w:rsidR="00E90C1F">
        <w:t>s</w:t>
      </w:r>
      <w:r>
        <w:t xml:space="preserve">: </w:t>
      </w:r>
      <w:r w:rsidR="007906B8">
        <w:t>t</w:t>
      </w:r>
      <w:r>
        <w:t xml:space="preserve">he number of care home </w:t>
      </w:r>
      <w:r w:rsidR="00E90C1F">
        <w:t xml:space="preserve">residents </w:t>
      </w:r>
      <w:r>
        <w:t xml:space="preserve">in the Yorkshire and Humber region has been estimated from the </w:t>
      </w:r>
      <w:r w:rsidR="00B2716C">
        <w:t>c</w:t>
      </w:r>
      <w:r>
        <w:t>are homes market study</w:t>
      </w:r>
      <w:r w:rsidR="00B2716C">
        <w:t xml:space="preserve"> </w:t>
      </w:r>
      <w:r w:rsidRPr="0010549A">
        <w:t>[</w:t>
      </w:r>
      <w:r w:rsidR="009B3B9E" w:rsidRPr="0010549A">
        <w:t>29</w:t>
      </w:r>
      <w:r w:rsidRPr="0010549A">
        <w:t>]</w:t>
      </w:r>
      <w:r>
        <w:t xml:space="preserve">. Recent estimates of the number of care homes in the Yorkshire and Humber region suggest 1,453 homes </w:t>
      </w:r>
      <w:r w:rsidRPr="0010549A">
        <w:t>[3</w:t>
      </w:r>
      <w:r w:rsidR="009B3B9E" w:rsidRPr="0010549A">
        <w:t>0</w:t>
      </w:r>
      <w:r w:rsidRPr="0010549A">
        <w:t>]</w:t>
      </w:r>
      <w:r>
        <w:t xml:space="preserve"> which would lead to approximately 52,719 residents in the area. The number of care home deaths has been estimated from ONS data which looks at the number of deaths within the care sector </w:t>
      </w:r>
      <w:r w:rsidRPr="0010549A">
        <w:t>[3</w:t>
      </w:r>
      <w:r w:rsidR="009B3B9E" w:rsidRPr="0010549A">
        <w:t>1</w:t>
      </w:r>
      <w:r w:rsidRPr="0010549A">
        <w:t>]</w:t>
      </w:r>
      <w:r>
        <w:t>.</w:t>
      </w:r>
    </w:p>
    <w:p w14:paraId="23D3E773" w14:textId="4730A0A5" w:rsidR="009C42A4" w:rsidRPr="00AB7872" w:rsidRDefault="009C42A4" w:rsidP="004B3FD8">
      <w:pPr>
        <w:pStyle w:val="Newparagraph"/>
        <w:jc w:val="both"/>
      </w:pPr>
      <w:r w:rsidRPr="0089180A">
        <w:t>In the</w:t>
      </w:r>
      <w:r w:rsidR="00E507AA">
        <w:t xml:space="preserve"> SD</w:t>
      </w:r>
      <w:r w:rsidRPr="0089180A">
        <w:t xml:space="preserve"> decision support tool, users can </w:t>
      </w:r>
      <w:r w:rsidR="00B33F17">
        <w:t xml:space="preserve">either </w:t>
      </w:r>
      <w:r w:rsidRPr="0089180A">
        <w:t xml:space="preserve">enter their own values of each </w:t>
      </w:r>
      <w:r w:rsidR="00DD75D0" w:rsidRPr="0089180A">
        <w:t>parameter</w:t>
      </w:r>
      <w:r w:rsidR="00DD75D0">
        <w:t xml:space="preserve"> or</w:t>
      </w:r>
      <w:r w:rsidRPr="0089180A">
        <w:t xml:space="preserve"> use the default values</w:t>
      </w:r>
      <w:r w:rsidR="00C76F31">
        <w:t xml:space="preserve"> included in the underlying model</w:t>
      </w:r>
      <w:r w:rsidRPr="0089180A">
        <w:t>. The decision support tool</w:t>
      </w:r>
      <w:r w:rsidR="00FE52CD">
        <w:t xml:space="preserve"> includes a user interface which</w:t>
      </w:r>
      <w:r w:rsidRPr="0089180A">
        <w:t xml:space="preserve"> </w:t>
      </w:r>
      <w:r w:rsidR="00B33F17">
        <w:t xml:space="preserve">also </w:t>
      </w:r>
      <w:r w:rsidRPr="0089180A">
        <w:t>allows the user the option to select a hospital setting nearest their own</w:t>
      </w:r>
      <w:r>
        <w:t xml:space="preserve"> (based on three hospital archetypes</w:t>
      </w:r>
      <w:r w:rsidR="00220B81">
        <w:t xml:space="preserve"> – large, medium, small</w:t>
      </w:r>
      <w:r>
        <w:t>)</w:t>
      </w:r>
      <w:r w:rsidRPr="0089180A">
        <w:t xml:space="preserve"> and use the relevant model parameters in the baseline and </w:t>
      </w:r>
      <w:r w:rsidR="00EB6037">
        <w:t xml:space="preserve">intervention </w:t>
      </w:r>
      <w:r w:rsidRPr="0089180A">
        <w:t>scenario runs.</w:t>
      </w:r>
    </w:p>
    <w:p w14:paraId="54A12073" w14:textId="0140F612" w:rsidR="00374AA9" w:rsidRDefault="0056625D" w:rsidP="009C42A4">
      <w:pPr>
        <w:pStyle w:val="Heading2"/>
      </w:pPr>
      <w:r>
        <w:lastRenderedPageBreak/>
        <w:t>Development of the s</w:t>
      </w:r>
      <w:r w:rsidR="00374AA9" w:rsidRPr="00CB4918">
        <w:t xml:space="preserve">ystem </w:t>
      </w:r>
      <w:r>
        <w:t>d</w:t>
      </w:r>
      <w:r w:rsidR="00374AA9" w:rsidRPr="00CB4918">
        <w:t xml:space="preserve">ynamics </w:t>
      </w:r>
      <w:r w:rsidR="00D57D6F">
        <w:t>model</w:t>
      </w:r>
      <w:r>
        <w:t xml:space="preserve"> and user interface</w:t>
      </w:r>
    </w:p>
    <w:p w14:paraId="512A437E" w14:textId="391E783D" w:rsidR="00D57D6F" w:rsidRDefault="00D57D6F" w:rsidP="00D57D6F">
      <w:pPr>
        <w:autoSpaceDE w:val="0"/>
        <w:autoSpaceDN w:val="0"/>
        <w:adjustRightInd w:val="0"/>
        <w:ind w:firstLine="720"/>
        <w:jc w:val="both"/>
      </w:pPr>
      <w:r>
        <w:t>The SD model</w:t>
      </w:r>
      <w:r w:rsidR="004D7C6E">
        <w:t xml:space="preserve"> within the decision support tool</w:t>
      </w:r>
      <w:r>
        <w:t xml:space="preserve"> </w:t>
      </w:r>
      <w:r w:rsidR="00B33F17">
        <w:t xml:space="preserve">represents </w:t>
      </w:r>
      <w:r>
        <w:t xml:space="preserve">patient flow from </w:t>
      </w:r>
      <w:r w:rsidR="00970645">
        <w:t>the</w:t>
      </w:r>
      <w:r>
        <w:t xml:space="preserve"> </w:t>
      </w:r>
      <w:r w:rsidR="00443B57">
        <w:t xml:space="preserve">emergency </w:t>
      </w:r>
      <w:r w:rsidR="00B33F17">
        <w:t>call for help</w:t>
      </w:r>
      <w:r>
        <w:t xml:space="preserve"> to discharge</w:t>
      </w:r>
      <w:r w:rsidR="00970645">
        <w:t xml:space="preserve"> </w:t>
      </w:r>
      <w:r w:rsidR="00443B57">
        <w:t xml:space="preserve">from the ED or hospital </w:t>
      </w:r>
      <w:r w:rsidR="000A5F42">
        <w:t>(</w:t>
      </w:r>
      <w:r w:rsidR="000A5F42">
        <w:fldChar w:fldCharType="begin"/>
      </w:r>
      <w:r w:rsidR="000A5F42">
        <w:instrText xml:space="preserve"> REF _Ref88038233 \h </w:instrText>
      </w:r>
      <w:r w:rsidR="000A5F42">
        <w:fldChar w:fldCharType="separate"/>
      </w:r>
      <w:r w:rsidR="000A5F42">
        <w:t xml:space="preserve">Figure </w:t>
      </w:r>
      <w:r w:rsidR="000A5F42">
        <w:rPr>
          <w:noProof/>
        </w:rPr>
        <w:t>1</w:t>
      </w:r>
      <w:r w:rsidR="000A5F42">
        <w:fldChar w:fldCharType="end"/>
      </w:r>
      <w:r w:rsidR="000A5F42">
        <w:t>)</w:t>
      </w:r>
      <w:r>
        <w:t>. A patient may attend ED after a call to the ambulance service</w:t>
      </w:r>
      <w:r w:rsidR="00480A93">
        <w:t xml:space="preserve"> (999)</w:t>
      </w:r>
      <w:r>
        <w:t xml:space="preserve"> or </w:t>
      </w:r>
      <w:r w:rsidR="00DD75D0">
        <w:t>NHS 111 or</w:t>
      </w:r>
      <w:r>
        <w:t xml:space="preserve"> be directly admitted to hospital as an emergency. </w:t>
      </w:r>
      <w:r w:rsidR="000A5F42">
        <w:t xml:space="preserve">Some patients will die in the ED, hospital or at home. </w:t>
      </w:r>
      <w:r>
        <w:t xml:space="preserve">Following discharge, </w:t>
      </w:r>
      <w:r w:rsidR="00970645">
        <w:t>some</w:t>
      </w:r>
      <w:r>
        <w:t xml:space="preserve"> patients will </w:t>
      </w:r>
      <w:r w:rsidR="00480A93">
        <w:t>reattend</w:t>
      </w:r>
      <w:r>
        <w:t xml:space="preserve"> within 30 days</w:t>
      </w:r>
      <w:r w:rsidR="000A5F42">
        <w:t xml:space="preserve">.  </w:t>
      </w:r>
      <w:r>
        <w:t xml:space="preserve"> </w:t>
      </w:r>
    </w:p>
    <w:p w14:paraId="5D6C1ED3" w14:textId="64F17F90" w:rsidR="00D57D6F" w:rsidRDefault="00D57D6F" w:rsidP="00D57D6F">
      <w:pPr>
        <w:pStyle w:val="Caption"/>
        <w:keepNext/>
        <w:jc w:val="both"/>
      </w:pPr>
      <w:bookmarkStart w:id="1" w:name="_Ref88038233"/>
      <w:r>
        <w:t xml:space="preserve">Figure </w:t>
      </w:r>
      <w:r w:rsidR="0046025A">
        <w:fldChar w:fldCharType="begin"/>
      </w:r>
      <w:r w:rsidR="0046025A">
        <w:instrText xml:space="preserve"> SEQ Figure \* ARABIC </w:instrText>
      </w:r>
      <w:r w:rsidR="0046025A">
        <w:fldChar w:fldCharType="separate"/>
      </w:r>
      <w:r w:rsidR="00220B81">
        <w:rPr>
          <w:noProof/>
        </w:rPr>
        <w:t>1</w:t>
      </w:r>
      <w:r w:rsidR="0046025A">
        <w:rPr>
          <w:noProof/>
        </w:rPr>
        <w:fldChar w:fldCharType="end"/>
      </w:r>
      <w:bookmarkEnd w:id="1"/>
      <w:r>
        <w:t xml:space="preserve"> </w:t>
      </w:r>
      <w:r w:rsidRPr="008650FA">
        <w:t>Schematic representation of patient flow</w:t>
      </w:r>
    </w:p>
    <w:p w14:paraId="0BB245BE" w14:textId="4E74CF2F" w:rsidR="00D57D6F" w:rsidRPr="00D57D6F" w:rsidRDefault="002258F2" w:rsidP="00D57D6F">
      <w:pPr>
        <w:pStyle w:val="Newparagraph"/>
        <w:ind w:firstLine="0"/>
        <w:jc w:val="both"/>
      </w:pPr>
      <w:r w:rsidRPr="002258F2">
        <w:rPr>
          <w:noProof/>
        </w:rPr>
        <w:drawing>
          <wp:inline distT="0" distB="0" distL="0" distR="0" wp14:anchorId="3959A313" wp14:editId="71B26051">
            <wp:extent cx="5728335" cy="2660015"/>
            <wp:effectExtent l="0" t="0" r="571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7442"/>
                    <a:stretch/>
                  </pic:blipFill>
                  <pic:spPr bwMode="auto">
                    <a:xfrm>
                      <a:off x="0" y="0"/>
                      <a:ext cx="5728335" cy="2660015"/>
                    </a:xfrm>
                    <a:prstGeom prst="rect">
                      <a:avLst/>
                    </a:prstGeom>
                    <a:ln>
                      <a:noFill/>
                    </a:ln>
                    <a:extLst>
                      <a:ext uri="{53640926-AAD7-44D8-BBD7-CCE9431645EC}">
                        <a14:shadowObscured xmlns:a14="http://schemas.microsoft.com/office/drawing/2010/main"/>
                      </a:ext>
                    </a:extLst>
                  </pic:spPr>
                </pic:pic>
              </a:graphicData>
            </a:graphic>
          </wp:inline>
        </w:drawing>
      </w:r>
    </w:p>
    <w:p w14:paraId="755D249C" w14:textId="1F8FB4BE" w:rsidR="009A23D7" w:rsidRDefault="00015B30" w:rsidP="009A23D7">
      <w:pPr>
        <w:pStyle w:val="Newparagraph"/>
        <w:jc w:val="both"/>
      </w:pPr>
      <w:r>
        <w:t>The</w:t>
      </w:r>
      <w:r w:rsidR="00B737FE">
        <w:t xml:space="preserve"> technical development of the SD model will be reported separately. </w:t>
      </w:r>
      <w:r w:rsidR="000345EB">
        <w:t>In brief, t</w:t>
      </w:r>
      <w:r w:rsidR="007906B8">
        <w:t xml:space="preserve">he SD model and </w:t>
      </w:r>
      <w:r w:rsidR="00E853DA">
        <w:t>its</w:t>
      </w:r>
      <w:r w:rsidR="007906B8">
        <w:t xml:space="preserve"> user interface were developed in AnyLogic (</w:t>
      </w:r>
      <w:r w:rsidR="007906B8" w:rsidRPr="00A57649">
        <w:t>version 8.7.3</w:t>
      </w:r>
      <w:r w:rsidR="007906B8">
        <w:t>)</w:t>
      </w:r>
      <w:r w:rsidR="003A4D02">
        <w:t xml:space="preserve">. </w:t>
      </w:r>
      <w:r w:rsidR="00E217ED">
        <w:t>T</w:t>
      </w:r>
      <w:r w:rsidR="003A4D02">
        <w:t xml:space="preserve">he SD </w:t>
      </w:r>
      <w:r w:rsidR="009D6506">
        <w:t>decision support tool</w:t>
      </w:r>
      <w:r w:rsidR="003A4D02">
        <w:t xml:space="preserve"> </w:t>
      </w:r>
      <w:r w:rsidR="00E1335B">
        <w:t>i</w:t>
      </w:r>
      <w:r w:rsidR="003A4D02">
        <w:t xml:space="preserve">s designed to be used by clinicians, commissioners, and planners via a user-friendly interface which allows users (with no experience of simulation models) to select their data and run the baseline and intervention models. </w:t>
      </w:r>
      <w:r w:rsidR="003B3640">
        <w:t>In the user interface, u</w:t>
      </w:r>
      <w:r w:rsidR="000E156E">
        <w:t xml:space="preserve">sers can either enter their own or default </w:t>
      </w:r>
      <w:r w:rsidR="00E90C1F">
        <w:t xml:space="preserve">parameters </w:t>
      </w:r>
      <w:r w:rsidR="00936EEE">
        <w:t>contained within the tool</w:t>
      </w:r>
      <w:r w:rsidR="000E156E">
        <w:t xml:space="preserve">. </w:t>
      </w:r>
      <w:r w:rsidR="009A23D7">
        <w:t xml:space="preserve">Table </w:t>
      </w:r>
      <w:r w:rsidR="008B7D7F">
        <w:t>2</w:t>
      </w:r>
      <w:r w:rsidR="009A23D7">
        <w:t xml:space="preserve"> describes the constituent elements of the SD decision support tool where the user interface captures the model’s parameters and displays the results from the baseline and intervention scenarios. </w:t>
      </w:r>
      <w:r w:rsidR="003814EC">
        <w:t>The user interface is laid on top of the SD model which estimates the patient flow in the hospital over a simulated year of running a chosen intervention.</w:t>
      </w:r>
      <w:r w:rsidR="00D50F98">
        <w:t xml:space="preserve"> The inner workings of the SD model can also </w:t>
      </w:r>
      <w:r w:rsidR="00D50F98">
        <w:lastRenderedPageBreak/>
        <w:t>be viewed if required.</w:t>
      </w:r>
      <w:r w:rsidR="003814EC">
        <w:t xml:space="preserve"> </w:t>
      </w:r>
      <w:r w:rsidR="00E676E2">
        <w:t xml:space="preserve">The user progresses through each panel listed in Table </w:t>
      </w:r>
      <w:r w:rsidR="008B7D7F">
        <w:t>2</w:t>
      </w:r>
      <w:r w:rsidR="00E90C1F">
        <w:t>,</w:t>
      </w:r>
      <w:r w:rsidR="00E676E2">
        <w:t xml:space="preserve"> adding in their parameters before running the model and viewing their results. </w:t>
      </w:r>
      <w:r w:rsidR="003814EC">
        <w:t xml:space="preserve"> </w:t>
      </w:r>
    </w:p>
    <w:p w14:paraId="630F81F9" w14:textId="661F33F4" w:rsidR="00B0020D" w:rsidRDefault="00B0020D">
      <w:pPr>
        <w:spacing w:line="240" w:lineRule="auto"/>
        <w:rPr>
          <w:i/>
          <w:iCs/>
          <w:color w:val="1F497D" w:themeColor="text2"/>
          <w:sz w:val="18"/>
          <w:szCs w:val="18"/>
        </w:rPr>
      </w:pPr>
    </w:p>
    <w:p w14:paraId="0478D1E7" w14:textId="64FA1814" w:rsidR="00B0020D" w:rsidRDefault="00B0020D" w:rsidP="00B0020D">
      <w:pPr>
        <w:pStyle w:val="Caption"/>
        <w:keepNext/>
      </w:pPr>
      <w:r>
        <w:t>Table 2 Elements of the SD decision support tool</w:t>
      </w:r>
    </w:p>
    <w:tbl>
      <w:tblPr>
        <w:tblStyle w:val="GridTable4-Accent1"/>
        <w:tblW w:w="0" w:type="auto"/>
        <w:tblLook w:val="04A0" w:firstRow="1" w:lastRow="0" w:firstColumn="1" w:lastColumn="0" w:noHBand="0" w:noVBand="1"/>
      </w:tblPr>
      <w:tblGrid>
        <w:gridCol w:w="2405"/>
        <w:gridCol w:w="6606"/>
      </w:tblGrid>
      <w:tr w:rsidR="00B0020D" w14:paraId="2568929D" w14:textId="77777777" w:rsidTr="009E6F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0F3820B" w14:textId="39E8A5C4" w:rsidR="00B0020D" w:rsidRPr="00B0020D" w:rsidRDefault="00B0020D" w:rsidP="0010549A">
            <w:pPr>
              <w:spacing w:line="276" w:lineRule="auto"/>
              <w:jc w:val="center"/>
              <w:rPr>
                <w:b w:val="0"/>
                <w:bCs w:val="0"/>
              </w:rPr>
            </w:pPr>
            <w:r w:rsidRPr="00B0020D">
              <w:t>Element</w:t>
            </w:r>
            <w:r w:rsidR="00C62CC6">
              <w:t xml:space="preserve"> / Screen</w:t>
            </w:r>
          </w:p>
        </w:tc>
        <w:tc>
          <w:tcPr>
            <w:tcW w:w="6606" w:type="dxa"/>
          </w:tcPr>
          <w:p w14:paraId="68D0981D" w14:textId="47633185" w:rsidR="00B0020D" w:rsidRPr="00B0020D" w:rsidRDefault="00B0020D" w:rsidP="0010549A">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B0020D">
              <w:t>Description</w:t>
            </w:r>
            <w:r w:rsidR="007B3B5A">
              <w:t xml:space="preserve"> / Purpose</w:t>
            </w:r>
          </w:p>
        </w:tc>
      </w:tr>
      <w:tr w:rsidR="00B0020D" w14:paraId="3C868C5C" w14:textId="77777777" w:rsidTr="009E6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7CD511A" w14:textId="0A494123" w:rsidR="00B0020D" w:rsidRDefault="00C62CC6" w:rsidP="0010549A">
            <w:pPr>
              <w:spacing w:line="276" w:lineRule="auto"/>
            </w:pPr>
            <w:r>
              <w:t>Title</w:t>
            </w:r>
            <w:r w:rsidR="007B3B5A">
              <w:t xml:space="preserve"> screen</w:t>
            </w:r>
          </w:p>
        </w:tc>
        <w:tc>
          <w:tcPr>
            <w:tcW w:w="6606" w:type="dxa"/>
          </w:tcPr>
          <w:p w14:paraId="5AAD1189" w14:textId="2B85FF40" w:rsidR="00B0020D" w:rsidRDefault="007B3B5A" w:rsidP="0010549A">
            <w:pPr>
              <w:spacing w:line="276" w:lineRule="auto"/>
              <w:cnfStyle w:val="000000100000" w:firstRow="0" w:lastRow="0" w:firstColumn="0" w:lastColumn="0" w:oddVBand="0" w:evenVBand="0" w:oddHBand="1" w:evenHBand="0" w:firstRowFirstColumn="0" w:firstRowLastColumn="0" w:lastRowFirstColumn="0" w:lastRowLastColumn="0"/>
            </w:pPr>
            <w:r>
              <w:t>Introduces the user to the tool and its purpose</w:t>
            </w:r>
          </w:p>
        </w:tc>
      </w:tr>
      <w:tr w:rsidR="00B0020D" w14:paraId="1BDA7E91" w14:textId="77777777" w:rsidTr="009E6FCE">
        <w:tc>
          <w:tcPr>
            <w:cnfStyle w:val="001000000000" w:firstRow="0" w:lastRow="0" w:firstColumn="1" w:lastColumn="0" w:oddVBand="0" w:evenVBand="0" w:oddHBand="0" w:evenHBand="0" w:firstRowFirstColumn="0" w:firstRowLastColumn="0" w:lastRowFirstColumn="0" w:lastRowLastColumn="0"/>
            <w:tcW w:w="2405" w:type="dxa"/>
          </w:tcPr>
          <w:p w14:paraId="10C38C3A" w14:textId="18AB0E51" w:rsidR="00B0020D" w:rsidRDefault="00C62CC6" w:rsidP="0010549A">
            <w:pPr>
              <w:spacing w:line="276" w:lineRule="auto"/>
            </w:pPr>
            <w:r>
              <w:t>Summary screen</w:t>
            </w:r>
          </w:p>
        </w:tc>
        <w:tc>
          <w:tcPr>
            <w:tcW w:w="6606" w:type="dxa"/>
          </w:tcPr>
          <w:p w14:paraId="38E748A4" w14:textId="662E4032" w:rsidR="00B0020D" w:rsidRDefault="00C62CC6" w:rsidP="0010549A">
            <w:pPr>
              <w:spacing w:line="276" w:lineRule="auto"/>
              <w:cnfStyle w:val="000000000000" w:firstRow="0" w:lastRow="0" w:firstColumn="0" w:lastColumn="0" w:oddVBand="0" w:evenVBand="0" w:oddHBand="0" w:evenHBand="0" w:firstRowFirstColumn="0" w:firstRowLastColumn="0" w:lastRowFirstColumn="0" w:lastRowLastColumn="0"/>
            </w:pPr>
            <w:r>
              <w:t>The user can enter the model’s parameters through the panels in this screen or via individual screens.</w:t>
            </w:r>
          </w:p>
        </w:tc>
      </w:tr>
      <w:tr w:rsidR="00B0020D" w14:paraId="637330D8" w14:textId="77777777" w:rsidTr="009E6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83642FD" w14:textId="40AFE45C" w:rsidR="00B0020D" w:rsidRDefault="00C62CC6" w:rsidP="0010549A">
            <w:pPr>
              <w:spacing w:line="276" w:lineRule="auto"/>
            </w:pPr>
            <w:r>
              <w:t>Data entry screen</w:t>
            </w:r>
          </w:p>
        </w:tc>
        <w:tc>
          <w:tcPr>
            <w:tcW w:w="6606" w:type="dxa"/>
          </w:tcPr>
          <w:p w14:paraId="44B4B43C" w14:textId="3B3245BE" w:rsidR="00B0020D" w:rsidRDefault="00C62CC6" w:rsidP="0010549A">
            <w:pPr>
              <w:spacing w:line="276" w:lineRule="auto"/>
              <w:cnfStyle w:val="000000100000" w:firstRow="0" w:lastRow="0" w:firstColumn="0" w:lastColumn="0" w:oddVBand="0" w:evenVBand="0" w:oddHBand="1" w:evenHBand="0" w:firstRowFirstColumn="0" w:firstRowLastColumn="0" w:lastRowFirstColumn="0" w:lastRowLastColumn="0"/>
            </w:pPr>
            <w:r>
              <w:t>The user can select to use the model’s built-in data or use their own hospital data</w:t>
            </w:r>
          </w:p>
        </w:tc>
      </w:tr>
      <w:tr w:rsidR="00B0020D" w14:paraId="3E70A096" w14:textId="77777777" w:rsidTr="009E6FCE">
        <w:tc>
          <w:tcPr>
            <w:cnfStyle w:val="001000000000" w:firstRow="0" w:lastRow="0" w:firstColumn="1" w:lastColumn="0" w:oddVBand="0" w:evenVBand="0" w:oddHBand="0" w:evenHBand="0" w:firstRowFirstColumn="0" w:firstRowLastColumn="0" w:lastRowFirstColumn="0" w:lastRowLastColumn="0"/>
            <w:tcW w:w="2405" w:type="dxa"/>
          </w:tcPr>
          <w:p w14:paraId="5525C082" w14:textId="0E49FD0A" w:rsidR="00B0020D" w:rsidRDefault="007E3B88" w:rsidP="0010549A">
            <w:pPr>
              <w:spacing w:line="276" w:lineRule="auto"/>
            </w:pPr>
            <w:r>
              <w:t>Location</w:t>
            </w:r>
          </w:p>
        </w:tc>
        <w:tc>
          <w:tcPr>
            <w:tcW w:w="6606" w:type="dxa"/>
          </w:tcPr>
          <w:p w14:paraId="30E0B956" w14:textId="77777777" w:rsidR="000345EB" w:rsidRDefault="007E3B88" w:rsidP="0010549A">
            <w:pPr>
              <w:spacing w:line="276" w:lineRule="auto"/>
              <w:cnfStyle w:val="000000000000" w:firstRow="0" w:lastRow="0" w:firstColumn="0" w:lastColumn="0" w:oddVBand="0" w:evenVBand="0" w:oddHBand="0" w:evenHBand="0" w:firstRowFirstColumn="0" w:firstRowLastColumn="0" w:lastRowFirstColumn="0" w:lastRowLastColumn="0"/>
            </w:pPr>
            <w:r>
              <w:t>In the Yorkshire and Humber version of the tool, the user can select a specific town / city / region from the area.</w:t>
            </w:r>
          </w:p>
          <w:p w14:paraId="2457269A" w14:textId="48FF6F74" w:rsidR="00B0020D" w:rsidRDefault="007E3B88" w:rsidP="0010549A">
            <w:pPr>
              <w:spacing w:line="276" w:lineRule="auto"/>
              <w:cnfStyle w:val="000000000000" w:firstRow="0" w:lastRow="0" w:firstColumn="0" w:lastColumn="0" w:oddVBand="0" w:evenVBand="0" w:oddHBand="0" w:evenHBand="0" w:firstRowFirstColumn="0" w:firstRowLastColumn="0" w:lastRowFirstColumn="0" w:lastRowLastColumn="0"/>
            </w:pPr>
            <w:r>
              <w:t xml:space="preserve">In the generic version of the tool, the user can select from 42 English Integrated Care Systems. </w:t>
            </w:r>
          </w:p>
        </w:tc>
      </w:tr>
      <w:tr w:rsidR="00B0020D" w14:paraId="268B34ED" w14:textId="77777777" w:rsidTr="009E6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1CD6EA4" w14:textId="42687E80" w:rsidR="00B0020D" w:rsidRDefault="00C10360" w:rsidP="0010549A">
            <w:pPr>
              <w:spacing w:line="276" w:lineRule="auto"/>
            </w:pPr>
            <w:r>
              <w:t>Population</w:t>
            </w:r>
          </w:p>
        </w:tc>
        <w:tc>
          <w:tcPr>
            <w:tcW w:w="6606" w:type="dxa"/>
          </w:tcPr>
          <w:p w14:paraId="411A3C61" w14:textId="3633D10E" w:rsidR="00B0020D" w:rsidRDefault="00C10360" w:rsidP="0010549A">
            <w:pPr>
              <w:spacing w:line="276" w:lineRule="auto"/>
              <w:cnfStyle w:val="000000100000" w:firstRow="0" w:lastRow="0" w:firstColumn="0" w:lastColumn="0" w:oddVBand="0" w:evenVBand="0" w:oddHBand="1" w:evenHBand="0" w:firstRowFirstColumn="0" w:firstRowLastColumn="0" w:lastRowFirstColumn="0" w:lastRowLastColumn="0"/>
            </w:pPr>
            <w:r>
              <w:t>A summary screen which displays population demographics for the selected location.</w:t>
            </w:r>
          </w:p>
        </w:tc>
      </w:tr>
      <w:tr w:rsidR="00B0020D" w14:paraId="50DA333D" w14:textId="77777777" w:rsidTr="009E6FCE">
        <w:tc>
          <w:tcPr>
            <w:cnfStyle w:val="001000000000" w:firstRow="0" w:lastRow="0" w:firstColumn="1" w:lastColumn="0" w:oddVBand="0" w:evenVBand="0" w:oddHBand="0" w:evenHBand="0" w:firstRowFirstColumn="0" w:firstRowLastColumn="0" w:lastRowFirstColumn="0" w:lastRowLastColumn="0"/>
            <w:tcW w:w="2405" w:type="dxa"/>
          </w:tcPr>
          <w:p w14:paraId="457A30DA" w14:textId="6F5541CA" w:rsidR="00B0020D" w:rsidRDefault="003011AD" w:rsidP="0010549A">
            <w:pPr>
              <w:spacing w:line="276" w:lineRule="auto"/>
            </w:pPr>
            <w:r>
              <w:t>Hospital setting</w:t>
            </w:r>
          </w:p>
        </w:tc>
        <w:tc>
          <w:tcPr>
            <w:tcW w:w="6606" w:type="dxa"/>
          </w:tcPr>
          <w:p w14:paraId="7BB10358" w14:textId="5DA9F9EA" w:rsidR="00B0020D" w:rsidRDefault="003011AD" w:rsidP="0010549A">
            <w:pPr>
              <w:spacing w:line="276" w:lineRule="auto"/>
              <w:cnfStyle w:val="000000000000" w:firstRow="0" w:lastRow="0" w:firstColumn="0" w:lastColumn="0" w:oddVBand="0" w:evenVBand="0" w:oddHBand="0" w:evenHBand="0" w:firstRowFirstColumn="0" w:firstRowLastColumn="0" w:lastRowFirstColumn="0" w:lastRowLastColumn="0"/>
            </w:pPr>
            <w:r>
              <w:t>The user can select the type of hospital that most closely represents their own hospital in terms of ED attendance and the number of emergency admissions.</w:t>
            </w:r>
          </w:p>
        </w:tc>
      </w:tr>
      <w:tr w:rsidR="00B0020D" w14:paraId="2C4A136A" w14:textId="77777777" w:rsidTr="009E6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DEC9721" w14:textId="675C8270" w:rsidR="00B0020D" w:rsidRDefault="003011AD" w:rsidP="0010549A">
            <w:pPr>
              <w:spacing w:line="276" w:lineRule="auto"/>
            </w:pPr>
            <w:r>
              <w:t>Hospital parameters</w:t>
            </w:r>
          </w:p>
        </w:tc>
        <w:tc>
          <w:tcPr>
            <w:tcW w:w="6606" w:type="dxa"/>
          </w:tcPr>
          <w:p w14:paraId="586EC360" w14:textId="5EA7FF74" w:rsidR="00B0020D" w:rsidRDefault="003011AD" w:rsidP="0010549A">
            <w:pPr>
              <w:spacing w:line="276" w:lineRule="auto"/>
              <w:cnfStyle w:val="000000100000" w:firstRow="0" w:lastRow="0" w:firstColumn="0" w:lastColumn="0" w:oddVBand="0" w:evenVBand="0" w:oddHBand="1" w:evenHBand="0" w:firstRowFirstColumn="0" w:firstRowLastColumn="0" w:lastRowFirstColumn="0" w:lastRowLastColumn="0"/>
            </w:pPr>
            <w:r>
              <w:t>The user can use / change the model’s parameters: daily ED attendance, emergency admissions, readmissions.</w:t>
            </w:r>
          </w:p>
        </w:tc>
      </w:tr>
      <w:tr w:rsidR="003011AD" w14:paraId="2501EECF" w14:textId="77777777" w:rsidTr="009E6FCE">
        <w:tc>
          <w:tcPr>
            <w:cnfStyle w:val="001000000000" w:firstRow="0" w:lastRow="0" w:firstColumn="1" w:lastColumn="0" w:oddVBand="0" w:evenVBand="0" w:oddHBand="0" w:evenHBand="0" w:firstRowFirstColumn="0" w:firstRowLastColumn="0" w:lastRowFirstColumn="0" w:lastRowLastColumn="0"/>
            <w:tcW w:w="2405" w:type="dxa"/>
          </w:tcPr>
          <w:p w14:paraId="4756E10C" w14:textId="064333AA" w:rsidR="003011AD" w:rsidRDefault="003011AD" w:rsidP="0010549A">
            <w:pPr>
              <w:spacing w:line="276" w:lineRule="auto"/>
            </w:pPr>
            <w:r>
              <w:t>Intervention</w:t>
            </w:r>
          </w:p>
        </w:tc>
        <w:tc>
          <w:tcPr>
            <w:tcW w:w="6606" w:type="dxa"/>
          </w:tcPr>
          <w:p w14:paraId="6B0474CE" w14:textId="27F56A6B" w:rsidR="003011AD" w:rsidRDefault="003011AD" w:rsidP="0010549A">
            <w:pPr>
              <w:spacing w:line="276" w:lineRule="auto"/>
              <w:cnfStyle w:val="000000000000" w:firstRow="0" w:lastRow="0" w:firstColumn="0" w:lastColumn="0" w:oddVBand="0" w:evenVBand="0" w:oddHBand="0" w:evenHBand="0" w:firstRowFirstColumn="0" w:firstRowLastColumn="0" w:lastRowFirstColumn="0" w:lastRowLastColumn="0"/>
            </w:pPr>
            <w:r>
              <w:t xml:space="preserve">The user can select from </w:t>
            </w:r>
            <w:r w:rsidR="000345EB">
              <w:t>five</w:t>
            </w:r>
            <w:r>
              <w:t xml:space="preserve"> interventions: </w:t>
            </w:r>
            <w:r w:rsidR="000345EB">
              <w:t>p</w:t>
            </w:r>
            <w:r>
              <w:t>roactive</w:t>
            </w:r>
            <w:r w:rsidR="000345EB">
              <w:t xml:space="preserve"> care</w:t>
            </w:r>
            <w:r>
              <w:t>, hospital at home, geriatric emergency medicine, front door frailty, acute frailty unit.</w:t>
            </w:r>
          </w:p>
        </w:tc>
      </w:tr>
      <w:tr w:rsidR="003011AD" w14:paraId="63C20713" w14:textId="77777777" w:rsidTr="009E6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AE79E7F" w14:textId="52DEF84D" w:rsidR="003011AD" w:rsidRDefault="003011AD" w:rsidP="0010549A">
            <w:pPr>
              <w:spacing w:line="276" w:lineRule="auto"/>
            </w:pPr>
            <w:r>
              <w:t>Hours of operation</w:t>
            </w:r>
          </w:p>
        </w:tc>
        <w:tc>
          <w:tcPr>
            <w:tcW w:w="6606" w:type="dxa"/>
          </w:tcPr>
          <w:p w14:paraId="32B84F2C" w14:textId="1E44DEC4" w:rsidR="003011AD" w:rsidRDefault="003011AD" w:rsidP="0010549A">
            <w:pPr>
              <w:spacing w:line="276" w:lineRule="auto"/>
              <w:cnfStyle w:val="000000100000" w:firstRow="0" w:lastRow="0" w:firstColumn="0" w:lastColumn="0" w:oddVBand="0" w:evenVBand="0" w:oddHBand="1" w:evenHBand="0" w:firstRowFirstColumn="0" w:firstRowLastColumn="0" w:lastRowFirstColumn="0" w:lastRowLastColumn="0"/>
            </w:pPr>
            <w:r>
              <w:t>The user can select the opening hours for the service: 24/7, weekdays (9am-5pm), weekends, other.</w:t>
            </w:r>
          </w:p>
        </w:tc>
      </w:tr>
      <w:tr w:rsidR="003011AD" w14:paraId="48329133" w14:textId="77777777" w:rsidTr="009E6FCE">
        <w:tc>
          <w:tcPr>
            <w:cnfStyle w:val="001000000000" w:firstRow="0" w:lastRow="0" w:firstColumn="1" w:lastColumn="0" w:oddVBand="0" w:evenVBand="0" w:oddHBand="0" w:evenHBand="0" w:firstRowFirstColumn="0" w:firstRowLastColumn="0" w:lastRowFirstColumn="0" w:lastRowLastColumn="0"/>
            <w:tcW w:w="2405" w:type="dxa"/>
          </w:tcPr>
          <w:p w14:paraId="3D214381" w14:textId="3E15F827" w:rsidR="003011AD" w:rsidRDefault="003011AD" w:rsidP="0010549A">
            <w:pPr>
              <w:spacing w:line="276" w:lineRule="auto"/>
            </w:pPr>
            <w:r>
              <w:t>Target population</w:t>
            </w:r>
          </w:p>
        </w:tc>
        <w:tc>
          <w:tcPr>
            <w:tcW w:w="6606" w:type="dxa"/>
          </w:tcPr>
          <w:p w14:paraId="40278BFF" w14:textId="67E28FB6" w:rsidR="003011AD" w:rsidRDefault="003011AD" w:rsidP="0010549A">
            <w:pPr>
              <w:spacing w:line="276" w:lineRule="auto"/>
              <w:cnfStyle w:val="000000000000" w:firstRow="0" w:lastRow="0" w:firstColumn="0" w:lastColumn="0" w:oddVBand="0" w:evenVBand="0" w:oddHBand="0" w:evenHBand="0" w:firstRowFirstColumn="0" w:firstRowLastColumn="0" w:lastRowFirstColumn="0" w:lastRowLastColumn="0"/>
            </w:pPr>
            <w:r>
              <w:t>This allows the user to change the percentage of patients affected by the chosen intervention</w:t>
            </w:r>
          </w:p>
        </w:tc>
      </w:tr>
      <w:tr w:rsidR="003011AD" w14:paraId="7EC015D5" w14:textId="77777777" w:rsidTr="009E6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4BD8C76" w14:textId="79CC5CD1" w:rsidR="003011AD" w:rsidRDefault="003011AD" w:rsidP="0010549A">
            <w:pPr>
              <w:spacing w:line="276" w:lineRule="auto"/>
            </w:pPr>
            <w:r>
              <w:t>Summary screen (completed)</w:t>
            </w:r>
          </w:p>
        </w:tc>
        <w:tc>
          <w:tcPr>
            <w:tcW w:w="6606" w:type="dxa"/>
          </w:tcPr>
          <w:p w14:paraId="56C28047" w14:textId="1AE91F16" w:rsidR="003011AD" w:rsidRDefault="003011AD" w:rsidP="0010549A">
            <w:pPr>
              <w:spacing w:line="276" w:lineRule="auto"/>
              <w:cnfStyle w:val="000000100000" w:firstRow="0" w:lastRow="0" w:firstColumn="0" w:lastColumn="0" w:oddVBand="0" w:evenVBand="0" w:oddHBand="1" w:evenHBand="0" w:firstRowFirstColumn="0" w:firstRowLastColumn="0" w:lastRowFirstColumn="0" w:lastRowLastColumn="0"/>
            </w:pPr>
            <w:r>
              <w:t>This captures all the user’s responses and model parameters prior to running the SD model</w:t>
            </w:r>
          </w:p>
        </w:tc>
      </w:tr>
      <w:tr w:rsidR="003011AD" w14:paraId="0333D636" w14:textId="77777777" w:rsidTr="009E6FCE">
        <w:tc>
          <w:tcPr>
            <w:cnfStyle w:val="001000000000" w:firstRow="0" w:lastRow="0" w:firstColumn="1" w:lastColumn="0" w:oddVBand="0" w:evenVBand="0" w:oddHBand="0" w:evenHBand="0" w:firstRowFirstColumn="0" w:firstRowLastColumn="0" w:lastRowFirstColumn="0" w:lastRowLastColumn="0"/>
            <w:tcW w:w="2405" w:type="dxa"/>
          </w:tcPr>
          <w:p w14:paraId="72376084" w14:textId="1202842A" w:rsidR="003011AD" w:rsidRDefault="003011AD" w:rsidP="0010549A">
            <w:pPr>
              <w:spacing w:line="276" w:lineRule="auto"/>
            </w:pPr>
            <w:r>
              <w:t>SD model</w:t>
            </w:r>
          </w:p>
        </w:tc>
        <w:tc>
          <w:tcPr>
            <w:tcW w:w="6606" w:type="dxa"/>
          </w:tcPr>
          <w:p w14:paraId="517EA95B" w14:textId="03D279C7" w:rsidR="003011AD" w:rsidRDefault="003011AD" w:rsidP="0010549A">
            <w:pPr>
              <w:spacing w:line="276" w:lineRule="auto"/>
              <w:cnfStyle w:val="000000000000" w:firstRow="0" w:lastRow="0" w:firstColumn="0" w:lastColumn="0" w:oddVBand="0" w:evenVBand="0" w:oddHBand="0" w:evenHBand="0" w:firstRowFirstColumn="0" w:firstRowLastColumn="0" w:lastRowFirstColumn="0" w:lastRowLastColumn="0"/>
            </w:pPr>
            <w:r>
              <w:t xml:space="preserve">The underlying system dynamics model which represents the flow of patients through the hospital system </w:t>
            </w:r>
          </w:p>
        </w:tc>
      </w:tr>
      <w:tr w:rsidR="003011AD" w14:paraId="5AB84B2E" w14:textId="77777777" w:rsidTr="009E6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C0DA606" w14:textId="679BFC7F" w:rsidR="003011AD" w:rsidRDefault="003011AD" w:rsidP="0010549A">
            <w:pPr>
              <w:spacing w:line="276" w:lineRule="auto"/>
            </w:pPr>
            <w:r>
              <w:t>Results Menu</w:t>
            </w:r>
          </w:p>
        </w:tc>
        <w:tc>
          <w:tcPr>
            <w:tcW w:w="6606" w:type="dxa"/>
          </w:tcPr>
          <w:p w14:paraId="0705A7BC" w14:textId="77777777" w:rsidR="003011AD" w:rsidRDefault="003011AD" w:rsidP="0010549A">
            <w:pPr>
              <w:spacing w:line="276" w:lineRule="auto"/>
              <w:cnfStyle w:val="000000100000" w:firstRow="0" w:lastRow="0" w:firstColumn="0" w:lastColumn="0" w:oddVBand="0" w:evenVBand="0" w:oddHBand="1" w:evenHBand="0" w:firstRowFirstColumn="0" w:firstRowLastColumn="0" w:lastRowFirstColumn="0" w:lastRowLastColumn="0"/>
            </w:pPr>
            <w:r>
              <w:t>Allows the user to choose the results they are interested in:</w:t>
            </w:r>
          </w:p>
          <w:p w14:paraId="02A6F958" w14:textId="7CA397B5" w:rsidR="003011AD" w:rsidRDefault="003011AD" w:rsidP="0010549A">
            <w:pPr>
              <w:spacing w:line="276" w:lineRule="auto"/>
              <w:cnfStyle w:val="000000100000" w:firstRow="0" w:lastRow="0" w:firstColumn="0" w:lastColumn="0" w:oddVBand="0" w:evenVBand="0" w:oddHBand="1" w:evenHBand="0" w:firstRowFirstColumn="0" w:firstRowLastColumn="0" w:lastRowFirstColumn="0" w:lastRowLastColumn="0"/>
            </w:pPr>
            <w:r>
              <w:t>Emergency department, hospital, care home, readmissions, deaths, summary statistics</w:t>
            </w:r>
          </w:p>
        </w:tc>
      </w:tr>
      <w:tr w:rsidR="003011AD" w14:paraId="1C1750E5" w14:textId="77777777" w:rsidTr="009E6FCE">
        <w:trPr>
          <w:trHeight w:val="1587"/>
        </w:trPr>
        <w:tc>
          <w:tcPr>
            <w:cnfStyle w:val="001000000000" w:firstRow="0" w:lastRow="0" w:firstColumn="1" w:lastColumn="0" w:oddVBand="0" w:evenVBand="0" w:oddHBand="0" w:evenHBand="0" w:firstRowFirstColumn="0" w:firstRowLastColumn="0" w:lastRowFirstColumn="0" w:lastRowLastColumn="0"/>
            <w:tcW w:w="2405" w:type="dxa"/>
          </w:tcPr>
          <w:p w14:paraId="79F1C19D" w14:textId="5397E723" w:rsidR="003011AD" w:rsidRDefault="003011AD" w:rsidP="0010549A">
            <w:pPr>
              <w:spacing w:line="276" w:lineRule="auto"/>
            </w:pPr>
            <w:r>
              <w:t>Individual results screen</w:t>
            </w:r>
          </w:p>
        </w:tc>
        <w:tc>
          <w:tcPr>
            <w:tcW w:w="6606" w:type="dxa"/>
          </w:tcPr>
          <w:p w14:paraId="4A9DA031" w14:textId="3F718EF2" w:rsidR="003011AD" w:rsidRDefault="003011AD" w:rsidP="0010549A">
            <w:pPr>
              <w:spacing w:line="276" w:lineRule="auto"/>
              <w:jc w:val="both"/>
              <w:cnfStyle w:val="000000000000" w:firstRow="0" w:lastRow="0" w:firstColumn="0" w:lastColumn="0" w:oddVBand="0" w:evenVBand="0" w:oddHBand="0" w:evenHBand="0" w:firstRowFirstColumn="0" w:firstRowLastColumn="0" w:lastRowFirstColumn="0" w:lastRowLastColumn="0"/>
            </w:pPr>
            <w:r>
              <w:t xml:space="preserve">Graphical output of the baseline (as is under the current system of operation) and intervention (when applying the chosen intervention to the hospital setting) results </w:t>
            </w:r>
            <w:r w:rsidR="00F62646">
              <w:t>for a year.</w:t>
            </w:r>
          </w:p>
        </w:tc>
      </w:tr>
    </w:tbl>
    <w:p w14:paraId="697AA34F" w14:textId="77777777" w:rsidR="00B0020D" w:rsidRPr="00B0020D" w:rsidRDefault="00B0020D" w:rsidP="00B0020D"/>
    <w:p w14:paraId="477038CA" w14:textId="71FED9BF" w:rsidR="00D41587" w:rsidRDefault="00D41587" w:rsidP="00EC53F4">
      <w:pPr>
        <w:pStyle w:val="Newparagraph"/>
        <w:jc w:val="both"/>
      </w:pPr>
      <w:r>
        <w:lastRenderedPageBreak/>
        <w:t xml:space="preserve">Figure 2 shows the initial summary screen </w:t>
      </w:r>
      <w:r w:rsidR="003A4D02">
        <w:t xml:space="preserve">where the user selects the parameters which best describe their hospital </w:t>
      </w:r>
      <w:r w:rsidR="00F423BE">
        <w:t xml:space="preserve">ED </w:t>
      </w:r>
      <w:r w:rsidR="003A4D02">
        <w:t>setting</w:t>
      </w:r>
      <w:r>
        <w:t xml:space="preserve"> and the intervention they are interested in testing.</w:t>
      </w:r>
      <w:r w:rsidR="00575506">
        <w:t xml:space="preserve"> Once the user has entered the hospital and intervention parameters, they can run the simulation and then view the results. </w:t>
      </w:r>
      <w:r w:rsidR="00D50F98">
        <w:t>As they complete each panel / screen, the information is displayed on this screen.</w:t>
      </w:r>
    </w:p>
    <w:p w14:paraId="05FA12F6" w14:textId="34F3DBC9" w:rsidR="00863340" w:rsidRDefault="00863340">
      <w:pPr>
        <w:spacing w:line="240" w:lineRule="auto"/>
        <w:rPr>
          <w:i/>
          <w:iCs/>
          <w:color w:val="4F81BD" w:themeColor="accent1"/>
          <w:sz w:val="18"/>
          <w:szCs w:val="18"/>
        </w:rPr>
      </w:pPr>
    </w:p>
    <w:p w14:paraId="11B38B27" w14:textId="0016D137" w:rsidR="003130BC" w:rsidRDefault="00220B81" w:rsidP="00220B81">
      <w:pPr>
        <w:pStyle w:val="Caption"/>
        <w:keepNext/>
        <w:jc w:val="both"/>
        <w:rPr>
          <w:i w:val="0"/>
          <w:iCs w:val="0"/>
          <w:color w:val="4F81BD" w:themeColor="accent1"/>
        </w:rPr>
      </w:pPr>
      <w:bookmarkStart w:id="2" w:name="_Ref88719194"/>
      <w:r>
        <w:t xml:space="preserve">Figure </w:t>
      </w:r>
      <w:r w:rsidR="0046025A">
        <w:fldChar w:fldCharType="begin"/>
      </w:r>
      <w:r w:rsidR="0046025A">
        <w:instrText xml:space="preserve"> SEQ Figure \* ARABIC </w:instrText>
      </w:r>
      <w:r w:rsidR="0046025A">
        <w:fldChar w:fldCharType="separate"/>
      </w:r>
      <w:r>
        <w:rPr>
          <w:noProof/>
        </w:rPr>
        <w:t>2</w:t>
      </w:r>
      <w:r w:rsidR="0046025A">
        <w:rPr>
          <w:noProof/>
        </w:rPr>
        <w:fldChar w:fldCharType="end"/>
      </w:r>
      <w:bookmarkEnd w:id="2"/>
      <w:r>
        <w:t xml:space="preserve"> ECOP SD model - u</w:t>
      </w:r>
      <w:r w:rsidRPr="00220B81">
        <w:t>ser Interface</w:t>
      </w:r>
    </w:p>
    <w:p w14:paraId="07429D25" w14:textId="70C620EE" w:rsidR="004F4D23" w:rsidRPr="00D1048A" w:rsidRDefault="005C123A" w:rsidP="005C123A">
      <w:pPr>
        <w:pStyle w:val="Newparagraph"/>
        <w:jc w:val="center"/>
        <w:rPr>
          <w:i/>
          <w:iCs/>
          <w:color w:val="4F81BD" w:themeColor="accent1"/>
          <w:sz w:val="18"/>
          <w:szCs w:val="18"/>
        </w:rPr>
      </w:pPr>
      <w:r>
        <w:rPr>
          <w:i/>
          <w:iCs/>
          <w:noProof/>
          <w:color w:val="4F81BD" w:themeColor="accent1"/>
          <w:sz w:val="18"/>
          <w:szCs w:val="18"/>
        </w:rPr>
        <w:drawing>
          <wp:inline distT="0" distB="0" distL="0" distR="0" wp14:anchorId="7BEA4CC2" wp14:editId="29FC9173">
            <wp:extent cx="5728335" cy="2581910"/>
            <wp:effectExtent l="0" t="0" r="5715" b="8890"/>
            <wp:docPr id="3" name="Picture 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5728335" cy="2581910"/>
                    </a:xfrm>
                    <a:prstGeom prst="rect">
                      <a:avLst/>
                    </a:prstGeom>
                  </pic:spPr>
                </pic:pic>
              </a:graphicData>
            </a:graphic>
          </wp:inline>
        </w:drawing>
      </w:r>
    </w:p>
    <w:p w14:paraId="1124834A" w14:textId="4A586F15" w:rsidR="00725348" w:rsidRDefault="00907E1B" w:rsidP="007B0739">
      <w:pPr>
        <w:pStyle w:val="Newparagraph"/>
        <w:jc w:val="both"/>
      </w:pPr>
      <w:r>
        <w:t>I</w:t>
      </w:r>
      <w:r w:rsidR="009E6EBF">
        <w:t xml:space="preserve">nformation </w:t>
      </w:r>
      <w:r w:rsidR="00D31A20">
        <w:t xml:space="preserve">on </w:t>
      </w:r>
      <w:r w:rsidR="009E6EBF">
        <w:t>the chosen intervention and its outcomes</w:t>
      </w:r>
      <w:r w:rsidR="00FB5245">
        <w:t xml:space="preserve"> are displayed</w:t>
      </w:r>
      <w:r w:rsidR="00D31A20">
        <w:t xml:space="preserve">, together with references to </w:t>
      </w:r>
      <w:r w:rsidR="00FE0A7E">
        <w:t xml:space="preserve">relevant </w:t>
      </w:r>
      <w:r w:rsidR="00D31A20">
        <w:t xml:space="preserve">studies and a </w:t>
      </w:r>
      <w:r w:rsidR="00FE0A7E">
        <w:t>‘traffic light’ indicat</w:t>
      </w:r>
      <w:r w:rsidR="000345EB">
        <w:t>or</w:t>
      </w:r>
      <w:r w:rsidR="00FE0A7E">
        <w:t xml:space="preserve"> of</w:t>
      </w:r>
      <w:r w:rsidR="00D31A20">
        <w:t xml:space="preserve"> the </w:t>
      </w:r>
      <w:r w:rsidR="00E90C1F">
        <w:t xml:space="preserve">quality of </w:t>
      </w:r>
      <w:r w:rsidR="000345EB">
        <w:t xml:space="preserve">supporting </w:t>
      </w:r>
      <w:r w:rsidR="00D31A20">
        <w:t>evidence</w:t>
      </w:r>
      <w:r w:rsidR="009E6EBF">
        <w:t xml:space="preserve">. </w:t>
      </w:r>
      <w:r w:rsidR="00725348">
        <w:t>By pressing the “Run Simulation” button, the SD tool reads in the model parameters from the user interface and uses them in the mathematical equations that describe the patient flow through the hospital. The model is simulated to run for one year with the following results captured each day:</w:t>
      </w:r>
    </w:p>
    <w:p w14:paraId="24B81649" w14:textId="6715AFE4" w:rsidR="00E93817" w:rsidRDefault="00E93817" w:rsidP="00E93817">
      <w:pPr>
        <w:pStyle w:val="Newparagraph"/>
        <w:numPr>
          <w:ilvl w:val="0"/>
          <w:numId w:val="47"/>
        </w:numPr>
        <w:jc w:val="both"/>
      </w:pPr>
      <w:r>
        <w:t xml:space="preserve">ED: the average number of patients </w:t>
      </w:r>
      <w:r w:rsidR="00FA0EF8">
        <w:t>attending</w:t>
      </w:r>
      <w:r>
        <w:t xml:space="preserve"> and discharged each day</w:t>
      </w:r>
    </w:p>
    <w:p w14:paraId="453BB494" w14:textId="4609B9FC" w:rsidR="00E93817" w:rsidRDefault="00E93817" w:rsidP="00E93817">
      <w:pPr>
        <w:pStyle w:val="Newparagraph"/>
        <w:numPr>
          <w:ilvl w:val="0"/>
          <w:numId w:val="47"/>
        </w:numPr>
        <w:jc w:val="both"/>
      </w:pPr>
      <w:r>
        <w:t>Deaths: the cumulative number of hospital related deaths</w:t>
      </w:r>
    </w:p>
    <w:p w14:paraId="1E8B653D" w14:textId="31E4530F" w:rsidR="00E93817" w:rsidRDefault="00E93817" w:rsidP="00E93817">
      <w:pPr>
        <w:pStyle w:val="Newparagraph"/>
        <w:numPr>
          <w:ilvl w:val="0"/>
          <w:numId w:val="47"/>
        </w:numPr>
        <w:jc w:val="both"/>
      </w:pPr>
      <w:r>
        <w:t>Hospital:</w:t>
      </w:r>
      <w:r w:rsidR="00FA0EF8">
        <w:t xml:space="preserve"> average</w:t>
      </w:r>
      <w:r>
        <w:t xml:space="preserve"> number of patients admitted from E</w:t>
      </w:r>
      <w:r w:rsidR="00FA0EF8">
        <w:t>D, admitted by other routes, and daily number of people in hospital and discharges</w:t>
      </w:r>
    </w:p>
    <w:p w14:paraId="64B795F9" w14:textId="1F5346E2" w:rsidR="00E93817" w:rsidRDefault="00E93817" w:rsidP="00E93817">
      <w:pPr>
        <w:pStyle w:val="Newparagraph"/>
        <w:numPr>
          <w:ilvl w:val="0"/>
          <w:numId w:val="47"/>
        </w:numPr>
        <w:jc w:val="both"/>
      </w:pPr>
      <w:r>
        <w:lastRenderedPageBreak/>
        <w:t xml:space="preserve">Care </w:t>
      </w:r>
      <w:r w:rsidR="00FA0EF8">
        <w:t>h</w:t>
      </w:r>
      <w:r>
        <w:t xml:space="preserve">omes: </w:t>
      </w:r>
      <w:r w:rsidR="00FA0EF8">
        <w:t xml:space="preserve">average </w:t>
      </w:r>
      <w:r>
        <w:t xml:space="preserve">number of patients discharged from hospital into a care home </w:t>
      </w:r>
      <w:r w:rsidR="00FA0EF8">
        <w:t xml:space="preserve">and </w:t>
      </w:r>
      <w:r>
        <w:t xml:space="preserve">the </w:t>
      </w:r>
      <w:r w:rsidR="00FA0EF8">
        <w:t xml:space="preserve">total </w:t>
      </w:r>
      <w:r>
        <w:t>number of residents</w:t>
      </w:r>
    </w:p>
    <w:p w14:paraId="5FDC6268" w14:textId="58D31D2C" w:rsidR="00E93817" w:rsidRDefault="00E93817" w:rsidP="00E93817">
      <w:pPr>
        <w:pStyle w:val="Newparagraph"/>
        <w:numPr>
          <w:ilvl w:val="0"/>
          <w:numId w:val="47"/>
        </w:numPr>
        <w:jc w:val="both"/>
      </w:pPr>
      <w:r>
        <w:t xml:space="preserve">Readmissions: number of patients readmitted </w:t>
      </w:r>
      <w:r w:rsidR="00FA0EF8">
        <w:t xml:space="preserve">to hospital </w:t>
      </w:r>
      <w:r>
        <w:t>from their home or a care home within 30-days of discharge</w:t>
      </w:r>
    </w:p>
    <w:p w14:paraId="0A44E4A0" w14:textId="77777777" w:rsidR="000C07B8" w:rsidRDefault="000C07B8" w:rsidP="00755F7C">
      <w:pPr>
        <w:jc w:val="both"/>
      </w:pPr>
    </w:p>
    <w:p w14:paraId="4B2F3A2C" w14:textId="36130F5B" w:rsidR="00D57D6F" w:rsidRDefault="00725348" w:rsidP="0010549A">
      <w:pPr>
        <w:ind w:firstLine="360"/>
        <w:jc w:val="both"/>
      </w:pPr>
      <w:r>
        <w:t>These results are displayed on the tool’s results screens and the user can choose which set</w:t>
      </w:r>
      <w:r w:rsidR="00755F7C">
        <w:t>(s)</w:t>
      </w:r>
      <w:r>
        <w:t xml:space="preserve"> of hospital metrics </w:t>
      </w:r>
      <w:r w:rsidR="000345EB">
        <w:t>to view</w:t>
      </w:r>
      <w:r>
        <w:t>.</w:t>
      </w:r>
      <w:r w:rsidR="00755F7C">
        <w:t xml:space="preserve"> Each results screen shows the chosen hospital metric over a year under the current hospital setting (in red)</w:t>
      </w:r>
      <w:r w:rsidR="000345EB">
        <w:t>,</w:t>
      </w:r>
      <w:r w:rsidR="00755F7C">
        <w:t xml:space="preserve"> compared with how it would look under the selected intervention (in blue).</w:t>
      </w:r>
      <w:r w:rsidR="00A8488F">
        <w:t xml:space="preserve"> If the cited literature has suggested a reduction in a hospital metric such as the number of admissions</w:t>
      </w:r>
      <w:r w:rsidR="000345EB">
        <w:t>,</w:t>
      </w:r>
      <w:r w:rsidR="00A8488F">
        <w:t xml:space="preserve"> the graphical output will show the intervention line at a lower value than the baseline.</w:t>
      </w:r>
      <w:r w:rsidR="000B12B2">
        <w:t xml:space="preserve"> </w:t>
      </w:r>
      <w:r w:rsidR="00664AB8">
        <w:t xml:space="preserve">A benefit of SD modelling is that the effect of the intervention on other parts of the system can also be examined. For example, seeing what </w:t>
      </w:r>
      <w:r w:rsidR="00E90C1F">
        <w:t xml:space="preserve">effect </w:t>
      </w:r>
      <w:r w:rsidR="00664AB8">
        <w:t xml:space="preserve">the reduction in admissions has on the discharge of patients to care homes. </w:t>
      </w:r>
    </w:p>
    <w:p w14:paraId="722E3F3C" w14:textId="1440DEE4" w:rsidR="007D1DE1" w:rsidRDefault="007D1DE1" w:rsidP="00755F7C">
      <w:pPr>
        <w:jc w:val="both"/>
      </w:pPr>
      <w:r>
        <w:tab/>
        <w:t>Whilst the SD decision support tool only allows the user to examine the effects of one intervention at a time, there are back buttons included on each screen so that the user can return to a previous screen and alter a parameter or choose a different intervention before re</w:t>
      </w:r>
      <w:r w:rsidR="000345EB">
        <w:t>-</w:t>
      </w:r>
      <w:r>
        <w:t>running the model and examining the results.</w:t>
      </w:r>
    </w:p>
    <w:p w14:paraId="769533D1" w14:textId="7067E601" w:rsidR="00D57D6F" w:rsidRDefault="00433D8A" w:rsidP="00D57D6F">
      <w:pPr>
        <w:pStyle w:val="Heading2"/>
      </w:pPr>
      <w:r>
        <w:t xml:space="preserve">Validating the </w:t>
      </w:r>
      <w:r w:rsidR="00D57D6F" w:rsidRPr="00CB4918">
        <w:t xml:space="preserve">System Dynamics </w:t>
      </w:r>
      <w:r w:rsidR="00D57D6F">
        <w:t>model</w:t>
      </w:r>
    </w:p>
    <w:p w14:paraId="06F63C6C" w14:textId="49215693" w:rsidR="00FA0EF8" w:rsidRDefault="00E217ED" w:rsidP="007B0739">
      <w:pPr>
        <w:pStyle w:val="Newparagraph"/>
        <w:jc w:val="both"/>
      </w:pPr>
      <w:r>
        <w:t>T</w:t>
      </w:r>
      <w:r w:rsidR="00FA0EF8">
        <w:t xml:space="preserve">here was stakeholder engagement throughout </w:t>
      </w:r>
      <w:r w:rsidR="004A281D">
        <w:t xml:space="preserve">the tool’s development </w:t>
      </w:r>
      <w:r w:rsidR="00FA0EF8">
        <w:t>to ‘sense-check’ the emerging findings:</w:t>
      </w:r>
    </w:p>
    <w:p w14:paraId="4801015E" w14:textId="317131B0" w:rsidR="00FA0EF8" w:rsidRDefault="00FA0EF8" w:rsidP="00FA0EF8">
      <w:pPr>
        <w:pStyle w:val="Newparagraph"/>
        <w:numPr>
          <w:ilvl w:val="0"/>
          <w:numId w:val="54"/>
        </w:numPr>
        <w:jc w:val="both"/>
      </w:pPr>
      <w:r>
        <w:t xml:space="preserve">The research team </w:t>
      </w:r>
      <w:r w:rsidR="00220B81">
        <w:t>(methodologists as well as clinicians from primary care, emergency</w:t>
      </w:r>
      <w:r w:rsidR="00E03202">
        <w:t>,</w:t>
      </w:r>
      <w:r w:rsidR="00220B81">
        <w:t xml:space="preserve"> and geriatric medicine) </w:t>
      </w:r>
      <w:r>
        <w:t xml:space="preserve">reviewed model </w:t>
      </w:r>
      <w:r w:rsidR="00E217ED">
        <w:t xml:space="preserve">development </w:t>
      </w:r>
      <w:r>
        <w:t xml:space="preserve">monthly for </w:t>
      </w:r>
      <w:r w:rsidR="002438FC">
        <w:t xml:space="preserve">three </w:t>
      </w:r>
      <w:r>
        <w:t>years</w:t>
      </w:r>
      <w:r w:rsidR="00027CFE">
        <w:t>.</w:t>
      </w:r>
    </w:p>
    <w:p w14:paraId="5B4016F5" w14:textId="5E8C0773" w:rsidR="00FA0EF8" w:rsidRDefault="00FA0EF8" w:rsidP="00FA0EF8">
      <w:pPr>
        <w:pStyle w:val="Newparagraph"/>
        <w:numPr>
          <w:ilvl w:val="0"/>
          <w:numId w:val="54"/>
        </w:numPr>
        <w:jc w:val="both"/>
      </w:pPr>
      <w:r>
        <w:t>An independent study steering committee (</w:t>
      </w:r>
      <w:r w:rsidR="00220B81">
        <w:t xml:space="preserve">also </w:t>
      </w:r>
      <w:r>
        <w:t xml:space="preserve">including clinical and methodological </w:t>
      </w:r>
      <w:r w:rsidR="00027CFE">
        <w:t>experts) provided</w:t>
      </w:r>
      <w:r>
        <w:t xml:space="preserve"> high level oversight on </w:t>
      </w:r>
      <w:r w:rsidR="00BA4572">
        <w:t>three</w:t>
      </w:r>
      <w:r>
        <w:t xml:space="preserve"> occasions, and in particular gave a </w:t>
      </w:r>
      <w:r>
        <w:lastRenderedPageBreak/>
        <w:t xml:space="preserve">strong steer on which </w:t>
      </w:r>
      <w:r w:rsidR="00DD03FB">
        <w:t xml:space="preserve">intervention </w:t>
      </w:r>
      <w:r>
        <w:t xml:space="preserve">scenarios to include in the model, considering the level of </w:t>
      </w:r>
      <w:r w:rsidR="002438FC">
        <w:t xml:space="preserve">supporting </w:t>
      </w:r>
      <w:r>
        <w:t>evidence</w:t>
      </w:r>
      <w:r w:rsidR="00027CFE">
        <w:t>.</w:t>
      </w:r>
    </w:p>
    <w:p w14:paraId="202D9447" w14:textId="0080DDDA" w:rsidR="00027CFE" w:rsidRDefault="00027CFE" w:rsidP="00027CFE">
      <w:pPr>
        <w:pStyle w:val="Newparagraph"/>
        <w:numPr>
          <w:ilvl w:val="0"/>
          <w:numId w:val="54"/>
        </w:numPr>
        <w:jc w:val="both"/>
      </w:pPr>
      <w:r>
        <w:t>A series of four external stakeholder events (three aimed at clinicians and commissioners and one at patients and carers, total</w:t>
      </w:r>
      <w:r w:rsidR="00E90C1F">
        <w:t>ling</w:t>
      </w:r>
      <w:r>
        <w:t xml:space="preserve"> around 40 individuals) considered the structure and usability of the user interface and results screens.</w:t>
      </w:r>
    </w:p>
    <w:p w14:paraId="01C6C205" w14:textId="5CF9028E" w:rsidR="00220B81" w:rsidRDefault="00027CFE" w:rsidP="002A7217">
      <w:pPr>
        <w:pStyle w:val="Newparagraph"/>
        <w:numPr>
          <w:ilvl w:val="0"/>
          <w:numId w:val="54"/>
        </w:numPr>
        <w:jc w:val="both"/>
      </w:pPr>
      <w:r>
        <w:t xml:space="preserve">The tool was also presented at </w:t>
      </w:r>
      <w:r w:rsidR="00802A31">
        <w:t xml:space="preserve">two </w:t>
      </w:r>
      <w:r>
        <w:t xml:space="preserve">national NHS </w:t>
      </w:r>
      <w:r w:rsidR="00922449">
        <w:t xml:space="preserve">measurement classes attended by 60 attendees from </w:t>
      </w:r>
      <w:r w:rsidR="002F59AC">
        <w:t>20</w:t>
      </w:r>
      <w:r w:rsidR="00922449">
        <w:t xml:space="preserve"> NHS organisations. The attendees included service managers, improvement and transformation leads, clinical directors, consultants and specialty doctors from frailty and emergency care departments</w:t>
      </w:r>
      <w:r w:rsidR="00B42F0C">
        <w:t xml:space="preserve"> within NHS Trusts, commissioning groups and local councils.</w:t>
      </w:r>
      <w:r w:rsidR="002F59AC">
        <w:t xml:space="preserve"> The </w:t>
      </w:r>
      <w:r>
        <w:t xml:space="preserve">organisers </w:t>
      </w:r>
      <w:r w:rsidR="004C48F3">
        <w:t xml:space="preserve">of the events </w:t>
      </w:r>
      <w:r>
        <w:t>saw the tool as an</w:t>
      </w:r>
      <w:r w:rsidR="00E90C1F">
        <w:t xml:space="preserve"> adjunct to </w:t>
      </w:r>
      <w:r w:rsidR="002F59AC">
        <w:t xml:space="preserve">Statistical Process Control (SPC) and Pareto charts </w:t>
      </w:r>
      <w:r>
        <w:t>to support quality improvement</w:t>
      </w:r>
      <w:r w:rsidR="004C48F3">
        <w:t xml:space="preserve"> projects</w:t>
      </w:r>
      <w:r>
        <w:t>.</w:t>
      </w:r>
    </w:p>
    <w:p w14:paraId="5231668A" w14:textId="3FD5A279" w:rsidR="00A73B79" w:rsidRDefault="00594EC2" w:rsidP="009319DB">
      <w:pPr>
        <w:pStyle w:val="Heading3"/>
      </w:pPr>
      <w:r>
        <w:t>Internal and external validation</w:t>
      </w:r>
    </w:p>
    <w:p w14:paraId="36F91E1C" w14:textId="12B865DD" w:rsidR="0040350A" w:rsidRDefault="00271ED4">
      <w:pPr>
        <w:pStyle w:val="Newparagraph"/>
        <w:jc w:val="both"/>
      </w:pPr>
      <w:r>
        <w:t>As well as sense-checking the model, v</w:t>
      </w:r>
      <w:r w:rsidR="00AA189E">
        <w:t>alidati</w:t>
      </w:r>
      <w:r w:rsidR="00D3232E">
        <w:t>o</w:t>
      </w:r>
      <w:r w:rsidR="00AA189E">
        <w:t xml:space="preserve">n is required to see if the model accurately represents the system’s behaviour. </w:t>
      </w:r>
      <w:r w:rsidR="00646044">
        <w:t>The model’s validity should be evaluated operationally by determining if the model output agrees with observed data.</w:t>
      </w:r>
      <w:r w:rsidR="0025619C">
        <w:t xml:space="preserve"> </w:t>
      </w:r>
      <w:r w:rsidR="00BC6CC3">
        <w:t>Internal and external validation were performed</w:t>
      </w:r>
      <w:r w:rsidR="008E54E2">
        <w:t>,</w:t>
      </w:r>
      <w:r w:rsidR="00BC6CC3">
        <w:t xml:space="preserve"> and the results are captured in Table </w:t>
      </w:r>
      <w:r w:rsidR="00630868">
        <w:t>3</w:t>
      </w:r>
      <w:r w:rsidR="00BC6CC3">
        <w:t>.</w:t>
      </w:r>
      <w:r w:rsidR="00F76C8B">
        <w:t xml:space="preserve"> Internal validation compares the results from the simulation model with summary statistics derived from the dataset that was used to estimate the model’s input parameters</w:t>
      </w:r>
      <w:r w:rsidR="00ED2376">
        <w:t>,</w:t>
      </w:r>
      <w:r w:rsidR="001E3B92">
        <w:t xml:space="preserve"> in this case the </w:t>
      </w:r>
      <w:proofErr w:type="spellStart"/>
      <w:r w:rsidR="001E3B92">
        <w:t>CUREd</w:t>
      </w:r>
      <w:proofErr w:type="spellEnd"/>
      <w:r w:rsidR="001E3B92">
        <w:t xml:space="preserve"> database</w:t>
      </w:r>
      <w:r w:rsidR="00970743">
        <w:t xml:space="preserve"> [25, 26]</w:t>
      </w:r>
      <w:r w:rsidR="00F76C8B">
        <w:t>. External validation compares the model results with data from other sources that were not used in the model</w:t>
      </w:r>
      <w:r w:rsidR="00D3232E">
        <w:t>’s development</w:t>
      </w:r>
      <w:r w:rsidR="00F76C8B">
        <w:t xml:space="preserve">. </w:t>
      </w:r>
    </w:p>
    <w:p w14:paraId="611A32D1" w14:textId="56191778" w:rsidR="008E54E2" w:rsidRDefault="004378C9">
      <w:pPr>
        <w:pStyle w:val="Newparagraph"/>
        <w:jc w:val="both"/>
      </w:pPr>
      <w:r>
        <w:t xml:space="preserve">As a means of </w:t>
      </w:r>
      <w:r w:rsidR="008C54FB">
        <w:t xml:space="preserve">internally </w:t>
      </w:r>
      <w:r>
        <w:t xml:space="preserve">validating the </w:t>
      </w:r>
      <w:r w:rsidR="00027CFE">
        <w:t>SD</w:t>
      </w:r>
      <w:r>
        <w:t xml:space="preserve"> model, the estimated daily hospital metrics</w:t>
      </w:r>
      <w:r w:rsidR="00220B81">
        <w:t xml:space="preserve"> </w:t>
      </w:r>
      <w:r w:rsidR="00AD0FB1">
        <w:t xml:space="preserve">for the Yorkshire and Humber region </w:t>
      </w:r>
      <w:r>
        <w:t xml:space="preserve">were </w:t>
      </w:r>
      <w:r w:rsidR="00AE3207">
        <w:t xml:space="preserve">compared against the summary statistics from </w:t>
      </w:r>
      <w:proofErr w:type="spellStart"/>
      <w:r w:rsidR="00E90C1F">
        <w:t>CUREd</w:t>
      </w:r>
      <w:proofErr w:type="spellEnd"/>
      <w:r w:rsidR="00E90C1F">
        <w:t xml:space="preserve"> (</w:t>
      </w:r>
      <w:r w:rsidR="008C54FB">
        <w:t xml:space="preserve">the Internal Validation column in Table </w:t>
      </w:r>
      <w:r w:rsidR="00970743">
        <w:t>3</w:t>
      </w:r>
      <w:r w:rsidR="008C54FB">
        <w:t xml:space="preserve">). </w:t>
      </w:r>
      <w:r w:rsidR="00491537">
        <w:t xml:space="preserve">The estimated average of daily </w:t>
      </w:r>
      <w:r w:rsidR="00E90C1F">
        <w:t>ED</w:t>
      </w:r>
      <w:r w:rsidR="00491537">
        <w:t xml:space="preserve"> attendances </w:t>
      </w:r>
      <w:r w:rsidR="00AD0FB1">
        <w:t xml:space="preserve">from the model </w:t>
      </w:r>
      <w:r w:rsidR="00491537">
        <w:t xml:space="preserve">is slightly </w:t>
      </w:r>
      <w:r w:rsidR="008C2E89">
        <w:t>lower than expected</w:t>
      </w:r>
      <w:r w:rsidR="00E90C1F">
        <w:t>, h</w:t>
      </w:r>
      <w:r w:rsidR="00491537">
        <w:t xml:space="preserve">owever, the difference </w:t>
      </w:r>
      <w:r w:rsidR="002438FC">
        <w:t xml:space="preserve">was </w:t>
      </w:r>
      <w:r w:rsidR="00491537">
        <w:t xml:space="preserve">less </w:t>
      </w:r>
      <w:r w:rsidR="00491537">
        <w:lastRenderedPageBreak/>
        <w:t xml:space="preserve">than 5% when compared with the average estimated </w:t>
      </w:r>
      <w:r w:rsidR="00AD0FB1">
        <w:t xml:space="preserve">directly </w:t>
      </w:r>
      <w:r w:rsidR="00491537">
        <w:t xml:space="preserve">from the </w:t>
      </w:r>
      <w:r w:rsidR="00AD0FB1">
        <w:t xml:space="preserve">data held within the </w:t>
      </w:r>
      <w:proofErr w:type="spellStart"/>
      <w:r w:rsidR="00491537">
        <w:t>CUREd</w:t>
      </w:r>
      <w:proofErr w:type="spellEnd"/>
      <w:r w:rsidR="00491537">
        <w:t xml:space="preserve"> database for 2012-2017.</w:t>
      </w:r>
      <w:r w:rsidR="00E541CA">
        <w:t xml:space="preserve"> The daily average number of emergency admissions and patients in hospital are very close to their observed values. The daily average for readmissions estimated from the model is slightly larger than the value estimated from the </w:t>
      </w:r>
      <w:proofErr w:type="spellStart"/>
      <w:r w:rsidR="00E541CA">
        <w:t>CUREd</w:t>
      </w:r>
      <w:proofErr w:type="spellEnd"/>
      <w:r w:rsidR="00E541CA">
        <w:t xml:space="preserve"> database. The annual number of hospital related deaths estimated from the model is slightly less than the observed</w:t>
      </w:r>
      <w:r w:rsidR="00CB27DD">
        <w:t xml:space="preserve"> </w:t>
      </w:r>
      <w:r w:rsidR="00E541CA">
        <w:t>figure (approximately 1% differen</w:t>
      </w:r>
      <w:r w:rsidR="00DB7DB7">
        <w:t>ce</w:t>
      </w:r>
      <w:r w:rsidR="00E541CA">
        <w:t xml:space="preserve">). </w:t>
      </w:r>
    </w:p>
    <w:p w14:paraId="3AD2E905" w14:textId="4DDCED01" w:rsidR="008E2A52" w:rsidRDefault="00176ED4" w:rsidP="00620772">
      <w:pPr>
        <w:jc w:val="both"/>
      </w:pPr>
      <w:r>
        <w:t>As a means of externally validating the SD model, t</w:t>
      </w:r>
      <w:r w:rsidR="008C54FB">
        <w:t xml:space="preserve">he </w:t>
      </w:r>
      <w:r>
        <w:t xml:space="preserve">estimated </w:t>
      </w:r>
      <w:r w:rsidR="008C54FB">
        <w:t xml:space="preserve">hospital metrics were also compared against </w:t>
      </w:r>
      <w:r w:rsidR="008E2A52">
        <w:t xml:space="preserve">other </w:t>
      </w:r>
      <w:r w:rsidR="00AE3207">
        <w:t>dataset</w:t>
      </w:r>
      <w:r w:rsidR="008E2A52">
        <w:t>s</w:t>
      </w:r>
      <w:r w:rsidR="008C54FB">
        <w:t xml:space="preserve"> such as Hospital Episode Statistics (HES)</w:t>
      </w:r>
      <w:r w:rsidR="00696BF0">
        <w:t xml:space="preserve"> </w:t>
      </w:r>
      <w:r w:rsidR="00DB7DB7" w:rsidRPr="00DB7DB7">
        <w:t xml:space="preserve"> </w:t>
      </w:r>
      <w:r w:rsidR="00DB7DB7" w:rsidRPr="0010549A">
        <w:fldChar w:fldCharType="begin">
          <w:fldData xml:space="preserve">PEVuZE5vdGU+PENpdGU+PEF1dGhvcj5CdW5uPC9BdXRob3I+PFllYXI+MjAxOTwvWWVhcj48UmVj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</w:fldData>
        </w:fldChar>
      </w:r>
      <w:r w:rsidR="00DB7DB7">
        <w:instrText xml:space="preserve"> ADDIN EN.CITE </w:instrText>
      </w:r>
      <w:r w:rsidR="00DB7DB7">
        <w:fldChar w:fldCharType="begin">
          <w:fldData xml:space="preserve">PEVuZE5vdGU+PENpdGU+PEF1dGhvcj5CdW5uPC9BdXRob3I+PFllYXI+MjAxOTwvWWVhcj48UmVj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</w:fldData>
        </w:fldChar>
      </w:r>
      <w:r w:rsidR="00DB7DB7">
        <w:instrText xml:space="preserve"> ADDIN EN.CITE.DATA </w:instrText>
      </w:r>
      <w:r w:rsidR="00DB7DB7">
        <w:fldChar w:fldCharType="end"/>
      </w:r>
      <w:r w:rsidR="00DB7DB7" w:rsidRPr="0010549A">
        <w:fldChar w:fldCharType="separate"/>
      </w:r>
      <w:r w:rsidR="00DB7DB7">
        <w:rPr>
          <w:noProof/>
        </w:rPr>
        <w:t>[</w:t>
      </w:r>
      <w:r w:rsidR="00907762">
        <w:rPr>
          <w:noProof/>
        </w:rPr>
        <w:t>32</w:t>
      </w:r>
      <w:r w:rsidR="00DB7DB7">
        <w:rPr>
          <w:noProof/>
        </w:rPr>
        <w:t>]</w:t>
      </w:r>
      <w:r w:rsidR="00DB7DB7" w:rsidRPr="0010549A">
        <w:fldChar w:fldCharType="end"/>
      </w:r>
      <w:r w:rsidR="00DB7DB7">
        <w:t xml:space="preserve"> and ONS data </w:t>
      </w:r>
      <w:r w:rsidR="008E2A52">
        <w:t>(</w:t>
      </w:r>
      <w:r w:rsidR="00BD2A63">
        <w:t xml:space="preserve">Table </w:t>
      </w:r>
      <w:r w:rsidR="00DE5C2A">
        <w:t>3</w:t>
      </w:r>
      <w:r w:rsidR="008E2A52">
        <w:t>).</w:t>
      </w:r>
      <w:r w:rsidR="00AC24EC">
        <w:t xml:space="preserve"> In terms of the daily number of </w:t>
      </w:r>
      <w:r w:rsidR="00DB7DB7">
        <w:t>ED</w:t>
      </w:r>
      <w:r w:rsidR="00AC24EC">
        <w:t xml:space="preserve"> attendances, the model’s output is very close to the value recorded in </w:t>
      </w:r>
      <w:r w:rsidR="00DB7DB7">
        <w:t>HES</w:t>
      </w:r>
      <w:r w:rsidR="00AC24EC">
        <w:t xml:space="preserve"> for the region during 2011-2014.</w:t>
      </w:r>
      <w:r w:rsidR="002955B8">
        <w:t xml:space="preserve"> The estimated number of emergency admissions is also very close to that estimated from the NHS’ published figures for March 2017 </w:t>
      </w:r>
      <w:r w:rsidR="002955B8" w:rsidRPr="0010549A">
        <w:t>[</w:t>
      </w:r>
      <w:r w:rsidR="00630868" w:rsidRPr="0010549A">
        <w:t>3</w:t>
      </w:r>
      <w:r w:rsidR="00696BF0" w:rsidRPr="0010549A">
        <w:t>3</w:t>
      </w:r>
      <w:r w:rsidR="00630868" w:rsidRPr="0010549A">
        <w:t>]</w:t>
      </w:r>
      <w:r w:rsidR="00DB7DB7">
        <w:rPr>
          <w:b/>
          <w:bCs/>
          <w:color w:val="FF0000"/>
        </w:rPr>
        <w:t>.</w:t>
      </w:r>
    </w:p>
    <w:p w14:paraId="414D393A" w14:textId="77777777" w:rsidR="00744DE4" w:rsidRDefault="00744DE4">
      <w:pPr>
        <w:spacing w:line="240" w:lineRule="auto"/>
        <w:rPr>
          <w:i/>
          <w:iCs/>
          <w:color w:val="1F497D" w:themeColor="text2"/>
          <w:sz w:val="18"/>
          <w:szCs w:val="18"/>
        </w:rPr>
      </w:pPr>
      <w:bookmarkStart w:id="3" w:name="_Ref89159729"/>
      <w:bookmarkStart w:id="4" w:name="_Ref88659603"/>
      <w:r>
        <w:br w:type="page"/>
      </w:r>
    </w:p>
    <w:p w14:paraId="306D687D" w14:textId="5BF78243" w:rsidR="008E2A52" w:rsidRDefault="00AE46C3" w:rsidP="0046069C">
      <w:pPr>
        <w:pStyle w:val="Caption"/>
        <w:keepNext/>
      </w:pPr>
      <w:r>
        <w:lastRenderedPageBreak/>
        <w:t xml:space="preserve">Table </w:t>
      </w:r>
      <w:bookmarkEnd w:id="3"/>
      <w:bookmarkEnd w:id="4"/>
      <w:r w:rsidR="00DE5C2A">
        <w:t xml:space="preserve">3 </w:t>
      </w:r>
      <w:r w:rsidR="008E2A52">
        <w:t>Validation of the emergency care SD model</w:t>
      </w:r>
      <w:r w:rsidR="0023649B">
        <w:t xml:space="preserve"> – at the Yorkshire and umber system level</w:t>
      </w:r>
    </w:p>
    <w:tbl>
      <w:tblPr>
        <w:tblStyle w:val="GridTable4-Accent1"/>
        <w:tblW w:w="0" w:type="auto"/>
        <w:tblLook w:val="04A0" w:firstRow="1" w:lastRow="0" w:firstColumn="1" w:lastColumn="0" w:noHBand="0" w:noVBand="1"/>
      </w:tblPr>
      <w:tblGrid>
        <w:gridCol w:w="3125"/>
        <w:gridCol w:w="1362"/>
        <w:gridCol w:w="1801"/>
        <w:gridCol w:w="2723"/>
      </w:tblGrid>
      <w:tr w:rsidR="00F76505" w:rsidRPr="009E6FCE" w14:paraId="4AB5F4F2" w14:textId="77777777" w:rsidTr="009E6F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5" w:type="dxa"/>
          </w:tcPr>
          <w:p w14:paraId="5A4CC100" w14:textId="77777777" w:rsidR="00F76505" w:rsidRPr="009E6FCE" w:rsidRDefault="00F76505" w:rsidP="009E6FCE">
            <w:pPr>
              <w:spacing w:line="276" w:lineRule="auto"/>
              <w:rPr>
                <w:b w:val="0"/>
                <w:bCs w:val="0"/>
                <w:sz w:val="22"/>
                <w:szCs w:val="22"/>
              </w:rPr>
            </w:pPr>
            <w:r w:rsidRPr="009E6FCE">
              <w:rPr>
                <w:sz w:val="22"/>
                <w:szCs w:val="22"/>
              </w:rPr>
              <w:t>Model Output</w:t>
            </w:r>
          </w:p>
        </w:tc>
        <w:tc>
          <w:tcPr>
            <w:tcW w:w="1362" w:type="dxa"/>
          </w:tcPr>
          <w:p w14:paraId="4D94F3EB" w14:textId="12AB66FD" w:rsidR="00F76505" w:rsidRPr="009E6FCE" w:rsidRDefault="00F76505" w:rsidP="009E6FCE">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9E6FCE">
              <w:rPr>
                <w:sz w:val="22"/>
                <w:szCs w:val="22"/>
              </w:rPr>
              <w:t>SD model</w:t>
            </w:r>
          </w:p>
        </w:tc>
        <w:tc>
          <w:tcPr>
            <w:tcW w:w="1801" w:type="dxa"/>
          </w:tcPr>
          <w:p w14:paraId="6BB19467" w14:textId="404076EA" w:rsidR="00F76505" w:rsidRPr="009E6FCE" w:rsidRDefault="00F76505" w:rsidP="009E6FCE">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9E6FCE">
              <w:rPr>
                <w:sz w:val="22"/>
                <w:szCs w:val="22"/>
              </w:rPr>
              <w:t xml:space="preserve">Internal Validation (Y&amp;H </w:t>
            </w:r>
            <w:r w:rsidR="00433440" w:rsidRPr="009E6FCE">
              <w:rPr>
                <w:sz w:val="22"/>
                <w:szCs w:val="22"/>
              </w:rPr>
              <w:t>average</w:t>
            </w:r>
            <w:r w:rsidRPr="009E6FCE">
              <w:rPr>
                <w:sz w:val="22"/>
                <w:szCs w:val="22"/>
              </w:rPr>
              <w:t>)</w:t>
            </w:r>
          </w:p>
        </w:tc>
        <w:tc>
          <w:tcPr>
            <w:tcW w:w="2723" w:type="dxa"/>
          </w:tcPr>
          <w:p w14:paraId="665E4CD2" w14:textId="035B96B7" w:rsidR="00F76505" w:rsidRPr="009E6FCE" w:rsidRDefault="00F76505" w:rsidP="009E6FCE">
            <w:pPr>
              <w:spacing w:line="276" w:lineRule="auto"/>
              <w:cnfStyle w:val="100000000000" w:firstRow="1" w:lastRow="0" w:firstColumn="0" w:lastColumn="0" w:oddVBand="0" w:evenVBand="0" w:oddHBand="0" w:evenHBand="0" w:firstRowFirstColumn="0" w:firstRowLastColumn="0" w:lastRowFirstColumn="0" w:lastRowLastColumn="0"/>
              <w:rPr>
                <w:b w:val="0"/>
                <w:bCs w:val="0"/>
                <w:sz w:val="22"/>
                <w:szCs w:val="22"/>
              </w:rPr>
            </w:pPr>
            <w:r w:rsidRPr="009E6FCE">
              <w:rPr>
                <w:sz w:val="22"/>
                <w:szCs w:val="22"/>
              </w:rPr>
              <w:t>External Validation</w:t>
            </w:r>
          </w:p>
        </w:tc>
      </w:tr>
      <w:tr w:rsidR="00F76505" w:rsidRPr="009E6FCE" w14:paraId="1A716E32" w14:textId="77777777" w:rsidTr="009E6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5" w:type="dxa"/>
          </w:tcPr>
          <w:p w14:paraId="4182CDE4" w14:textId="77777777" w:rsidR="00F76505" w:rsidRPr="009E6FCE" w:rsidRDefault="00F76505" w:rsidP="009E6FCE">
            <w:pPr>
              <w:spacing w:line="276" w:lineRule="auto"/>
              <w:rPr>
                <w:sz w:val="22"/>
                <w:szCs w:val="22"/>
              </w:rPr>
            </w:pPr>
            <w:r w:rsidRPr="009E6FCE">
              <w:rPr>
                <w:sz w:val="22"/>
                <w:szCs w:val="22"/>
              </w:rPr>
              <w:t>Daily A&amp;E attendances</w:t>
            </w:r>
          </w:p>
        </w:tc>
        <w:tc>
          <w:tcPr>
            <w:tcW w:w="1362" w:type="dxa"/>
          </w:tcPr>
          <w:p w14:paraId="6B182CB2" w14:textId="7ACB7372" w:rsidR="00F76505" w:rsidRPr="009E6FCE" w:rsidRDefault="00F76505" w:rsidP="009E6FCE">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9E6FCE">
              <w:rPr>
                <w:sz w:val="22"/>
                <w:szCs w:val="22"/>
              </w:rPr>
              <w:t>562</w:t>
            </w:r>
            <w:r w:rsidR="00433440" w:rsidRPr="009E6FCE">
              <w:rPr>
                <w:sz w:val="22"/>
                <w:szCs w:val="22"/>
              </w:rPr>
              <w:t xml:space="preserve"> ± 3</w:t>
            </w:r>
          </w:p>
        </w:tc>
        <w:tc>
          <w:tcPr>
            <w:tcW w:w="1801" w:type="dxa"/>
          </w:tcPr>
          <w:p w14:paraId="3CA0B64A" w14:textId="2BE0158A" w:rsidR="00F76505" w:rsidRPr="009E6FCE" w:rsidRDefault="00F76505" w:rsidP="009E6FCE">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9E6FCE">
              <w:rPr>
                <w:sz w:val="22"/>
                <w:szCs w:val="22"/>
              </w:rPr>
              <w:t>584</w:t>
            </w:r>
          </w:p>
        </w:tc>
        <w:tc>
          <w:tcPr>
            <w:tcW w:w="2723" w:type="dxa"/>
          </w:tcPr>
          <w:p w14:paraId="19778D38" w14:textId="50EAAC03" w:rsidR="00F76505" w:rsidRPr="009E6FCE" w:rsidRDefault="00220B81" w:rsidP="009E6FCE">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9E6FCE">
              <w:rPr>
                <w:sz w:val="22"/>
                <w:szCs w:val="22"/>
              </w:rPr>
              <w:t>571 (HE</w:t>
            </w:r>
            <w:r w:rsidR="00996B79" w:rsidRPr="009E6FCE">
              <w:rPr>
                <w:sz w:val="22"/>
                <w:szCs w:val="22"/>
              </w:rPr>
              <w:t>S</w:t>
            </w:r>
            <w:r w:rsidRPr="009E6FCE">
              <w:rPr>
                <w:sz w:val="22"/>
                <w:szCs w:val="22"/>
              </w:rPr>
              <w:t xml:space="preserve"> 2011-2014 </w:t>
            </w:r>
            <w:r w:rsidR="00996B79" w:rsidRPr="009E6FCE">
              <w:rPr>
                <w:sz w:val="22"/>
                <w:szCs w:val="22"/>
              </w:rPr>
              <w:fldChar w:fldCharType="begin">
                <w:fldData xml:space="preserve">PEVuZE5vdGU+PENpdGU+PEF1dGhvcj5CdW5uPC9BdXRob3I+PFllYXI+MjAxOTwvWWVhcj48UmVj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</w:fldData>
              </w:fldChar>
            </w:r>
            <w:r w:rsidR="00602F5F" w:rsidRPr="009E6FCE">
              <w:rPr>
                <w:sz w:val="22"/>
                <w:szCs w:val="22"/>
              </w:rPr>
              <w:instrText xml:space="preserve"> ADDIN EN.CITE </w:instrText>
            </w:r>
            <w:r w:rsidR="00602F5F" w:rsidRPr="009E6FCE">
              <w:rPr>
                <w:sz w:val="22"/>
                <w:szCs w:val="22"/>
              </w:rPr>
              <w:fldChar w:fldCharType="begin">
                <w:fldData xml:space="preserve">PEVuZE5vdGU+PENpdGU+PEF1dGhvcj5CdW5uPC9BdXRob3I+PFllYXI+MjAxOTwvWWVhcj48UmVj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</w:fldData>
              </w:fldChar>
            </w:r>
            <w:r w:rsidR="00602F5F" w:rsidRPr="009E6FCE">
              <w:rPr>
                <w:sz w:val="22"/>
                <w:szCs w:val="22"/>
              </w:rPr>
              <w:instrText xml:space="preserve"> ADDIN EN.CITE.DATA </w:instrText>
            </w:r>
            <w:r w:rsidR="00602F5F" w:rsidRPr="009E6FCE">
              <w:rPr>
                <w:sz w:val="22"/>
                <w:szCs w:val="22"/>
              </w:rPr>
            </w:r>
            <w:r w:rsidR="00602F5F" w:rsidRPr="009E6FCE">
              <w:rPr>
                <w:sz w:val="22"/>
                <w:szCs w:val="22"/>
              </w:rPr>
              <w:fldChar w:fldCharType="end"/>
            </w:r>
            <w:r w:rsidR="00996B79" w:rsidRPr="009E6FCE">
              <w:rPr>
                <w:sz w:val="22"/>
                <w:szCs w:val="22"/>
              </w:rPr>
            </w:r>
            <w:r w:rsidR="00996B79" w:rsidRPr="009E6FCE">
              <w:rPr>
                <w:sz w:val="22"/>
                <w:szCs w:val="22"/>
              </w:rPr>
              <w:fldChar w:fldCharType="separate"/>
            </w:r>
            <w:r w:rsidR="00602F5F" w:rsidRPr="009E6FCE">
              <w:rPr>
                <w:noProof/>
                <w:sz w:val="22"/>
                <w:szCs w:val="22"/>
              </w:rPr>
              <w:t>[</w:t>
            </w:r>
            <w:r w:rsidR="00907762">
              <w:rPr>
                <w:noProof/>
                <w:sz w:val="22"/>
                <w:szCs w:val="22"/>
              </w:rPr>
              <w:t>32</w:t>
            </w:r>
            <w:r w:rsidR="00602F5F" w:rsidRPr="009E6FCE">
              <w:rPr>
                <w:noProof/>
                <w:sz w:val="22"/>
                <w:szCs w:val="22"/>
              </w:rPr>
              <w:t>]</w:t>
            </w:r>
            <w:r w:rsidR="00996B79" w:rsidRPr="009E6FCE">
              <w:rPr>
                <w:sz w:val="22"/>
                <w:szCs w:val="22"/>
              </w:rPr>
              <w:fldChar w:fldCharType="end"/>
            </w:r>
            <w:r w:rsidR="00BF7AE6" w:rsidRPr="009E6FCE">
              <w:rPr>
                <w:sz w:val="22"/>
                <w:szCs w:val="22"/>
              </w:rPr>
              <w:t>)</w:t>
            </w:r>
          </w:p>
        </w:tc>
      </w:tr>
      <w:tr w:rsidR="00F76505" w:rsidRPr="009E6FCE" w14:paraId="2CF072BF" w14:textId="77777777" w:rsidTr="009E6FCE">
        <w:tc>
          <w:tcPr>
            <w:cnfStyle w:val="001000000000" w:firstRow="0" w:lastRow="0" w:firstColumn="1" w:lastColumn="0" w:oddVBand="0" w:evenVBand="0" w:oddHBand="0" w:evenHBand="0" w:firstRowFirstColumn="0" w:firstRowLastColumn="0" w:lastRowFirstColumn="0" w:lastRowLastColumn="0"/>
            <w:tcW w:w="3125" w:type="dxa"/>
          </w:tcPr>
          <w:p w14:paraId="0C9D2745" w14:textId="77777777" w:rsidR="00F76505" w:rsidRPr="009E6FCE" w:rsidRDefault="00F76505" w:rsidP="009E6FCE">
            <w:pPr>
              <w:spacing w:line="276" w:lineRule="auto"/>
              <w:rPr>
                <w:sz w:val="22"/>
                <w:szCs w:val="22"/>
              </w:rPr>
            </w:pPr>
            <w:r w:rsidRPr="009E6FCE">
              <w:rPr>
                <w:sz w:val="22"/>
                <w:szCs w:val="22"/>
              </w:rPr>
              <w:t>Emergency Admissions (daily)</w:t>
            </w:r>
          </w:p>
        </w:tc>
        <w:tc>
          <w:tcPr>
            <w:tcW w:w="1362" w:type="dxa"/>
          </w:tcPr>
          <w:p w14:paraId="6378AF2F" w14:textId="7A873D1C" w:rsidR="00F76505" w:rsidRPr="009E6FCE" w:rsidRDefault="00F76505" w:rsidP="009E6FCE">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9E6FCE">
              <w:rPr>
                <w:sz w:val="22"/>
                <w:szCs w:val="22"/>
              </w:rPr>
              <w:t>104</w:t>
            </w:r>
            <w:r w:rsidR="002438FC" w:rsidRPr="009E6FCE">
              <w:rPr>
                <w:sz w:val="22"/>
                <w:szCs w:val="22"/>
              </w:rPr>
              <w:t xml:space="preserve"> </w:t>
            </w:r>
            <w:r w:rsidR="00433440" w:rsidRPr="009E6FCE">
              <w:rPr>
                <w:sz w:val="22"/>
                <w:szCs w:val="22"/>
              </w:rPr>
              <w:t>±</w:t>
            </w:r>
            <w:r w:rsidR="002438FC" w:rsidRPr="009E6FCE">
              <w:rPr>
                <w:sz w:val="22"/>
                <w:szCs w:val="22"/>
              </w:rPr>
              <w:t xml:space="preserve"> </w:t>
            </w:r>
            <w:r w:rsidR="00A94443" w:rsidRPr="009E6FCE">
              <w:rPr>
                <w:sz w:val="22"/>
                <w:szCs w:val="22"/>
              </w:rPr>
              <w:t>1.3</w:t>
            </w:r>
          </w:p>
        </w:tc>
        <w:tc>
          <w:tcPr>
            <w:tcW w:w="1801" w:type="dxa"/>
          </w:tcPr>
          <w:p w14:paraId="0C523203" w14:textId="2CEC1F2E" w:rsidR="00F76505" w:rsidRPr="009E6FCE" w:rsidRDefault="00B1024F" w:rsidP="009E6FCE">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9E6FCE">
              <w:rPr>
                <w:sz w:val="22"/>
                <w:szCs w:val="22"/>
              </w:rPr>
              <w:t>105</w:t>
            </w:r>
          </w:p>
        </w:tc>
        <w:tc>
          <w:tcPr>
            <w:tcW w:w="2723" w:type="dxa"/>
          </w:tcPr>
          <w:p w14:paraId="27E590CB" w14:textId="40B40173" w:rsidR="00F76505" w:rsidRPr="009E6FCE" w:rsidRDefault="00340EFF" w:rsidP="009E6FCE">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9E6FCE">
              <w:rPr>
                <w:sz w:val="22"/>
                <w:szCs w:val="22"/>
              </w:rPr>
              <w:t>40,466 Emergency Admissions (all ages) in March 2017 which equates to a daily average of 1305</w:t>
            </w:r>
            <w:r w:rsidR="002438FC" w:rsidRPr="009E6FCE">
              <w:rPr>
                <w:sz w:val="22"/>
                <w:szCs w:val="22"/>
              </w:rPr>
              <w:t xml:space="preserve"> </w:t>
            </w:r>
            <w:r w:rsidR="00AF7D65" w:rsidRPr="009E6FCE">
              <w:rPr>
                <w:sz w:val="22"/>
                <w:szCs w:val="22"/>
              </w:rPr>
              <w:t>[</w:t>
            </w:r>
            <w:r w:rsidR="00DB2714" w:rsidRPr="009E6FCE">
              <w:rPr>
                <w:sz w:val="22"/>
                <w:szCs w:val="22"/>
              </w:rPr>
              <w:t>33</w:t>
            </w:r>
            <w:r w:rsidR="00AF7D65" w:rsidRPr="009E6FCE">
              <w:rPr>
                <w:sz w:val="22"/>
                <w:szCs w:val="22"/>
              </w:rPr>
              <w:t>]</w:t>
            </w:r>
            <w:r w:rsidRPr="009E6FCE">
              <w:rPr>
                <w:sz w:val="22"/>
                <w:szCs w:val="22"/>
              </w:rPr>
              <w:t xml:space="preserve">. As 8.2% of the population are 75 and over, there </w:t>
            </w:r>
            <w:r w:rsidR="00DB7DB7" w:rsidRPr="009E6FCE">
              <w:rPr>
                <w:sz w:val="22"/>
                <w:szCs w:val="22"/>
              </w:rPr>
              <w:t>sh</w:t>
            </w:r>
            <w:r w:rsidRPr="009E6FCE">
              <w:rPr>
                <w:sz w:val="22"/>
                <w:szCs w:val="22"/>
              </w:rPr>
              <w:t>ould be 107 emergency admissions per day.</w:t>
            </w:r>
          </w:p>
        </w:tc>
      </w:tr>
      <w:tr w:rsidR="00F76505" w:rsidRPr="009E6FCE" w14:paraId="6627F13F" w14:textId="77777777" w:rsidTr="009E6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5" w:type="dxa"/>
          </w:tcPr>
          <w:p w14:paraId="1F6EC94E" w14:textId="77777777" w:rsidR="00F76505" w:rsidRPr="009E6FCE" w:rsidRDefault="00F76505" w:rsidP="009E6FCE">
            <w:pPr>
              <w:spacing w:line="276" w:lineRule="auto"/>
              <w:rPr>
                <w:sz w:val="22"/>
                <w:szCs w:val="22"/>
              </w:rPr>
            </w:pPr>
            <w:r w:rsidRPr="009E6FCE">
              <w:rPr>
                <w:sz w:val="22"/>
                <w:szCs w:val="22"/>
              </w:rPr>
              <w:t>Patients in hospital (daily)</w:t>
            </w:r>
          </w:p>
        </w:tc>
        <w:tc>
          <w:tcPr>
            <w:tcW w:w="1362" w:type="dxa"/>
          </w:tcPr>
          <w:p w14:paraId="782D667C" w14:textId="260F4044" w:rsidR="00F76505" w:rsidRPr="009E6FCE" w:rsidRDefault="00F76505" w:rsidP="009E6FCE">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9E6FCE">
              <w:rPr>
                <w:sz w:val="22"/>
                <w:szCs w:val="22"/>
              </w:rPr>
              <w:t>442</w:t>
            </w:r>
            <w:r w:rsidR="00433440" w:rsidRPr="009E6FCE">
              <w:rPr>
                <w:sz w:val="22"/>
                <w:szCs w:val="22"/>
              </w:rPr>
              <w:t>±</w:t>
            </w:r>
            <w:r w:rsidR="00A94443" w:rsidRPr="009E6FCE">
              <w:rPr>
                <w:sz w:val="22"/>
                <w:szCs w:val="22"/>
              </w:rPr>
              <w:t>0.4</w:t>
            </w:r>
          </w:p>
          <w:p w14:paraId="00C1A93F" w14:textId="7B8AFB38" w:rsidR="00F76505" w:rsidRPr="009E6FCE" w:rsidRDefault="00F76505" w:rsidP="009E6FCE">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801" w:type="dxa"/>
          </w:tcPr>
          <w:p w14:paraId="09E9F468" w14:textId="1DD498F1" w:rsidR="00F76505" w:rsidRPr="009E6FCE" w:rsidRDefault="00B1024F" w:rsidP="009E6FCE">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9E6FCE">
              <w:rPr>
                <w:sz w:val="22"/>
                <w:szCs w:val="22"/>
              </w:rPr>
              <w:t>440</w:t>
            </w:r>
          </w:p>
        </w:tc>
        <w:tc>
          <w:tcPr>
            <w:tcW w:w="2723" w:type="dxa"/>
          </w:tcPr>
          <w:p w14:paraId="208695A7" w14:textId="485542A1" w:rsidR="00F76505" w:rsidRPr="009E6FCE" w:rsidRDefault="00F76505" w:rsidP="009E6FCE">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p>
        </w:tc>
      </w:tr>
      <w:tr w:rsidR="00F76505" w:rsidRPr="009E6FCE" w14:paraId="364566E7" w14:textId="77777777" w:rsidTr="009E6FCE">
        <w:tc>
          <w:tcPr>
            <w:cnfStyle w:val="001000000000" w:firstRow="0" w:lastRow="0" w:firstColumn="1" w:lastColumn="0" w:oddVBand="0" w:evenVBand="0" w:oddHBand="0" w:evenHBand="0" w:firstRowFirstColumn="0" w:firstRowLastColumn="0" w:lastRowFirstColumn="0" w:lastRowLastColumn="0"/>
            <w:tcW w:w="3125" w:type="dxa"/>
          </w:tcPr>
          <w:p w14:paraId="255EF177" w14:textId="6001706B" w:rsidR="00F76505" w:rsidRPr="009E6FCE" w:rsidRDefault="00F76505" w:rsidP="009E6FCE">
            <w:pPr>
              <w:spacing w:line="276" w:lineRule="auto"/>
              <w:rPr>
                <w:sz w:val="22"/>
                <w:szCs w:val="22"/>
              </w:rPr>
            </w:pPr>
            <w:r w:rsidRPr="009E6FCE">
              <w:rPr>
                <w:sz w:val="22"/>
                <w:szCs w:val="22"/>
              </w:rPr>
              <w:t>Readmissions (daily) from a patient’s own home</w:t>
            </w:r>
            <w:r w:rsidR="00433440" w:rsidRPr="009E6FCE">
              <w:rPr>
                <w:sz w:val="22"/>
                <w:szCs w:val="22"/>
              </w:rPr>
              <w:t xml:space="preserve"> / care home</w:t>
            </w:r>
          </w:p>
        </w:tc>
        <w:tc>
          <w:tcPr>
            <w:tcW w:w="1362" w:type="dxa"/>
          </w:tcPr>
          <w:p w14:paraId="46622FDB" w14:textId="41B41B36" w:rsidR="00F76505" w:rsidRPr="009E6FCE" w:rsidRDefault="00433440" w:rsidP="009E6FCE">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9E6FCE">
              <w:rPr>
                <w:sz w:val="22"/>
                <w:szCs w:val="22"/>
              </w:rPr>
              <w:t>113±0.38</w:t>
            </w:r>
          </w:p>
          <w:p w14:paraId="3FD2C54B" w14:textId="170DA7F3" w:rsidR="00F76505" w:rsidRPr="009E6FCE" w:rsidRDefault="00F76505" w:rsidP="009E6FCE">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801" w:type="dxa"/>
          </w:tcPr>
          <w:p w14:paraId="34D9D0B8" w14:textId="5EB3DF55" w:rsidR="00F76505" w:rsidRPr="009E6FCE" w:rsidRDefault="00433440" w:rsidP="009E6FCE">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9E6FCE">
              <w:rPr>
                <w:sz w:val="22"/>
                <w:szCs w:val="22"/>
              </w:rPr>
              <w:t>107</w:t>
            </w:r>
          </w:p>
        </w:tc>
        <w:tc>
          <w:tcPr>
            <w:tcW w:w="2723" w:type="dxa"/>
          </w:tcPr>
          <w:p w14:paraId="13E794D5" w14:textId="54A872EA" w:rsidR="00F76505" w:rsidRPr="009E6FCE" w:rsidRDefault="00F1316C" w:rsidP="009E6FCE">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9E6FCE">
              <w:rPr>
                <w:sz w:val="22"/>
                <w:szCs w:val="22"/>
              </w:rPr>
              <w:t>During 2016/17 there were 529,318 readmissions which equates to approximately 1,450 per day. Y&amp;H accounts for 8.</w:t>
            </w:r>
            <w:r w:rsidR="00DB7DB7" w:rsidRPr="009E6FCE">
              <w:rPr>
                <w:sz w:val="22"/>
                <w:szCs w:val="22"/>
              </w:rPr>
              <w:t>3</w:t>
            </w:r>
            <w:r w:rsidRPr="009E6FCE">
              <w:rPr>
                <w:sz w:val="22"/>
                <w:szCs w:val="22"/>
              </w:rPr>
              <w:t>% of the UK which would lead to approximately 120 readmissions per day.</w:t>
            </w:r>
          </w:p>
        </w:tc>
      </w:tr>
      <w:tr w:rsidR="00F76505" w:rsidRPr="009E6FCE" w14:paraId="75F4FE4C" w14:textId="77777777" w:rsidTr="009E6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5" w:type="dxa"/>
          </w:tcPr>
          <w:p w14:paraId="0B9FFBC2" w14:textId="77777777" w:rsidR="00F76505" w:rsidRPr="009E6FCE" w:rsidRDefault="00F76505" w:rsidP="009E6FCE">
            <w:pPr>
              <w:spacing w:line="276" w:lineRule="auto"/>
              <w:rPr>
                <w:sz w:val="22"/>
                <w:szCs w:val="22"/>
              </w:rPr>
            </w:pPr>
            <w:r w:rsidRPr="009E6FCE">
              <w:rPr>
                <w:sz w:val="22"/>
                <w:szCs w:val="22"/>
              </w:rPr>
              <w:t>Hospital related deaths (annual)</w:t>
            </w:r>
          </w:p>
        </w:tc>
        <w:tc>
          <w:tcPr>
            <w:tcW w:w="1362" w:type="dxa"/>
          </w:tcPr>
          <w:p w14:paraId="2F13DFFA" w14:textId="50273007" w:rsidR="00F76505" w:rsidRPr="009E6FCE" w:rsidRDefault="00F76505" w:rsidP="009E6FCE">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9E6FCE">
              <w:rPr>
                <w:sz w:val="22"/>
                <w:szCs w:val="22"/>
              </w:rPr>
              <w:t>12,150</w:t>
            </w:r>
          </w:p>
        </w:tc>
        <w:tc>
          <w:tcPr>
            <w:tcW w:w="1801" w:type="dxa"/>
          </w:tcPr>
          <w:p w14:paraId="1B818516" w14:textId="26C5C607" w:rsidR="00F76505" w:rsidRPr="009E6FCE" w:rsidRDefault="00B1024F" w:rsidP="009E6FCE">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9E6FCE">
              <w:rPr>
                <w:sz w:val="22"/>
                <w:szCs w:val="22"/>
              </w:rPr>
              <w:t>12,</w:t>
            </w:r>
            <w:r w:rsidR="000B4509" w:rsidRPr="009E6FCE">
              <w:rPr>
                <w:sz w:val="22"/>
                <w:szCs w:val="22"/>
              </w:rPr>
              <w:t>287 [10,157 – 13,504</w:t>
            </w:r>
            <w:r w:rsidR="00F309B9" w:rsidRPr="009E6FCE">
              <w:rPr>
                <w:sz w:val="22"/>
                <w:szCs w:val="22"/>
              </w:rPr>
              <w:t xml:space="preserve"> deaths recorded in the </w:t>
            </w:r>
            <w:proofErr w:type="spellStart"/>
            <w:r w:rsidR="00F309B9" w:rsidRPr="009E6FCE">
              <w:rPr>
                <w:sz w:val="22"/>
                <w:szCs w:val="22"/>
              </w:rPr>
              <w:t>CUREd</w:t>
            </w:r>
            <w:proofErr w:type="spellEnd"/>
            <w:r w:rsidR="00F309B9" w:rsidRPr="009E6FCE">
              <w:rPr>
                <w:sz w:val="22"/>
                <w:szCs w:val="22"/>
              </w:rPr>
              <w:t xml:space="preserve"> database</w:t>
            </w:r>
            <w:r w:rsidR="000B4509" w:rsidRPr="009E6FCE">
              <w:rPr>
                <w:sz w:val="22"/>
                <w:szCs w:val="22"/>
              </w:rPr>
              <w:t>]</w:t>
            </w:r>
          </w:p>
        </w:tc>
        <w:tc>
          <w:tcPr>
            <w:tcW w:w="2723" w:type="dxa"/>
          </w:tcPr>
          <w:p w14:paraId="28844919" w14:textId="3C7C5F26" w:rsidR="00F76505" w:rsidRPr="009E6FCE" w:rsidRDefault="00A11CB4" w:rsidP="009E6FCE">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9E6FCE">
              <w:rPr>
                <w:sz w:val="22"/>
                <w:szCs w:val="22"/>
              </w:rPr>
              <w:t>12,242 (range: 11,191 – 26,102) estimated from the weekly deaths registered by the ONS and adjusted for patient age</w:t>
            </w:r>
            <w:r w:rsidR="00AB2D5A" w:rsidRPr="009E6FCE">
              <w:rPr>
                <w:sz w:val="22"/>
                <w:szCs w:val="22"/>
              </w:rPr>
              <w:t xml:space="preserve"> (68.5% of deaths in 2017 were amongst people aged 75 and over)</w:t>
            </w:r>
            <w:r w:rsidRPr="009E6FCE">
              <w:rPr>
                <w:sz w:val="22"/>
                <w:szCs w:val="22"/>
              </w:rPr>
              <w:t xml:space="preserve"> and place of death</w:t>
            </w:r>
            <w:r w:rsidR="00AB2D5A" w:rsidRPr="009E6FCE">
              <w:rPr>
                <w:sz w:val="22"/>
                <w:szCs w:val="22"/>
              </w:rPr>
              <w:t xml:space="preserve"> (45.6% of deaths in 2017 were in hospital).</w:t>
            </w:r>
          </w:p>
        </w:tc>
      </w:tr>
    </w:tbl>
    <w:p w14:paraId="16611920" w14:textId="77777777" w:rsidR="00111463" w:rsidRDefault="00111463" w:rsidP="0046069C">
      <w:pPr>
        <w:pStyle w:val="Newparagraph"/>
        <w:ind w:firstLine="0"/>
        <w:jc w:val="both"/>
      </w:pPr>
    </w:p>
    <w:p w14:paraId="3259D8FD" w14:textId="3195B099" w:rsidR="00F30CA5" w:rsidRDefault="00715A4A" w:rsidP="00BC7ECE">
      <w:pPr>
        <w:jc w:val="both"/>
      </w:pPr>
      <w:r>
        <w:t>As a final validation step, t</w:t>
      </w:r>
      <w:r w:rsidR="00282D3A">
        <w:t xml:space="preserve">he results from the scenario analyses were compared against the expected outcomes </w:t>
      </w:r>
      <w:r w:rsidR="00AE3E05">
        <w:t xml:space="preserve">for each intervention </w:t>
      </w:r>
      <w:r w:rsidR="00282D3A">
        <w:t>described in the cited literature.</w:t>
      </w:r>
      <w:r w:rsidR="00222950">
        <w:t xml:space="preserve"> For example, with Front Door Frailty, the evidence suggests a slightly reduced number of hospital related deaths (risk ratio=0.92, CI=0.55-1.52), fewer admissions (risk ratio=0.9, CI=0.7-1.16), fewer readmissions (risk ratio = 0.95, CI=0.83-1.08) and fewer nursing home admissions (risk </w:t>
      </w:r>
      <w:r w:rsidR="00222950">
        <w:lastRenderedPageBreak/>
        <w:t>ratio=0.75, CI=0.44-1.29).</w:t>
      </w:r>
      <w:r w:rsidR="00275650">
        <w:t xml:space="preserve"> Applied to the Yorkshire and Humber population</w:t>
      </w:r>
      <w:r w:rsidR="002A43F6">
        <w:t>,</w:t>
      </w:r>
      <w:r w:rsidR="00275650">
        <w:t xml:space="preserve"> seven days a week</w:t>
      </w:r>
      <w:r w:rsidR="002A43F6">
        <w:t>,</w:t>
      </w:r>
      <w:r w:rsidR="00275650">
        <w:t xml:space="preserve"> 8am – 8pm should see an estimated 4% reduction in the annual number of deaths, 5% reduction in hospital admissions, 2.5% reduction in readmissions and approximately 13% reduction in nursing home admissions</w:t>
      </w:r>
      <w:r w:rsidR="00131A60">
        <w:t xml:space="preserve"> (at </w:t>
      </w:r>
      <w:r w:rsidR="00AE46C3">
        <w:t xml:space="preserve">four </w:t>
      </w:r>
      <w:r w:rsidR="00131A60">
        <w:t>months)</w:t>
      </w:r>
      <w:r w:rsidR="00275650">
        <w:t xml:space="preserve">. The results from the decision support tool when </w:t>
      </w:r>
      <w:r w:rsidR="00DF4F6D">
        <w:t xml:space="preserve">the Front Door Frailty scenario is </w:t>
      </w:r>
      <w:r w:rsidR="00275650">
        <w:t xml:space="preserve">applied to the Yorkshire and Humber region </w:t>
      </w:r>
      <w:r w:rsidR="00F30CA5">
        <w:t xml:space="preserve">are shown in </w:t>
      </w:r>
      <w:r w:rsidR="00F315DA">
        <w:t xml:space="preserve">Table </w:t>
      </w:r>
      <w:r w:rsidR="001F24CE">
        <w:t>4</w:t>
      </w:r>
      <w:r w:rsidR="00844A34">
        <w:t xml:space="preserve"> </w:t>
      </w:r>
      <w:r w:rsidR="000E2E3E">
        <w:t>and show a close agreement to the expected outcomes</w:t>
      </w:r>
      <w:r w:rsidR="00F30CA5">
        <w:t>.</w:t>
      </w:r>
      <w:r w:rsidR="00E37CFD">
        <w:t xml:space="preserve"> The nursing home admissions metric may be worth further investigation as the six percent reduction is less than the expected amount.</w:t>
      </w:r>
      <w:r w:rsidR="00631A19">
        <w:t xml:space="preserve"> </w:t>
      </w:r>
      <w:r w:rsidR="00E37CFD">
        <w:t xml:space="preserve">This may be </w:t>
      </w:r>
      <w:r w:rsidR="00BE63E4">
        <w:t>because</w:t>
      </w:r>
      <w:r w:rsidR="00E37CFD">
        <w:t xml:space="preserve"> the risk</w:t>
      </w:r>
      <w:r w:rsidR="00E37CFD" w:rsidRPr="00E37CFD">
        <w:t xml:space="preserve"> ratio was applied at the 1-month mark rather than </w:t>
      </w:r>
      <w:r w:rsidR="00DB7DB7">
        <w:t>four</w:t>
      </w:r>
      <w:r w:rsidR="00DB7DB7" w:rsidRPr="00E37CFD">
        <w:t xml:space="preserve"> </w:t>
      </w:r>
      <w:r w:rsidR="00E37CFD" w:rsidRPr="00E37CFD">
        <w:t>months</w:t>
      </w:r>
      <w:r w:rsidR="00E37CFD">
        <w:t xml:space="preserve"> as stated in the cited literature and could explain how the effect size from the </w:t>
      </w:r>
      <w:r w:rsidR="00E37CFD" w:rsidRPr="00E37CFD">
        <w:t>intervention</w:t>
      </w:r>
      <w:r w:rsidR="00E37CFD">
        <w:t xml:space="preserve"> was smaller than expected.</w:t>
      </w:r>
      <w:r w:rsidR="002438FC">
        <w:t xml:space="preserve"> </w:t>
      </w:r>
      <w:r w:rsidR="00631A19">
        <w:t>The other four scenarios also showed similar results to the expected effect sizes cited in the literature.</w:t>
      </w:r>
    </w:p>
    <w:p w14:paraId="60F6EF65" w14:textId="7AEC8120" w:rsidR="00DD0777" w:rsidRDefault="00DD0777" w:rsidP="00F4578A">
      <w:pPr>
        <w:ind w:firstLine="720"/>
        <w:jc w:val="both"/>
      </w:pPr>
      <w:r>
        <w:t>In summary, internal</w:t>
      </w:r>
      <w:r w:rsidR="0053299D">
        <w:t>,</w:t>
      </w:r>
      <w:r>
        <w:t xml:space="preserve"> and external validation </w:t>
      </w:r>
      <w:r w:rsidR="0023649B">
        <w:t xml:space="preserve">checks, and stakeholder </w:t>
      </w:r>
      <w:r>
        <w:t xml:space="preserve">sense-checking </w:t>
      </w:r>
      <w:r w:rsidR="0023649B">
        <w:t xml:space="preserve">suggest that the SD model </w:t>
      </w:r>
      <w:r>
        <w:t xml:space="preserve">provides an accurate representation of the emergency care </w:t>
      </w:r>
      <w:r w:rsidR="0023649B">
        <w:t xml:space="preserve">pathway </w:t>
      </w:r>
      <w:r>
        <w:t xml:space="preserve">for older </w:t>
      </w:r>
      <w:r w:rsidR="0023649B">
        <w:t>people</w:t>
      </w:r>
      <w:r>
        <w:t>.</w:t>
      </w:r>
    </w:p>
    <w:p w14:paraId="564A5B9A" w14:textId="77777777" w:rsidR="00F4578A" w:rsidRDefault="00F4578A">
      <w:pPr>
        <w:spacing w:line="240" w:lineRule="auto"/>
        <w:rPr>
          <w:i/>
          <w:iCs/>
          <w:color w:val="1F497D" w:themeColor="text2"/>
          <w:sz w:val="18"/>
          <w:szCs w:val="18"/>
        </w:rPr>
      </w:pPr>
      <w:bookmarkStart w:id="5" w:name="_Ref89159740"/>
      <w:r>
        <w:br w:type="page"/>
      </w:r>
    </w:p>
    <w:p w14:paraId="1DB9F933" w14:textId="455483A0" w:rsidR="00F4578A" w:rsidRDefault="00F4578A" w:rsidP="00F4578A">
      <w:pPr>
        <w:pStyle w:val="Caption"/>
        <w:keepNext/>
      </w:pPr>
      <w:r>
        <w:lastRenderedPageBreak/>
        <w:t xml:space="preserve">Table </w:t>
      </w:r>
      <w:bookmarkEnd w:id="5"/>
      <w:r>
        <w:t>4 Validation of the emergency care SD model – front door frailty scenario</w:t>
      </w:r>
    </w:p>
    <w:tbl>
      <w:tblPr>
        <w:tblStyle w:val="GridTable4-Accent1"/>
        <w:tblW w:w="0" w:type="auto"/>
        <w:tblLook w:val="04A0" w:firstRow="1" w:lastRow="0" w:firstColumn="1" w:lastColumn="0" w:noHBand="0" w:noVBand="1"/>
      </w:tblPr>
      <w:tblGrid>
        <w:gridCol w:w="2547"/>
        <w:gridCol w:w="3118"/>
        <w:gridCol w:w="3261"/>
      </w:tblGrid>
      <w:tr w:rsidR="00F4578A" w:rsidRPr="00B8721B" w14:paraId="1CD05BAE" w14:textId="77777777" w:rsidTr="009E6F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299DEC4" w14:textId="77777777" w:rsidR="00F4578A" w:rsidRPr="00B8721B" w:rsidRDefault="00F4578A" w:rsidP="00596701">
            <w:pPr>
              <w:spacing w:line="276" w:lineRule="auto"/>
              <w:jc w:val="center"/>
              <w:rPr>
                <w:b w:val="0"/>
                <w:bCs w:val="0"/>
              </w:rPr>
            </w:pPr>
            <w:r>
              <w:t>Hospital Metric</w:t>
            </w:r>
          </w:p>
        </w:tc>
        <w:tc>
          <w:tcPr>
            <w:tcW w:w="3118" w:type="dxa"/>
          </w:tcPr>
          <w:p w14:paraId="6403B262" w14:textId="77777777" w:rsidR="00F4578A" w:rsidRPr="00B8721B" w:rsidRDefault="00F4578A" w:rsidP="00DB7DB7">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rPr>
            </w:pPr>
            <w:r>
              <w:t>SD model</w:t>
            </w:r>
          </w:p>
        </w:tc>
        <w:tc>
          <w:tcPr>
            <w:tcW w:w="3261" w:type="dxa"/>
          </w:tcPr>
          <w:p w14:paraId="7CDF47BF" w14:textId="77777777" w:rsidR="00F4578A" w:rsidRPr="00B8721B" w:rsidRDefault="00F4578A" w:rsidP="00DB7DB7">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B8721B">
              <w:t>Internal Validation</w:t>
            </w:r>
            <w:r>
              <w:t xml:space="preserve"> (Y&amp;H dataset)</w:t>
            </w:r>
          </w:p>
        </w:tc>
      </w:tr>
      <w:tr w:rsidR="00F4578A" w:rsidRPr="00B8721B" w14:paraId="20B6B8EA" w14:textId="77777777" w:rsidTr="009E6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059EE44" w14:textId="77777777" w:rsidR="00F4578A" w:rsidRDefault="00F4578A" w:rsidP="00596701">
            <w:pPr>
              <w:spacing w:line="276" w:lineRule="auto"/>
              <w:jc w:val="both"/>
              <w:rPr>
                <w:b w:val="0"/>
                <w:bCs w:val="0"/>
              </w:rPr>
            </w:pPr>
            <w:r>
              <w:t>Hospital admissions</w:t>
            </w:r>
          </w:p>
        </w:tc>
        <w:tc>
          <w:tcPr>
            <w:tcW w:w="3118" w:type="dxa"/>
          </w:tcPr>
          <w:p w14:paraId="15166832" w14:textId="77777777" w:rsidR="00F4578A" w:rsidRDefault="00F4578A" w:rsidP="002A7217">
            <w:pPr>
              <w:spacing w:line="276" w:lineRule="auto"/>
              <w:cnfStyle w:val="000000100000" w:firstRow="0" w:lastRow="0" w:firstColumn="0" w:lastColumn="0" w:oddVBand="0" w:evenVBand="0" w:oddHBand="1" w:evenHBand="0" w:firstRowFirstColumn="0" w:firstRowLastColumn="0" w:lastRowFirstColumn="0" w:lastRowLastColumn="0"/>
              <w:rPr>
                <w:b/>
                <w:bCs/>
              </w:rPr>
            </w:pPr>
            <w:r>
              <w:t>4.9% reduction</w:t>
            </w:r>
          </w:p>
        </w:tc>
        <w:tc>
          <w:tcPr>
            <w:tcW w:w="3261" w:type="dxa"/>
          </w:tcPr>
          <w:p w14:paraId="17A7F034" w14:textId="77777777" w:rsidR="00F4578A" w:rsidRPr="00B8721B" w:rsidRDefault="00F4578A" w:rsidP="002A7217">
            <w:pPr>
              <w:spacing w:line="276" w:lineRule="auto"/>
              <w:cnfStyle w:val="000000100000" w:firstRow="0" w:lastRow="0" w:firstColumn="0" w:lastColumn="0" w:oddVBand="0" w:evenVBand="0" w:oddHBand="1" w:evenHBand="0" w:firstRowFirstColumn="0" w:firstRowLastColumn="0" w:lastRowFirstColumn="0" w:lastRowLastColumn="0"/>
              <w:rPr>
                <w:b/>
                <w:bCs/>
              </w:rPr>
            </w:pPr>
            <w:r>
              <w:t>5% reduction</w:t>
            </w:r>
          </w:p>
        </w:tc>
      </w:tr>
      <w:tr w:rsidR="00F4578A" w:rsidRPr="00B8721B" w14:paraId="5F7BA708" w14:textId="77777777" w:rsidTr="009E6FCE">
        <w:tc>
          <w:tcPr>
            <w:cnfStyle w:val="001000000000" w:firstRow="0" w:lastRow="0" w:firstColumn="1" w:lastColumn="0" w:oddVBand="0" w:evenVBand="0" w:oddHBand="0" w:evenHBand="0" w:firstRowFirstColumn="0" w:firstRowLastColumn="0" w:lastRowFirstColumn="0" w:lastRowLastColumn="0"/>
            <w:tcW w:w="2547" w:type="dxa"/>
          </w:tcPr>
          <w:p w14:paraId="1CE0B39F" w14:textId="77777777" w:rsidR="00F4578A" w:rsidRDefault="00F4578A" w:rsidP="00596701">
            <w:pPr>
              <w:spacing w:line="276" w:lineRule="auto"/>
              <w:jc w:val="both"/>
              <w:rPr>
                <w:b w:val="0"/>
                <w:bCs w:val="0"/>
              </w:rPr>
            </w:pPr>
            <w:r>
              <w:t>Readmissions</w:t>
            </w:r>
          </w:p>
        </w:tc>
        <w:tc>
          <w:tcPr>
            <w:tcW w:w="3118" w:type="dxa"/>
          </w:tcPr>
          <w:p w14:paraId="735792CE" w14:textId="77777777" w:rsidR="00F4578A" w:rsidRDefault="00F4578A" w:rsidP="002A7217">
            <w:pPr>
              <w:pStyle w:val="ListParagraph"/>
              <w:numPr>
                <w:ilvl w:val="0"/>
                <w:numId w:val="60"/>
              </w:numPr>
              <w:spacing w:line="276" w:lineRule="auto"/>
              <w:cnfStyle w:val="000000000000" w:firstRow="0" w:lastRow="0" w:firstColumn="0" w:lastColumn="0" w:oddVBand="0" w:evenVBand="0" w:oddHBand="0" w:evenHBand="0" w:firstRowFirstColumn="0" w:firstRowLastColumn="0" w:lastRowFirstColumn="0" w:lastRowLastColumn="0"/>
            </w:pPr>
            <w:r>
              <w:t>2.3% reduction in readmissions from patient’s homes</w:t>
            </w:r>
          </w:p>
          <w:p w14:paraId="01A7E3F2" w14:textId="77777777" w:rsidR="00F4578A" w:rsidRPr="00361AF0" w:rsidRDefault="00F4578A" w:rsidP="002A7217">
            <w:pPr>
              <w:pStyle w:val="ListParagraph"/>
              <w:numPr>
                <w:ilvl w:val="0"/>
                <w:numId w:val="60"/>
              </w:numPr>
              <w:spacing w:line="276" w:lineRule="auto"/>
              <w:cnfStyle w:val="000000000000" w:firstRow="0" w:lastRow="0" w:firstColumn="0" w:lastColumn="0" w:oddVBand="0" w:evenVBand="0" w:oddHBand="0" w:evenHBand="0" w:firstRowFirstColumn="0" w:firstRowLastColumn="0" w:lastRowFirstColumn="0" w:lastRowLastColumn="0"/>
              <w:rPr>
                <w:b/>
                <w:bCs/>
              </w:rPr>
            </w:pPr>
            <w:r>
              <w:t>2.5% reduction in readmissions from care home</w:t>
            </w:r>
          </w:p>
        </w:tc>
        <w:tc>
          <w:tcPr>
            <w:tcW w:w="3261" w:type="dxa"/>
          </w:tcPr>
          <w:p w14:paraId="20E07F2D" w14:textId="6E19B322" w:rsidR="00F4578A" w:rsidRPr="00361AF0" w:rsidRDefault="00F4578A" w:rsidP="002A7217">
            <w:pPr>
              <w:spacing w:line="276" w:lineRule="auto"/>
              <w:cnfStyle w:val="000000000000" w:firstRow="0" w:lastRow="0" w:firstColumn="0" w:lastColumn="0" w:oddVBand="0" w:evenVBand="0" w:oddHBand="0" w:evenHBand="0" w:firstRowFirstColumn="0" w:firstRowLastColumn="0" w:lastRowFirstColumn="0" w:lastRowLastColumn="0"/>
            </w:pPr>
            <w:r w:rsidRPr="00361AF0">
              <w:t>2.5% reduction</w:t>
            </w:r>
          </w:p>
        </w:tc>
      </w:tr>
      <w:tr w:rsidR="00F4578A" w:rsidRPr="00B8721B" w14:paraId="550B6EB2" w14:textId="77777777" w:rsidTr="009E6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5C3C067" w14:textId="77777777" w:rsidR="00F4578A" w:rsidRDefault="00F4578A" w:rsidP="00596701">
            <w:pPr>
              <w:spacing w:line="276" w:lineRule="auto"/>
              <w:rPr>
                <w:b w:val="0"/>
                <w:bCs w:val="0"/>
              </w:rPr>
            </w:pPr>
            <w:r>
              <w:t>Nursing home admissions</w:t>
            </w:r>
          </w:p>
        </w:tc>
        <w:tc>
          <w:tcPr>
            <w:tcW w:w="3118" w:type="dxa"/>
          </w:tcPr>
          <w:p w14:paraId="61B8ED28" w14:textId="77777777" w:rsidR="00F4578A" w:rsidRPr="00AB293C" w:rsidRDefault="00F4578A" w:rsidP="002A7217">
            <w:pPr>
              <w:pStyle w:val="ListParagraph"/>
              <w:numPr>
                <w:ilvl w:val="0"/>
                <w:numId w:val="61"/>
              </w:numPr>
              <w:spacing w:line="276" w:lineRule="auto"/>
              <w:cnfStyle w:val="000000100000" w:firstRow="0" w:lastRow="0" w:firstColumn="0" w:lastColumn="0" w:oddVBand="0" w:evenVBand="0" w:oddHBand="1" w:evenHBand="0" w:firstRowFirstColumn="0" w:firstRowLastColumn="0" w:lastRowFirstColumn="0" w:lastRowLastColumn="0"/>
              <w:rPr>
                <w:b/>
                <w:bCs/>
              </w:rPr>
            </w:pPr>
            <w:r>
              <w:t>6% reduction in nursing home admissions</w:t>
            </w:r>
          </w:p>
        </w:tc>
        <w:tc>
          <w:tcPr>
            <w:tcW w:w="3261" w:type="dxa"/>
          </w:tcPr>
          <w:p w14:paraId="0E6F0B26" w14:textId="77777777" w:rsidR="00F4578A" w:rsidRPr="00AB293C" w:rsidRDefault="00F4578A" w:rsidP="002A7217">
            <w:pPr>
              <w:spacing w:line="276" w:lineRule="auto"/>
              <w:cnfStyle w:val="000000100000" w:firstRow="0" w:lastRow="0" w:firstColumn="0" w:lastColumn="0" w:oddVBand="0" w:evenVBand="0" w:oddHBand="1" w:evenHBand="0" w:firstRowFirstColumn="0" w:firstRowLastColumn="0" w:lastRowFirstColumn="0" w:lastRowLastColumn="0"/>
            </w:pPr>
            <w:r w:rsidRPr="00AB293C">
              <w:t>13% reduction</w:t>
            </w:r>
          </w:p>
        </w:tc>
      </w:tr>
      <w:tr w:rsidR="00F4578A" w:rsidRPr="00B8721B" w14:paraId="2A4F15C5" w14:textId="77777777" w:rsidTr="009E6FCE">
        <w:tc>
          <w:tcPr>
            <w:cnfStyle w:val="001000000000" w:firstRow="0" w:lastRow="0" w:firstColumn="1" w:lastColumn="0" w:oddVBand="0" w:evenVBand="0" w:oddHBand="0" w:evenHBand="0" w:firstRowFirstColumn="0" w:firstRowLastColumn="0" w:lastRowFirstColumn="0" w:lastRowLastColumn="0"/>
            <w:tcW w:w="2547" w:type="dxa"/>
          </w:tcPr>
          <w:p w14:paraId="32A27DDA" w14:textId="77777777" w:rsidR="00F4578A" w:rsidRDefault="00F4578A" w:rsidP="00596701">
            <w:pPr>
              <w:spacing w:line="276" w:lineRule="auto"/>
              <w:rPr>
                <w:b w:val="0"/>
                <w:bCs w:val="0"/>
              </w:rPr>
            </w:pPr>
            <w:r>
              <w:t>Hospital related mortality</w:t>
            </w:r>
          </w:p>
        </w:tc>
        <w:tc>
          <w:tcPr>
            <w:tcW w:w="3118" w:type="dxa"/>
          </w:tcPr>
          <w:p w14:paraId="1EC2F036" w14:textId="77777777" w:rsidR="00F4578A" w:rsidRPr="00A751A7" w:rsidRDefault="00F4578A" w:rsidP="002A7217">
            <w:pPr>
              <w:pStyle w:val="ListParagraph"/>
              <w:numPr>
                <w:ilvl w:val="0"/>
                <w:numId w:val="61"/>
              </w:numPr>
              <w:spacing w:line="276" w:lineRule="auto"/>
              <w:cnfStyle w:val="000000000000" w:firstRow="0" w:lastRow="0" w:firstColumn="0" w:lastColumn="0" w:oddVBand="0" w:evenVBand="0" w:oddHBand="0" w:evenHBand="0" w:firstRowFirstColumn="0" w:firstRowLastColumn="0" w:lastRowFirstColumn="0" w:lastRowLastColumn="0"/>
              <w:rPr>
                <w:b/>
                <w:bCs/>
              </w:rPr>
            </w:pPr>
            <w:r>
              <w:t>7% reduction in the annual number of hospital related deaths which sits between the expected 4% reduction and the 8% value suggested by previous studies</w:t>
            </w:r>
          </w:p>
        </w:tc>
        <w:tc>
          <w:tcPr>
            <w:tcW w:w="3261" w:type="dxa"/>
          </w:tcPr>
          <w:p w14:paraId="3785FD31" w14:textId="77777777" w:rsidR="00F4578A" w:rsidRPr="001E3310" w:rsidRDefault="00F4578A" w:rsidP="002A7217">
            <w:pPr>
              <w:spacing w:line="276" w:lineRule="auto"/>
              <w:cnfStyle w:val="000000000000" w:firstRow="0" w:lastRow="0" w:firstColumn="0" w:lastColumn="0" w:oddVBand="0" w:evenVBand="0" w:oddHBand="0" w:evenHBand="0" w:firstRowFirstColumn="0" w:firstRowLastColumn="0" w:lastRowFirstColumn="0" w:lastRowLastColumn="0"/>
            </w:pPr>
            <w:r>
              <w:t>4% reduction</w:t>
            </w:r>
          </w:p>
        </w:tc>
      </w:tr>
    </w:tbl>
    <w:p w14:paraId="1A6B3416" w14:textId="77777777" w:rsidR="00F4578A" w:rsidRPr="009F35E2" w:rsidRDefault="00F4578A" w:rsidP="002A7217">
      <w:pPr>
        <w:jc w:val="both"/>
      </w:pPr>
    </w:p>
    <w:p w14:paraId="03998DB6" w14:textId="44F29E98" w:rsidR="00231305" w:rsidRDefault="00231305" w:rsidP="00D57D6F">
      <w:pPr>
        <w:pStyle w:val="Heading2"/>
      </w:pPr>
      <w:r>
        <w:t>Scenario analysis</w:t>
      </w:r>
    </w:p>
    <w:p w14:paraId="39852563" w14:textId="45ABB57A" w:rsidR="006B5253" w:rsidRDefault="006B5253" w:rsidP="003832D3">
      <w:pPr>
        <w:pStyle w:val="Newparagraph"/>
        <w:jc w:val="both"/>
      </w:pPr>
      <w:r>
        <w:t xml:space="preserve">The main aim of the </w:t>
      </w:r>
      <w:r w:rsidR="00F63221">
        <w:t xml:space="preserve">SD </w:t>
      </w:r>
      <w:r>
        <w:t xml:space="preserve">decision support tool was to allow users to see the effect of </w:t>
      </w:r>
      <w:r w:rsidR="002C5B15">
        <w:t xml:space="preserve">the selected </w:t>
      </w:r>
      <w:r>
        <w:t xml:space="preserve">interventions on key outcomes such as mortality, readmissions, ED revisits and nursing home admissions. </w:t>
      </w:r>
      <w:r w:rsidR="00B100B4">
        <w:t>T</w:t>
      </w:r>
      <w:r w:rsidR="003D3B8B">
        <w:t xml:space="preserve">he </w:t>
      </w:r>
      <w:r w:rsidR="00D31A20">
        <w:t xml:space="preserve">tool </w:t>
      </w:r>
      <w:r w:rsidR="003D3B8B">
        <w:t>allow</w:t>
      </w:r>
      <w:r w:rsidR="00D31A20">
        <w:t>s</w:t>
      </w:r>
      <w:r w:rsidR="003D3B8B">
        <w:t xml:space="preserve"> the user to compare the effect of </w:t>
      </w:r>
      <w:r w:rsidR="00FE0A7E">
        <w:t xml:space="preserve">the </w:t>
      </w:r>
      <w:r w:rsidR="00D31A20">
        <w:t>five</w:t>
      </w:r>
      <w:r w:rsidR="003D3B8B">
        <w:t xml:space="preserve"> </w:t>
      </w:r>
      <w:r>
        <w:t>intervention</w:t>
      </w:r>
      <w:r w:rsidR="003832D3">
        <w:t xml:space="preserve">s described in </w:t>
      </w:r>
      <w:r w:rsidR="00963481">
        <w:t xml:space="preserve">Table 1 </w:t>
      </w:r>
      <w:r w:rsidR="003D3B8B">
        <w:t xml:space="preserve">with </w:t>
      </w:r>
      <w:r w:rsidR="00D31A20">
        <w:t>a</w:t>
      </w:r>
      <w:r w:rsidR="003D3B8B">
        <w:t xml:space="preserve"> baseline </w:t>
      </w:r>
      <w:r w:rsidR="00D31A20">
        <w:t>‘</w:t>
      </w:r>
      <w:r w:rsidR="00FE0A7E">
        <w:t>as-is</w:t>
      </w:r>
      <w:r w:rsidR="00D31A20">
        <w:t xml:space="preserve">’ </w:t>
      </w:r>
      <w:r w:rsidR="003D3B8B">
        <w:t>model</w:t>
      </w:r>
      <w:r>
        <w:t>.</w:t>
      </w:r>
      <w:r w:rsidR="0008654A">
        <w:t xml:space="preserve"> </w:t>
      </w:r>
      <w:r w:rsidR="008C79D4">
        <w:t>In the scenario analysis, t</w:t>
      </w:r>
      <w:r w:rsidR="0008654A">
        <w:t xml:space="preserve">he baseline model considers a large hospital in the Yorkshire and Humber region where </w:t>
      </w:r>
      <w:r w:rsidR="00012FB3">
        <w:t xml:space="preserve">the </w:t>
      </w:r>
      <w:r w:rsidR="0008654A">
        <w:t xml:space="preserve">daily number of ED attendances is in the region of 650 (for all ages) and there are approximately 150 emergency admissions. The model parameters (for the 75 and older patient population) used in the baseline model are given in Table A1 (see </w:t>
      </w:r>
      <w:r w:rsidR="0008654A" w:rsidRPr="0085779C">
        <w:t>Appendix</w:t>
      </w:r>
      <w:r w:rsidR="0008654A">
        <w:t xml:space="preserve">). </w:t>
      </w:r>
      <w:r w:rsidR="00A72C83">
        <w:t>In the five scenarios that</w:t>
      </w:r>
      <w:r w:rsidR="00BC5A5C">
        <w:t xml:space="preserve"> </w:t>
      </w:r>
      <w:r w:rsidR="00A72C83">
        <w:t>examine the effect of the interventions</w:t>
      </w:r>
      <w:r w:rsidR="00EB34B0">
        <w:t>,</w:t>
      </w:r>
      <w:r w:rsidR="00A72C83">
        <w:t xml:space="preserve"> the hospital parameters (given in Table A1) have been adjusted </w:t>
      </w:r>
      <w:r w:rsidR="00EB34B0">
        <w:t>according to</w:t>
      </w:r>
      <w:r w:rsidR="00A72C83">
        <w:t xml:space="preserve"> the risk ratios cited in the literature (see Table </w:t>
      </w:r>
      <w:r w:rsidR="000B7068">
        <w:t>1</w:t>
      </w:r>
      <w:r w:rsidR="00A72C83">
        <w:t xml:space="preserve">). The SD model has been run with the updated set of </w:t>
      </w:r>
      <w:r w:rsidR="00EB34B0">
        <w:t xml:space="preserve">model parameters and the hospital metrics (admissions, </w:t>
      </w:r>
      <w:r w:rsidR="00012FB3">
        <w:t xml:space="preserve">older people </w:t>
      </w:r>
      <w:r w:rsidR="00012FB3">
        <w:lastRenderedPageBreak/>
        <w:t xml:space="preserve">in hospital, nursing home admissions, </w:t>
      </w:r>
      <w:r w:rsidR="00EB34B0">
        <w:t>readmissions, hospital related deaths) have been compared with the baseline results.</w:t>
      </w:r>
      <w:r w:rsidR="00A72C83">
        <w:t xml:space="preserve"> </w:t>
      </w:r>
      <w:r w:rsidR="00012FB3">
        <w:t xml:space="preserve">The comparisons are shown in </w:t>
      </w:r>
      <w:r w:rsidR="00531523">
        <w:t xml:space="preserve">Table </w:t>
      </w:r>
      <w:r w:rsidR="002D64F7">
        <w:t>5</w:t>
      </w:r>
      <w:r w:rsidR="00012FB3">
        <w:t>.</w:t>
      </w:r>
      <w:r w:rsidR="00BC5A5C">
        <w:t xml:space="preserve">  </w:t>
      </w:r>
    </w:p>
    <w:p w14:paraId="415C5AAA" w14:textId="45D8AD2D" w:rsidR="001050A2" w:rsidRDefault="001050A2" w:rsidP="003832D3">
      <w:pPr>
        <w:pStyle w:val="Heading1"/>
      </w:pPr>
      <w:r>
        <w:t>Results</w:t>
      </w:r>
    </w:p>
    <w:p w14:paraId="2478632D" w14:textId="22EA5971" w:rsidR="0015562E" w:rsidRPr="0015562E" w:rsidRDefault="0015562E" w:rsidP="0015562E">
      <w:pPr>
        <w:pStyle w:val="Paragraph"/>
        <w:jc w:val="both"/>
      </w:pPr>
      <w:r>
        <w:tab/>
        <w:t>The baseline SD model suggest approximately 73 ED attendances each day</w:t>
      </w:r>
      <w:r w:rsidR="00BB719A">
        <w:t>,</w:t>
      </w:r>
      <w:r>
        <w:t xml:space="preserve"> leading to 48 hospital admissions amongst the older people population. The model suggests 16 emergency admissions. </w:t>
      </w:r>
      <w:r w:rsidR="00BB719A">
        <w:t>T</w:t>
      </w:r>
      <w:r>
        <w:t>he baseline model suggests that there will be approximately 62 people, aged 75 and over in hospital each day. The number of readmissions for our chosen age group under the baseline scenario is estimated at 14 with 11 coming from patients who have previously been discharged to their own home. The baseline model suggests that the annual number of hospital related deaths for older patients in a hospital of this size will be approximately 750.</w:t>
      </w:r>
    </w:p>
    <w:p w14:paraId="6DFDBC5D" w14:textId="3501F507" w:rsidR="00AD0326" w:rsidRDefault="0004178F" w:rsidP="00891680">
      <w:pPr>
        <w:pStyle w:val="CommentText"/>
        <w:spacing w:line="480" w:lineRule="auto"/>
        <w:ind w:firstLine="720"/>
        <w:jc w:val="both"/>
        <w:rPr>
          <w:sz w:val="24"/>
          <w:szCs w:val="24"/>
        </w:rPr>
      </w:pPr>
      <w:r w:rsidRPr="0091369A">
        <w:rPr>
          <w:sz w:val="24"/>
          <w:szCs w:val="24"/>
        </w:rPr>
        <w:t xml:space="preserve">The </w:t>
      </w:r>
      <w:r w:rsidR="003832D3" w:rsidRPr="0091369A">
        <w:rPr>
          <w:sz w:val="24"/>
          <w:szCs w:val="24"/>
        </w:rPr>
        <w:t>results of the SD</w:t>
      </w:r>
      <w:r w:rsidRPr="0091369A">
        <w:rPr>
          <w:sz w:val="24"/>
          <w:szCs w:val="24"/>
        </w:rPr>
        <w:t xml:space="preserve"> model simulat</w:t>
      </w:r>
      <w:r w:rsidR="003832D3" w:rsidRPr="0091369A">
        <w:rPr>
          <w:sz w:val="24"/>
          <w:szCs w:val="24"/>
        </w:rPr>
        <w:t>ion</w:t>
      </w:r>
      <w:r w:rsidRPr="0091369A">
        <w:rPr>
          <w:sz w:val="24"/>
          <w:szCs w:val="24"/>
        </w:rPr>
        <w:t xml:space="preserve">s </w:t>
      </w:r>
      <w:r w:rsidR="003832D3" w:rsidRPr="0091369A">
        <w:rPr>
          <w:sz w:val="24"/>
          <w:szCs w:val="24"/>
        </w:rPr>
        <w:t>for</w:t>
      </w:r>
      <w:r w:rsidRPr="0091369A">
        <w:rPr>
          <w:sz w:val="24"/>
          <w:szCs w:val="24"/>
        </w:rPr>
        <w:t xml:space="preserve"> a hypothetical hospital</w:t>
      </w:r>
      <w:r w:rsidR="00012FB3">
        <w:rPr>
          <w:sz w:val="24"/>
          <w:szCs w:val="24"/>
        </w:rPr>
        <w:t xml:space="preserve"> setting</w:t>
      </w:r>
      <w:r w:rsidRPr="0091369A">
        <w:rPr>
          <w:sz w:val="24"/>
          <w:szCs w:val="24"/>
        </w:rPr>
        <w:t xml:space="preserve"> in the Yorkshire and Humber region </w:t>
      </w:r>
      <w:r w:rsidR="003832D3" w:rsidRPr="0091369A">
        <w:rPr>
          <w:sz w:val="24"/>
          <w:szCs w:val="24"/>
        </w:rPr>
        <w:t xml:space="preserve">are summarised </w:t>
      </w:r>
      <w:r w:rsidR="00497ED8">
        <w:rPr>
          <w:sz w:val="24"/>
          <w:szCs w:val="24"/>
        </w:rPr>
        <w:t xml:space="preserve">in </w:t>
      </w:r>
      <w:r w:rsidR="002F1B15">
        <w:rPr>
          <w:sz w:val="24"/>
          <w:szCs w:val="24"/>
        </w:rPr>
        <w:t xml:space="preserve">Table </w:t>
      </w:r>
      <w:r w:rsidR="000B7068" w:rsidRPr="0085779C">
        <w:rPr>
          <w:sz w:val="24"/>
          <w:szCs w:val="24"/>
        </w:rPr>
        <w:t>5</w:t>
      </w:r>
      <w:r w:rsidRPr="0091369A">
        <w:rPr>
          <w:sz w:val="24"/>
          <w:szCs w:val="24"/>
        </w:rPr>
        <w:t>.</w:t>
      </w:r>
      <w:r w:rsidR="0091369A" w:rsidRPr="0091369A">
        <w:rPr>
          <w:sz w:val="24"/>
          <w:szCs w:val="24"/>
        </w:rPr>
        <w:t xml:space="preserve"> </w:t>
      </w:r>
      <w:r w:rsidR="0091369A">
        <w:rPr>
          <w:sz w:val="24"/>
          <w:szCs w:val="24"/>
        </w:rPr>
        <w:t>T</w:t>
      </w:r>
      <w:r w:rsidR="0091369A" w:rsidRPr="0091369A">
        <w:rPr>
          <w:sz w:val="24"/>
          <w:szCs w:val="24"/>
        </w:rPr>
        <w:t xml:space="preserve">hese results are for a service running over one year, </w:t>
      </w:r>
      <w:r w:rsidR="003B33F0">
        <w:rPr>
          <w:sz w:val="24"/>
          <w:szCs w:val="24"/>
        </w:rPr>
        <w:t>and</w:t>
      </w:r>
      <w:r w:rsidR="0091369A" w:rsidRPr="0091369A">
        <w:rPr>
          <w:sz w:val="24"/>
          <w:szCs w:val="24"/>
        </w:rPr>
        <w:t xml:space="preserve"> take account of reductions in admissions, readmission</w:t>
      </w:r>
      <w:r w:rsidR="0091369A">
        <w:rPr>
          <w:sz w:val="24"/>
          <w:szCs w:val="24"/>
        </w:rPr>
        <w:t>s</w:t>
      </w:r>
      <w:r w:rsidR="0091369A" w:rsidRPr="0091369A">
        <w:rPr>
          <w:sz w:val="24"/>
          <w:szCs w:val="24"/>
        </w:rPr>
        <w:t xml:space="preserve">, deaths, </w:t>
      </w:r>
      <w:r w:rsidR="0091369A">
        <w:rPr>
          <w:sz w:val="24"/>
          <w:szCs w:val="24"/>
        </w:rPr>
        <w:t xml:space="preserve">and </w:t>
      </w:r>
      <w:r w:rsidR="0091369A" w:rsidRPr="0091369A">
        <w:rPr>
          <w:sz w:val="24"/>
          <w:szCs w:val="24"/>
        </w:rPr>
        <w:t>institutionalisation</w:t>
      </w:r>
      <w:r w:rsidR="00195C4D">
        <w:rPr>
          <w:sz w:val="24"/>
          <w:szCs w:val="24"/>
        </w:rPr>
        <w:t xml:space="preserve"> amongst a cohort of patients aged 75 and above.</w:t>
      </w:r>
      <w:r w:rsidR="003366E5">
        <w:rPr>
          <w:sz w:val="24"/>
          <w:szCs w:val="24"/>
        </w:rPr>
        <w:t xml:space="preserve"> It is worth emphasi</w:t>
      </w:r>
      <w:r w:rsidR="0023649B">
        <w:rPr>
          <w:sz w:val="24"/>
          <w:szCs w:val="24"/>
        </w:rPr>
        <w:t>s</w:t>
      </w:r>
      <w:r w:rsidR="003366E5">
        <w:rPr>
          <w:sz w:val="24"/>
          <w:szCs w:val="24"/>
        </w:rPr>
        <w:t xml:space="preserve">ing that the model </w:t>
      </w:r>
      <w:r w:rsidR="00996B79">
        <w:rPr>
          <w:sz w:val="24"/>
          <w:szCs w:val="24"/>
        </w:rPr>
        <w:t>adopts</w:t>
      </w:r>
      <w:r w:rsidR="003366E5">
        <w:rPr>
          <w:sz w:val="24"/>
          <w:szCs w:val="24"/>
        </w:rPr>
        <w:t xml:space="preserve"> a whole systems </w:t>
      </w:r>
      <w:r w:rsidR="00996B79">
        <w:rPr>
          <w:sz w:val="24"/>
          <w:szCs w:val="24"/>
        </w:rPr>
        <w:t>perspective</w:t>
      </w:r>
      <w:r w:rsidR="0023649B">
        <w:rPr>
          <w:sz w:val="24"/>
          <w:szCs w:val="24"/>
        </w:rPr>
        <w:t>,</w:t>
      </w:r>
      <w:r w:rsidR="003366E5">
        <w:rPr>
          <w:sz w:val="24"/>
          <w:szCs w:val="24"/>
        </w:rPr>
        <w:t xml:space="preserve"> with some intervention</w:t>
      </w:r>
      <w:r w:rsidR="0023649B">
        <w:rPr>
          <w:sz w:val="24"/>
          <w:szCs w:val="24"/>
        </w:rPr>
        <w:t>s</w:t>
      </w:r>
      <w:r w:rsidR="003366E5">
        <w:rPr>
          <w:sz w:val="24"/>
          <w:szCs w:val="24"/>
        </w:rPr>
        <w:t xml:space="preserve"> </w:t>
      </w:r>
      <w:r w:rsidR="0023649B">
        <w:rPr>
          <w:sz w:val="24"/>
          <w:szCs w:val="24"/>
        </w:rPr>
        <w:t xml:space="preserve">creating </w:t>
      </w:r>
      <w:r w:rsidR="003366E5">
        <w:rPr>
          <w:sz w:val="24"/>
          <w:szCs w:val="24"/>
        </w:rPr>
        <w:t>knock-on effects further downstream or in the future.</w:t>
      </w:r>
      <w:r w:rsidR="00BB549F">
        <w:rPr>
          <w:sz w:val="24"/>
          <w:szCs w:val="24"/>
        </w:rPr>
        <w:t xml:space="preserve"> </w:t>
      </w:r>
    </w:p>
    <w:p w14:paraId="1AA40595" w14:textId="26F17439" w:rsidR="00BF7AE6" w:rsidRDefault="00BB549F" w:rsidP="00891680">
      <w:pPr>
        <w:pStyle w:val="CommentText"/>
        <w:spacing w:line="480" w:lineRule="auto"/>
        <w:ind w:firstLine="720"/>
        <w:jc w:val="both"/>
        <w:rPr>
          <w:sz w:val="24"/>
          <w:szCs w:val="24"/>
        </w:rPr>
      </w:pPr>
      <w:r>
        <w:rPr>
          <w:sz w:val="24"/>
          <w:szCs w:val="24"/>
        </w:rPr>
        <w:t xml:space="preserve">By considering the whole system, the model </w:t>
      </w:r>
      <w:r w:rsidR="00AD0326">
        <w:rPr>
          <w:sz w:val="24"/>
          <w:szCs w:val="24"/>
        </w:rPr>
        <w:t>can</w:t>
      </w:r>
      <w:r>
        <w:rPr>
          <w:sz w:val="24"/>
          <w:szCs w:val="24"/>
        </w:rPr>
        <w:t xml:space="preserve"> provide the missing links in the evidence. </w:t>
      </w:r>
      <w:r w:rsidR="00AD0326">
        <w:rPr>
          <w:sz w:val="24"/>
          <w:szCs w:val="24"/>
        </w:rPr>
        <w:t xml:space="preserve">For example, in the hospital at home intervention, the cited literature does not provide evidence on the effect size in relation to the number of hospital admissions or the number of older patients in hospital beds. However, the model </w:t>
      </w:r>
      <w:r w:rsidR="00DB7DB7">
        <w:rPr>
          <w:sz w:val="24"/>
          <w:szCs w:val="24"/>
        </w:rPr>
        <w:t xml:space="preserve">estimates </w:t>
      </w:r>
      <w:r w:rsidR="00AD0326">
        <w:rPr>
          <w:sz w:val="24"/>
          <w:szCs w:val="24"/>
        </w:rPr>
        <w:t xml:space="preserve">the effect on both metrics. In the geriatric emergency medicine scenario, the evidence </w:t>
      </w:r>
      <w:r w:rsidR="002C5B15">
        <w:rPr>
          <w:sz w:val="24"/>
          <w:szCs w:val="24"/>
        </w:rPr>
        <w:t xml:space="preserve">about </w:t>
      </w:r>
      <w:r w:rsidR="00AD0326">
        <w:rPr>
          <w:sz w:val="24"/>
          <w:szCs w:val="24"/>
        </w:rPr>
        <w:t>the effect size on hospital numbers, nursing home admissions and hospital related deaths is limited. The tool, however</w:t>
      </w:r>
      <w:r w:rsidR="007F06D0">
        <w:rPr>
          <w:sz w:val="24"/>
          <w:szCs w:val="24"/>
        </w:rPr>
        <w:t>,</w:t>
      </w:r>
      <w:r w:rsidR="00AD0326">
        <w:rPr>
          <w:sz w:val="24"/>
          <w:szCs w:val="24"/>
        </w:rPr>
        <w:t xml:space="preserve"> </w:t>
      </w:r>
      <w:r w:rsidR="007F06D0">
        <w:rPr>
          <w:sz w:val="24"/>
          <w:szCs w:val="24"/>
        </w:rPr>
        <w:t>can</w:t>
      </w:r>
      <w:r w:rsidR="00AD0326">
        <w:rPr>
          <w:sz w:val="24"/>
          <w:szCs w:val="24"/>
        </w:rPr>
        <w:t xml:space="preserve"> show the </w:t>
      </w:r>
      <w:r w:rsidR="00A403C5">
        <w:rPr>
          <w:sz w:val="24"/>
          <w:szCs w:val="24"/>
        </w:rPr>
        <w:t xml:space="preserve">potential </w:t>
      </w:r>
      <w:r w:rsidR="00AD0326">
        <w:rPr>
          <w:sz w:val="24"/>
          <w:szCs w:val="24"/>
        </w:rPr>
        <w:t>reduction</w:t>
      </w:r>
      <w:r w:rsidR="007F06D0">
        <w:rPr>
          <w:sz w:val="24"/>
          <w:szCs w:val="24"/>
        </w:rPr>
        <w:t>,</w:t>
      </w:r>
      <w:r w:rsidR="00AD0326">
        <w:rPr>
          <w:sz w:val="24"/>
          <w:szCs w:val="24"/>
        </w:rPr>
        <w:t xml:space="preserve"> as a result of</w:t>
      </w:r>
      <w:r w:rsidR="007F06D0">
        <w:rPr>
          <w:sz w:val="24"/>
          <w:szCs w:val="24"/>
        </w:rPr>
        <w:t>,</w:t>
      </w:r>
      <w:r w:rsidR="00AD0326">
        <w:rPr>
          <w:sz w:val="24"/>
          <w:szCs w:val="24"/>
        </w:rPr>
        <w:t xml:space="preserve"> the intervention effects that were documented in the evidence.</w:t>
      </w:r>
      <w:r w:rsidR="007F06D0">
        <w:rPr>
          <w:sz w:val="24"/>
          <w:szCs w:val="24"/>
        </w:rPr>
        <w:t xml:space="preserve"> Similarly, with front door frailty and acute frailty units, although the evidence cited </w:t>
      </w:r>
      <w:r w:rsidR="007F06D0">
        <w:rPr>
          <w:sz w:val="24"/>
          <w:szCs w:val="24"/>
        </w:rPr>
        <w:lastRenderedPageBreak/>
        <w:t xml:space="preserve">in the literature is not complete, the tool can be used to demonstrate what the effect sizes </w:t>
      </w:r>
      <w:r w:rsidR="007F06D0" w:rsidRPr="00483740">
        <w:rPr>
          <w:i/>
          <w:iCs/>
          <w:sz w:val="24"/>
          <w:szCs w:val="24"/>
        </w:rPr>
        <w:t>might</w:t>
      </w:r>
      <w:r w:rsidR="007F06D0">
        <w:rPr>
          <w:sz w:val="24"/>
          <w:szCs w:val="24"/>
        </w:rPr>
        <w:t xml:space="preserve"> look like in those categories. </w:t>
      </w:r>
    </w:p>
    <w:p w14:paraId="51A2474C" w14:textId="59961CD4" w:rsidR="00BF7AE6" w:rsidRDefault="00BF7AE6">
      <w:pPr>
        <w:spacing w:line="240" w:lineRule="auto"/>
      </w:pPr>
      <w:r>
        <w:br w:type="page"/>
      </w:r>
    </w:p>
    <w:p w14:paraId="733F3E01" w14:textId="77777777" w:rsidR="00EB7BD1" w:rsidRDefault="00EB7BD1" w:rsidP="00497ED8">
      <w:pPr>
        <w:pStyle w:val="Caption"/>
        <w:keepNext/>
        <w:sectPr w:rsidR="00EB7BD1" w:rsidSect="002F1B4A">
          <w:footerReference w:type="default" r:id="rId10"/>
          <w:pgSz w:w="11901" w:h="16840" w:code="9"/>
          <w:pgMar w:top="1440" w:right="1440" w:bottom="1440" w:left="1440" w:header="709" w:footer="709" w:gutter="0"/>
          <w:cols w:space="708"/>
          <w:docGrid w:linePitch="360"/>
        </w:sectPr>
      </w:pPr>
    </w:p>
    <w:p w14:paraId="45039218" w14:textId="2D748E76" w:rsidR="00497ED8" w:rsidRDefault="00B66878" w:rsidP="00497ED8">
      <w:pPr>
        <w:pStyle w:val="Caption"/>
        <w:keepNext/>
      </w:pPr>
      <w:bookmarkStart w:id="6" w:name="_Ref89159786"/>
      <w:r>
        <w:lastRenderedPageBreak/>
        <w:t xml:space="preserve">Table </w:t>
      </w:r>
      <w:bookmarkEnd w:id="6"/>
      <w:r w:rsidR="007D4358">
        <w:t>5</w:t>
      </w:r>
      <w:r w:rsidR="007D4358">
        <w:rPr>
          <w:noProof/>
        </w:rPr>
        <w:t xml:space="preserve"> </w:t>
      </w:r>
      <w:r>
        <w:t>s</w:t>
      </w:r>
      <w:r w:rsidR="00497ED8">
        <w:t>cenario analysis – the five interventions</w:t>
      </w:r>
      <w:r w:rsidR="005023F7">
        <w:t xml:space="preserve"> applied to a hypothetic large hospital in the Yorkshire and Humber region</w:t>
      </w:r>
    </w:p>
    <w:tbl>
      <w:tblPr>
        <w:tblStyle w:val="GridTable4-Accent1"/>
        <w:tblW w:w="0" w:type="auto"/>
        <w:tblLook w:val="04A0" w:firstRow="1" w:lastRow="0" w:firstColumn="1" w:lastColumn="0" w:noHBand="0" w:noVBand="1"/>
      </w:tblPr>
      <w:tblGrid>
        <w:gridCol w:w="1183"/>
        <w:gridCol w:w="930"/>
        <w:gridCol w:w="1025"/>
        <w:gridCol w:w="1283"/>
        <w:gridCol w:w="1047"/>
        <w:gridCol w:w="1316"/>
        <w:gridCol w:w="1030"/>
        <w:gridCol w:w="1290"/>
        <w:gridCol w:w="1181"/>
        <w:gridCol w:w="1352"/>
        <w:gridCol w:w="1000"/>
        <w:gridCol w:w="1313"/>
      </w:tblGrid>
      <w:tr w:rsidR="000222C7" w:rsidRPr="00331202" w14:paraId="2625CED5" w14:textId="77777777" w:rsidTr="009E6F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09B251" w14:textId="77777777" w:rsidR="00EB7BD1" w:rsidRPr="00331202" w:rsidRDefault="00EB7BD1" w:rsidP="00391ABA">
            <w:pPr>
              <w:spacing w:line="276" w:lineRule="auto"/>
              <w:rPr>
                <w:b w:val="0"/>
                <w:bCs w:val="0"/>
                <w:sz w:val="18"/>
                <w:szCs w:val="18"/>
              </w:rPr>
            </w:pPr>
            <w:r w:rsidRPr="00331202">
              <w:rPr>
                <w:sz w:val="18"/>
                <w:szCs w:val="18"/>
              </w:rPr>
              <w:t>Intervention</w:t>
            </w:r>
          </w:p>
        </w:tc>
        <w:tc>
          <w:tcPr>
            <w:tcW w:w="0" w:type="auto"/>
          </w:tcPr>
          <w:p w14:paraId="1DDB7DF8" w14:textId="26482A70" w:rsidR="00EB7BD1" w:rsidRPr="00331202" w:rsidRDefault="00EB7BD1" w:rsidP="00391ABA">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Pr>
                <w:sz w:val="18"/>
                <w:szCs w:val="18"/>
              </w:rPr>
              <w:t>Opening Times</w:t>
            </w:r>
          </w:p>
        </w:tc>
        <w:tc>
          <w:tcPr>
            <w:tcW w:w="0" w:type="auto"/>
            <w:gridSpan w:val="2"/>
            <w:hideMark/>
          </w:tcPr>
          <w:p w14:paraId="480A81BA" w14:textId="07A346B0" w:rsidR="00EB7BD1" w:rsidRPr="00331202" w:rsidRDefault="00EB7BD1" w:rsidP="00391ABA">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331202">
              <w:rPr>
                <w:sz w:val="18"/>
                <w:szCs w:val="18"/>
              </w:rPr>
              <w:t>Admissions</w:t>
            </w:r>
          </w:p>
        </w:tc>
        <w:tc>
          <w:tcPr>
            <w:tcW w:w="0" w:type="auto"/>
            <w:gridSpan w:val="2"/>
            <w:hideMark/>
          </w:tcPr>
          <w:p w14:paraId="561F8E2B" w14:textId="77777777" w:rsidR="00EB7BD1" w:rsidRPr="00331202" w:rsidRDefault="00EB7BD1" w:rsidP="00391ABA">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331202">
              <w:rPr>
                <w:sz w:val="18"/>
                <w:szCs w:val="18"/>
              </w:rPr>
              <w:t>Older people in hospital</w:t>
            </w:r>
          </w:p>
        </w:tc>
        <w:tc>
          <w:tcPr>
            <w:tcW w:w="0" w:type="auto"/>
            <w:gridSpan w:val="2"/>
            <w:hideMark/>
          </w:tcPr>
          <w:p w14:paraId="139DDA0C" w14:textId="77777777" w:rsidR="00EB7BD1" w:rsidRPr="00331202" w:rsidRDefault="00EB7BD1" w:rsidP="00391ABA">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331202">
              <w:rPr>
                <w:sz w:val="18"/>
                <w:szCs w:val="18"/>
              </w:rPr>
              <w:t>Nursing Home admissions</w:t>
            </w:r>
          </w:p>
        </w:tc>
        <w:tc>
          <w:tcPr>
            <w:tcW w:w="0" w:type="auto"/>
            <w:gridSpan w:val="2"/>
            <w:hideMark/>
          </w:tcPr>
          <w:p w14:paraId="29C2AA58" w14:textId="77777777" w:rsidR="00EB7BD1" w:rsidRPr="00331202" w:rsidRDefault="00EB7BD1" w:rsidP="00391ABA">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331202">
              <w:rPr>
                <w:sz w:val="18"/>
                <w:szCs w:val="18"/>
              </w:rPr>
              <w:t>Readmissions</w:t>
            </w:r>
          </w:p>
        </w:tc>
        <w:tc>
          <w:tcPr>
            <w:tcW w:w="0" w:type="auto"/>
            <w:gridSpan w:val="2"/>
            <w:hideMark/>
          </w:tcPr>
          <w:p w14:paraId="2C0DBD59" w14:textId="77777777" w:rsidR="00EB7BD1" w:rsidRPr="00331202" w:rsidRDefault="00EB7BD1" w:rsidP="00391ABA">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331202">
              <w:rPr>
                <w:sz w:val="18"/>
                <w:szCs w:val="18"/>
              </w:rPr>
              <w:t>Hospital deaths</w:t>
            </w:r>
          </w:p>
        </w:tc>
      </w:tr>
      <w:tr w:rsidR="003A2ADF" w:rsidRPr="00331202" w14:paraId="6E8A6B12" w14:textId="77777777" w:rsidTr="009E6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37C9082" w14:textId="77777777" w:rsidR="00EB7BD1" w:rsidRPr="00331202" w:rsidRDefault="00EB7BD1" w:rsidP="00391ABA">
            <w:pPr>
              <w:spacing w:line="276" w:lineRule="auto"/>
              <w:rPr>
                <w:sz w:val="18"/>
                <w:szCs w:val="18"/>
              </w:rPr>
            </w:pPr>
          </w:p>
        </w:tc>
        <w:tc>
          <w:tcPr>
            <w:tcW w:w="0" w:type="auto"/>
          </w:tcPr>
          <w:p w14:paraId="25276422" w14:textId="77777777" w:rsidR="00EB7BD1" w:rsidRPr="00331202" w:rsidRDefault="00EB7BD1" w:rsidP="00391ABA">
            <w:pPr>
              <w:spacing w:line="276" w:lineRule="auto"/>
              <w:jc w:val="center"/>
              <w:cnfStyle w:val="000000100000" w:firstRow="0" w:lastRow="0" w:firstColumn="0" w:lastColumn="0" w:oddVBand="0" w:evenVBand="0" w:oddHBand="1" w:evenHBand="0" w:firstRowFirstColumn="0" w:firstRowLastColumn="0" w:lastRowFirstColumn="0" w:lastRowLastColumn="0"/>
              <w:rPr>
                <w:b/>
                <w:bCs/>
                <w:sz w:val="18"/>
                <w:szCs w:val="18"/>
              </w:rPr>
            </w:pPr>
          </w:p>
        </w:tc>
        <w:tc>
          <w:tcPr>
            <w:tcW w:w="0" w:type="auto"/>
            <w:hideMark/>
          </w:tcPr>
          <w:p w14:paraId="2CC07783" w14:textId="49E84C7C" w:rsidR="00EB7BD1" w:rsidRPr="00331202" w:rsidRDefault="00EB7BD1" w:rsidP="00391ABA">
            <w:pPr>
              <w:spacing w:line="276" w:lineRule="auto"/>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331202">
              <w:rPr>
                <w:b/>
                <w:bCs/>
                <w:sz w:val="18"/>
                <w:szCs w:val="18"/>
              </w:rPr>
              <w:t xml:space="preserve">Empirical evidence </w:t>
            </w:r>
            <w:r w:rsidR="00B66878" w:rsidRPr="00331202">
              <w:rPr>
                <w:b/>
                <w:bCs/>
                <w:sz w:val="18"/>
                <w:szCs w:val="18"/>
              </w:rPr>
              <w:t>estimates</w:t>
            </w:r>
          </w:p>
        </w:tc>
        <w:tc>
          <w:tcPr>
            <w:tcW w:w="0" w:type="auto"/>
            <w:hideMark/>
          </w:tcPr>
          <w:p w14:paraId="6EB59D7A" w14:textId="77777777" w:rsidR="00EB7BD1" w:rsidRPr="00331202" w:rsidRDefault="00EB7BD1" w:rsidP="00391ABA">
            <w:pPr>
              <w:spacing w:line="276" w:lineRule="auto"/>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331202">
              <w:rPr>
                <w:b/>
                <w:bCs/>
                <w:sz w:val="18"/>
                <w:szCs w:val="18"/>
              </w:rPr>
              <w:t>SD model estimate</w:t>
            </w:r>
          </w:p>
        </w:tc>
        <w:tc>
          <w:tcPr>
            <w:tcW w:w="0" w:type="auto"/>
            <w:hideMark/>
          </w:tcPr>
          <w:p w14:paraId="486736B3" w14:textId="6FCB0065" w:rsidR="00EB7BD1" w:rsidRPr="00331202" w:rsidRDefault="00EB7BD1" w:rsidP="00391ABA">
            <w:pPr>
              <w:spacing w:line="276" w:lineRule="auto"/>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331202">
              <w:rPr>
                <w:b/>
                <w:bCs/>
                <w:sz w:val="18"/>
                <w:szCs w:val="18"/>
              </w:rPr>
              <w:t xml:space="preserve">Empirical evidence </w:t>
            </w:r>
            <w:r w:rsidR="00B66878" w:rsidRPr="00331202">
              <w:rPr>
                <w:b/>
                <w:bCs/>
                <w:sz w:val="18"/>
                <w:szCs w:val="18"/>
              </w:rPr>
              <w:t>estimates</w:t>
            </w:r>
          </w:p>
        </w:tc>
        <w:tc>
          <w:tcPr>
            <w:tcW w:w="0" w:type="auto"/>
            <w:hideMark/>
          </w:tcPr>
          <w:p w14:paraId="3AAA41BA" w14:textId="77777777" w:rsidR="00EB7BD1" w:rsidRPr="00331202" w:rsidRDefault="00EB7BD1" w:rsidP="00391ABA">
            <w:pPr>
              <w:spacing w:line="276" w:lineRule="auto"/>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331202">
              <w:rPr>
                <w:b/>
                <w:bCs/>
                <w:sz w:val="18"/>
                <w:szCs w:val="18"/>
              </w:rPr>
              <w:t>SD model estimate</w:t>
            </w:r>
          </w:p>
        </w:tc>
        <w:tc>
          <w:tcPr>
            <w:tcW w:w="0" w:type="auto"/>
            <w:hideMark/>
          </w:tcPr>
          <w:p w14:paraId="30A84819" w14:textId="59DB0A3E" w:rsidR="00EB7BD1" w:rsidRPr="00331202" w:rsidRDefault="00EB7BD1" w:rsidP="00391ABA">
            <w:pPr>
              <w:spacing w:line="276" w:lineRule="auto"/>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331202">
              <w:rPr>
                <w:b/>
                <w:bCs/>
                <w:sz w:val="18"/>
                <w:szCs w:val="18"/>
              </w:rPr>
              <w:t xml:space="preserve">Empirical evidence </w:t>
            </w:r>
            <w:r w:rsidR="00B66878" w:rsidRPr="00331202">
              <w:rPr>
                <w:b/>
                <w:bCs/>
                <w:sz w:val="18"/>
                <w:szCs w:val="18"/>
              </w:rPr>
              <w:t>estimates</w:t>
            </w:r>
          </w:p>
        </w:tc>
        <w:tc>
          <w:tcPr>
            <w:tcW w:w="0" w:type="auto"/>
            <w:hideMark/>
          </w:tcPr>
          <w:p w14:paraId="42E2C485" w14:textId="77777777" w:rsidR="00EB7BD1" w:rsidRPr="00331202" w:rsidRDefault="00EB7BD1" w:rsidP="00391ABA">
            <w:pPr>
              <w:spacing w:line="276" w:lineRule="auto"/>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331202">
              <w:rPr>
                <w:b/>
                <w:bCs/>
                <w:sz w:val="18"/>
                <w:szCs w:val="18"/>
              </w:rPr>
              <w:t>SD model estimate</w:t>
            </w:r>
          </w:p>
        </w:tc>
        <w:tc>
          <w:tcPr>
            <w:tcW w:w="0" w:type="auto"/>
            <w:hideMark/>
          </w:tcPr>
          <w:p w14:paraId="1099E934" w14:textId="4324C790" w:rsidR="00EB7BD1" w:rsidRPr="00331202" w:rsidRDefault="00EB7BD1" w:rsidP="00391ABA">
            <w:pPr>
              <w:spacing w:line="276" w:lineRule="auto"/>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331202">
              <w:rPr>
                <w:b/>
                <w:bCs/>
                <w:sz w:val="18"/>
                <w:szCs w:val="18"/>
              </w:rPr>
              <w:t xml:space="preserve">Empirical evidence </w:t>
            </w:r>
            <w:r w:rsidR="00B66878" w:rsidRPr="00331202">
              <w:rPr>
                <w:b/>
                <w:bCs/>
                <w:sz w:val="18"/>
                <w:szCs w:val="18"/>
              </w:rPr>
              <w:t>estimates</w:t>
            </w:r>
          </w:p>
        </w:tc>
        <w:tc>
          <w:tcPr>
            <w:tcW w:w="0" w:type="auto"/>
            <w:hideMark/>
          </w:tcPr>
          <w:p w14:paraId="7B941CEB" w14:textId="77777777" w:rsidR="00EB7BD1" w:rsidRPr="00331202" w:rsidRDefault="00EB7BD1" w:rsidP="00391ABA">
            <w:pPr>
              <w:spacing w:line="276" w:lineRule="auto"/>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331202">
              <w:rPr>
                <w:b/>
                <w:bCs/>
                <w:sz w:val="18"/>
                <w:szCs w:val="18"/>
              </w:rPr>
              <w:t>SD model estimate</w:t>
            </w:r>
          </w:p>
        </w:tc>
        <w:tc>
          <w:tcPr>
            <w:tcW w:w="0" w:type="auto"/>
            <w:hideMark/>
          </w:tcPr>
          <w:p w14:paraId="7C2669F0" w14:textId="7508AD63" w:rsidR="00EB7BD1" w:rsidRPr="00331202" w:rsidRDefault="00EB7BD1" w:rsidP="00391ABA">
            <w:pPr>
              <w:spacing w:line="276" w:lineRule="auto"/>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331202">
              <w:rPr>
                <w:b/>
                <w:bCs/>
                <w:sz w:val="18"/>
                <w:szCs w:val="18"/>
              </w:rPr>
              <w:t xml:space="preserve">Empirical evidence </w:t>
            </w:r>
            <w:r w:rsidR="00B66878" w:rsidRPr="00331202">
              <w:rPr>
                <w:b/>
                <w:bCs/>
                <w:sz w:val="18"/>
                <w:szCs w:val="18"/>
              </w:rPr>
              <w:t>estimates</w:t>
            </w:r>
          </w:p>
        </w:tc>
        <w:tc>
          <w:tcPr>
            <w:tcW w:w="0" w:type="auto"/>
            <w:hideMark/>
          </w:tcPr>
          <w:p w14:paraId="68BB2514" w14:textId="77777777" w:rsidR="00EB7BD1" w:rsidRPr="00331202" w:rsidRDefault="00EB7BD1" w:rsidP="00391ABA">
            <w:pPr>
              <w:spacing w:line="276" w:lineRule="auto"/>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331202">
              <w:rPr>
                <w:b/>
                <w:bCs/>
                <w:sz w:val="18"/>
                <w:szCs w:val="18"/>
              </w:rPr>
              <w:t>SD model estimate</w:t>
            </w:r>
          </w:p>
        </w:tc>
      </w:tr>
      <w:tr w:rsidR="003A2ADF" w:rsidRPr="00331202" w14:paraId="2EBA6D8D" w14:textId="77777777" w:rsidTr="009E6FCE">
        <w:tc>
          <w:tcPr>
            <w:cnfStyle w:val="001000000000" w:firstRow="0" w:lastRow="0" w:firstColumn="1" w:lastColumn="0" w:oddVBand="0" w:evenVBand="0" w:oddHBand="0" w:evenHBand="0" w:firstRowFirstColumn="0" w:firstRowLastColumn="0" w:lastRowFirstColumn="0" w:lastRowLastColumn="0"/>
            <w:tcW w:w="0" w:type="auto"/>
            <w:hideMark/>
          </w:tcPr>
          <w:p w14:paraId="2EF10ECE" w14:textId="763966EE" w:rsidR="00EB7BD1" w:rsidRPr="00331202" w:rsidRDefault="00EB7BD1" w:rsidP="00391ABA">
            <w:pPr>
              <w:spacing w:line="276" w:lineRule="auto"/>
              <w:rPr>
                <w:b w:val="0"/>
                <w:bCs w:val="0"/>
                <w:sz w:val="18"/>
                <w:szCs w:val="18"/>
              </w:rPr>
            </w:pPr>
            <w:r w:rsidRPr="00331202">
              <w:rPr>
                <w:sz w:val="18"/>
                <w:szCs w:val="18"/>
              </w:rPr>
              <w:t>Proactive Care</w:t>
            </w:r>
          </w:p>
        </w:tc>
        <w:tc>
          <w:tcPr>
            <w:tcW w:w="0" w:type="auto"/>
          </w:tcPr>
          <w:p w14:paraId="05C32471" w14:textId="59C0BCA8" w:rsidR="00EB7BD1" w:rsidRPr="00331202" w:rsidRDefault="00EB7BD1" w:rsidP="00391ABA">
            <w:p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24 hours a day</w:t>
            </w:r>
          </w:p>
        </w:tc>
        <w:tc>
          <w:tcPr>
            <w:tcW w:w="0" w:type="auto"/>
          </w:tcPr>
          <w:p w14:paraId="70D1B319" w14:textId="12489685" w:rsidR="00EB7BD1" w:rsidRPr="00331202" w:rsidRDefault="00EB7BD1" w:rsidP="00391ABA">
            <w:p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331202">
              <w:rPr>
                <w:sz w:val="18"/>
                <w:szCs w:val="18"/>
              </w:rPr>
              <w:t>Negligible</w:t>
            </w:r>
          </w:p>
        </w:tc>
        <w:tc>
          <w:tcPr>
            <w:tcW w:w="0" w:type="auto"/>
          </w:tcPr>
          <w:p w14:paraId="37D0C41D" w14:textId="77777777" w:rsidR="00EB7BD1" w:rsidRPr="00331202" w:rsidRDefault="00EB7BD1" w:rsidP="00391ABA">
            <w:pPr>
              <w:spacing w:line="276" w:lineRule="auto"/>
              <w:jc w:val="both"/>
              <w:cnfStyle w:val="000000000000" w:firstRow="0" w:lastRow="0" w:firstColumn="0" w:lastColumn="0" w:oddVBand="0" w:evenVBand="0" w:oddHBand="0" w:evenHBand="0" w:firstRowFirstColumn="0" w:firstRowLastColumn="0" w:lastRowFirstColumn="0" w:lastRowLastColumn="0"/>
              <w:rPr>
                <w:sz w:val="18"/>
                <w:szCs w:val="18"/>
              </w:rPr>
            </w:pPr>
            <w:r w:rsidRPr="00331202">
              <w:rPr>
                <w:sz w:val="18"/>
                <w:szCs w:val="18"/>
              </w:rPr>
              <w:t>Negligible: may lead to one less admission over the year.</w:t>
            </w:r>
          </w:p>
        </w:tc>
        <w:tc>
          <w:tcPr>
            <w:tcW w:w="0" w:type="auto"/>
          </w:tcPr>
          <w:p w14:paraId="5F005417" w14:textId="77777777" w:rsidR="00EB7BD1" w:rsidRPr="00331202" w:rsidRDefault="00EB7BD1" w:rsidP="00391ABA">
            <w:pPr>
              <w:spacing w:line="276" w:lineRule="auto"/>
              <w:jc w:val="both"/>
              <w:cnfStyle w:val="000000000000" w:firstRow="0" w:lastRow="0" w:firstColumn="0" w:lastColumn="0" w:oddVBand="0" w:evenVBand="0" w:oddHBand="0" w:evenHBand="0" w:firstRowFirstColumn="0" w:firstRowLastColumn="0" w:lastRowFirstColumn="0" w:lastRowLastColumn="0"/>
              <w:rPr>
                <w:sz w:val="18"/>
                <w:szCs w:val="18"/>
              </w:rPr>
            </w:pPr>
            <w:r w:rsidRPr="00331202">
              <w:rPr>
                <w:sz w:val="18"/>
                <w:szCs w:val="18"/>
              </w:rPr>
              <w:t>Not reported</w:t>
            </w:r>
          </w:p>
        </w:tc>
        <w:tc>
          <w:tcPr>
            <w:tcW w:w="0" w:type="auto"/>
          </w:tcPr>
          <w:p w14:paraId="2AA6E21B" w14:textId="77777777" w:rsidR="00EB7BD1" w:rsidRPr="00331202" w:rsidRDefault="00EB7BD1" w:rsidP="00391ABA">
            <w:pPr>
              <w:spacing w:line="276" w:lineRule="auto"/>
              <w:jc w:val="both"/>
              <w:cnfStyle w:val="000000000000" w:firstRow="0" w:lastRow="0" w:firstColumn="0" w:lastColumn="0" w:oddVBand="0" w:evenVBand="0" w:oddHBand="0" w:evenHBand="0" w:firstRowFirstColumn="0" w:firstRowLastColumn="0" w:lastRowFirstColumn="0" w:lastRowLastColumn="0"/>
              <w:rPr>
                <w:sz w:val="18"/>
                <w:szCs w:val="18"/>
              </w:rPr>
            </w:pPr>
            <w:r w:rsidRPr="00331202">
              <w:rPr>
                <w:sz w:val="18"/>
                <w:szCs w:val="18"/>
              </w:rPr>
              <w:t>Negligible</w:t>
            </w:r>
          </w:p>
          <w:p w14:paraId="5F3CE0ED" w14:textId="77777777" w:rsidR="00EB7BD1" w:rsidRPr="00331202" w:rsidRDefault="00EB7BD1" w:rsidP="00391ABA">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tcPr>
          <w:p w14:paraId="3D8DCA00" w14:textId="77777777" w:rsidR="00EB7BD1" w:rsidRPr="00331202" w:rsidRDefault="00EB7BD1" w:rsidP="00391ABA">
            <w:pPr>
              <w:spacing w:line="276" w:lineRule="auto"/>
              <w:jc w:val="both"/>
              <w:cnfStyle w:val="000000000000" w:firstRow="0" w:lastRow="0" w:firstColumn="0" w:lastColumn="0" w:oddVBand="0" w:evenVBand="0" w:oddHBand="0" w:evenHBand="0" w:firstRowFirstColumn="0" w:firstRowLastColumn="0" w:lastRowFirstColumn="0" w:lastRowLastColumn="0"/>
              <w:rPr>
                <w:sz w:val="18"/>
                <w:szCs w:val="18"/>
              </w:rPr>
            </w:pPr>
            <w:r w:rsidRPr="00331202">
              <w:rPr>
                <w:sz w:val="18"/>
                <w:szCs w:val="18"/>
              </w:rPr>
              <w:t>Negligible</w:t>
            </w:r>
          </w:p>
        </w:tc>
        <w:tc>
          <w:tcPr>
            <w:tcW w:w="0" w:type="auto"/>
          </w:tcPr>
          <w:p w14:paraId="038B3D0B" w14:textId="77777777" w:rsidR="00EB7BD1" w:rsidRPr="00331202" w:rsidRDefault="00EB7BD1" w:rsidP="00391ABA">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331202">
              <w:rPr>
                <w:sz w:val="18"/>
                <w:szCs w:val="18"/>
              </w:rPr>
              <w:t>Negligible</w:t>
            </w:r>
          </w:p>
        </w:tc>
        <w:tc>
          <w:tcPr>
            <w:tcW w:w="0" w:type="auto"/>
          </w:tcPr>
          <w:p w14:paraId="0FB176B6" w14:textId="77777777" w:rsidR="00EB7BD1" w:rsidRPr="00331202" w:rsidRDefault="00EB7BD1" w:rsidP="00391ABA">
            <w:pPr>
              <w:spacing w:line="276" w:lineRule="auto"/>
              <w:jc w:val="both"/>
              <w:cnfStyle w:val="000000000000" w:firstRow="0" w:lastRow="0" w:firstColumn="0" w:lastColumn="0" w:oddVBand="0" w:evenVBand="0" w:oddHBand="0" w:evenHBand="0" w:firstRowFirstColumn="0" w:firstRowLastColumn="0" w:lastRowFirstColumn="0" w:lastRowLastColumn="0"/>
              <w:rPr>
                <w:sz w:val="18"/>
                <w:szCs w:val="18"/>
              </w:rPr>
            </w:pPr>
            <w:r w:rsidRPr="00331202">
              <w:rPr>
                <w:sz w:val="18"/>
                <w:szCs w:val="18"/>
              </w:rPr>
              <w:t>Not reported</w:t>
            </w:r>
          </w:p>
        </w:tc>
        <w:tc>
          <w:tcPr>
            <w:tcW w:w="0" w:type="auto"/>
          </w:tcPr>
          <w:p w14:paraId="2623E1EF" w14:textId="77777777" w:rsidR="00EB7BD1" w:rsidRPr="00331202" w:rsidRDefault="00EB7BD1" w:rsidP="00391ABA">
            <w:p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331202">
              <w:rPr>
                <w:sz w:val="18"/>
                <w:szCs w:val="18"/>
              </w:rPr>
              <w:t>&lt; 0.5% reduction possible due to daily variation</w:t>
            </w:r>
          </w:p>
        </w:tc>
        <w:tc>
          <w:tcPr>
            <w:tcW w:w="0" w:type="auto"/>
          </w:tcPr>
          <w:p w14:paraId="499F620B" w14:textId="77777777" w:rsidR="00EB7BD1" w:rsidRPr="00331202" w:rsidRDefault="00EB7BD1" w:rsidP="00391ABA">
            <w:pPr>
              <w:spacing w:line="276" w:lineRule="auto"/>
              <w:jc w:val="both"/>
              <w:cnfStyle w:val="000000000000" w:firstRow="0" w:lastRow="0" w:firstColumn="0" w:lastColumn="0" w:oddVBand="0" w:evenVBand="0" w:oddHBand="0" w:evenHBand="0" w:firstRowFirstColumn="0" w:firstRowLastColumn="0" w:lastRowFirstColumn="0" w:lastRowLastColumn="0"/>
              <w:rPr>
                <w:sz w:val="18"/>
                <w:szCs w:val="18"/>
              </w:rPr>
            </w:pPr>
            <w:r w:rsidRPr="00331202">
              <w:rPr>
                <w:sz w:val="18"/>
                <w:szCs w:val="18"/>
              </w:rPr>
              <w:t>Negligible</w:t>
            </w:r>
          </w:p>
        </w:tc>
        <w:tc>
          <w:tcPr>
            <w:tcW w:w="0" w:type="auto"/>
          </w:tcPr>
          <w:p w14:paraId="02812022" w14:textId="77777777" w:rsidR="00EB7BD1" w:rsidRPr="00331202" w:rsidRDefault="00EB7BD1" w:rsidP="00391ABA">
            <w:p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331202">
              <w:rPr>
                <w:sz w:val="18"/>
                <w:szCs w:val="18"/>
              </w:rPr>
              <w:t>Negligible</w:t>
            </w:r>
          </w:p>
        </w:tc>
      </w:tr>
      <w:tr w:rsidR="003A2ADF" w:rsidRPr="00331202" w14:paraId="657BD3A1" w14:textId="77777777" w:rsidTr="009E6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0992B7" w14:textId="132EB1EC" w:rsidR="00EB7BD1" w:rsidRPr="00331202" w:rsidRDefault="00EB7BD1" w:rsidP="00391ABA">
            <w:pPr>
              <w:spacing w:line="276" w:lineRule="auto"/>
              <w:rPr>
                <w:b w:val="0"/>
                <w:bCs w:val="0"/>
                <w:sz w:val="18"/>
                <w:szCs w:val="18"/>
              </w:rPr>
            </w:pPr>
            <w:r w:rsidRPr="00331202">
              <w:rPr>
                <w:sz w:val="18"/>
                <w:szCs w:val="18"/>
              </w:rPr>
              <w:t>Hospital At Home</w:t>
            </w:r>
          </w:p>
        </w:tc>
        <w:tc>
          <w:tcPr>
            <w:tcW w:w="0" w:type="auto"/>
          </w:tcPr>
          <w:p w14:paraId="4F04077B" w14:textId="2DD1DFA6" w:rsidR="00EB7BD1" w:rsidRPr="00331202" w:rsidRDefault="00EB7BD1" w:rsidP="00391ABA">
            <w:p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9am-5pm, weekdays</w:t>
            </w:r>
          </w:p>
        </w:tc>
        <w:tc>
          <w:tcPr>
            <w:tcW w:w="0" w:type="auto"/>
          </w:tcPr>
          <w:p w14:paraId="274E54D1" w14:textId="2A59B867" w:rsidR="00EB7BD1" w:rsidRPr="00331202" w:rsidRDefault="00EB7BD1" w:rsidP="00391ABA">
            <w:p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331202">
              <w:rPr>
                <w:sz w:val="18"/>
                <w:szCs w:val="18"/>
              </w:rPr>
              <w:t>Not reported</w:t>
            </w:r>
          </w:p>
        </w:tc>
        <w:tc>
          <w:tcPr>
            <w:tcW w:w="0" w:type="auto"/>
          </w:tcPr>
          <w:p w14:paraId="0318A3B5" w14:textId="77777777" w:rsidR="00EB7BD1" w:rsidRPr="00331202" w:rsidRDefault="00EB7BD1" w:rsidP="00391ABA">
            <w:p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rPr>
            </w:pPr>
            <w:r w:rsidRPr="00331202">
              <w:rPr>
                <w:sz w:val="18"/>
                <w:szCs w:val="18"/>
              </w:rPr>
              <w:t>(&lt;1% reduction) which over the year could equate to approximately 50 fewer admissions</w:t>
            </w:r>
          </w:p>
        </w:tc>
        <w:tc>
          <w:tcPr>
            <w:tcW w:w="0" w:type="auto"/>
          </w:tcPr>
          <w:p w14:paraId="634CF8B2" w14:textId="77777777" w:rsidR="00EB7BD1" w:rsidRPr="00331202" w:rsidRDefault="00EB7BD1" w:rsidP="00391ABA">
            <w:p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331202">
              <w:rPr>
                <w:sz w:val="18"/>
                <w:szCs w:val="18"/>
              </w:rPr>
              <w:t>Not reported</w:t>
            </w:r>
          </w:p>
        </w:tc>
        <w:tc>
          <w:tcPr>
            <w:tcW w:w="0" w:type="auto"/>
          </w:tcPr>
          <w:p w14:paraId="1AEDA95F" w14:textId="77777777" w:rsidR="00EB7BD1" w:rsidRPr="00331202" w:rsidRDefault="00EB7BD1" w:rsidP="00391ABA">
            <w:p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rPr>
            </w:pPr>
            <w:r w:rsidRPr="00331202">
              <w:rPr>
                <w:sz w:val="18"/>
                <w:szCs w:val="18"/>
              </w:rPr>
              <w:t>Negligible: reductions in admissions and readmissions masked by daily variation</w:t>
            </w:r>
          </w:p>
        </w:tc>
        <w:tc>
          <w:tcPr>
            <w:tcW w:w="0" w:type="auto"/>
          </w:tcPr>
          <w:p w14:paraId="2A8770CA" w14:textId="77777777" w:rsidR="00EB7BD1" w:rsidRPr="00331202" w:rsidRDefault="00EB7BD1" w:rsidP="00391ABA">
            <w:p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rPr>
            </w:pPr>
            <w:r w:rsidRPr="00331202">
              <w:rPr>
                <w:sz w:val="18"/>
                <w:szCs w:val="18"/>
              </w:rPr>
              <w:t>Reduction (RR=0.58) applied at 6 months</w:t>
            </w:r>
          </w:p>
        </w:tc>
        <w:tc>
          <w:tcPr>
            <w:tcW w:w="0" w:type="auto"/>
          </w:tcPr>
          <w:p w14:paraId="28FEAF9B" w14:textId="77777777" w:rsidR="00EB7BD1" w:rsidRPr="00331202" w:rsidRDefault="00EB7BD1" w:rsidP="00391ABA">
            <w:p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rPr>
            </w:pPr>
            <w:r w:rsidRPr="00331202">
              <w:rPr>
                <w:sz w:val="18"/>
                <w:szCs w:val="18"/>
              </w:rPr>
              <w:t>2.4% fewer admissions which could equate to approximately 60 fewer during the year</w:t>
            </w:r>
            <w:r w:rsidRPr="00331202">
              <w:rPr>
                <w:rStyle w:val="FootnoteReference"/>
                <w:sz w:val="18"/>
                <w:szCs w:val="18"/>
              </w:rPr>
              <w:footnoteReference w:id="1"/>
            </w:r>
            <w:r w:rsidRPr="00331202">
              <w:rPr>
                <w:sz w:val="18"/>
                <w:szCs w:val="18"/>
              </w:rPr>
              <w:t xml:space="preserve">. </w:t>
            </w:r>
          </w:p>
        </w:tc>
        <w:tc>
          <w:tcPr>
            <w:tcW w:w="0" w:type="auto"/>
          </w:tcPr>
          <w:p w14:paraId="4DA385F4" w14:textId="58CAF864" w:rsidR="00EB7BD1" w:rsidRPr="00331202" w:rsidRDefault="00EB7BD1" w:rsidP="00391ABA">
            <w:p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331202">
              <w:rPr>
                <w:sz w:val="18"/>
                <w:szCs w:val="18"/>
              </w:rPr>
              <w:t>Larger proportion of people living at home at 6 months (RR=1.05, CI</w:t>
            </w:r>
            <w:r w:rsidR="00BE63E4" w:rsidRPr="00331202">
              <w:rPr>
                <w:sz w:val="18"/>
                <w:szCs w:val="18"/>
              </w:rPr>
              <w:t>= [</w:t>
            </w:r>
            <w:r w:rsidRPr="00331202">
              <w:rPr>
                <w:sz w:val="18"/>
                <w:szCs w:val="18"/>
              </w:rPr>
              <w:t>0.95,1.15])</w:t>
            </w:r>
          </w:p>
        </w:tc>
        <w:tc>
          <w:tcPr>
            <w:tcW w:w="0" w:type="auto"/>
          </w:tcPr>
          <w:p w14:paraId="1556C7C5" w14:textId="77777777" w:rsidR="00EB7BD1" w:rsidRPr="00331202" w:rsidRDefault="00EB7BD1" w:rsidP="00391ABA">
            <w:p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rPr>
            </w:pPr>
            <w:r w:rsidRPr="00331202">
              <w:rPr>
                <w:sz w:val="18"/>
                <w:szCs w:val="18"/>
              </w:rPr>
              <w:t>1.5% reduction which could lead to 70 fewer readmissions</w:t>
            </w:r>
          </w:p>
        </w:tc>
        <w:tc>
          <w:tcPr>
            <w:tcW w:w="0" w:type="auto"/>
          </w:tcPr>
          <w:p w14:paraId="3D3A9A26" w14:textId="77777777" w:rsidR="00EB7BD1" w:rsidRPr="00331202" w:rsidRDefault="00EB7BD1" w:rsidP="00391ABA">
            <w:p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rPr>
            </w:pPr>
            <w:r w:rsidRPr="00331202">
              <w:rPr>
                <w:sz w:val="18"/>
                <w:szCs w:val="18"/>
              </w:rPr>
              <w:t>Slight reduction (RR=0.98)</w:t>
            </w:r>
          </w:p>
        </w:tc>
        <w:tc>
          <w:tcPr>
            <w:tcW w:w="0" w:type="auto"/>
          </w:tcPr>
          <w:p w14:paraId="0C386585" w14:textId="77777777" w:rsidR="00EB7BD1" w:rsidRPr="00331202" w:rsidRDefault="00EB7BD1" w:rsidP="00391ABA">
            <w:pPr>
              <w:pStyle w:val="Newparagraph"/>
              <w:spacing w:line="276" w:lineRule="auto"/>
              <w:ind w:firstLine="0"/>
              <w:jc w:val="both"/>
              <w:cnfStyle w:val="000000100000" w:firstRow="0" w:lastRow="0" w:firstColumn="0" w:lastColumn="0" w:oddVBand="0" w:evenVBand="0" w:oddHBand="1" w:evenHBand="0" w:firstRowFirstColumn="0" w:firstRowLastColumn="0" w:lastRowFirstColumn="0" w:lastRowLastColumn="0"/>
              <w:rPr>
                <w:sz w:val="18"/>
                <w:szCs w:val="18"/>
              </w:rPr>
            </w:pPr>
            <w:r w:rsidRPr="00331202">
              <w:rPr>
                <w:sz w:val="18"/>
                <w:szCs w:val="18"/>
              </w:rPr>
              <w:t>&lt; 1% fewer deaths which over the year could equate to approximately five fewer deaths.</w:t>
            </w:r>
          </w:p>
          <w:p w14:paraId="6A9B5E41" w14:textId="77777777" w:rsidR="00EB7BD1" w:rsidRPr="00331202" w:rsidRDefault="00EB7BD1" w:rsidP="00391ABA">
            <w:p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rPr>
            </w:pPr>
          </w:p>
        </w:tc>
      </w:tr>
      <w:tr w:rsidR="003A2ADF" w:rsidRPr="00331202" w14:paraId="3A94157B" w14:textId="77777777" w:rsidTr="009E6FCE">
        <w:tc>
          <w:tcPr>
            <w:cnfStyle w:val="001000000000" w:firstRow="0" w:lastRow="0" w:firstColumn="1" w:lastColumn="0" w:oddVBand="0" w:evenVBand="0" w:oddHBand="0" w:evenHBand="0" w:firstRowFirstColumn="0" w:firstRowLastColumn="0" w:lastRowFirstColumn="0" w:lastRowLastColumn="0"/>
            <w:tcW w:w="0" w:type="auto"/>
            <w:hideMark/>
          </w:tcPr>
          <w:p w14:paraId="5A72B688" w14:textId="016C6F26" w:rsidR="00EB7BD1" w:rsidRPr="00331202" w:rsidRDefault="00EB7BD1" w:rsidP="00391ABA">
            <w:pPr>
              <w:spacing w:line="276" w:lineRule="auto"/>
              <w:rPr>
                <w:b w:val="0"/>
                <w:bCs w:val="0"/>
                <w:sz w:val="18"/>
                <w:szCs w:val="18"/>
              </w:rPr>
            </w:pPr>
            <w:r w:rsidRPr="00331202">
              <w:rPr>
                <w:sz w:val="18"/>
                <w:szCs w:val="18"/>
              </w:rPr>
              <w:t>Geriatric Emergency Medicine</w:t>
            </w:r>
          </w:p>
        </w:tc>
        <w:tc>
          <w:tcPr>
            <w:tcW w:w="0" w:type="auto"/>
          </w:tcPr>
          <w:p w14:paraId="5840194E" w14:textId="1BD45D0C" w:rsidR="00EB7BD1" w:rsidRPr="00331202" w:rsidRDefault="00EB7BD1" w:rsidP="00391ABA">
            <w:pPr>
              <w:spacing w:line="276" w:lineRule="auto"/>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9am-5pm, weekdays</w:t>
            </w:r>
          </w:p>
        </w:tc>
        <w:tc>
          <w:tcPr>
            <w:tcW w:w="0" w:type="auto"/>
          </w:tcPr>
          <w:p w14:paraId="7DD16096" w14:textId="689FDF22" w:rsidR="00EB7BD1" w:rsidRPr="00331202" w:rsidRDefault="00EB7BD1" w:rsidP="00391ABA">
            <w:pPr>
              <w:spacing w:line="276" w:lineRule="auto"/>
              <w:jc w:val="both"/>
              <w:cnfStyle w:val="000000000000" w:firstRow="0" w:lastRow="0" w:firstColumn="0" w:lastColumn="0" w:oddVBand="0" w:evenVBand="0" w:oddHBand="0" w:evenHBand="0" w:firstRowFirstColumn="0" w:firstRowLastColumn="0" w:lastRowFirstColumn="0" w:lastRowLastColumn="0"/>
              <w:rPr>
                <w:sz w:val="18"/>
                <w:szCs w:val="18"/>
              </w:rPr>
            </w:pPr>
            <w:r w:rsidRPr="00331202">
              <w:rPr>
                <w:sz w:val="18"/>
                <w:szCs w:val="18"/>
              </w:rPr>
              <w:t>(2.6% - 19.7%) reduction</w:t>
            </w:r>
          </w:p>
        </w:tc>
        <w:tc>
          <w:tcPr>
            <w:tcW w:w="0" w:type="auto"/>
          </w:tcPr>
          <w:p w14:paraId="64734AE2" w14:textId="6C124248" w:rsidR="00EB7BD1" w:rsidRPr="00331202" w:rsidRDefault="00EB7BD1" w:rsidP="00391ABA">
            <w:p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331202">
              <w:rPr>
                <w:sz w:val="18"/>
                <w:szCs w:val="18"/>
              </w:rPr>
              <w:t>2.6% reduction which over the year could equate to approximately 450 fewer admissions</w:t>
            </w:r>
          </w:p>
        </w:tc>
        <w:tc>
          <w:tcPr>
            <w:tcW w:w="0" w:type="auto"/>
          </w:tcPr>
          <w:p w14:paraId="360CABA0" w14:textId="77777777" w:rsidR="00EB7BD1" w:rsidRPr="00331202" w:rsidRDefault="00EB7BD1" w:rsidP="00391ABA">
            <w:pPr>
              <w:spacing w:line="276" w:lineRule="auto"/>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Conflicting reports about </w:t>
            </w:r>
            <w:proofErr w:type="spellStart"/>
            <w:r>
              <w:rPr>
                <w:sz w:val="18"/>
                <w:szCs w:val="18"/>
              </w:rPr>
              <w:t>LoS</w:t>
            </w:r>
            <w:proofErr w:type="spellEnd"/>
          </w:p>
        </w:tc>
        <w:tc>
          <w:tcPr>
            <w:tcW w:w="0" w:type="auto"/>
          </w:tcPr>
          <w:p w14:paraId="1F20E5B4" w14:textId="44BF7E0B" w:rsidR="00EB7BD1" w:rsidRPr="00331202" w:rsidRDefault="00EB7BD1" w:rsidP="00391ABA">
            <w:p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331202">
              <w:rPr>
                <w:sz w:val="18"/>
                <w:szCs w:val="18"/>
              </w:rPr>
              <w:t>Reduction of 1.5%</w:t>
            </w:r>
            <w:r w:rsidR="00B50036">
              <w:rPr>
                <w:sz w:val="18"/>
                <w:szCs w:val="18"/>
              </w:rPr>
              <w:t xml:space="preserve"> </w:t>
            </w:r>
            <w:r w:rsidR="00B50036" w:rsidRPr="00B50036">
              <w:rPr>
                <w:sz w:val="18"/>
                <w:szCs w:val="18"/>
              </w:rPr>
              <w:t>(after considering the conversion rate of ED attendances to hospital admission.)</w:t>
            </w:r>
            <w:r w:rsidRPr="00331202">
              <w:rPr>
                <w:sz w:val="18"/>
                <w:szCs w:val="18"/>
              </w:rPr>
              <w:t xml:space="preserve"> This could equate to approximately 330 fewer </w:t>
            </w:r>
            <w:r w:rsidRPr="00331202">
              <w:rPr>
                <w:sz w:val="18"/>
                <w:szCs w:val="18"/>
              </w:rPr>
              <w:lastRenderedPageBreak/>
              <w:t>patients in hospital over a year.</w:t>
            </w:r>
          </w:p>
        </w:tc>
        <w:tc>
          <w:tcPr>
            <w:tcW w:w="0" w:type="auto"/>
          </w:tcPr>
          <w:p w14:paraId="4C18F64B" w14:textId="77777777" w:rsidR="00EB7BD1" w:rsidRPr="00331202" w:rsidRDefault="00EB7BD1" w:rsidP="00391ABA">
            <w:pPr>
              <w:spacing w:line="276" w:lineRule="auto"/>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lastRenderedPageBreak/>
              <w:t>Limited evidence</w:t>
            </w:r>
          </w:p>
        </w:tc>
        <w:tc>
          <w:tcPr>
            <w:tcW w:w="0" w:type="auto"/>
          </w:tcPr>
          <w:p w14:paraId="74AD7528" w14:textId="77777777" w:rsidR="00EB7BD1" w:rsidRPr="00331202" w:rsidRDefault="00EB7BD1" w:rsidP="00391ABA">
            <w:pPr>
              <w:spacing w:line="276" w:lineRule="auto"/>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Negligible</w:t>
            </w:r>
          </w:p>
        </w:tc>
        <w:tc>
          <w:tcPr>
            <w:tcW w:w="0" w:type="auto"/>
          </w:tcPr>
          <w:p w14:paraId="3D747E89" w14:textId="77777777" w:rsidR="00EB7BD1" w:rsidRPr="00331202" w:rsidRDefault="00EB7BD1" w:rsidP="00391ABA">
            <w:pPr>
              <w:spacing w:line="276" w:lineRule="auto"/>
              <w:jc w:val="both"/>
              <w:cnfStyle w:val="000000000000" w:firstRow="0" w:lastRow="0" w:firstColumn="0" w:lastColumn="0" w:oddVBand="0" w:evenVBand="0" w:oddHBand="0" w:evenHBand="0" w:firstRowFirstColumn="0" w:firstRowLastColumn="0" w:lastRowFirstColumn="0" w:lastRowLastColumn="0"/>
              <w:rPr>
                <w:sz w:val="18"/>
                <w:szCs w:val="18"/>
              </w:rPr>
            </w:pPr>
            <w:r w:rsidRPr="00331202">
              <w:rPr>
                <w:sz w:val="18"/>
                <w:szCs w:val="18"/>
              </w:rPr>
              <w:t>Reduced (RR=0.74)</w:t>
            </w:r>
          </w:p>
        </w:tc>
        <w:tc>
          <w:tcPr>
            <w:tcW w:w="0" w:type="auto"/>
          </w:tcPr>
          <w:p w14:paraId="3927231D" w14:textId="720191F7" w:rsidR="00EB7BD1" w:rsidRPr="00331202" w:rsidRDefault="00EB7BD1" w:rsidP="00391ABA">
            <w:p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331202">
              <w:rPr>
                <w:sz w:val="18"/>
                <w:szCs w:val="18"/>
              </w:rPr>
              <w:t>9.3% reduction</w:t>
            </w:r>
            <w:r w:rsidR="00BA4A99">
              <w:rPr>
                <w:sz w:val="18"/>
                <w:szCs w:val="18"/>
              </w:rPr>
              <w:t>. T</w:t>
            </w:r>
            <w:r w:rsidR="00BA4A99" w:rsidRPr="00BA4A99">
              <w:rPr>
                <w:sz w:val="18"/>
                <w:szCs w:val="18"/>
              </w:rPr>
              <w:t xml:space="preserve">he evidence suggests a 26% reduction when applied to all older patients but as the service is not operational all the time, 37% of patients will </w:t>
            </w:r>
            <w:r w:rsidR="00BA4A99" w:rsidRPr="00BA4A99">
              <w:rPr>
                <w:sz w:val="18"/>
                <w:szCs w:val="18"/>
              </w:rPr>
              <w:lastRenderedPageBreak/>
              <w:t>be targeted leading to a target population of 9.6%)</w:t>
            </w:r>
            <w:r w:rsidRPr="00331202">
              <w:rPr>
                <w:sz w:val="18"/>
                <w:szCs w:val="18"/>
              </w:rPr>
              <w:t xml:space="preserve"> Over the year this could equate to approximately 450 fewer readmissions.</w:t>
            </w:r>
          </w:p>
        </w:tc>
        <w:tc>
          <w:tcPr>
            <w:tcW w:w="0" w:type="auto"/>
          </w:tcPr>
          <w:p w14:paraId="2D7AE51B" w14:textId="77777777" w:rsidR="00EB7BD1" w:rsidRPr="00331202" w:rsidRDefault="00EB7BD1" w:rsidP="00391ABA">
            <w:pPr>
              <w:spacing w:line="276" w:lineRule="auto"/>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lastRenderedPageBreak/>
              <w:t>Data not included in reviews</w:t>
            </w:r>
          </w:p>
        </w:tc>
        <w:tc>
          <w:tcPr>
            <w:tcW w:w="0" w:type="auto"/>
          </w:tcPr>
          <w:p w14:paraId="5EB400EB" w14:textId="2A65860E" w:rsidR="00EB7BD1" w:rsidRPr="00331202" w:rsidRDefault="00EB7BD1" w:rsidP="00391ABA">
            <w:pPr>
              <w:spacing w:line="276" w:lineRule="auto"/>
              <w:jc w:val="both"/>
              <w:cnfStyle w:val="000000000000" w:firstRow="0" w:lastRow="0" w:firstColumn="0" w:lastColumn="0" w:oddVBand="0" w:evenVBand="0" w:oddHBand="0" w:evenHBand="0" w:firstRowFirstColumn="0" w:firstRowLastColumn="0" w:lastRowFirstColumn="0" w:lastRowLastColumn="0"/>
              <w:rPr>
                <w:sz w:val="18"/>
                <w:szCs w:val="18"/>
              </w:rPr>
            </w:pPr>
            <w:r w:rsidRPr="00331202">
              <w:rPr>
                <w:sz w:val="18"/>
                <w:szCs w:val="18"/>
              </w:rPr>
              <w:t>1.5% reduction</w:t>
            </w:r>
            <w:r w:rsidR="00713F4B">
              <w:rPr>
                <w:sz w:val="18"/>
                <w:szCs w:val="18"/>
              </w:rPr>
              <w:t xml:space="preserve"> </w:t>
            </w:r>
            <w:r w:rsidR="00713F4B" w:rsidRPr="00713F4B">
              <w:rPr>
                <w:sz w:val="18"/>
                <w:szCs w:val="18"/>
              </w:rPr>
              <w:t>(due to the 1.5% difference in hospital numbers)</w:t>
            </w:r>
            <w:r w:rsidR="00713F4B">
              <w:rPr>
                <w:sz w:val="18"/>
                <w:szCs w:val="18"/>
              </w:rPr>
              <w:t xml:space="preserve"> </w:t>
            </w:r>
            <w:r w:rsidRPr="00331202">
              <w:rPr>
                <w:sz w:val="18"/>
                <w:szCs w:val="18"/>
              </w:rPr>
              <w:t>which over the year could equate to 11 fewer deaths.</w:t>
            </w:r>
          </w:p>
        </w:tc>
      </w:tr>
      <w:tr w:rsidR="003A2ADF" w:rsidRPr="00331202" w14:paraId="12FE04A4" w14:textId="77777777" w:rsidTr="009E6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08EEEA" w14:textId="37F0B210" w:rsidR="00EB7BD1" w:rsidRPr="00331202" w:rsidRDefault="00EB7BD1" w:rsidP="00391ABA">
            <w:pPr>
              <w:spacing w:line="276" w:lineRule="auto"/>
              <w:rPr>
                <w:b w:val="0"/>
                <w:bCs w:val="0"/>
                <w:sz w:val="18"/>
                <w:szCs w:val="18"/>
              </w:rPr>
            </w:pPr>
            <w:r w:rsidRPr="00331202">
              <w:rPr>
                <w:sz w:val="18"/>
                <w:szCs w:val="18"/>
              </w:rPr>
              <w:t>Front Door Frailty</w:t>
            </w:r>
          </w:p>
        </w:tc>
        <w:tc>
          <w:tcPr>
            <w:tcW w:w="0" w:type="auto"/>
          </w:tcPr>
          <w:p w14:paraId="5D339CA5" w14:textId="6CC8715D" w:rsidR="00EB7BD1" w:rsidRPr="00331202" w:rsidRDefault="00EB7BD1" w:rsidP="00391ABA">
            <w:p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8am-8pm, everyday</w:t>
            </w:r>
          </w:p>
        </w:tc>
        <w:tc>
          <w:tcPr>
            <w:tcW w:w="0" w:type="auto"/>
          </w:tcPr>
          <w:p w14:paraId="17C2820B" w14:textId="2E17AC24" w:rsidR="00EB7BD1" w:rsidRPr="00331202" w:rsidRDefault="00EB7BD1" w:rsidP="00391ABA">
            <w:p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rPr>
            </w:pPr>
            <w:r w:rsidRPr="00331202">
              <w:rPr>
                <w:sz w:val="18"/>
                <w:szCs w:val="18"/>
              </w:rPr>
              <w:t>Fewer admissions (risk ratio = 0.9)</w:t>
            </w:r>
          </w:p>
        </w:tc>
        <w:tc>
          <w:tcPr>
            <w:tcW w:w="0" w:type="auto"/>
          </w:tcPr>
          <w:p w14:paraId="1C039D37" w14:textId="77777777" w:rsidR="00EB7BD1" w:rsidRPr="00331202" w:rsidRDefault="00EB7BD1" w:rsidP="00391ABA">
            <w:p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rPr>
            </w:pPr>
            <w:r w:rsidRPr="00331202">
              <w:rPr>
                <w:sz w:val="18"/>
                <w:szCs w:val="18"/>
              </w:rPr>
              <w:t>4.9% reduction which over the year could equate to approximately 850 fewer admissions.</w:t>
            </w:r>
          </w:p>
        </w:tc>
        <w:tc>
          <w:tcPr>
            <w:tcW w:w="0" w:type="auto"/>
          </w:tcPr>
          <w:p w14:paraId="51B309D1" w14:textId="77777777" w:rsidR="00EB7BD1" w:rsidRPr="00331202" w:rsidRDefault="00EB7BD1" w:rsidP="00391ABA">
            <w:p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No clear evidence</w:t>
            </w:r>
          </w:p>
        </w:tc>
        <w:tc>
          <w:tcPr>
            <w:tcW w:w="0" w:type="auto"/>
          </w:tcPr>
          <w:p w14:paraId="5C8C71AA" w14:textId="111F6287" w:rsidR="00EB7BD1" w:rsidRPr="00331202" w:rsidRDefault="00EB7BD1" w:rsidP="00391ABA">
            <w:p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331202">
              <w:rPr>
                <w:sz w:val="18"/>
                <w:szCs w:val="18"/>
              </w:rPr>
              <w:t>3.2% reduction</w:t>
            </w:r>
            <w:r w:rsidR="007673DB">
              <w:rPr>
                <w:sz w:val="18"/>
                <w:szCs w:val="18"/>
              </w:rPr>
              <w:t xml:space="preserve"> </w:t>
            </w:r>
            <w:r w:rsidR="007673DB" w:rsidRPr="007673DB">
              <w:rPr>
                <w:sz w:val="18"/>
                <w:szCs w:val="18"/>
              </w:rPr>
              <w:t>(difference after considering the conversion rate of ED attendances to hospital admission).</w:t>
            </w:r>
            <w:r w:rsidR="007673DB">
              <w:rPr>
                <w:sz w:val="18"/>
                <w:szCs w:val="18"/>
              </w:rPr>
              <w:t xml:space="preserve"> </w:t>
            </w:r>
            <w:r w:rsidRPr="00331202">
              <w:rPr>
                <w:sz w:val="18"/>
                <w:szCs w:val="18"/>
              </w:rPr>
              <w:t>This could equate to approximately 730 fewer patients in hospital over a year.</w:t>
            </w:r>
          </w:p>
        </w:tc>
        <w:tc>
          <w:tcPr>
            <w:tcW w:w="0" w:type="auto"/>
          </w:tcPr>
          <w:p w14:paraId="12F15F53" w14:textId="77777777" w:rsidR="00EB7BD1" w:rsidRPr="00331202" w:rsidRDefault="00EB7BD1" w:rsidP="00391ABA">
            <w:p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rPr>
            </w:pPr>
            <w:r w:rsidRPr="00331202">
              <w:rPr>
                <w:sz w:val="18"/>
                <w:szCs w:val="18"/>
              </w:rPr>
              <w:t>Fewer admissions to nursing homes (RR=0.75)</w:t>
            </w:r>
          </w:p>
        </w:tc>
        <w:tc>
          <w:tcPr>
            <w:tcW w:w="0" w:type="auto"/>
          </w:tcPr>
          <w:p w14:paraId="50E2C174" w14:textId="77777777" w:rsidR="00EB7BD1" w:rsidRPr="00331202" w:rsidRDefault="00EB7BD1" w:rsidP="00391ABA">
            <w:p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331202">
              <w:rPr>
                <w:sz w:val="18"/>
                <w:szCs w:val="18"/>
              </w:rPr>
              <w:t>6% fewer which could equate to approximately 150 fewer during the year</w:t>
            </w:r>
          </w:p>
        </w:tc>
        <w:tc>
          <w:tcPr>
            <w:tcW w:w="0" w:type="auto"/>
          </w:tcPr>
          <w:p w14:paraId="262451DD" w14:textId="77777777" w:rsidR="00EB7BD1" w:rsidRPr="00331202" w:rsidRDefault="00EB7BD1" w:rsidP="00391ABA">
            <w:p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rPr>
            </w:pPr>
            <w:r w:rsidRPr="00331202">
              <w:rPr>
                <w:sz w:val="18"/>
                <w:szCs w:val="18"/>
              </w:rPr>
              <w:t>Reduced readmissions (RR=0.95)</w:t>
            </w:r>
          </w:p>
        </w:tc>
        <w:tc>
          <w:tcPr>
            <w:tcW w:w="0" w:type="auto"/>
          </w:tcPr>
          <w:p w14:paraId="5A655324" w14:textId="2F65DCD1" w:rsidR="00EB7BD1" w:rsidRPr="00331202" w:rsidRDefault="00EB7BD1" w:rsidP="00391ABA">
            <w:p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331202">
              <w:rPr>
                <w:sz w:val="18"/>
                <w:szCs w:val="18"/>
              </w:rPr>
              <w:t>2</w:t>
            </w:r>
            <w:r w:rsidR="00B66878" w:rsidRPr="00331202">
              <w:rPr>
                <w:sz w:val="18"/>
                <w:szCs w:val="18"/>
              </w:rPr>
              <w:t>% reduction</w:t>
            </w:r>
            <w:r w:rsidR="000222C7">
              <w:rPr>
                <w:sz w:val="18"/>
                <w:szCs w:val="18"/>
              </w:rPr>
              <w:t xml:space="preserve"> </w:t>
            </w:r>
            <w:r w:rsidR="000222C7" w:rsidRPr="000222C7">
              <w:rPr>
                <w:sz w:val="18"/>
                <w:szCs w:val="18"/>
              </w:rPr>
              <w:t>(the evidence suggests a 5% reduction when applied to all older patients but as the service is not operational all the time, 50% of patients will be targeted leading to a target population of 2.5%).</w:t>
            </w:r>
            <w:r w:rsidRPr="00331202">
              <w:rPr>
                <w:sz w:val="18"/>
                <w:szCs w:val="18"/>
              </w:rPr>
              <w:t xml:space="preserve"> Over the year this could equate to approximately 100 fewer readmissions.</w:t>
            </w:r>
          </w:p>
        </w:tc>
        <w:tc>
          <w:tcPr>
            <w:tcW w:w="0" w:type="auto"/>
          </w:tcPr>
          <w:p w14:paraId="7C336D55" w14:textId="77777777" w:rsidR="00EB7BD1" w:rsidRPr="00331202" w:rsidRDefault="00EB7BD1" w:rsidP="00391ABA">
            <w:p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rPr>
            </w:pPr>
            <w:r w:rsidRPr="00331202">
              <w:rPr>
                <w:sz w:val="18"/>
                <w:szCs w:val="18"/>
              </w:rPr>
              <w:t>Reduced mortality (RR=0.92)</w:t>
            </w:r>
          </w:p>
        </w:tc>
        <w:tc>
          <w:tcPr>
            <w:tcW w:w="0" w:type="auto"/>
          </w:tcPr>
          <w:p w14:paraId="5BF64D3D" w14:textId="5B714F8B" w:rsidR="00EB7BD1" w:rsidRPr="00331202" w:rsidRDefault="00EB7BD1" w:rsidP="00391ABA">
            <w:p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331202">
              <w:rPr>
                <w:sz w:val="18"/>
                <w:szCs w:val="18"/>
              </w:rPr>
              <w:t>7% reduction</w:t>
            </w:r>
            <w:r w:rsidR="003A2ADF">
              <w:rPr>
                <w:sz w:val="18"/>
                <w:szCs w:val="18"/>
              </w:rPr>
              <w:t xml:space="preserve"> </w:t>
            </w:r>
            <w:r w:rsidR="003A2ADF" w:rsidRPr="003A2ADF">
              <w:rPr>
                <w:sz w:val="18"/>
                <w:szCs w:val="18"/>
              </w:rPr>
              <w:t>(due to the reduced mortality suggested by the intervention and the reduced hospital numbers)</w:t>
            </w:r>
            <w:r w:rsidRPr="00331202">
              <w:rPr>
                <w:sz w:val="18"/>
                <w:szCs w:val="18"/>
              </w:rPr>
              <w:t xml:space="preserve"> which over the year could equate to approximately 50 fewer deaths</w:t>
            </w:r>
          </w:p>
        </w:tc>
      </w:tr>
      <w:tr w:rsidR="003A2ADF" w:rsidRPr="00331202" w14:paraId="0870F9E9" w14:textId="77777777" w:rsidTr="009E6FCE">
        <w:tc>
          <w:tcPr>
            <w:cnfStyle w:val="001000000000" w:firstRow="0" w:lastRow="0" w:firstColumn="1" w:lastColumn="0" w:oddVBand="0" w:evenVBand="0" w:oddHBand="0" w:evenHBand="0" w:firstRowFirstColumn="0" w:firstRowLastColumn="0" w:lastRowFirstColumn="0" w:lastRowLastColumn="0"/>
            <w:tcW w:w="0" w:type="auto"/>
            <w:hideMark/>
          </w:tcPr>
          <w:p w14:paraId="3604B523" w14:textId="27EBDE91" w:rsidR="00EB7BD1" w:rsidRPr="00331202" w:rsidRDefault="00EB7BD1" w:rsidP="00391ABA">
            <w:pPr>
              <w:spacing w:line="276" w:lineRule="auto"/>
              <w:rPr>
                <w:b w:val="0"/>
                <w:bCs w:val="0"/>
                <w:sz w:val="18"/>
                <w:szCs w:val="18"/>
              </w:rPr>
            </w:pPr>
            <w:r w:rsidRPr="00331202">
              <w:rPr>
                <w:sz w:val="18"/>
                <w:szCs w:val="18"/>
              </w:rPr>
              <w:t>Acute Frailty Unit</w:t>
            </w:r>
          </w:p>
        </w:tc>
        <w:tc>
          <w:tcPr>
            <w:tcW w:w="0" w:type="auto"/>
          </w:tcPr>
          <w:p w14:paraId="39A7B28F" w14:textId="6971E508" w:rsidR="00EB7BD1" w:rsidRDefault="00EB7BD1" w:rsidP="00391ABA">
            <w:pPr>
              <w:spacing w:line="276" w:lineRule="auto"/>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24 hours a day</w:t>
            </w:r>
          </w:p>
        </w:tc>
        <w:tc>
          <w:tcPr>
            <w:tcW w:w="0" w:type="auto"/>
          </w:tcPr>
          <w:p w14:paraId="6DA5C3F9" w14:textId="200D4F4B" w:rsidR="00EB7BD1" w:rsidRPr="00331202" w:rsidRDefault="00EB7BD1" w:rsidP="00391ABA">
            <w:pPr>
              <w:spacing w:line="276" w:lineRule="auto"/>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Not included</w:t>
            </w:r>
          </w:p>
        </w:tc>
        <w:tc>
          <w:tcPr>
            <w:tcW w:w="0" w:type="auto"/>
          </w:tcPr>
          <w:p w14:paraId="0B5C1382" w14:textId="77777777" w:rsidR="00EB7BD1" w:rsidRPr="00331202" w:rsidRDefault="00EB7BD1" w:rsidP="00391ABA">
            <w:p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331202">
              <w:rPr>
                <w:sz w:val="18"/>
                <w:szCs w:val="18"/>
              </w:rPr>
              <w:t xml:space="preserve">3.5% reduction which over the year could equate to approximately </w:t>
            </w:r>
            <w:r w:rsidRPr="00331202">
              <w:rPr>
                <w:sz w:val="18"/>
                <w:szCs w:val="18"/>
              </w:rPr>
              <w:lastRenderedPageBreak/>
              <w:t>610 fewer admissions.</w:t>
            </w:r>
          </w:p>
        </w:tc>
        <w:tc>
          <w:tcPr>
            <w:tcW w:w="0" w:type="auto"/>
          </w:tcPr>
          <w:p w14:paraId="66651301" w14:textId="77777777" w:rsidR="00EB7BD1" w:rsidRPr="00331202" w:rsidRDefault="00EB7BD1" w:rsidP="00391ABA">
            <w:pPr>
              <w:spacing w:line="276" w:lineRule="auto"/>
              <w:jc w:val="both"/>
              <w:cnfStyle w:val="000000000000" w:firstRow="0" w:lastRow="0" w:firstColumn="0" w:lastColumn="0" w:oddVBand="0" w:evenVBand="0" w:oddHBand="0" w:evenHBand="0" w:firstRowFirstColumn="0" w:firstRowLastColumn="0" w:lastRowFirstColumn="0" w:lastRowLastColumn="0"/>
              <w:rPr>
                <w:sz w:val="18"/>
                <w:szCs w:val="18"/>
              </w:rPr>
            </w:pPr>
            <w:r w:rsidRPr="00331202">
              <w:rPr>
                <w:sz w:val="18"/>
                <w:szCs w:val="18"/>
              </w:rPr>
              <w:lastRenderedPageBreak/>
              <w:t>Length of stay could be increased by ½ day</w:t>
            </w:r>
          </w:p>
        </w:tc>
        <w:tc>
          <w:tcPr>
            <w:tcW w:w="0" w:type="auto"/>
          </w:tcPr>
          <w:p w14:paraId="4E96F0B8" w14:textId="0D053031" w:rsidR="00EB7BD1" w:rsidRPr="00331202" w:rsidRDefault="00EB7BD1" w:rsidP="00391ABA">
            <w:p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331202">
              <w:rPr>
                <w:sz w:val="18"/>
                <w:szCs w:val="18"/>
              </w:rPr>
              <w:t>1.6% reduction</w:t>
            </w:r>
            <w:r w:rsidR="00BF3F70">
              <w:rPr>
                <w:sz w:val="18"/>
                <w:szCs w:val="18"/>
              </w:rPr>
              <w:t xml:space="preserve"> </w:t>
            </w:r>
            <w:r w:rsidR="00BF3F70" w:rsidRPr="00BF3F70">
              <w:rPr>
                <w:sz w:val="18"/>
                <w:szCs w:val="18"/>
              </w:rPr>
              <w:t xml:space="preserve">(after considering the conversion rate of ED attendances to </w:t>
            </w:r>
            <w:r w:rsidR="00BF3F70" w:rsidRPr="00BF3F70">
              <w:rPr>
                <w:sz w:val="18"/>
                <w:szCs w:val="18"/>
              </w:rPr>
              <w:lastRenderedPageBreak/>
              <w:t>hospital admission)</w:t>
            </w:r>
            <w:r w:rsidRPr="00BF3F70">
              <w:rPr>
                <w:sz w:val="18"/>
                <w:szCs w:val="18"/>
              </w:rPr>
              <w:t xml:space="preserve"> </w:t>
            </w:r>
            <w:r w:rsidRPr="00331202">
              <w:rPr>
                <w:sz w:val="18"/>
                <w:szCs w:val="18"/>
              </w:rPr>
              <w:t>which could lead to approximately 360 fewer inpatients over the year.</w:t>
            </w:r>
          </w:p>
        </w:tc>
        <w:tc>
          <w:tcPr>
            <w:tcW w:w="0" w:type="auto"/>
          </w:tcPr>
          <w:p w14:paraId="0F9D9724" w14:textId="77777777" w:rsidR="00EB7BD1" w:rsidRPr="00331202" w:rsidRDefault="00EB7BD1" w:rsidP="00391ABA">
            <w:pPr>
              <w:spacing w:line="276" w:lineRule="auto"/>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lastRenderedPageBreak/>
              <w:t>Not included</w:t>
            </w:r>
          </w:p>
        </w:tc>
        <w:tc>
          <w:tcPr>
            <w:tcW w:w="0" w:type="auto"/>
          </w:tcPr>
          <w:p w14:paraId="2BBC00D1" w14:textId="77777777" w:rsidR="00EB7BD1" w:rsidRPr="00331202" w:rsidRDefault="00EB7BD1" w:rsidP="00391ABA">
            <w:pPr>
              <w:spacing w:line="276" w:lineRule="auto"/>
              <w:jc w:val="both"/>
              <w:cnfStyle w:val="000000000000" w:firstRow="0" w:lastRow="0" w:firstColumn="0" w:lastColumn="0" w:oddVBand="0" w:evenVBand="0" w:oddHBand="0" w:evenHBand="0" w:firstRowFirstColumn="0" w:firstRowLastColumn="0" w:lastRowFirstColumn="0" w:lastRowLastColumn="0"/>
              <w:rPr>
                <w:sz w:val="18"/>
                <w:szCs w:val="18"/>
              </w:rPr>
            </w:pPr>
            <w:r w:rsidRPr="00331202">
              <w:rPr>
                <w:sz w:val="18"/>
                <w:szCs w:val="18"/>
              </w:rPr>
              <w:t xml:space="preserve">7% fewer admissions which could lead to a reduction of 175 patients </w:t>
            </w:r>
            <w:r w:rsidRPr="00331202">
              <w:rPr>
                <w:sz w:val="18"/>
                <w:szCs w:val="18"/>
              </w:rPr>
              <w:lastRenderedPageBreak/>
              <w:t>discharged to long term care over a year.</w:t>
            </w:r>
          </w:p>
        </w:tc>
        <w:tc>
          <w:tcPr>
            <w:tcW w:w="0" w:type="auto"/>
          </w:tcPr>
          <w:p w14:paraId="6678295D" w14:textId="77777777" w:rsidR="00EB7BD1" w:rsidRPr="00331202" w:rsidRDefault="00EB7BD1" w:rsidP="00391ABA">
            <w:pPr>
              <w:spacing w:line="276" w:lineRule="auto"/>
              <w:jc w:val="both"/>
              <w:cnfStyle w:val="000000000000" w:firstRow="0" w:lastRow="0" w:firstColumn="0" w:lastColumn="0" w:oddVBand="0" w:evenVBand="0" w:oddHBand="0" w:evenHBand="0" w:firstRowFirstColumn="0" w:firstRowLastColumn="0" w:lastRowFirstColumn="0" w:lastRowLastColumn="0"/>
              <w:rPr>
                <w:sz w:val="18"/>
                <w:szCs w:val="18"/>
              </w:rPr>
            </w:pPr>
            <w:r w:rsidRPr="00331202">
              <w:rPr>
                <w:sz w:val="18"/>
                <w:szCs w:val="18"/>
              </w:rPr>
              <w:lastRenderedPageBreak/>
              <w:t>Fewer readmissions (RR = 0.78)</w:t>
            </w:r>
          </w:p>
        </w:tc>
        <w:tc>
          <w:tcPr>
            <w:tcW w:w="0" w:type="auto"/>
          </w:tcPr>
          <w:p w14:paraId="2AD7D404" w14:textId="77777777" w:rsidR="00EB7BD1" w:rsidRPr="00331202" w:rsidRDefault="00EB7BD1" w:rsidP="00391ABA">
            <w:pPr>
              <w:spacing w:line="276" w:lineRule="auto"/>
              <w:jc w:val="both"/>
              <w:cnfStyle w:val="000000000000" w:firstRow="0" w:lastRow="0" w:firstColumn="0" w:lastColumn="0" w:oddVBand="0" w:evenVBand="0" w:oddHBand="0" w:evenHBand="0" w:firstRowFirstColumn="0" w:firstRowLastColumn="0" w:lastRowFirstColumn="0" w:lastRowLastColumn="0"/>
              <w:rPr>
                <w:sz w:val="18"/>
                <w:szCs w:val="18"/>
              </w:rPr>
            </w:pPr>
            <w:r w:rsidRPr="00331202">
              <w:rPr>
                <w:sz w:val="18"/>
                <w:szCs w:val="18"/>
              </w:rPr>
              <w:t xml:space="preserve">22% reduction which over the year could equate to approximately </w:t>
            </w:r>
            <w:r w:rsidRPr="00331202">
              <w:rPr>
                <w:sz w:val="18"/>
                <w:szCs w:val="18"/>
              </w:rPr>
              <w:lastRenderedPageBreak/>
              <w:t>1,000 fewer readmissions.</w:t>
            </w:r>
          </w:p>
        </w:tc>
        <w:tc>
          <w:tcPr>
            <w:tcW w:w="0" w:type="auto"/>
          </w:tcPr>
          <w:p w14:paraId="34ED6144" w14:textId="77777777" w:rsidR="00EB7BD1" w:rsidRPr="00331202" w:rsidRDefault="00EB7BD1" w:rsidP="00391ABA">
            <w:pPr>
              <w:spacing w:line="276" w:lineRule="auto"/>
              <w:jc w:val="both"/>
              <w:cnfStyle w:val="000000000000" w:firstRow="0" w:lastRow="0" w:firstColumn="0" w:lastColumn="0" w:oddVBand="0" w:evenVBand="0" w:oddHBand="0" w:evenHBand="0" w:firstRowFirstColumn="0" w:firstRowLastColumn="0" w:lastRowFirstColumn="0" w:lastRowLastColumn="0"/>
              <w:rPr>
                <w:sz w:val="18"/>
                <w:szCs w:val="18"/>
              </w:rPr>
            </w:pPr>
            <w:r w:rsidRPr="00331202">
              <w:rPr>
                <w:sz w:val="18"/>
                <w:szCs w:val="18"/>
              </w:rPr>
              <w:lastRenderedPageBreak/>
              <w:t>Reduced mortality (RR=0.86)</w:t>
            </w:r>
          </w:p>
        </w:tc>
        <w:tc>
          <w:tcPr>
            <w:tcW w:w="0" w:type="auto"/>
          </w:tcPr>
          <w:p w14:paraId="11B92FF1" w14:textId="77777777" w:rsidR="00EB7BD1" w:rsidRPr="00331202" w:rsidRDefault="00EB7BD1" w:rsidP="00391ABA">
            <w:p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331202">
              <w:rPr>
                <w:sz w:val="18"/>
                <w:szCs w:val="18"/>
              </w:rPr>
              <w:t xml:space="preserve">15% reduction which could result in approximately 110 fewer </w:t>
            </w:r>
            <w:r w:rsidRPr="00331202">
              <w:rPr>
                <w:sz w:val="18"/>
                <w:szCs w:val="18"/>
              </w:rPr>
              <w:lastRenderedPageBreak/>
              <w:t>deaths over the year</w:t>
            </w:r>
          </w:p>
        </w:tc>
      </w:tr>
    </w:tbl>
    <w:p w14:paraId="5DCE3FEE" w14:textId="77777777" w:rsidR="008B78AC" w:rsidRPr="008B78AC" w:rsidRDefault="008B78AC" w:rsidP="008B78AC"/>
    <w:p w14:paraId="478DBBE9" w14:textId="1EC61BF2" w:rsidR="00BF7AE6" w:rsidRDefault="00BF7AE6" w:rsidP="008B78AC">
      <w:pPr>
        <w:jc w:val="both"/>
        <w:rPr>
          <w:b/>
          <w:bCs/>
        </w:rPr>
      </w:pPr>
    </w:p>
    <w:p w14:paraId="6BA2EE4A" w14:textId="77777777" w:rsidR="00BF7AE6" w:rsidRDefault="00BF7AE6">
      <w:pPr>
        <w:spacing w:line="240" w:lineRule="auto"/>
        <w:rPr>
          <w:b/>
          <w:bCs/>
        </w:rPr>
      </w:pPr>
      <w:r>
        <w:rPr>
          <w:b/>
          <w:bCs/>
        </w:rPr>
        <w:br w:type="page"/>
      </w:r>
    </w:p>
    <w:p w14:paraId="0892B978" w14:textId="77777777" w:rsidR="00EB7BD1" w:rsidRDefault="00EB7BD1" w:rsidP="008B78AC">
      <w:pPr>
        <w:jc w:val="both"/>
        <w:sectPr w:rsidR="00EB7BD1" w:rsidSect="00EB7BD1">
          <w:pgSz w:w="16840" w:h="11901" w:orient="landscape" w:code="9"/>
          <w:pgMar w:top="1440" w:right="1440" w:bottom="1440" w:left="1440" w:header="709" w:footer="709" w:gutter="0"/>
          <w:cols w:space="708"/>
          <w:docGrid w:linePitch="360"/>
        </w:sectPr>
      </w:pPr>
    </w:p>
    <w:p w14:paraId="22F9D459" w14:textId="7FB48000" w:rsidR="0047683D" w:rsidRDefault="00CD3C2E" w:rsidP="0085779C">
      <w:pPr>
        <w:ind w:firstLine="720"/>
        <w:jc w:val="both"/>
      </w:pPr>
      <w:r>
        <w:lastRenderedPageBreak/>
        <w:t xml:space="preserve">Having compared the </w:t>
      </w:r>
      <w:r w:rsidR="003D1E74">
        <w:t>interventions</w:t>
      </w:r>
      <w:r w:rsidR="003E0838">
        <w:t xml:space="preserve"> for this hypothetical scenario,</w:t>
      </w:r>
      <w:r w:rsidR="003D1E74">
        <w:t xml:space="preserve"> there is potential to reduce hospital admissions and readmissions</w:t>
      </w:r>
      <w:r w:rsidR="002C5B15">
        <w:t>,</w:t>
      </w:r>
      <w:r w:rsidR="003D1E74">
        <w:t xml:space="preserve"> leading to fewer older patients in hospital and hospital</w:t>
      </w:r>
      <w:r w:rsidR="002C5B15">
        <w:t>-</w:t>
      </w:r>
      <w:r w:rsidR="003D1E74">
        <w:t xml:space="preserve">related deaths. </w:t>
      </w:r>
      <w:r w:rsidR="00E13731">
        <w:t xml:space="preserve">In terms of hospital admissions, front door frailty and acute frailty units offer the </w:t>
      </w:r>
      <w:r w:rsidR="003B33F0">
        <w:t xml:space="preserve">greatest </w:t>
      </w:r>
      <w:r w:rsidR="00E13731">
        <w:t xml:space="preserve">potential in reducing numbers. The acute frailty unit offers the most noticeable reduction in hospital readmissions </w:t>
      </w:r>
      <w:r w:rsidR="00A051CF">
        <w:t xml:space="preserve">(22% fewer which could lead to a reduction of 1,000 readmissions over a year) </w:t>
      </w:r>
      <w:r w:rsidR="00E13731">
        <w:t>whilst front door frailty sees a marked reduction in hospital inpatient numbers</w:t>
      </w:r>
      <w:r w:rsidR="00A051CF">
        <w:t xml:space="preserve"> (3.2% reduction which could lead to 730 fewer patients in hospital over a year)</w:t>
      </w:r>
      <w:r w:rsidR="00E13731">
        <w:t>. Acute frailty units and front door frailty interventions also potentially offer larger reductions in the number of hospital related deaths and admissions to long term care facil</w:t>
      </w:r>
      <w:r w:rsidR="002B7A93">
        <w:t>i</w:t>
      </w:r>
      <w:r w:rsidR="00E13731">
        <w:t xml:space="preserve">ties. </w:t>
      </w:r>
      <w:r w:rsidR="000F286E">
        <w:t>For example, an acute frailty unit intervention could result in 15% fewer deaths (approximately 110 over a year).</w:t>
      </w:r>
      <w:r w:rsidR="00E13731">
        <w:t xml:space="preserve"> </w:t>
      </w:r>
    </w:p>
    <w:p w14:paraId="56502034" w14:textId="4D9FACC3" w:rsidR="00D37279" w:rsidRDefault="00D37279" w:rsidP="008B78AC">
      <w:pPr>
        <w:jc w:val="both"/>
      </w:pPr>
      <w:r>
        <w:tab/>
        <w:t xml:space="preserve">It is also worth noting that several of the services do not run all the time </w:t>
      </w:r>
      <w:r w:rsidR="00136B9B">
        <w:t xml:space="preserve">and are </w:t>
      </w:r>
      <w:r>
        <w:t xml:space="preserve">operational </w:t>
      </w:r>
      <w:r w:rsidR="00136B9B">
        <w:t xml:space="preserve">either </w:t>
      </w:r>
      <w:r>
        <w:t xml:space="preserve">between 9am and 5pm during the week </w:t>
      </w:r>
      <w:r w:rsidR="00050AB4">
        <w:t xml:space="preserve">or </w:t>
      </w:r>
      <w:r w:rsidR="001D03F6">
        <w:t>8am and 8pm each day.</w:t>
      </w:r>
      <w:r w:rsidR="00050AB4">
        <w:t xml:space="preserve"> </w:t>
      </w:r>
      <w:r w:rsidR="002B457D">
        <w:t xml:space="preserve">This suggests further potential improvement, as services that extend their opening hours would see larger effect sizes on their admissions, readmissions etc. An added benefit of using a SD decision support tool is that the user can extend the opening hours in their virtual </w:t>
      </w:r>
      <w:r w:rsidR="002C5B15">
        <w:t xml:space="preserve">scenario </w:t>
      </w:r>
      <w:r w:rsidR="002B457D">
        <w:t xml:space="preserve">and see what affect that has on their hospital metrics. This may prove useful for clinicians, commissioners and planners undergoing improvement projects or developing business cases to improve their hospital </w:t>
      </w:r>
      <w:r w:rsidR="002C5B15">
        <w:t xml:space="preserve">care </w:t>
      </w:r>
      <w:r w:rsidR="00D81623">
        <w:t>for older patients</w:t>
      </w:r>
      <w:r w:rsidR="002B457D">
        <w:t>.</w:t>
      </w:r>
      <w:r w:rsidR="000E448A">
        <w:t xml:space="preserve"> </w:t>
      </w:r>
      <w:r w:rsidR="002B457D">
        <w:t xml:space="preserve">   </w:t>
      </w:r>
    </w:p>
    <w:p w14:paraId="166C62B6" w14:textId="04ED36D8" w:rsidR="001050A2" w:rsidRDefault="0059790B" w:rsidP="0059790B">
      <w:pPr>
        <w:pStyle w:val="Heading1"/>
      </w:pPr>
      <w:r>
        <w:t>Discussion</w:t>
      </w:r>
    </w:p>
    <w:p w14:paraId="621B4A33" w14:textId="4FF51D3B" w:rsidR="00AE00BC" w:rsidRDefault="00AE00BC" w:rsidP="00F42B7F">
      <w:pPr>
        <w:pStyle w:val="Newparagraph"/>
        <w:jc w:val="both"/>
      </w:pPr>
      <w:r>
        <w:t xml:space="preserve">To our knowledge, this is the first reported development and validation of a decision support tool focusing upon service for older people with Emergency and Urgent Care needs. The resultant SD </w:t>
      </w:r>
      <w:r w:rsidR="00EB2123">
        <w:t>decision support tool</w:t>
      </w:r>
      <w:r>
        <w:t xml:space="preserve"> can </w:t>
      </w:r>
      <w:r w:rsidR="00EB2123">
        <w:t>help</w:t>
      </w:r>
      <w:r>
        <w:t xml:space="preserve"> clinicians, service managers and commissioners to identify what EUC model might best suit their specific setting and gauge the </w:t>
      </w:r>
      <w:r>
        <w:lastRenderedPageBreak/>
        <w:t>impact of the service on not just immediate short</w:t>
      </w:r>
      <w:r w:rsidR="00D1048A">
        <w:t>-</w:t>
      </w:r>
      <w:r>
        <w:t>term outcomes (admission vs. discharge f</w:t>
      </w:r>
      <w:r w:rsidR="00B66878">
        <w:t>r</w:t>
      </w:r>
      <w:r>
        <w:t>om ED), but the impact on the wider health and social care system, over one year.</w:t>
      </w:r>
    </w:p>
    <w:p w14:paraId="51A3EAAA" w14:textId="77777777" w:rsidR="000E5196" w:rsidRDefault="000E5196" w:rsidP="000E5196">
      <w:pPr>
        <w:pStyle w:val="Heading2"/>
      </w:pPr>
      <w:r>
        <w:t>Relationship to wider literature</w:t>
      </w:r>
    </w:p>
    <w:p w14:paraId="1CBF0B43" w14:textId="13761B92" w:rsidR="001156BE" w:rsidRDefault="000E5196" w:rsidP="000E5196">
      <w:pPr>
        <w:pStyle w:val="Newparagraph"/>
        <w:jc w:val="both"/>
      </w:pPr>
      <w:r>
        <w:t>The bulk of the literature on emergency care models reports the impact of a single (</w:t>
      </w:r>
      <w:r w:rsidR="00A403C5">
        <w:t xml:space="preserve">albeit </w:t>
      </w:r>
      <w:r>
        <w:t>perhaps complex) intervention on a single cohort of individuals, and the</w:t>
      </w:r>
      <w:r w:rsidR="00A403C5">
        <w:t>ir</w:t>
      </w:r>
      <w:r>
        <w:t xml:space="preserve"> associated outcomes</w:t>
      </w:r>
      <w:r w:rsidR="00A403C5">
        <w:t xml:space="preserve"> in a linear manner</w:t>
      </w:r>
      <w:r w:rsidR="00C628AD">
        <w:t xml:space="preserve"> </w:t>
      </w:r>
      <w:r w:rsidR="00C628AD" w:rsidRPr="0010549A">
        <w:t>[1</w:t>
      </w:r>
      <w:r w:rsidR="00FA5EF3">
        <w:t>2</w:t>
      </w:r>
      <w:r w:rsidR="00C628AD" w:rsidRPr="0010549A">
        <w:t>-2</w:t>
      </w:r>
      <w:r w:rsidR="00D05D90" w:rsidRPr="0010549A">
        <w:t>4</w:t>
      </w:r>
      <w:r w:rsidR="00C628AD" w:rsidRPr="0010549A">
        <w:t>]</w:t>
      </w:r>
      <w:r>
        <w:t xml:space="preserve">. </w:t>
      </w:r>
      <w:r w:rsidR="001156BE">
        <w:t>In this study, the</w:t>
      </w:r>
      <w:r>
        <w:t xml:space="preserve"> SD decision support tool </w:t>
      </w:r>
      <w:r w:rsidR="00A403C5">
        <w:t>permits an</w:t>
      </w:r>
      <w:r>
        <w:t xml:space="preserve"> understanding of such interventions by taking a whole systems perspective that </w:t>
      </w:r>
      <w:r w:rsidR="00541086">
        <w:t>also incorporates temporal impacts on patients and therefore services</w:t>
      </w:r>
      <w:r>
        <w:t>. For example, seeing how a reduction in hospital readmissions may affect the number of patients discharged into care homes at a later date.</w:t>
      </w:r>
      <w:r w:rsidR="009313C1">
        <w:t xml:space="preserve"> </w:t>
      </w:r>
      <w:r>
        <w:t xml:space="preserve">Such an approach perhaps better mirrors the real-world impact of interventions in complex systems, such as the NHS. </w:t>
      </w:r>
    </w:p>
    <w:p w14:paraId="51A94B97" w14:textId="2F0C91EC" w:rsidR="003F1E87" w:rsidRDefault="00DF0C28" w:rsidP="000E5196">
      <w:pPr>
        <w:pStyle w:val="Newparagraph"/>
        <w:jc w:val="both"/>
      </w:pPr>
      <w:r>
        <w:t xml:space="preserve">Few studies describe </w:t>
      </w:r>
      <w:r w:rsidR="000E5196">
        <w:t>the ‘dos</w:t>
      </w:r>
      <w:r>
        <w:t>ing strategy</w:t>
      </w:r>
      <w:r w:rsidR="000E5196">
        <w:t>’ of the intervention (</w:t>
      </w:r>
      <w:r w:rsidR="00BE63E4">
        <w:t>i.e.,</w:t>
      </w:r>
      <w:r w:rsidR="000E5196">
        <w:t xml:space="preserve"> the proportion of people who might </w:t>
      </w:r>
      <w:r w:rsidR="00BE63E4" w:rsidRPr="00483740">
        <w:rPr>
          <w:i/>
          <w:iCs/>
        </w:rPr>
        <w:t>receive</w:t>
      </w:r>
      <w:r w:rsidR="000E5196">
        <w:t xml:space="preserve"> the intervention, </w:t>
      </w:r>
      <w:r w:rsidR="00FB52DE">
        <w:t xml:space="preserve">when the service’s </w:t>
      </w:r>
      <w:r w:rsidR="000E5196">
        <w:t xml:space="preserve">opening hours and </w:t>
      </w:r>
      <w:r w:rsidR="00FB52DE">
        <w:t xml:space="preserve">patient </w:t>
      </w:r>
      <w:r w:rsidR="000E5196">
        <w:t>eligibility criteria</w:t>
      </w:r>
      <w:r w:rsidR="00FB52DE">
        <w:t xml:space="preserve"> are considered</w:t>
      </w:r>
      <w:r w:rsidR="000E5196">
        <w:t>)</w:t>
      </w:r>
      <w:r>
        <w:t xml:space="preserve">. </w:t>
      </w:r>
      <w:r w:rsidR="003F1E87">
        <w:t>By including a consideration of the services’ opening times</w:t>
      </w:r>
      <w:r w:rsidR="000E5196">
        <w:t xml:space="preserve">, we </w:t>
      </w:r>
      <w:r>
        <w:t>can</w:t>
      </w:r>
      <w:r w:rsidR="000E5196">
        <w:t xml:space="preserve"> provide perhaps more grounded estimates of the impact of interventions. </w:t>
      </w:r>
    </w:p>
    <w:p w14:paraId="096F47EA" w14:textId="350C6983" w:rsidR="000E5196" w:rsidRDefault="006C126F" w:rsidP="000E5196">
      <w:pPr>
        <w:pStyle w:val="Newparagraph"/>
        <w:jc w:val="both"/>
      </w:pPr>
      <w:r>
        <w:t xml:space="preserve">In each of the studies </w:t>
      </w:r>
      <w:r w:rsidR="002640D9" w:rsidRPr="0010549A">
        <w:t>[1</w:t>
      </w:r>
      <w:r w:rsidR="00FA5EF3">
        <w:t>2</w:t>
      </w:r>
      <w:r w:rsidR="002640D9" w:rsidRPr="0010549A">
        <w:t>-2</w:t>
      </w:r>
      <w:r w:rsidR="00D05D90" w:rsidRPr="0010549A">
        <w:t>4</w:t>
      </w:r>
      <w:r w:rsidR="002640D9" w:rsidRPr="0010549A">
        <w:t>]</w:t>
      </w:r>
      <w:r w:rsidR="002640D9" w:rsidRPr="002640D9">
        <w:t>,</w:t>
      </w:r>
      <w:r w:rsidR="002640D9">
        <w:rPr>
          <w:b/>
          <w:bCs/>
          <w:color w:val="FF0000"/>
        </w:rPr>
        <w:t xml:space="preserve"> </w:t>
      </w:r>
      <w:r>
        <w:t xml:space="preserve">the effect sizes for the chosen hospital metrics (admissions, readmissions, length of stay, mortality), are </w:t>
      </w:r>
      <w:r w:rsidR="002C5B15">
        <w:t xml:space="preserve">typically </w:t>
      </w:r>
      <w:r>
        <w:t xml:space="preserve">given in terms of a risk ratio showing a summary estimate for the level of reduction observed. </w:t>
      </w:r>
      <w:r w:rsidR="002C5B15">
        <w:t>However,</w:t>
      </w:r>
      <w:r w:rsidR="000E5196">
        <w:t xml:space="preserve"> </w:t>
      </w:r>
      <w:r w:rsidR="00A85DC5">
        <w:t xml:space="preserve">using a whole-system approach </w:t>
      </w:r>
      <w:r w:rsidR="002C5B15">
        <w:t>gives</w:t>
      </w:r>
      <w:r w:rsidR="00A85DC5">
        <w:t xml:space="preserve"> results that at first sight may</w:t>
      </w:r>
      <w:r w:rsidR="000E5196">
        <w:t xml:space="preserve"> feel somewhat counter-intuitive</w:t>
      </w:r>
      <w:r w:rsidR="00A403C5">
        <w:t>,</w:t>
      </w:r>
      <w:r w:rsidR="000E5196">
        <w:t xml:space="preserve"> to clinicians who are used to seeing summary estimates,</w:t>
      </w:r>
      <w:r w:rsidR="002C5B15">
        <w:t xml:space="preserve"> but </w:t>
      </w:r>
      <w:r w:rsidR="000E5196">
        <w:t>it does provide a more realistic estimation of what might be achieved with one scenario compared to another.</w:t>
      </w:r>
    </w:p>
    <w:p w14:paraId="667701AB" w14:textId="77777777" w:rsidR="000E5196" w:rsidRDefault="000E5196" w:rsidP="000E5196">
      <w:pPr>
        <w:pStyle w:val="Heading2"/>
      </w:pPr>
      <w:r>
        <w:t>Implications for practice</w:t>
      </w:r>
    </w:p>
    <w:p w14:paraId="7E87E651" w14:textId="75889156" w:rsidR="000E5196" w:rsidRPr="0059790B" w:rsidRDefault="000E5196" w:rsidP="000E5196">
      <w:pPr>
        <w:pStyle w:val="Paragraph"/>
        <w:jc w:val="both"/>
      </w:pPr>
      <w:r>
        <w:tab/>
        <w:t xml:space="preserve">The main aim of this SD decision support tool has been to enable any hospital to examine the benefit of a chosen ED intervention on their older population presenting at ED, </w:t>
      </w:r>
      <w:r>
        <w:lastRenderedPageBreak/>
        <w:t xml:space="preserve">without necessarily going through multiple different service development cycles. Clinicians and hospital planners can see the effect of the five interventions on their hospital setting and associated metrics. The user interface allows the user to easily enter their own data or use that contained within the tool and to view the graphical results produced. </w:t>
      </w:r>
      <w:r w:rsidR="002C5B15">
        <w:t xml:space="preserve">This whole system modelling might be especially relevant to the emerging Integrated Care Systems as they consider their Population Health Management approaches for older people. </w:t>
      </w:r>
      <w:r>
        <w:t xml:space="preserve">As more evidence-based interventions become available the tool can be adapted to include their effect sizes. </w:t>
      </w:r>
    </w:p>
    <w:p w14:paraId="2F18F895" w14:textId="77777777" w:rsidR="000E5196" w:rsidRDefault="000E5196" w:rsidP="000E5196">
      <w:pPr>
        <w:pStyle w:val="Heading2"/>
      </w:pPr>
      <w:r>
        <w:t>Implications for research</w:t>
      </w:r>
    </w:p>
    <w:p w14:paraId="6C054B10" w14:textId="38388648" w:rsidR="000E5196" w:rsidRPr="0059790B" w:rsidRDefault="000E5196" w:rsidP="000E5196">
      <w:pPr>
        <w:pStyle w:val="Paragraph"/>
        <w:ind w:firstLine="720"/>
        <w:jc w:val="both"/>
      </w:pPr>
      <w:r>
        <w:t xml:space="preserve">Future iterations of the SD model might be further developed to incorporate frailty measures as these become more widely represented in underpinning datasets </w:t>
      </w:r>
      <w:r>
        <w:fldChar w:fldCharType="begin"/>
      </w:r>
      <w:r w:rsidR="00602F5F">
        <w:instrText xml:space="preserve"> ADDIN EN.CITE &lt;EndNote&gt;&lt;Cite&gt;&lt;Author&gt;NHS Improvement&lt;/Author&gt;&lt;Year&gt;2018&lt;/Year&gt;&lt;RecNum&gt;4830&lt;/RecNum&gt;&lt;DisplayText&gt;[1, 9]&lt;/DisplayText&gt;&lt;record&gt;&lt;rec-number&gt;4830&lt;/rec-number&gt;&lt;foreign-keys&gt;&lt;key app="EN" db-id="zs5ada52fwzzflexpwcv0awr0ptttxa9frxe" timestamp="1544704786"&gt;4830&lt;/key&gt;&lt;/foreign-keys&gt;&lt;ref-type name="Government Document"&gt;46&lt;/ref-type&gt;&lt;contributors&gt;&lt;authors&gt;&lt;author&gt;NHS Improvement,&lt;/author&gt;&lt;/authors&gt;&lt;/contributors&gt;&lt;titles&gt;&lt;title&gt;Ambulatory emergency care guide: same day acute frailty services: same day acute frailty services&lt;/title&gt;&lt;/titles&gt;&lt;dates&gt;&lt;year&gt;2018&lt;/year&gt;&lt;/dates&gt;&lt;urls&gt;&lt;related-urls&gt;&lt;url&gt;https://improvement.nhs.uk/resources/ambulatory-emergency-care-guide-same-day-acute-frailty-services/&lt;/url&gt;&lt;/related-urls&gt;&lt;/urls&gt;&lt;access-date&gt;13th December 2018&lt;/access-date&gt;&lt;/record&gt;&lt;/Cite&gt;&lt;Cite&gt;&lt;Author&gt;Elliott&lt;/Author&gt;&lt;Year&gt;2020&lt;/Year&gt;&lt;RecNum&gt;5494&lt;/RecNum&gt;&lt;record&gt;&lt;rec-number&gt;5494&lt;/rec-number&gt;&lt;foreign-keys&gt;&lt;key app="EN" db-id="zs5ada52fwzzflexpwcv0awr0ptttxa9frxe" timestamp="1607964626"&gt;5494&lt;/key&gt;&lt;/foreign-keys&gt;&lt;ref-type name="Journal Article"&gt;17&lt;/ref-type&gt;&lt;contributors&gt;&lt;authors&gt;&lt;author&gt;Elliott, Amy&lt;/author&gt;&lt;author&gt;Taub, Nick&lt;/author&gt;&lt;author&gt;Banerjee, Jay&lt;/author&gt;&lt;author&gt;Aijaz, Faisal&lt;/author&gt;&lt;author&gt;Jones, Will&lt;/author&gt;&lt;author&gt;Teece, Lucy&lt;/author&gt;&lt;author&gt;van Oppen, James&lt;/author&gt;&lt;author&gt;Conroy, Simon&lt;/author&gt;&lt;/authors&gt;&lt;/contributors&gt;&lt;titles&gt;&lt;title&gt;Does the Clinical Frailty Scale at Triage Predict Outcomes From Emergency Care for Older People?&lt;/title&gt;&lt;secondary-title&gt;Annals of Emergency Medicine&lt;/secondary-title&gt;&lt;/titles&gt;&lt;periodical&gt;&lt;full-title&gt;Annals of Emergency Medicine&lt;/full-title&gt;&lt;/periodical&gt;&lt;dates&gt;&lt;year&gt;2020&lt;/year&gt;&lt;pub-dates&gt;&lt;date&gt;2020/12/13/&lt;/date&gt;&lt;/pub-dates&gt;&lt;/dates&gt;&lt;isbn&gt;0196-0644&lt;/isbn&gt;&lt;urls&gt;&lt;related-urls&gt;&lt;url&gt;http://www.sciencedirect.com/science/article/pii/S0196064420307459&lt;/url&gt;&lt;/related-urls&gt;&lt;/urls&gt;&lt;electronic-resource-num&gt;https://doi.org/10.1016/j.annemergmed.2020.09.006&lt;/electronic-resource-num&gt;&lt;/record&gt;&lt;/Cite&gt;&lt;/EndNote&gt;</w:instrText>
      </w:r>
      <w:r>
        <w:fldChar w:fldCharType="separate"/>
      </w:r>
      <w:r w:rsidR="00602F5F">
        <w:rPr>
          <w:noProof/>
        </w:rPr>
        <w:t xml:space="preserve">[1, </w:t>
      </w:r>
      <w:r w:rsidR="00ED4BF3">
        <w:rPr>
          <w:noProof/>
        </w:rPr>
        <w:t>34</w:t>
      </w:r>
      <w:r w:rsidR="00602F5F">
        <w:rPr>
          <w:noProof/>
        </w:rPr>
        <w:t>]</w:t>
      </w:r>
      <w:r>
        <w:fldChar w:fldCharType="end"/>
      </w:r>
      <w:r>
        <w:t>, Patient Reported Outcome Measures adapted for emergency care settings, which are in development, and an increased range of service options</w:t>
      </w:r>
      <w:r w:rsidR="006F06CB">
        <w:t>.</w:t>
      </w:r>
      <w:r>
        <w:t xml:space="preserve"> Future research is needed to develop and test this tool for use in other acute hospital settings.</w:t>
      </w:r>
    </w:p>
    <w:p w14:paraId="3CFA753B" w14:textId="4756A004" w:rsidR="00521236" w:rsidRDefault="00521236" w:rsidP="0059790B">
      <w:pPr>
        <w:pStyle w:val="Heading2"/>
      </w:pPr>
      <w:r>
        <w:t>Strengths</w:t>
      </w:r>
      <w:r w:rsidR="00B12B19">
        <w:t xml:space="preserve"> of the approach </w:t>
      </w:r>
    </w:p>
    <w:p w14:paraId="22282686" w14:textId="4F36E6EA" w:rsidR="0011544B" w:rsidRDefault="00E62EBA" w:rsidP="00801D11">
      <w:pPr>
        <w:pStyle w:val="Paragraph"/>
        <w:ind w:firstLine="720"/>
        <w:jc w:val="both"/>
      </w:pPr>
      <w:r>
        <w:t>K</w:t>
      </w:r>
      <w:r w:rsidR="00A90D24">
        <w:t xml:space="preserve">ey </w:t>
      </w:r>
      <w:r w:rsidR="00521236">
        <w:t>strength</w:t>
      </w:r>
      <w:r>
        <w:t>s</w:t>
      </w:r>
      <w:r w:rsidR="00521236">
        <w:t xml:space="preserve"> of the SD </w:t>
      </w:r>
      <w:r>
        <w:t>decision support tool are</w:t>
      </w:r>
      <w:r w:rsidR="00521236">
        <w:t xml:space="preserve"> that it uses robust published evidence to create the scenarios, an integrated dataset reflecting the whole of the EUC pathway, and extensive stakeholder engagement to ensure that it is </w:t>
      </w:r>
      <w:r w:rsidR="00801D11">
        <w:t xml:space="preserve">both </w:t>
      </w:r>
      <w:r w:rsidR="00521236">
        <w:t>user-friendly</w:t>
      </w:r>
      <w:r w:rsidR="00801D11">
        <w:t xml:space="preserve"> and a realistic representation of the system</w:t>
      </w:r>
      <w:r w:rsidR="00521236">
        <w:t>.</w:t>
      </w:r>
      <w:r w:rsidR="003A3481">
        <w:t xml:space="preserve"> </w:t>
      </w:r>
    </w:p>
    <w:p w14:paraId="537E7478" w14:textId="78F8FD4A" w:rsidR="004827E4" w:rsidRDefault="007E14E2" w:rsidP="004827E4">
      <w:pPr>
        <w:ind w:firstLine="720"/>
        <w:jc w:val="both"/>
        <w:rPr>
          <w:szCs w:val="20"/>
        </w:rPr>
      </w:pPr>
      <w:r>
        <w:t xml:space="preserve">Another added strength of the SD decision support tool is in </w:t>
      </w:r>
      <w:r w:rsidR="007E4AA3">
        <w:t xml:space="preserve">the ability of being able to visualise the impact of the intervention through the comprehensive set of graphs which compare the baseline and intervention results for several key hospital metrics (daily </w:t>
      </w:r>
      <w:r w:rsidR="00A403C5">
        <w:t>ED</w:t>
      </w:r>
      <w:r w:rsidR="007E4AA3">
        <w:t xml:space="preserve"> attendances, number of patients in hospital, readmissions, hospital related deaths)</w:t>
      </w:r>
      <w:r w:rsidR="004B52D5">
        <w:t xml:space="preserve"> over a simulated year of operation</w:t>
      </w:r>
      <w:r w:rsidR="007E4AA3">
        <w:t>.</w:t>
      </w:r>
      <w:r w:rsidR="00962CAF">
        <w:t xml:space="preserve"> </w:t>
      </w:r>
      <w:r w:rsidR="002503A7">
        <w:t xml:space="preserve">The user has the option to view the model as it updates or run the </w:t>
      </w:r>
      <w:r w:rsidR="002503A7">
        <w:lastRenderedPageBreak/>
        <w:t>model and view the output results at the end of the simulated year. The model results can also be easily exported into Excel if needed.</w:t>
      </w:r>
    </w:p>
    <w:p w14:paraId="4FA18C23" w14:textId="1CE07322" w:rsidR="006F1691" w:rsidRPr="004648C3" w:rsidRDefault="006F1691" w:rsidP="004827E4">
      <w:pPr>
        <w:ind w:firstLine="720"/>
        <w:jc w:val="both"/>
        <w:rPr>
          <w:szCs w:val="20"/>
        </w:rPr>
      </w:pPr>
      <w:r>
        <w:rPr>
          <w:szCs w:val="20"/>
        </w:rPr>
        <w:t xml:space="preserve">One final strength of the tool is that the underlying SD model includes feedback loops which enable the user to see how different parts of the system connect and mirrors the patient behaviour in the real-world. For example, </w:t>
      </w:r>
      <w:r w:rsidR="00A403C5">
        <w:rPr>
          <w:szCs w:val="20"/>
        </w:rPr>
        <w:t>i</w:t>
      </w:r>
      <w:r>
        <w:rPr>
          <w:szCs w:val="20"/>
        </w:rPr>
        <w:t>n the acute frailty unit intervention scenario, the evidence suggests that with the intervention increasing a patient’s length of stay by 0.5 days, there should be more patients in hospital</w:t>
      </w:r>
      <w:r w:rsidR="00A403C5">
        <w:rPr>
          <w:szCs w:val="20"/>
        </w:rPr>
        <w:t>. H</w:t>
      </w:r>
      <w:r>
        <w:rPr>
          <w:szCs w:val="20"/>
        </w:rPr>
        <w:t xml:space="preserve">owever, the reduction </w:t>
      </w:r>
      <w:r w:rsidR="00A403C5">
        <w:rPr>
          <w:szCs w:val="20"/>
        </w:rPr>
        <w:t xml:space="preserve">in </w:t>
      </w:r>
      <w:r>
        <w:rPr>
          <w:szCs w:val="20"/>
        </w:rPr>
        <w:t>patients readmitted leads to a</w:t>
      </w:r>
      <w:r w:rsidR="00A403C5">
        <w:rPr>
          <w:szCs w:val="20"/>
        </w:rPr>
        <w:t>n overall</w:t>
      </w:r>
      <w:r>
        <w:rPr>
          <w:szCs w:val="20"/>
        </w:rPr>
        <w:t xml:space="preserve"> reduction in hospital numbers. </w:t>
      </w:r>
    </w:p>
    <w:p w14:paraId="076DB458" w14:textId="41AEEC67" w:rsidR="0059790B" w:rsidRDefault="0059790B" w:rsidP="0059790B">
      <w:pPr>
        <w:pStyle w:val="Heading2"/>
      </w:pPr>
      <w:r>
        <w:t xml:space="preserve">Limitations </w:t>
      </w:r>
    </w:p>
    <w:p w14:paraId="7713750B" w14:textId="1046DF7B" w:rsidR="0059790B" w:rsidRPr="004648C3" w:rsidRDefault="000C4A37" w:rsidP="00016A84">
      <w:pPr>
        <w:ind w:firstLine="720"/>
        <w:jc w:val="both"/>
        <w:rPr>
          <w:szCs w:val="20"/>
        </w:rPr>
      </w:pPr>
      <w:r>
        <w:t>First,</w:t>
      </w:r>
      <w:r w:rsidR="00AE00BC">
        <w:t xml:space="preserve"> we were not able to include frailty measures </w:t>
      </w:r>
      <w:r w:rsidR="00EF2B89">
        <w:t>into</w:t>
      </w:r>
      <w:r w:rsidR="00AE00BC">
        <w:t xml:space="preserve"> the model, as these were not routinely embedded into the </w:t>
      </w:r>
      <w:proofErr w:type="spellStart"/>
      <w:r w:rsidR="00AE00BC">
        <w:t>CUREd</w:t>
      </w:r>
      <w:proofErr w:type="spellEnd"/>
      <w:r w:rsidR="00AE00BC">
        <w:t xml:space="preserve"> dataset. Whilst it would have been possible to capture Hospital Frailty Risk Scores for the admitted cohorts</w:t>
      </w:r>
      <w:r w:rsidR="004648C3">
        <w:t xml:space="preserve"> </w:t>
      </w:r>
      <w:r w:rsidR="004648C3">
        <w:fldChar w:fldCharType="begin"/>
      </w:r>
      <w:r w:rsidR="00602F5F">
        <w:instrText xml:space="preserve"> ADDIN EN.CITE &lt;EndNote&gt;&lt;Cite&gt;&lt;Author&gt;Gilbert&lt;/Author&gt;&lt;Year&gt;2018&lt;/Year&gt;&lt;RecNum&gt;4367&lt;/RecNum&gt;&lt;DisplayText&gt;[10]&lt;/DisplayText&gt;&lt;record&gt;&lt;rec-number&gt;4367&lt;/rec-number&gt;&lt;foreign-keys&gt;&lt;key app="EN" db-id="zs5ada52fwzzflexpwcv0awr0ptttxa9frxe" timestamp="1527143913"&gt;4367&lt;/key&gt;&lt;/foreign-keys&gt;&lt;ref-type name="Journal Article"&gt;17&lt;/ref-type&gt;&lt;contributors&gt;&lt;authors&gt;&lt;author&gt;Gilbert, Thomas&lt;/author&gt;&lt;author&gt;Neuburger, Jenny&lt;/author&gt;&lt;author&gt;Kraindler, Joshua&lt;/author&gt;&lt;author&gt;Keeble, Eilis&lt;/author&gt;&lt;author&gt;Smith, Paul&lt;/author&gt;&lt;author&gt;Ariti, Cono&lt;/author&gt;&lt;author&gt;Arora, Sandeepa&lt;/author&gt;&lt;author&gt;Street, Andrew&lt;/author&gt;&lt;author&gt;Parker, Stuart&lt;/author&gt;&lt;author&gt;Roberts, Helen C.&lt;/author&gt;&lt;author&gt;Bardsley, Martin&lt;/author&gt;&lt;author&gt;Conroy, Simon&lt;/author&gt;&lt;/authors&gt;&lt;/contributors&gt;&lt;titles&gt;&lt;title&gt;Development and validation of a Hospital Frailty Risk Score focusing on older people in acute care settings using electronic hospital records: an observational study&lt;/title&gt;&lt;secondary-title&gt;The Lancet&lt;/secondary-title&gt;&lt;/titles&gt;&lt;periodical&gt;&lt;full-title&gt;The Lancet&lt;/full-title&gt;&lt;/periodical&gt;&lt;pages&gt;1775-1782&lt;/pages&gt;&lt;volume&gt;391&lt;/volume&gt;&lt;number&gt;10132&lt;/number&gt;&lt;dates&gt;&lt;year&gt;2018&lt;/year&gt;&lt;/dates&gt;&lt;publisher&gt;Elsevier&lt;/publisher&gt;&lt;isbn&gt;0140-6736&lt;/isbn&gt;&lt;urls&gt;&lt;related-urls&gt;&lt;url&gt;http://dx.doi.org/10.1016/S0140-6736(18)30668-8&lt;/url&gt;&lt;/related-urls&gt;&lt;/urls&gt;&lt;electronic-resource-num&gt;10.1016/S0140-6736(18)30668-8&lt;/electronic-resource-num&gt;&lt;access-date&gt;2018/05/23&lt;/access-date&gt;&lt;/record&gt;&lt;/Cite&gt;&lt;/EndNote&gt;</w:instrText>
      </w:r>
      <w:r w:rsidR="004648C3">
        <w:fldChar w:fldCharType="separate"/>
      </w:r>
      <w:r w:rsidR="00602F5F">
        <w:rPr>
          <w:noProof/>
        </w:rPr>
        <w:t>[</w:t>
      </w:r>
      <w:r w:rsidR="00660813">
        <w:rPr>
          <w:noProof/>
        </w:rPr>
        <w:t>35</w:t>
      </w:r>
      <w:r w:rsidR="00602F5F">
        <w:rPr>
          <w:noProof/>
        </w:rPr>
        <w:t>]</w:t>
      </w:r>
      <w:r w:rsidR="004648C3">
        <w:fldChar w:fldCharType="end"/>
      </w:r>
      <w:r w:rsidR="00AE00BC">
        <w:t xml:space="preserve">, this would not be available to include in the whole system model, which also captures outcomes on people attending but discharged from </w:t>
      </w:r>
      <w:r w:rsidR="00BE63E4">
        <w:t>E.Ds.</w:t>
      </w:r>
      <w:r w:rsidR="003357B5">
        <w:t xml:space="preserve"> </w:t>
      </w:r>
      <w:r>
        <w:t>A second</w:t>
      </w:r>
      <w:r w:rsidR="003357B5">
        <w:t xml:space="preserve"> weakness</w:t>
      </w:r>
      <w:r w:rsidR="00EF2B89">
        <w:t xml:space="preserve"> is that we have only used interventions that have been reported in peer reviewed papers. </w:t>
      </w:r>
      <w:r>
        <w:t>E</w:t>
      </w:r>
      <w:r w:rsidR="00EF2B89">
        <w:t>merging care models</w:t>
      </w:r>
      <w:r>
        <w:t>,</w:t>
      </w:r>
      <w:r w:rsidR="00EF2B89">
        <w:t xml:space="preserve"> </w:t>
      </w:r>
      <w:r>
        <w:t>such as pre-hospital frailty services,</w:t>
      </w:r>
      <w:r w:rsidDel="000C4A37">
        <w:t xml:space="preserve"> </w:t>
      </w:r>
      <w:r w:rsidR="00EF2B89">
        <w:t xml:space="preserve">offer promise, </w:t>
      </w:r>
      <w:r>
        <w:t xml:space="preserve">but </w:t>
      </w:r>
      <w:r w:rsidR="00EF2B89">
        <w:t xml:space="preserve">the effect sizes for these interventions are </w:t>
      </w:r>
      <w:r>
        <w:t>un</w:t>
      </w:r>
      <w:r w:rsidR="00EF2B89">
        <w:t xml:space="preserve">certain. Future iterations of the SD model could allow for </w:t>
      </w:r>
      <w:r>
        <w:t>these novel interventions</w:t>
      </w:r>
      <w:r w:rsidR="00EF2B89">
        <w:t xml:space="preserve"> to be incorporated.</w:t>
      </w:r>
      <w:r w:rsidR="00B66878">
        <w:t xml:space="preserve"> </w:t>
      </w:r>
      <w:r>
        <w:t>A third drawback is that</w:t>
      </w:r>
      <w:r w:rsidR="00B66878">
        <w:t xml:space="preserve"> </w:t>
      </w:r>
      <w:r>
        <w:t>we we</w:t>
      </w:r>
      <w:r w:rsidR="00B66878">
        <w:t xml:space="preserve">re unable to model </w:t>
      </w:r>
      <w:r>
        <w:t>jointly delivered</w:t>
      </w:r>
      <w:r w:rsidR="00B66878">
        <w:t xml:space="preserve"> interventions</w:t>
      </w:r>
      <w:r>
        <w:t>,</w:t>
      </w:r>
      <w:r w:rsidR="00B66878">
        <w:t xml:space="preserve"> such as front door frailty </w:t>
      </w:r>
      <w:r>
        <w:t>in combination with</w:t>
      </w:r>
      <w:r w:rsidR="00B66878">
        <w:t xml:space="preserve"> acute frailty units, as </w:t>
      </w:r>
      <w:r>
        <w:t xml:space="preserve">only separate effects </w:t>
      </w:r>
      <w:r w:rsidR="00B66878">
        <w:t>have been reported, so we do not know the combined effect sizes.</w:t>
      </w:r>
      <w:r w:rsidR="00EF2B89">
        <w:t xml:space="preserve"> </w:t>
      </w:r>
      <w:r>
        <w:t>Fourth, the model considers service outcomes</w:t>
      </w:r>
      <w:r w:rsidR="00132491">
        <w:t>,</w:t>
      </w:r>
      <w:r>
        <w:t xml:space="preserve"> but w</w:t>
      </w:r>
      <w:r w:rsidR="009B39BA">
        <w:t xml:space="preserve">e were unable to report upon person centred metrics as these were not </w:t>
      </w:r>
      <w:r w:rsidR="00A403C5">
        <w:t xml:space="preserve">included in the </w:t>
      </w:r>
      <w:proofErr w:type="spellStart"/>
      <w:r w:rsidR="00A403C5">
        <w:t>CUREd</w:t>
      </w:r>
      <w:proofErr w:type="spellEnd"/>
      <w:r w:rsidR="00A403C5">
        <w:t xml:space="preserve"> data</w:t>
      </w:r>
      <w:r w:rsidR="009B39BA">
        <w:t xml:space="preserve">. </w:t>
      </w:r>
      <w:r w:rsidR="008F3957">
        <w:t>A final limitation is that the model does not include an estimate of the staffing resources needed to provide a service and would need to be considered separately by those seeking to implement a new or different service for older people accessing emergency care in their region.</w:t>
      </w:r>
      <w:r w:rsidR="00B11A2F">
        <w:t xml:space="preserve"> For example, one of the reasons that front door frailty and geriatric emergency medicine may </w:t>
      </w:r>
      <w:r w:rsidR="00B11A2F">
        <w:lastRenderedPageBreak/>
        <w:t xml:space="preserve">not run all the time may be </w:t>
      </w:r>
      <w:r w:rsidR="00D0173F">
        <w:t xml:space="preserve">due </w:t>
      </w:r>
      <w:r w:rsidR="00B11A2F">
        <w:t>to staffing levels and this would need to be considered alongside the outputs from the decision support tool.</w:t>
      </w:r>
    </w:p>
    <w:p w14:paraId="61FBBF3B" w14:textId="5FBF9A1E" w:rsidR="0059790B" w:rsidRDefault="0059790B" w:rsidP="0059790B">
      <w:pPr>
        <w:pStyle w:val="Heading2"/>
      </w:pPr>
      <w:r>
        <w:t>Conclusions</w:t>
      </w:r>
    </w:p>
    <w:p w14:paraId="680046E9" w14:textId="190A7211" w:rsidR="00E50A10" w:rsidRDefault="00B3505E" w:rsidP="00B3505E">
      <w:pPr>
        <w:pStyle w:val="Newparagraph"/>
        <w:jc w:val="both"/>
      </w:pPr>
      <w:r>
        <w:t xml:space="preserve">System dynamics modelling </w:t>
      </w:r>
      <w:r w:rsidR="002E1BD9">
        <w:t xml:space="preserve">coupled with emergency care data </w:t>
      </w:r>
      <w:r>
        <w:t>can be used to support decisions on implementing emergency care interventions to improve outcomes for older patients. The decision support tool can support clinicians, service managers and commissioners to identify what EUC model might best suit their specific setting and gauge the impact of the service over one year.</w:t>
      </w:r>
      <w:r w:rsidR="009D7BE2">
        <w:t xml:space="preserve"> </w:t>
      </w:r>
      <w:r w:rsidR="00E50A10">
        <w:t>The tool provides a useful visual way of seeing the effect of documented intervention studies on a user’s own hospital setting</w:t>
      </w:r>
      <w:r w:rsidR="002E01F5">
        <w:t xml:space="preserve"> filling in the missing gaps from the cited literature</w:t>
      </w:r>
      <w:r w:rsidR="00E50A10">
        <w:t>.</w:t>
      </w:r>
    </w:p>
    <w:p w14:paraId="74189A24" w14:textId="07621B55" w:rsidR="008573AB" w:rsidRDefault="008573AB" w:rsidP="008573AB">
      <w:pPr>
        <w:pStyle w:val="Newparagraph"/>
      </w:pPr>
    </w:p>
    <w:p w14:paraId="0A7E2A00" w14:textId="77777777" w:rsidR="00A57375" w:rsidRDefault="00A57375" w:rsidP="00A57375">
      <w:pPr>
        <w:pStyle w:val="Heading1"/>
      </w:pPr>
      <w:r>
        <w:t>References</w:t>
      </w:r>
    </w:p>
    <w:p w14:paraId="251E07FC" w14:textId="77777777" w:rsidR="00A57375" w:rsidRPr="00A94F8C" w:rsidRDefault="00A57375" w:rsidP="00A57375">
      <w:pPr>
        <w:pStyle w:val="EndNoteBibliography"/>
        <w:spacing w:after="0" w:line="480" w:lineRule="auto"/>
        <w:ind w:left="720" w:hanging="720"/>
        <w:jc w:val="both"/>
      </w:pPr>
      <w:r>
        <w:fldChar w:fldCharType="begin"/>
      </w:r>
      <w:r>
        <w:instrText xml:space="preserve"> ADDIN EN.REFLIST </w:instrText>
      </w:r>
      <w:r>
        <w:fldChar w:fldCharType="separate"/>
      </w:r>
      <w:r w:rsidRPr="00A94F8C">
        <w:t>1.</w:t>
      </w:r>
      <w:r w:rsidRPr="00A94F8C">
        <w:tab/>
        <w:t xml:space="preserve">Elliott, A., et al., </w:t>
      </w:r>
      <w:r w:rsidRPr="00A94F8C">
        <w:rPr>
          <w:i/>
        </w:rPr>
        <w:t>Does the Clinical Frailty Scale at Triage Predict Outcomes From Emergency Care for Older People?</w:t>
      </w:r>
      <w:r w:rsidRPr="00A94F8C">
        <w:t xml:space="preserve"> Annals of Emergency Medicine, 2020.</w:t>
      </w:r>
    </w:p>
    <w:p w14:paraId="0C251B0D" w14:textId="77777777" w:rsidR="00A57375" w:rsidRPr="00A94F8C" w:rsidRDefault="00A57375" w:rsidP="00A57375">
      <w:pPr>
        <w:pStyle w:val="EndNoteBibliography"/>
        <w:spacing w:after="0" w:line="480" w:lineRule="auto"/>
        <w:ind w:left="720" w:hanging="720"/>
        <w:jc w:val="both"/>
      </w:pPr>
      <w:r w:rsidRPr="00A94F8C">
        <w:t>2.</w:t>
      </w:r>
      <w:r w:rsidRPr="00A94F8C">
        <w:tab/>
        <w:t xml:space="preserve">Banerjee, J. and S. Conroy </w:t>
      </w:r>
      <w:r w:rsidRPr="00A94F8C">
        <w:rPr>
          <w:i/>
        </w:rPr>
        <w:t>The Silver Book: quality care for older people with urgent &amp; emergency care needs</w:t>
      </w:r>
      <w:r w:rsidRPr="00A94F8C">
        <w:t xml:space="preserve">. 2012  11/01/2015]; Available from: </w:t>
      </w:r>
      <w:hyperlink r:id="rId11" w:history="1">
        <w:r w:rsidRPr="00A94F8C">
          <w:rPr>
            <w:rStyle w:val="Hyperlink"/>
          </w:rPr>
          <w:t>http://www.bgs.org.uk/index.php/bgscampaigns-715/silverbook</w:t>
        </w:r>
      </w:hyperlink>
      <w:r w:rsidRPr="00A94F8C">
        <w:t>.</w:t>
      </w:r>
    </w:p>
    <w:p w14:paraId="068B86A9" w14:textId="77777777" w:rsidR="00A57375" w:rsidRPr="00A94F8C" w:rsidRDefault="00A57375" w:rsidP="00A57375">
      <w:pPr>
        <w:pStyle w:val="EndNoteBibliography"/>
        <w:spacing w:after="0" w:line="480" w:lineRule="auto"/>
        <w:ind w:left="720" w:hanging="720"/>
        <w:jc w:val="both"/>
      </w:pPr>
      <w:r w:rsidRPr="00A94F8C">
        <w:t>3.</w:t>
      </w:r>
      <w:r w:rsidRPr="00A94F8C">
        <w:tab/>
        <w:t xml:space="preserve">Various. </w:t>
      </w:r>
      <w:r w:rsidRPr="00A94F8C">
        <w:rPr>
          <w:i/>
        </w:rPr>
        <w:t>Silver Book II</w:t>
      </w:r>
      <w:r w:rsidRPr="00A94F8C">
        <w:t xml:space="preserve">. 2021  28/10/21]; Available from: </w:t>
      </w:r>
      <w:hyperlink r:id="rId12" w:history="1">
        <w:r w:rsidRPr="00A94F8C">
          <w:rPr>
            <w:rStyle w:val="Hyperlink"/>
          </w:rPr>
          <w:t>https://www.bgs.org.uk/resources/resource-series/silver-book-ii</w:t>
        </w:r>
      </w:hyperlink>
      <w:r w:rsidRPr="00A94F8C">
        <w:t>.</w:t>
      </w:r>
    </w:p>
    <w:p w14:paraId="31B9B911" w14:textId="77777777" w:rsidR="00A57375" w:rsidRPr="00A94F8C" w:rsidRDefault="00A57375" w:rsidP="00A57375">
      <w:pPr>
        <w:pStyle w:val="EndNoteBibliography"/>
        <w:spacing w:after="0" w:line="480" w:lineRule="auto"/>
        <w:ind w:left="720" w:hanging="720"/>
        <w:jc w:val="both"/>
      </w:pPr>
      <w:r w:rsidRPr="00A94F8C">
        <w:t>4.</w:t>
      </w:r>
      <w:r w:rsidRPr="00A94F8C">
        <w:tab/>
        <w:t xml:space="preserve">Excellence, N.I.f.C. </w:t>
      </w:r>
      <w:r w:rsidRPr="00A94F8C">
        <w:rPr>
          <w:i/>
        </w:rPr>
        <w:t>Emergency and acute medical care in over 16s: service delivery and organisation</w:t>
      </w:r>
      <w:r w:rsidRPr="00A94F8C">
        <w:t xml:space="preserve">. NICE guideline [NG94] 2018; Available from: </w:t>
      </w:r>
      <w:hyperlink r:id="rId13" w:history="1">
        <w:r w:rsidRPr="00A94F8C">
          <w:rPr>
            <w:rStyle w:val="Hyperlink"/>
          </w:rPr>
          <w:t>https://www.nice.org.uk/guidance/ng94</w:t>
        </w:r>
      </w:hyperlink>
      <w:r w:rsidRPr="00A94F8C">
        <w:t>.</w:t>
      </w:r>
    </w:p>
    <w:p w14:paraId="3CFD9971" w14:textId="77777777" w:rsidR="00A57375" w:rsidRPr="00A94F8C" w:rsidRDefault="00A57375" w:rsidP="00A57375">
      <w:pPr>
        <w:pStyle w:val="EndNoteBibliography"/>
        <w:spacing w:after="0" w:line="480" w:lineRule="auto"/>
        <w:ind w:left="720" w:hanging="720"/>
        <w:jc w:val="both"/>
      </w:pPr>
      <w:r w:rsidRPr="00A94F8C">
        <w:t>5.</w:t>
      </w:r>
      <w:r w:rsidRPr="00A94F8C">
        <w:tab/>
        <w:t xml:space="preserve">Bertfield, D. and S. Conroy, </w:t>
      </w:r>
      <w:r w:rsidRPr="00A94F8C">
        <w:rPr>
          <w:i/>
        </w:rPr>
        <w:t>Acute care for older people living with frailty</w:t>
      </w:r>
      <w:r w:rsidRPr="00A94F8C">
        <w:t>. 2020, Royal College of Physicians: London.</w:t>
      </w:r>
    </w:p>
    <w:p w14:paraId="67F45CD7" w14:textId="77777777" w:rsidR="00A57375" w:rsidRDefault="00A57375" w:rsidP="00A57375">
      <w:pPr>
        <w:pStyle w:val="EndNoteBibliography"/>
        <w:spacing w:after="0" w:line="480" w:lineRule="auto"/>
        <w:ind w:left="720" w:hanging="720"/>
        <w:jc w:val="both"/>
      </w:pPr>
      <w:r w:rsidRPr="00A94F8C">
        <w:lastRenderedPageBreak/>
        <w:t>6.</w:t>
      </w:r>
      <w:r w:rsidRPr="00A94F8C">
        <w:tab/>
        <w:t xml:space="preserve">Jay, S., et al., </w:t>
      </w:r>
      <w:r w:rsidRPr="00A94F8C">
        <w:rPr>
          <w:i/>
        </w:rPr>
        <w:t>Can consultant geriatrician led comprehensive geriatric assessment in the emergency department reduce hospital admission rates? A systematic review.</w:t>
      </w:r>
      <w:r w:rsidRPr="00A94F8C">
        <w:t xml:space="preserve"> Age and Ageing, 2016.</w:t>
      </w:r>
    </w:p>
    <w:p w14:paraId="249A8750" w14:textId="77777777" w:rsidR="00A57375" w:rsidRPr="0010549A" w:rsidRDefault="00A57375" w:rsidP="00A57375">
      <w:pPr>
        <w:pStyle w:val="EndNoteBibliography"/>
        <w:spacing w:line="480" w:lineRule="auto"/>
        <w:ind w:left="720" w:hanging="720"/>
        <w:jc w:val="both"/>
        <w:rPr>
          <w:rFonts w:cs="Times New Roman"/>
          <w:szCs w:val="20"/>
        </w:rPr>
      </w:pPr>
      <w:r w:rsidRPr="0010549A">
        <w:rPr>
          <w:szCs w:val="20"/>
        </w:rPr>
        <w:t xml:space="preserve">7. </w:t>
      </w:r>
      <w:r w:rsidRPr="0010549A">
        <w:rPr>
          <w:szCs w:val="20"/>
        </w:rPr>
        <w:tab/>
        <w:t xml:space="preserve">Darabi N,  Hosseinichimehb N (2020). </w:t>
      </w:r>
      <w:r w:rsidRPr="0010549A">
        <w:rPr>
          <w:i/>
          <w:iCs/>
          <w:szCs w:val="20"/>
        </w:rPr>
        <w:t>System dynamics modeling in health and</w:t>
      </w:r>
      <w:r w:rsidRPr="0010549A">
        <w:rPr>
          <w:rFonts w:cs="Times New Roman"/>
          <w:i/>
          <w:iCs/>
          <w:szCs w:val="20"/>
        </w:rPr>
        <w:t xml:space="preserve"> medicine: a systematic literature review</w:t>
      </w:r>
      <w:r w:rsidRPr="0010549A">
        <w:rPr>
          <w:rFonts w:cs="Times New Roman"/>
          <w:szCs w:val="20"/>
        </w:rPr>
        <w:t>. Syst. Dyn. Rev. 36, 29–73 (2020). https://doi.org/10.1002/sdr.1646</w:t>
      </w:r>
    </w:p>
    <w:p w14:paraId="5745CE6B" w14:textId="77777777" w:rsidR="00A57375" w:rsidRDefault="00A57375" w:rsidP="00A57375">
      <w:pPr>
        <w:pStyle w:val="EndNoteBibliography"/>
        <w:spacing w:line="480" w:lineRule="auto"/>
        <w:ind w:left="720" w:hanging="720"/>
        <w:jc w:val="both"/>
        <w:rPr>
          <w:rFonts w:eastAsia="StoneSerifStd-Medium" w:cs="Times New Roman"/>
          <w:szCs w:val="20"/>
        </w:rPr>
      </w:pPr>
      <w:r w:rsidRPr="0010549A">
        <w:rPr>
          <w:rFonts w:cs="Times New Roman"/>
          <w:szCs w:val="20"/>
        </w:rPr>
        <w:t xml:space="preserve">8. </w:t>
      </w:r>
      <w:r w:rsidRPr="0010549A">
        <w:rPr>
          <w:rFonts w:cs="Times New Roman"/>
          <w:szCs w:val="20"/>
        </w:rPr>
        <w:tab/>
        <w:t xml:space="preserve">Lane D.C, Monefeldt C and Rosenhead J.C. </w:t>
      </w:r>
      <w:r w:rsidRPr="0010549A">
        <w:rPr>
          <w:rFonts w:cs="Times New Roman"/>
          <w:i/>
          <w:iCs/>
          <w:szCs w:val="20"/>
        </w:rPr>
        <w:t>Looking in the Wrong Place for Healthcare Improvements: A System Dynamics Study of an Accident and Emergency Department</w:t>
      </w:r>
      <w:r w:rsidRPr="0010549A">
        <w:rPr>
          <w:rFonts w:cs="Times New Roman"/>
          <w:szCs w:val="20"/>
        </w:rPr>
        <w:t>. Journal of the Operational Research Society</w:t>
      </w:r>
      <w:r w:rsidRPr="0010549A">
        <w:rPr>
          <w:rFonts w:eastAsia="StoneSerifStd-Medium" w:cs="Times New Roman"/>
          <w:szCs w:val="20"/>
        </w:rPr>
        <w:t>, 51(5): 518–531, 2000. https://doi.org/10.1057/palgrave.jors.2600892</w:t>
      </w:r>
    </w:p>
    <w:p w14:paraId="2C0CCE37" w14:textId="77777777" w:rsidR="00A57375" w:rsidRPr="0010549A" w:rsidRDefault="00A57375" w:rsidP="00A57375">
      <w:pPr>
        <w:pStyle w:val="EndNoteBibliography"/>
        <w:spacing w:after="0" w:line="480" w:lineRule="auto"/>
        <w:ind w:left="720" w:hanging="720"/>
        <w:jc w:val="both"/>
        <w:rPr>
          <w:rFonts w:cs="Times New Roman"/>
          <w:szCs w:val="20"/>
        </w:rPr>
      </w:pPr>
      <w:r w:rsidRPr="0010549A">
        <w:rPr>
          <w:rFonts w:cs="Times New Roman"/>
          <w:szCs w:val="20"/>
        </w:rPr>
        <w:t xml:space="preserve">9. </w:t>
      </w:r>
      <w:r w:rsidRPr="0010549A">
        <w:rPr>
          <w:rFonts w:cs="Times New Roman"/>
          <w:szCs w:val="20"/>
        </w:rPr>
        <w:tab/>
        <w:t xml:space="preserve">Brailsford S, Lattimer V, Tarnaras P, Turnbull J. </w:t>
      </w:r>
      <w:r w:rsidRPr="0010549A">
        <w:rPr>
          <w:rFonts w:cs="Times New Roman"/>
          <w:i/>
          <w:iCs/>
          <w:szCs w:val="20"/>
        </w:rPr>
        <w:t>Emergency and on-demand health care: modelling a large complex system.</w:t>
      </w:r>
      <w:r w:rsidRPr="0010549A">
        <w:rPr>
          <w:rFonts w:cs="Times New Roman"/>
          <w:szCs w:val="20"/>
        </w:rPr>
        <w:t xml:space="preserve"> J Opl Res Soc. 2004;55(1):34-42. https://doi.org/10.1057/palgrave.jors.2601667</w:t>
      </w:r>
    </w:p>
    <w:p w14:paraId="024FEAAD" w14:textId="77777777" w:rsidR="00A57375" w:rsidRDefault="00A57375" w:rsidP="00A57375">
      <w:pPr>
        <w:pStyle w:val="EndNoteBibliography"/>
        <w:spacing w:line="480" w:lineRule="auto"/>
        <w:ind w:left="720" w:hanging="720"/>
        <w:jc w:val="both"/>
        <w:rPr>
          <w:rFonts w:cs="Times New Roman"/>
          <w:szCs w:val="20"/>
        </w:rPr>
      </w:pPr>
      <w:r w:rsidRPr="0010549A">
        <w:rPr>
          <w:rFonts w:cs="Times New Roman"/>
          <w:szCs w:val="20"/>
        </w:rPr>
        <w:t xml:space="preserve">10. </w:t>
      </w:r>
      <w:r w:rsidRPr="0010549A">
        <w:rPr>
          <w:rFonts w:cs="Times New Roman"/>
          <w:szCs w:val="20"/>
        </w:rPr>
        <w:tab/>
        <w:t xml:space="preserve">Lattimer V, Brailsford S, Turnbull J, Tarnaras P, Smith H, George S, Gerard K,  Maslin-Prothero S. </w:t>
      </w:r>
      <w:r w:rsidRPr="0010549A">
        <w:rPr>
          <w:rFonts w:cs="Times New Roman"/>
          <w:i/>
          <w:iCs/>
          <w:szCs w:val="20"/>
        </w:rPr>
        <w:t>Reviewing emergency care systems I: insights from system dynamics modelling.</w:t>
      </w:r>
      <w:r w:rsidRPr="0010549A">
        <w:rPr>
          <w:rFonts w:cs="Times New Roman"/>
          <w:szCs w:val="20"/>
        </w:rPr>
        <w:t xml:space="preserve"> Emerg Med J 2004;21:685–691. doi: 10.1136/emj.2002.003673</w:t>
      </w:r>
    </w:p>
    <w:p w14:paraId="4EEAA864" w14:textId="77777777" w:rsidR="00A57375" w:rsidRPr="0010549A" w:rsidRDefault="00A57375" w:rsidP="00A57375">
      <w:pPr>
        <w:pStyle w:val="EndNoteBibliography"/>
        <w:spacing w:line="480" w:lineRule="auto"/>
        <w:ind w:left="720" w:hanging="720"/>
        <w:jc w:val="both"/>
        <w:rPr>
          <w:rFonts w:cs="Times New Roman"/>
          <w:szCs w:val="20"/>
        </w:rPr>
      </w:pPr>
      <w:r w:rsidRPr="0010549A">
        <w:rPr>
          <w:rFonts w:cs="Times New Roman"/>
          <w:szCs w:val="20"/>
        </w:rPr>
        <w:t>11.</w:t>
      </w:r>
      <w:r w:rsidRPr="0010549A">
        <w:rPr>
          <w:rFonts w:cs="Times New Roman"/>
          <w:szCs w:val="20"/>
        </w:rPr>
        <w:tab/>
        <w:t xml:space="preserve">Preston L, van Oppen JD, Conroy SP, et al. </w:t>
      </w:r>
      <w:r w:rsidRPr="0010549A">
        <w:rPr>
          <w:rFonts w:cs="Times New Roman"/>
          <w:i/>
          <w:iCs/>
          <w:szCs w:val="20"/>
        </w:rPr>
        <w:t>Improving outcomes for older people in the emergency department: a review of reviews</w:t>
      </w:r>
      <w:r w:rsidRPr="0010549A">
        <w:rPr>
          <w:rFonts w:cs="Times New Roman"/>
          <w:szCs w:val="20"/>
        </w:rPr>
        <w:t>. Emergency Medicine Journal 2020:emermed-2020-209514. doi: 10.1136/emermed-2020-209514</w:t>
      </w:r>
    </w:p>
    <w:p w14:paraId="1B4AF15B" w14:textId="77777777" w:rsidR="00A57375" w:rsidRPr="0010549A" w:rsidRDefault="00A57375" w:rsidP="00A57375">
      <w:pPr>
        <w:pStyle w:val="EndNoteBibliography"/>
        <w:spacing w:after="0" w:line="480" w:lineRule="auto"/>
        <w:ind w:left="720" w:hanging="720"/>
        <w:jc w:val="both"/>
        <w:rPr>
          <w:rFonts w:cs="Times New Roman"/>
          <w:szCs w:val="20"/>
          <w:lang w:val="da-DK"/>
        </w:rPr>
      </w:pPr>
      <w:r w:rsidRPr="0010549A">
        <w:rPr>
          <w:rFonts w:cs="Times New Roman"/>
          <w:szCs w:val="20"/>
        </w:rPr>
        <w:t xml:space="preserve">12. </w:t>
      </w:r>
      <w:r w:rsidRPr="0010549A">
        <w:rPr>
          <w:rFonts w:cs="Times New Roman"/>
          <w:szCs w:val="20"/>
        </w:rPr>
        <w:tab/>
      </w:r>
      <w:r w:rsidRPr="0010549A">
        <w:rPr>
          <w:rFonts w:cs="Times New Roman"/>
          <w:szCs w:val="20"/>
          <w:lang w:val="da-DK"/>
        </w:rPr>
        <w:t xml:space="preserve">Bleijenberg N, Drubbel I, Schuurmans MJ, Dam HT, Zuithoff NP, Numans ME, de Wit NJ. </w:t>
      </w:r>
      <w:r w:rsidRPr="0010549A">
        <w:rPr>
          <w:rFonts w:cs="Times New Roman"/>
          <w:i/>
          <w:iCs/>
          <w:szCs w:val="20"/>
          <w:lang w:val="da-DK"/>
        </w:rPr>
        <w:t>Effectiveness of a Proactive Primary Care Program on Preserving Daily Functioning of Older People:</w:t>
      </w:r>
      <w:r w:rsidRPr="0010549A">
        <w:rPr>
          <w:rFonts w:cs="Times New Roman"/>
          <w:szCs w:val="20"/>
          <w:lang w:val="da-DK"/>
        </w:rPr>
        <w:t xml:space="preserve"> A Cluster Randomized Controlled Trial. J Am Geriatr Soc. 2016 Sep;64(9):1779-88. doi: 10.1111/jgs.14325. Epub 2016 Jul 26. PMID: 27459236.</w:t>
      </w:r>
    </w:p>
    <w:p w14:paraId="2519DF31" w14:textId="77777777" w:rsidR="00A57375" w:rsidRPr="0010549A" w:rsidRDefault="00A57375" w:rsidP="00A57375">
      <w:pPr>
        <w:pStyle w:val="EndNoteBibliography"/>
        <w:spacing w:line="480" w:lineRule="auto"/>
        <w:ind w:left="720" w:hanging="720"/>
        <w:jc w:val="both"/>
        <w:rPr>
          <w:rFonts w:cs="Times New Roman"/>
          <w:szCs w:val="20"/>
          <w:lang w:val="da-DK"/>
        </w:rPr>
      </w:pPr>
      <w:r w:rsidRPr="0010549A">
        <w:rPr>
          <w:rFonts w:cs="Times New Roman"/>
          <w:szCs w:val="20"/>
          <w:lang w:val="da-DK"/>
        </w:rPr>
        <w:t>13.</w:t>
      </w:r>
      <w:r w:rsidRPr="0010549A">
        <w:rPr>
          <w:rFonts w:cs="Times New Roman"/>
          <w:szCs w:val="20"/>
          <w:lang w:val="da-DK"/>
        </w:rPr>
        <w:tab/>
        <w:t xml:space="preserve">Blom J, Den Elzen W, Van Howelingen A. H, Heijmans M, Stijnen T, Van Den Hout W, Gussekloo J. </w:t>
      </w:r>
      <w:r w:rsidRPr="0010549A">
        <w:rPr>
          <w:rFonts w:cs="Times New Roman"/>
          <w:i/>
          <w:iCs/>
          <w:szCs w:val="20"/>
          <w:lang w:val="da-DK"/>
        </w:rPr>
        <w:t xml:space="preserve">Effectiveness and cost-effectiveness of a proactive, goal-oriented, integrated care model in general practice for older people. A cluster randomised </w:t>
      </w:r>
      <w:r w:rsidRPr="0010549A">
        <w:rPr>
          <w:rFonts w:cs="Times New Roman"/>
          <w:i/>
          <w:iCs/>
          <w:szCs w:val="20"/>
          <w:lang w:val="da-DK"/>
        </w:rPr>
        <w:lastRenderedPageBreak/>
        <w:t>controlled trial: Integrated Systematic Care for older People—the ISCOPE study.</w:t>
      </w:r>
      <w:r w:rsidRPr="0010549A">
        <w:rPr>
          <w:rFonts w:cs="Times New Roman"/>
          <w:szCs w:val="20"/>
          <w:lang w:val="da-DK"/>
        </w:rPr>
        <w:t xml:space="preserve"> Age and Ageing 2016; 45: 30–41</w:t>
      </w:r>
      <w:r>
        <w:rPr>
          <w:rFonts w:cs="Times New Roman"/>
          <w:szCs w:val="20"/>
          <w:lang w:val="da-DK"/>
        </w:rPr>
        <w:t>.</w:t>
      </w:r>
      <w:r w:rsidRPr="0010549A">
        <w:rPr>
          <w:rFonts w:cs="Times New Roman"/>
          <w:szCs w:val="20"/>
          <w:lang w:val="da-DK"/>
        </w:rPr>
        <w:t xml:space="preserve"> doi: 10.1093/ageing/afv174</w:t>
      </w:r>
    </w:p>
    <w:p w14:paraId="6C9417F1" w14:textId="77777777" w:rsidR="00A57375" w:rsidRDefault="00A57375" w:rsidP="00A57375">
      <w:pPr>
        <w:pStyle w:val="EndNoteBibliography"/>
        <w:spacing w:after="0" w:line="480" w:lineRule="auto"/>
        <w:ind w:left="720" w:hanging="720"/>
        <w:jc w:val="both"/>
        <w:rPr>
          <w:rFonts w:cs="Times New Roman"/>
          <w:szCs w:val="20"/>
          <w:lang w:val="da-DK"/>
        </w:rPr>
      </w:pPr>
      <w:r w:rsidRPr="0010549A">
        <w:rPr>
          <w:rFonts w:cs="Times New Roman"/>
          <w:szCs w:val="20"/>
          <w:lang w:val="da-DK"/>
        </w:rPr>
        <w:t>14.</w:t>
      </w:r>
      <w:r w:rsidRPr="0010549A">
        <w:rPr>
          <w:rFonts w:cs="Times New Roman"/>
          <w:szCs w:val="20"/>
          <w:lang w:val="da-DK"/>
        </w:rPr>
        <w:tab/>
        <w:t xml:space="preserve">Smit L.C, Schuurmansa M.J, Blom J.W., Fabbricotti I.N., Jansen A.P.D, Kempen G.I.J.M, Koopmans R, Looman W.M., Melis R.J.F, Metzelthin S.F., van Charante E.P.M., Muntinga M.E., Ruikes F.G.H., Spoorenberg S.L.W., Suijker J.J., Wynia K, Gussekloo K,  De Witl N.J. , Bleijenberga N.  </w:t>
      </w:r>
      <w:r w:rsidRPr="0010549A">
        <w:rPr>
          <w:rFonts w:cs="Times New Roman"/>
          <w:i/>
          <w:iCs/>
          <w:szCs w:val="20"/>
          <w:lang w:val="da-DK"/>
        </w:rPr>
        <w:t>Unravelling complex primary-care programs to maintain independentliving in older people: a systematic overview</w:t>
      </w:r>
      <w:r w:rsidRPr="0010549A">
        <w:rPr>
          <w:rFonts w:cs="Times New Roman"/>
          <w:szCs w:val="20"/>
          <w:lang w:val="da-DK"/>
        </w:rPr>
        <w:t>. Journal of Clinical Epidemiology 96 (2018) 110-119.</w:t>
      </w:r>
    </w:p>
    <w:p w14:paraId="08675AC9" w14:textId="77777777" w:rsidR="00A57375" w:rsidRPr="0010549A" w:rsidRDefault="00A57375" w:rsidP="00A57375">
      <w:pPr>
        <w:pStyle w:val="EndNoteBibliography"/>
        <w:spacing w:line="480" w:lineRule="auto"/>
        <w:ind w:left="720" w:hanging="720"/>
        <w:jc w:val="both"/>
        <w:rPr>
          <w:rFonts w:cs="Times New Roman"/>
          <w:szCs w:val="20"/>
        </w:rPr>
      </w:pPr>
      <w:r w:rsidRPr="0010549A">
        <w:rPr>
          <w:rFonts w:cs="Times New Roman"/>
          <w:szCs w:val="20"/>
        </w:rPr>
        <w:t xml:space="preserve">15. </w:t>
      </w:r>
      <w:r w:rsidRPr="0010549A">
        <w:rPr>
          <w:rFonts w:cs="Times New Roman"/>
          <w:szCs w:val="20"/>
        </w:rPr>
        <w:tab/>
        <w:t xml:space="preserve">Shepperd S, Butler C, Cradduck-Bamford A, Ellis G, Gray A, Hemsley A, Khanna P, Langhorne P, Mort S, Ramsay S, Schiff R, Stott D.J. Wilkinson A, Yu L, Young J. Is </w:t>
      </w:r>
      <w:r w:rsidRPr="0010549A">
        <w:rPr>
          <w:rFonts w:cs="Times New Roman"/>
          <w:i/>
          <w:iCs/>
          <w:szCs w:val="20"/>
        </w:rPr>
        <w:t>Comprehensive Geriatric Assessment Admission Avoidance Hospital at Home an Alternative to Hospital Admission for Older Persons? A Randomized Trial.</w:t>
      </w:r>
      <w:r w:rsidRPr="0010549A">
        <w:rPr>
          <w:rFonts w:cs="Times New Roman"/>
          <w:szCs w:val="20"/>
        </w:rPr>
        <w:t xml:space="preserve"> (2021) https://doi.org/10.7326/M20-5688</w:t>
      </w:r>
    </w:p>
    <w:p w14:paraId="00128998" w14:textId="77777777" w:rsidR="00A57375" w:rsidRPr="0010549A" w:rsidRDefault="00A57375" w:rsidP="00A57375">
      <w:pPr>
        <w:pStyle w:val="EndNoteBibliography"/>
        <w:spacing w:after="0" w:line="480" w:lineRule="auto"/>
        <w:ind w:left="720" w:hanging="720"/>
        <w:jc w:val="both"/>
        <w:rPr>
          <w:rFonts w:cs="Times New Roman"/>
          <w:szCs w:val="20"/>
        </w:rPr>
      </w:pPr>
      <w:r w:rsidRPr="0010549A">
        <w:rPr>
          <w:rFonts w:cs="Times New Roman"/>
          <w:szCs w:val="20"/>
        </w:rPr>
        <w:t xml:space="preserve">16. </w:t>
      </w:r>
      <w:r w:rsidRPr="0010549A">
        <w:rPr>
          <w:rFonts w:cs="Times New Roman"/>
          <w:szCs w:val="20"/>
        </w:rPr>
        <w:tab/>
        <w:t xml:space="preserve">Jay S. et al (2017) </w:t>
      </w:r>
      <w:r w:rsidRPr="0010549A">
        <w:rPr>
          <w:rFonts w:cs="Times New Roman"/>
          <w:i/>
          <w:iCs/>
          <w:szCs w:val="20"/>
        </w:rPr>
        <w:t>Can consultant geriatrician led comprehensive geriatric assessment in the emergency department reduce hospital admission rates? A systematic review.</w:t>
      </w:r>
      <w:r w:rsidRPr="0010549A">
        <w:rPr>
          <w:rFonts w:cs="Times New Roman"/>
          <w:szCs w:val="20"/>
        </w:rPr>
        <w:t xml:space="preserve"> Age and Ageing; 46: 366–372. DOI: 10.1093/ageing/afw231</w:t>
      </w:r>
    </w:p>
    <w:p w14:paraId="62354503" w14:textId="77777777" w:rsidR="00A57375" w:rsidRPr="0010549A" w:rsidRDefault="00A57375" w:rsidP="00A57375">
      <w:pPr>
        <w:pStyle w:val="EndNoteBibliography"/>
        <w:spacing w:after="0" w:line="480" w:lineRule="auto"/>
        <w:ind w:left="720" w:hanging="720"/>
        <w:jc w:val="both"/>
        <w:rPr>
          <w:rFonts w:cs="Times New Roman"/>
          <w:szCs w:val="20"/>
        </w:rPr>
      </w:pPr>
      <w:r w:rsidRPr="0010549A">
        <w:rPr>
          <w:rFonts w:cs="Times New Roman"/>
          <w:szCs w:val="20"/>
        </w:rPr>
        <w:t xml:space="preserve">17. </w:t>
      </w:r>
      <w:r w:rsidRPr="0010549A">
        <w:rPr>
          <w:rFonts w:cs="Times New Roman"/>
          <w:szCs w:val="20"/>
        </w:rPr>
        <w:tab/>
        <w:t xml:space="preserve">Lowthian J. et al (2015) </w:t>
      </w:r>
      <w:r w:rsidRPr="0010549A">
        <w:rPr>
          <w:rFonts w:cs="Times New Roman"/>
          <w:i/>
          <w:iCs/>
          <w:szCs w:val="20"/>
        </w:rPr>
        <w:t>Discharging older patients from the emergency department effectively: a systematic review and meta-analysis.</w:t>
      </w:r>
      <w:r w:rsidRPr="0010549A">
        <w:rPr>
          <w:rFonts w:cs="Times New Roman"/>
          <w:szCs w:val="20"/>
        </w:rPr>
        <w:t xml:space="preserve"> Age and Ageing; 44: 761–770. DOI: 10.1093/ageing/afv102</w:t>
      </w:r>
    </w:p>
    <w:p w14:paraId="30A57828" w14:textId="77777777" w:rsidR="00A57375" w:rsidRPr="0010549A" w:rsidRDefault="00A57375" w:rsidP="00A57375">
      <w:pPr>
        <w:pStyle w:val="EndNoteBibliography"/>
        <w:spacing w:after="0" w:line="480" w:lineRule="auto"/>
        <w:ind w:left="720" w:hanging="720"/>
        <w:jc w:val="both"/>
        <w:rPr>
          <w:rFonts w:cs="Times New Roman"/>
          <w:szCs w:val="20"/>
        </w:rPr>
      </w:pPr>
      <w:r w:rsidRPr="0010549A">
        <w:rPr>
          <w:rFonts w:cs="Times New Roman"/>
          <w:szCs w:val="20"/>
        </w:rPr>
        <w:t xml:space="preserve">18. </w:t>
      </w:r>
      <w:r w:rsidRPr="0010549A">
        <w:rPr>
          <w:rFonts w:cs="Times New Roman"/>
          <w:szCs w:val="20"/>
        </w:rPr>
        <w:tab/>
        <w:t xml:space="preserve">Hughes J. M. et al (2019) </w:t>
      </w:r>
      <w:r w:rsidRPr="0010549A">
        <w:rPr>
          <w:rFonts w:cs="Times New Roman"/>
          <w:i/>
          <w:iCs/>
          <w:szCs w:val="20"/>
        </w:rPr>
        <w:t>Emergency Department Interventions for Older Adults: A Systematic Review.</w:t>
      </w:r>
      <w:r w:rsidRPr="0010549A">
        <w:rPr>
          <w:rFonts w:cs="Times New Roman"/>
          <w:szCs w:val="20"/>
        </w:rPr>
        <w:t xml:space="preserve"> Journal of the American Geriatrics Society. doi: 10.1111/jgs.15854</w:t>
      </w:r>
    </w:p>
    <w:p w14:paraId="56FF6581" w14:textId="77777777" w:rsidR="00A57375" w:rsidRPr="0010549A" w:rsidRDefault="00A57375" w:rsidP="00A57375">
      <w:pPr>
        <w:pStyle w:val="EndNoteBibliography"/>
        <w:spacing w:after="0" w:line="480" w:lineRule="auto"/>
        <w:ind w:left="720" w:hanging="720"/>
        <w:jc w:val="both"/>
        <w:rPr>
          <w:rFonts w:cs="Times New Roman"/>
          <w:szCs w:val="20"/>
        </w:rPr>
      </w:pPr>
      <w:r w:rsidRPr="0010549A">
        <w:rPr>
          <w:rFonts w:cs="Times New Roman"/>
          <w:szCs w:val="20"/>
        </w:rPr>
        <w:t>19.</w:t>
      </w:r>
      <w:r w:rsidRPr="0010549A">
        <w:rPr>
          <w:rFonts w:cs="Times New Roman"/>
          <w:szCs w:val="20"/>
        </w:rPr>
        <w:tab/>
        <w:t xml:space="preserve">Malik M. et al (2018) </w:t>
      </w:r>
      <w:r w:rsidRPr="0010549A">
        <w:rPr>
          <w:rFonts w:cs="Times New Roman"/>
          <w:i/>
          <w:iCs/>
          <w:szCs w:val="20"/>
        </w:rPr>
        <w:t>The impact of geriatric focused nurse assessment and intervention in the emergency department: A systematic review.</w:t>
      </w:r>
      <w:r w:rsidRPr="0010549A">
        <w:rPr>
          <w:rFonts w:cs="Times New Roman"/>
          <w:szCs w:val="20"/>
        </w:rPr>
        <w:t xml:space="preserve"> International Emergency Nursing; 37; 52-60. doi: 10.1016/j.ienj.2018.01.008.</w:t>
      </w:r>
    </w:p>
    <w:p w14:paraId="1EE5F0F0" w14:textId="77777777" w:rsidR="00A57375" w:rsidRDefault="00A57375" w:rsidP="00A57375">
      <w:pPr>
        <w:pStyle w:val="EndNoteBibliography"/>
        <w:spacing w:after="0" w:line="480" w:lineRule="auto"/>
        <w:ind w:left="720" w:hanging="720"/>
        <w:jc w:val="both"/>
        <w:rPr>
          <w:rFonts w:cs="Times New Roman"/>
          <w:szCs w:val="20"/>
        </w:rPr>
      </w:pPr>
      <w:r w:rsidRPr="0010549A">
        <w:rPr>
          <w:rFonts w:cs="Times New Roman"/>
          <w:szCs w:val="20"/>
        </w:rPr>
        <w:t>20.</w:t>
      </w:r>
      <w:r w:rsidRPr="0010549A">
        <w:rPr>
          <w:rFonts w:cs="Times New Roman"/>
          <w:szCs w:val="20"/>
        </w:rPr>
        <w:tab/>
        <w:t xml:space="preserve">Conroy SP, Stevens T, Parker SG, Gladman JRF. (2011) </w:t>
      </w:r>
      <w:r w:rsidRPr="0010549A">
        <w:rPr>
          <w:rFonts w:cs="Times New Roman"/>
          <w:i/>
          <w:iCs/>
          <w:szCs w:val="20"/>
        </w:rPr>
        <w:t xml:space="preserve">A systematic review of comprehensive geriatric assessment to improve outcomes for frail older people </w:t>
      </w:r>
      <w:r w:rsidRPr="0010549A">
        <w:rPr>
          <w:rFonts w:cs="Times New Roman"/>
          <w:i/>
          <w:iCs/>
          <w:szCs w:val="20"/>
        </w:rPr>
        <w:lastRenderedPageBreak/>
        <w:t>being rapidly discharged from acute hospital: ‘interface geriatrics’</w:t>
      </w:r>
      <w:r w:rsidRPr="0010549A">
        <w:rPr>
          <w:rFonts w:cs="Times New Roman"/>
          <w:szCs w:val="20"/>
        </w:rPr>
        <w:t>.Age and Ageing; 40: 436–443. https://doi.org/10.1093/ageing/afr060</w:t>
      </w:r>
    </w:p>
    <w:p w14:paraId="7658F051" w14:textId="77777777" w:rsidR="00A57375" w:rsidRPr="0010549A" w:rsidRDefault="00A57375" w:rsidP="00A57375">
      <w:pPr>
        <w:pStyle w:val="EndNoteBibliography"/>
        <w:spacing w:after="0" w:line="480" w:lineRule="auto"/>
        <w:ind w:left="720" w:hanging="720"/>
        <w:jc w:val="both"/>
        <w:rPr>
          <w:rFonts w:cs="Times New Roman"/>
          <w:szCs w:val="20"/>
        </w:rPr>
      </w:pPr>
      <w:r w:rsidRPr="0010549A">
        <w:rPr>
          <w:rFonts w:cs="Times New Roman"/>
          <w:szCs w:val="20"/>
        </w:rPr>
        <w:t>21.</w:t>
      </w:r>
      <w:r w:rsidRPr="0010549A">
        <w:rPr>
          <w:rFonts w:cs="Times New Roman"/>
          <w:szCs w:val="20"/>
        </w:rPr>
        <w:tab/>
        <w:t>Hastings S et al (2005)</w:t>
      </w:r>
      <w:r w:rsidRPr="0010549A">
        <w:rPr>
          <w:rFonts w:cs="Times New Roman"/>
          <w:i/>
          <w:iCs/>
          <w:szCs w:val="20"/>
        </w:rPr>
        <w:t xml:space="preserve"> A Systematic Review of Interventions to Improve Outcomes for Elders Discharged from the Emergency Department.</w:t>
      </w:r>
      <w:r w:rsidRPr="0010549A">
        <w:rPr>
          <w:rFonts w:cs="Times New Roman"/>
          <w:szCs w:val="20"/>
        </w:rPr>
        <w:t xml:space="preserve"> ACAD EMERG MED d October 2005, Vol. 12, No. 10, 978-986. doi: 10.1197/j.aem.2005.05.032.</w:t>
      </w:r>
    </w:p>
    <w:p w14:paraId="4D08380E" w14:textId="77777777" w:rsidR="00A57375" w:rsidRPr="0010549A" w:rsidRDefault="00A57375" w:rsidP="00A57375">
      <w:pPr>
        <w:pStyle w:val="EndNoteBibliography"/>
        <w:spacing w:line="480" w:lineRule="auto"/>
        <w:ind w:left="720" w:hanging="720"/>
        <w:jc w:val="both"/>
        <w:rPr>
          <w:rFonts w:cs="Times New Roman"/>
          <w:szCs w:val="20"/>
        </w:rPr>
      </w:pPr>
      <w:r w:rsidRPr="0010549A">
        <w:rPr>
          <w:rFonts w:cs="Times New Roman"/>
          <w:szCs w:val="20"/>
        </w:rPr>
        <w:t>22.</w:t>
      </w:r>
      <w:r w:rsidRPr="0010549A">
        <w:rPr>
          <w:rFonts w:cs="Times New Roman"/>
          <w:szCs w:val="20"/>
        </w:rPr>
        <w:tab/>
        <w:t xml:space="preserve">Karam G, Radden Z, Berall L.E., Cheng C., Gruneir A. </w:t>
      </w:r>
      <w:r w:rsidRPr="0010549A">
        <w:rPr>
          <w:rFonts w:cs="Times New Roman"/>
          <w:i/>
          <w:iCs/>
          <w:szCs w:val="20"/>
        </w:rPr>
        <w:t>Efficacy of emergency department-based interventions designed to reduce repeat visits and other adverse outcomes for older patients after discharge: A systematic review.</w:t>
      </w:r>
      <w:r w:rsidRPr="0010549A">
        <w:rPr>
          <w:rFonts w:cs="Times New Roman"/>
          <w:szCs w:val="20"/>
        </w:rPr>
        <w:t xml:space="preserve"> Geriatr Gerontol Int 2015; 15: 1107–1117. https://doi.org/10.1111/ggi.12538</w:t>
      </w:r>
    </w:p>
    <w:p w14:paraId="4F5B48D4" w14:textId="77777777" w:rsidR="00A57375" w:rsidRDefault="00A57375" w:rsidP="00A57375">
      <w:pPr>
        <w:pStyle w:val="EndNoteBibliography"/>
        <w:spacing w:after="0" w:line="480" w:lineRule="auto"/>
        <w:ind w:left="720" w:hanging="720"/>
        <w:jc w:val="both"/>
        <w:rPr>
          <w:rFonts w:cs="Times New Roman"/>
          <w:i/>
          <w:iCs/>
          <w:szCs w:val="20"/>
        </w:rPr>
      </w:pPr>
      <w:r w:rsidRPr="0010549A">
        <w:rPr>
          <w:rFonts w:cs="Times New Roman"/>
          <w:szCs w:val="20"/>
        </w:rPr>
        <w:t>23.</w:t>
      </w:r>
      <w:r w:rsidRPr="0010549A">
        <w:rPr>
          <w:rFonts w:cs="Times New Roman"/>
          <w:szCs w:val="20"/>
        </w:rPr>
        <w:tab/>
        <w:t xml:space="preserve">Sinha S.K., Bessman E.S., Flomenbaum N, Leff B. </w:t>
      </w:r>
      <w:r w:rsidRPr="0010549A">
        <w:rPr>
          <w:rFonts w:cs="Times New Roman"/>
          <w:i/>
          <w:iCs/>
          <w:szCs w:val="20"/>
        </w:rPr>
        <w:t>A Systematic Review and Qualitative Analysis to Inform the Development of a New Emergency Department-Based Geriatric Case Management Model.</w:t>
      </w:r>
    </w:p>
    <w:p w14:paraId="7C05BB63" w14:textId="77777777" w:rsidR="00A57375" w:rsidRDefault="00A57375" w:rsidP="00A57375">
      <w:pPr>
        <w:pStyle w:val="EndNoteBibliography"/>
        <w:spacing w:after="0" w:line="480" w:lineRule="auto"/>
        <w:ind w:left="720"/>
        <w:jc w:val="both"/>
        <w:rPr>
          <w:rFonts w:cs="Times New Roman"/>
          <w:szCs w:val="20"/>
        </w:rPr>
      </w:pPr>
      <w:r w:rsidRPr="0010549A">
        <w:rPr>
          <w:rFonts w:cs="Times New Roman"/>
          <w:szCs w:val="20"/>
        </w:rPr>
        <w:t xml:space="preserve"> doi:10.1016/j.annemergmed.2011.01.021</w:t>
      </w:r>
    </w:p>
    <w:p w14:paraId="02F2C505" w14:textId="77777777" w:rsidR="00A57375" w:rsidRDefault="00A57375" w:rsidP="00A57375">
      <w:pPr>
        <w:pStyle w:val="EndNoteBibliography"/>
        <w:spacing w:after="0" w:line="480" w:lineRule="auto"/>
        <w:ind w:left="720" w:hanging="720"/>
        <w:jc w:val="both"/>
        <w:rPr>
          <w:rFonts w:cs="Times New Roman"/>
          <w:szCs w:val="20"/>
        </w:rPr>
      </w:pPr>
      <w:r w:rsidRPr="0010549A">
        <w:rPr>
          <w:rFonts w:cs="Times New Roman"/>
          <w:szCs w:val="20"/>
        </w:rPr>
        <w:t xml:space="preserve">24. </w:t>
      </w:r>
      <w:r w:rsidRPr="0010549A">
        <w:rPr>
          <w:rFonts w:cs="Times New Roman"/>
          <w:szCs w:val="20"/>
        </w:rPr>
        <w:tab/>
        <w:t xml:space="preserve">National Institute for Health and Care Excellence NICE Guideline 94 (2018). </w:t>
      </w:r>
      <w:r w:rsidRPr="0010549A">
        <w:rPr>
          <w:rFonts w:cs="Times New Roman"/>
          <w:i/>
          <w:iCs/>
          <w:szCs w:val="20"/>
        </w:rPr>
        <w:t>Admission through elderly care assessment units. Emergency and acute medical care in the over 16s: service, delivery and organisation.</w:t>
      </w:r>
    </w:p>
    <w:p w14:paraId="367D14A1" w14:textId="77777777" w:rsidR="00A57375" w:rsidRDefault="00A57375" w:rsidP="00A57375">
      <w:pPr>
        <w:pStyle w:val="EndNoteBibliography"/>
        <w:spacing w:after="0" w:line="480" w:lineRule="auto"/>
        <w:ind w:left="720" w:hanging="720"/>
        <w:jc w:val="both"/>
      </w:pPr>
      <w:r>
        <w:rPr>
          <w:rFonts w:cs="Times New Roman"/>
          <w:szCs w:val="20"/>
        </w:rPr>
        <w:t xml:space="preserve">25. </w:t>
      </w:r>
      <w:r>
        <w:rPr>
          <w:rFonts w:cs="Times New Roman"/>
          <w:szCs w:val="20"/>
        </w:rPr>
        <w:tab/>
      </w:r>
      <w:r>
        <w:t>https://www.sheffield.ac.uk/scharr/research/centres/cure/projects/cured-how-access-data</w:t>
      </w:r>
      <w:r>
        <w:tab/>
      </w:r>
    </w:p>
    <w:p w14:paraId="778D26B9" w14:textId="77777777" w:rsidR="00A57375" w:rsidRPr="00FF0CD4" w:rsidRDefault="00A57375" w:rsidP="00A57375">
      <w:pPr>
        <w:jc w:val="both"/>
      </w:pPr>
      <w:r w:rsidRPr="00FF0CD4">
        <w:t>2</w:t>
      </w:r>
      <w:r>
        <w:t>6</w:t>
      </w:r>
      <w:r w:rsidRPr="00FF0CD4">
        <w:t xml:space="preserve">. </w:t>
      </w:r>
      <w:r w:rsidRPr="00FF0CD4">
        <w:tab/>
        <w:t>https://www.sheffield.ac.uk/scharr/sections/hsr/cure/projects/cured-rd/home</w:t>
      </w:r>
    </w:p>
    <w:p w14:paraId="7D138DED" w14:textId="77777777" w:rsidR="00A57375" w:rsidRPr="0010549A" w:rsidRDefault="00A57375" w:rsidP="00A57375">
      <w:pPr>
        <w:pStyle w:val="EndNoteBibliography"/>
        <w:tabs>
          <w:tab w:val="left" w:pos="720"/>
          <w:tab w:val="left" w:pos="1829"/>
        </w:tabs>
        <w:spacing w:after="0" w:line="480" w:lineRule="auto"/>
        <w:jc w:val="both"/>
        <w:rPr>
          <w:rFonts w:cs="Times New Roman"/>
          <w:szCs w:val="20"/>
          <w:lang w:val="fr-FR"/>
        </w:rPr>
      </w:pPr>
      <w:r w:rsidRPr="0010549A">
        <w:rPr>
          <w:rFonts w:cs="Times New Roman"/>
          <w:szCs w:val="20"/>
        </w:rPr>
        <w:t xml:space="preserve">27. </w:t>
      </w:r>
      <w:r w:rsidRPr="0010549A">
        <w:rPr>
          <w:rFonts w:cs="Times New Roman"/>
          <w:szCs w:val="20"/>
        </w:rPr>
        <w:tab/>
        <w:t xml:space="preserve">ONS </w:t>
      </w:r>
      <w:r w:rsidRPr="0010549A">
        <w:rPr>
          <w:rFonts w:cs="Times New Roman"/>
          <w:i/>
          <w:iCs/>
          <w:szCs w:val="20"/>
        </w:rPr>
        <w:t>Mortality Statistics underlying cause, sex and age</w:t>
      </w:r>
      <w:r w:rsidRPr="0010549A">
        <w:rPr>
          <w:rFonts w:cs="Times New Roman"/>
          <w:szCs w:val="20"/>
        </w:rPr>
        <w:t xml:space="preserve"> (2019). </w:t>
      </w:r>
      <w:r w:rsidRPr="0010549A">
        <w:rPr>
          <w:rFonts w:cs="Times New Roman"/>
          <w:szCs w:val="20"/>
          <w:lang w:val="fr-FR"/>
        </w:rPr>
        <w:t>Availble from:</w:t>
      </w:r>
    </w:p>
    <w:p w14:paraId="7238ADB6" w14:textId="77777777" w:rsidR="00A57375" w:rsidRPr="0010549A" w:rsidRDefault="00A57375" w:rsidP="00A57375">
      <w:pPr>
        <w:pStyle w:val="EndNoteBibliography"/>
        <w:spacing w:after="0" w:line="480" w:lineRule="auto"/>
        <w:ind w:firstLine="720"/>
        <w:jc w:val="both"/>
        <w:rPr>
          <w:rFonts w:cs="Times New Roman"/>
          <w:szCs w:val="20"/>
        </w:rPr>
      </w:pPr>
      <w:r w:rsidRPr="0010549A">
        <w:rPr>
          <w:rFonts w:cs="Times New Roman"/>
          <w:szCs w:val="20"/>
          <w:lang w:val="fr-FR"/>
        </w:rPr>
        <w:t>https://www.nomisweb.co.uk/datasets/mortsa</w:t>
      </w:r>
      <w:r w:rsidRPr="0010549A">
        <w:rPr>
          <w:rFonts w:cs="Times New Roman"/>
          <w:szCs w:val="20"/>
          <w:lang w:val="fr-FR"/>
        </w:rPr>
        <w:cr/>
        <w:t xml:space="preserve">28. </w:t>
      </w:r>
      <w:r w:rsidRPr="0010549A">
        <w:rPr>
          <w:rFonts w:cs="Times New Roman"/>
          <w:szCs w:val="20"/>
          <w:lang w:val="fr-FR"/>
        </w:rPr>
        <w:tab/>
      </w:r>
      <w:r w:rsidRPr="0010549A">
        <w:rPr>
          <w:rFonts w:cs="Times New Roman"/>
          <w:i/>
          <w:iCs/>
          <w:szCs w:val="20"/>
          <w:lang w:val="fr-FR"/>
        </w:rPr>
        <w:t xml:space="preserve">ONS Population Estimates. </w:t>
      </w:r>
      <w:r w:rsidRPr="0010549A">
        <w:rPr>
          <w:rFonts w:cs="Times New Roman"/>
          <w:i/>
          <w:iCs/>
          <w:szCs w:val="20"/>
        </w:rPr>
        <w:t>Population estimates: Persons by single year of age and sex for local authorities in the UK, mid-2019</w:t>
      </w:r>
      <w:r w:rsidRPr="0010549A">
        <w:rPr>
          <w:rFonts w:cs="Times New Roman"/>
          <w:szCs w:val="20"/>
        </w:rPr>
        <w:t>. Available from:</w:t>
      </w:r>
    </w:p>
    <w:p w14:paraId="036D1FA0" w14:textId="77777777" w:rsidR="00A57375" w:rsidRPr="00657134" w:rsidRDefault="00A57375" w:rsidP="00A57375">
      <w:pPr>
        <w:pStyle w:val="EndNoteBibliography"/>
        <w:spacing w:after="0" w:line="480" w:lineRule="auto"/>
        <w:ind w:left="720"/>
        <w:jc w:val="both"/>
        <w:rPr>
          <w:rFonts w:cs="Times New Roman"/>
          <w:szCs w:val="20"/>
          <w:lang w:val="da-DK"/>
        </w:rPr>
      </w:pPr>
      <w:r w:rsidRPr="0010549A">
        <w:rPr>
          <w:rFonts w:cs="Times New Roman"/>
          <w:szCs w:val="20"/>
        </w:rPr>
        <w:t>https://www.ons.gov.uk/peoplepopulationandcommunity/populationandmigration/populationestimates</w:t>
      </w:r>
    </w:p>
    <w:p w14:paraId="0C62DE06" w14:textId="77777777" w:rsidR="00A57375" w:rsidRPr="0010549A" w:rsidRDefault="00A57375" w:rsidP="00A57375">
      <w:pPr>
        <w:pStyle w:val="EndNoteBibliography"/>
        <w:spacing w:after="0" w:line="480" w:lineRule="auto"/>
        <w:ind w:left="720" w:hanging="720"/>
        <w:jc w:val="both"/>
        <w:rPr>
          <w:rFonts w:cs="Times New Roman"/>
          <w:szCs w:val="20"/>
        </w:rPr>
      </w:pPr>
      <w:r w:rsidRPr="0010549A">
        <w:rPr>
          <w:rFonts w:cs="Times New Roman"/>
          <w:szCs w:val="20"/>
        </w:rPr>
        <w:t>29.</w:t>
      </w:r>
      <w:r w:rsidRPr="0010549A">
        <w:rPr>
          <w:rFonts w:cs="Times New Roman"/>
          <w:szCs w:val="20"/>
        </w:rPr>
        <w:tab/>
        <w:t xml:space="preserve">Competition and Markets Authority (2017). </w:t>
      </w:r>
      <w:r w:rsidRPr="0010549A">
        <w:rPr>
          <w:rFonts w:cs="Times New Roman"/>
          <w:i/>
          <w:iCs/>
          <w:szCs w:val="20"/>
        </w:rPr>
        <w:t>Care homes market study: summary of final report.</w:t>
      </w:r>
      <w:r w:rsidRPr="0010549A">
        <w:rPr>
          <w:rFonts w:cs="Times New Roman"/>
          <w:szCs w:val="20"/>
        </w:rPr>
        <w:t xml:space="preserve"> Available from:</w:t>
      </w:r>
    </w:p>
    <w:p w14:paraId="47EC35B1" w14:textId="77777777" w:rsidR="00A57375" w:rsidRPr="0010549A" w:rsidRDefault="00A57375" w:rsidP="00A57375">
      <w:pPr>
        <w:pStyle w:val="EndNoteBibliography"/>
        <w:spacing w:after="0" w:line="480" w:lineRule="auto"/>
        <w:ind w:left="720"/>
        <w:jc w:val="both"/>
        <w:rPr>
          <w:rFonts w:cs="Times New Roman"/>
          <w:szCs w:val="20"/>
        </w:rPr>
      </w:pPr>
      <w:r w:rsidRPr="0010549A">
        <w:rPr>
          <w:rFonts w:cs="Times New Roman"/>
          <w:szCs w:val="20"/>
        </w:rPr>
        <w:lastRenderedPageBreak/>
        <w:t>https://www.gov.uk/government/publications/care-homes-market-study-summary-of-final-report/care-homes-market-study-summary-of-final-report</w:t>
      </w:r>
      <w:r w:rsidRPr="0010549A">
        <w:rPr>
          <w:rFonts w:cs="Times New Roman"/>
          <w:szCs w:val="20"/>
        </w:rPr>
        <w:tab/>
      </w:r>
    </w:p>
    <w:p w14:paraId="4BD492E7" w14:textId="77777777" w:rsidR="00A57375" w:rsidRPr="0010549A" w:rsidRDefault="00A57375" w:rsidP="00A57375">
      <w:pPr>
        <w:shd w:val="clear" w:color="auto" w:fill="FFFFFF"/>
        <w:ind w:left="720" w:hanging="720"/>
        <w:jc w:val="both"/>
        <w:rPr>
          <w:rFonts w:ascii="Verdana" w:hAnsi="Verdana"/>
          <w:sz w:val="20"/>
          <w:szCs w:val="20"/>
        </w:rPr>
      </w:pPr>
      <w:r w:rsidRPr="0010549A">
        <w:rPr>
          <w:rFonts w:ascii="Verdana" w:hAnsi="Verdana"/>
          <w:sz w:val="20"/>
          <w:szCs w:val="20"/>
        </w:rPr>
        <w:t xml:space="preserve">30. </w:t>
      </w:r>
      <w:r w:rsidRPr="0010549A">
        <w:rPr>
          <w:rFonts w:ascii="Verdana" w:hAnsi="Verdana"/>
          <w:sz w:val="20"/>
          <w:szCs w:val="20"/>
        </w:rPr>
        <w:tab/>
        <w:t xml:space="preserve">Carehome.co.uk (2021). </w:t>
      </w:r>
      <w:r w:rsidRPr="0010549A">
        <w:rPr>
          <w:rFonts w:ascii="Verdana" w:hAnsi="Verdana"/>
          <w:i/>
          <w:iCs/>
          <w:sz w:val="20"/>
          <w:szCs w:val="20"/>
        </w:rPr>
        <w:t>Care home stats: number of settings, population &amp; workforce.</w:t>
      </w:r>
      <w:r w:rsidRPr="0010549A">
        <w:rPr>
          <w:rFonts w:ascii="Verdana" w:hAnsi="Verdana"/>
          <w:sz w:val="20"/>
          <w:szCs w:val="20"/>
        </w:rPr>
        <w:t xml:space="preserve"> Available from: https://www.carehome.co.uk/advice/care-home-stats-number-of-settings-population-workforce</w:t>
      </w:r>
    </w:p>
    <w:p w14:paraId="35148C53" w14:textId="77777777" w:rsidR="00A57375" w:rsidRDefault="00A57375" w:rsidP="00A57375">
      <w:pPr>
        <w:pStyle w:val="EndNoteBibliography"/>
        <w:spacing w:after="0" w:line="480" w:lineRule="auto"/>
        <w:ind w:left="720" w:hanging="720"/>
        <w:jc w:val="both"/>
        <w:rPr>
          <w:rStyle w:val="Hyperlink"/>
          <w:color w:val="auto"/>
          <w:szCs w:val="20"/>
        </w:rPr>
      </w:pPr>
      <w:r w:rsidRPr="0010549A">
        <w:rPr>
          <w:szCs w:val="20"/>
        </w:rPr>
        <w:t xml:space="preserve">31. </w:t>
      </w:r>
      <w:r w:rsidRPr="0010549A">
        <w:rPr>
          <w:szCs w:val="20"/>
        </w:rPr>
        <w:tab/>
        <w:t xml:space="preserve">ONS (2020). </w:t>
      </w:r>
      <w:r w:rsidRPr="0010549A">
        <w:rPr>
          <w:i/>
          <w:iCs/>
          <w:szCs w:val="20"/>
        </w:rPr>
        <w:t>Number of deaths of care home residents by region and date of death, occurring from 28 December 2019 to 12 June 2020</w:t>
      </w:r>
      <w:r w:rsidRPr="0010549A">
        <w:rPr>
          <w:szCs w:val="20"/>
        </w:rPr>
        <w:t xml:space="preserve">, registered up to 20 June 2020. Available from: </w:t>
      </w:r>
      <w:hyperlink r:id="rId14" w:history="1">
        <w:r w:rsidRPr="0010549A">
          <w:rPr>
            <w:rStyle w:val="Hyperlink"/>
            <w:color w:val="auto"/>
            <w:szCs w:val="20"/>
          </w:rPr>
          <w:t>Deaths in the care sector, England and Wales - Office for National Statistics (ons.gov.uk)</w:t>
        </w:r>
      </w:hyperlink>
    </w:p>
    <w:p w14:paraId="70580EE9" w14:textId="77777777" w:rsidR="00A57375" w:rsidRDefault="00A57375" w:rsidP="00A57375">
      <w:pPr>
        <w:pStyle w:val="EndNoteBibliography"/>
        <w:spacing w:after="0" w:line="480" w:lineRule="auto"/>
        <w:ind w:left="720" w:hanging="720"/>
        <w:jc w:val="both"/>
      </w:pPr>
      <w:r>
        <w:t>32</w:t>
      </w:r>
      <w:r w:rsidRPr="00A94F8C">
        <w:t>.</w:t>
      </w:r>
      <w:r w:rsidRPr="00A94F8C">
        <w:tab/>
        <w:t xml:space="preserve">Bunn, J.G., et al., </w:t>
      </w:r>
      <w:r w:rsidRPr="00A94F8C">
        <w:rPr>
          <w:i/>
        </w:rPr>
        <w:t>Urgent care axis for the older adult: where is best to target interventions?</w:t>
      </w:r>
      <w:r w:rsidRPr="00A94F8C">
        <w:t xml:space="preserve"> Emerg Med J, 2019. </w:t>
      </w:r>
      <w:r w:rsidRPr="00A94F8C">
        <w:rPr>
          <w:b/>
        </w:rPr>
        <w:t>36</w:t>
      </w:r>
      <w:r w:rsidRPr="00A94F8C">
        <w:t>(1): p. 22-26.</w:t>
      </w:r>
    </w:p>
    <w:p w14:paraId="7D40FAC6" w14:textId="77777777" w:rsidR="00A57375" w:rsidRPr="00A94F8C" w:rsidRDefault="00A57375" w:rsidP="00A57375">
      <w:pPr>
        <w:pStyle w:val="EndNoteBibliography"/>
        <w:spacing w:after="0" w:line="480" w:lineRule="auto"/>
        <w:ind w:left="720" w:hanging="720"/>
        <w:jc w:val="both"/>
      </w:pPr>
      <w:r>
        <w:rPr>
          <w:rStyle w:val="Hyperlink"/>
          <w:color w:val="auto"/>
          <w:u w:val="none"/>
        </w:rPr>
        <w:t>33.</w:t>
      </w:r>
      <w:r>
        <w:tab/>
      </w:r>
      <w:r w:rsidRPr="0010549A">
        <w:rPr>
          <w:i/>
          <w:iCs/>
        </w:rPr>
        <w:t>A&amp;E attendances &amp; Emergency admissions monthly statistics, NHS and Independent Sector organisations in England, March 2017</w:t>
      </w:r>
      <w:r>
        <w:t xml:space="preserve">. Available from: </w:t>
      </w:r>
      <w:hyperlink r:id="rId15" w:history="1">
        <w:r w:rsidRPr="009445DB">
          <w:rPr>
            <w:rStyle w:val="Hyperlink"/>
            <w:color w:val="auto"/>
          </w:rPr>
          <w:t>Statistics » A&amp;E Attendances and Emergency Admissions (england.nhs.uk)</w:t>
        </w:r>
      </w:hyperlink>
    </w:p>
    <w:p w14:paraId="40E18121" w14:textId="77777777" w:rsidR="00A57375" w:rsidRPr="00A94F8C" w:rsidRDefault="00A57375" w:rsidP="00A57375">
      <w:pPr>
        <w:pStyle w:val="EndNoteBibliography"/>
        <w:spacing w:after="0" w:line="480" w:lineRule="auto"/>
        <w:ind w:left="720" w:hanging="720"/>
        <w:jc w:val="both"/>
      </w:pPr>
      <w:r>
        <w:t>34</w:t>
      </w:r>
      <w:r w:rsidRPr="00A94F8C">
        <w:t>.</w:t>
      </w:r>
      <w:r w:rsidRPr="00A94F8C">
        <w:tab/>
        <w:t xml:space="preserve">NHS Improvement, </w:t>
      </w:r>
      <w:r w:rsidRPr="00A94F8C">
        <w:rPr>
          <w:i/>
        </w:rPr>
        <w:t>Ambulatory emergency care guide: same day acute frailty services: same day acute frailty services</w:t>
      </w:r>
      <w:r w:rsidRPr="00A94F8C">
        <w:t>. 2018.</w:t>
      </w:r>
    </w:p>
    <w:p w14:paraId="2623AAED" w14:textId="77777777" w:rsidR="00A57375" w:rsidRDefault="00A57375" w:rsidP="00A57375">
      <w:pPr>
        <w:pStyle w:val="EndNoteBibliography"/>
        <w:spacing w:line="480" w:lineRule="auto"/>
        <w:ind w:left="720" w:hanging="720"/>
        <w:jc w:val="both"/>
      </w:pPr>
      <w:r>
        <w:t>35</w:t>
      </w:r>
      <w:r w:rsidRPr="00A94F8C">
        <w:t>.</w:t>
      </w:r>
      <w:r w:rsidRPr="00A94F8C">
        <w:tab/>
        <w:t xml:space="preserve">Gilbert, T., et al., </w:t>
      </w:r>
      <w:r w:rsidRPr="00A94F8C">
        <w:rPr>
          <w:i/>
        </w:rPr>
        <w:t>Development and validation of a Hospital Frailty Risk Score focusing on older people in acute care settings using electronic hospital records: an observational study.</w:t>
      </w:r>
      <w:r w:rsidRPr="00A94F8C">
        <w:t xml:space="preserve"> The Lancet, 2018. </w:t>
      </w:r>
      <w:r w:rsidRPr="00A94F8C">
        <w:rPr>
          <w:b/>
        </w:rPr>
        <w:t>391</w:t>
      </w:r>
      <w:r w:rsidRPr="00A94F8C">
        <w:t>(10132): p. 1775-1782.</w:t>
      </w:r>
    </w:p>
    <w:p w14:paraId="41611B11" w14:textId="77777777" w:rsidR="00A57375" w:rsidRDefault="00A57375" w:rsidP="00A57375">
      <w:pPr>
        <w:pStyle w:val="EndNoteBibliography"/>
        <w:spacing w:line="480" w:lineRule="auto"/>
        <w:ind w:left="720" w:hanging="720"/>
        <w:jc w:val="both"/>
      </w:pPr>
      <w:r>
        <w:t xml:space="preserve">36. </w:t>
      </w:r>
      <w:r>
        <w:tab/>
      </w:r>
      <w:r w:rsidRPr="0046069C">
        <w:rPr>
          <w:rFonts w:ascii="Times New Roman" w:hAnsi="Times New Roman" w:cs="Times New Roman"/>
          <w:sz w:val="24"/>
          <w:szCs w:val="24"/>
        </w:rPr>
        <w:t>Street A, Maynou L, Gilbert T, et al. The use of linked routine data to optimise calculation of the Hospital Frailty Risk Score on the basis of previous hospital admissions: a retrospective observational cohort study. The Lancet Healthy Longevity 2021</w:t>
      </w:r>
      <w:r>
        <w:rPr>
          <w:rFonts w:ascii="Times New Roman" w:hAnsi="Times New Roman" w:cs="Times New Roman"/>
          <w:sz w:val="24"/>
          <w:szCs w:val="24"/>
        </w:rPr>
        <w:t>.</w:t>
      </w:r>
      <w:r w:rsidRPr="0046069C">
        <w:rPr>
          <w:rFonts w:ascii="Times New Roman" w:hAnsi="Times New Roman" w:cs="Times New Roman"/>
          <w:sz w:val="24"/>
          <w:szCs w:val="24"/>
        </w:rPr>
        <w:t xml:space="preserve"> </w:t>
      </w:r>
      <w:r w:rsidRPr="0010549A">
        <w:rPr>
          <w:rFonts w:ascii="Times New Roman" w:hAnsi="Times New Roman" w:cs="Times New Roman"/>
          <w:sz w:val="24"/>
          <w:szCs w:val="24"/>
        </w:rPr>
        <w:t>doi: 10.1016/S2666-7568(21)00004-0</w:t>
      </w:r>
    </w:p>
    <w:p w14:paraId="45583444" w14:textId="77777777" w:rsidR="00A57375" w:rsidRPr="00A94F8C" w:rsidRDefault="00A57375" w:rsidP="00A57375">
      <w:pPr>
        <w:pStyle w:val="EndNoteBibliography"/>
        <w:spacing w:line="480" w:lineRule="auto"/>
        <w:ind w:left="720" w:hanging="720"/>
        <w:jc w:val="both"/>
      </w:pPr>
    </w:p>
    <w:p w14:paraId="63D9ED6B" w14:textId="77777777" w:rsidR="00A57375" w:rsidRDefault="00A57375" w:rsidP="00A57375">
      <w:pPr>
        <w:pStyle w:val="Newparagraph"/>
      </w:pPr>
      <w:r>
        <w:fldChar w:fldCharType="end"/>
      </w:r>
    </w:p>
    <w:p w14:paraId="349DE19D" w14:textId="77777777" w:rsidR="008573AB" w:rsidRDefault="008573AB">
      <w:pPr>
        <w:spacing w:line="240" w:lineRule="auto"/>
      </w:pPr>
      <w:r>
        <w:br w:type="page"/>
      </w:r>
    </w:p>
    <w:p w14:paraId="05107DFD" w14:textId="1F489DDD" w:rsidR="0059790B" w:rsidRDefault="0059790B" w:rsidP="0010549A">
      <w:pPr>
        <w:pStyle w:val="Heading2"/>
      </w:pPr>
      <w:r>
        <w:lastRenderedPageBreak/>
        <w:t>Appendi</w:t>
      </w:r>
      <w:r w:rsidR="00767F89">
        <w:t>x</w:t>
      </w:r>
      <w:r w:rsidR="00E15221">
        <w:t xml:space="preserve"> 1</w:t>
      </w:r>
      <w:r w:rsidR="00767F89">
        <w:t>: Technical Summary</w:t>
      </w:r>
    </w:p>
    <w:p w14:paraId="3E978936" w14:textId="5D443187" w:rsidR="007A71A3" w:rsidRDefault="00256AF3" w:rsidP="0059790B">
      <w:pPr>
        <w:pStyle w:val="Newparagraph"/>
        <w:jc w:val="both"/>
      </w:pPr>
      <w:r>
        <w:t xml:space="preserve">The technical summary provides information </w:t>
      </w:r>
      <w:r w:rsidR="005D6814">
        <w:t xml:space="preserve">on the model parameters </w:t>
      </w:r>
      <w:r w:rsidR="005160F6">
        <w:t>and the intervention effect sizes used in the model</w:t>
      </w:r>
      <w:r w:rsidR="005D6814">
        <w:t xml:space="preserve">. </w:t>
      </w:r>
      <w:r w:rsidR="007A71A3">
        <w:t xml:space="preserve">The </w:t>
      </w:r>
      <w:r w:rsidR="0043233D">
        <w:t xml:space="preserve">data </w:t>
      </w:r>
      <w:r w:rsidR="007A71A3">
        <w:t xml:space="preserve">analysis which informed the model will be reported separately </w:t>
      </w:r>
      <w:r w:rsidR="007A71A3" w:rsidRPr="0010549A">
        <w:t>[</w:t>
      </w:r>
      <w:r w:rsidR="00E72F80" w:rsidRPr="0010549A">
        <w:t>36</w:t>
      </w:r>
      <w:r w:rsidR="007A71A3" w:rsidRPr="0010549A">
        <w:t>]</w:t>
      </w:r>
      <w:r w:rsidR="007A71A3">
        <w:t>. Briefly, patients attended the ED on multiple occasions, generating 1,171,402 separate observations</w:t>
      </w:r>
      <w:r w:rsidR="007A71A3">
        <w:rPr>
          <w:rStyle w:val="FootnoteReference"/>
        </w:rPr>
        <w:footnoteReference w:id="2"/>
      </w:r>
      <w:r w:rsidR="007A71A3">
        <w:t>. 494,181 (42.2%) of those who attended were managed and discharged from the ED; 677,221 were admitted.</w:t>
      </w:r>
    </w:p>
    <w:p w14:paraId="1B5BB9D0" w14:textId="38D8694D" w:rsidR="005D6814" w:rsidRDefault="00480B5B" w:rsidP="0059790B">
      <w:pPr>
        <w:pStyle w:val="Newparagraph"/>
        <w:jc w:val="both"/>
      </w:pPr>
      <w:r>
        <w:t xml:space="preserve">Table </w:t>
      </w:r>
      <w:r w:rsidR="00DD3051">
        <w:t>A</w:t>
      </w:r>
      <w:r>
        <w:t>1 shows the built-in parameters used in the model and govern the daily number of patients attending ED, being admitted into hospital, being discharged</w:t>
      </w:r>
      <w:r w:rsidR="006E5F53">
        <w:t>,</w:t>
      </w:r>
      <w:r>
        <w:t xml:space="preserve"> and dying in hospital. </w:t>
      </w:r>
      <w:r w:rsidR="005D6814">
        <w:t>A detailed model specification is available on request from the corresponding author.</w:t>
      </w:r>
      <w:r>
        <w:t xml:space="preserve"> </w:t>
      </w:r>
    </w:p>
    <w:p w14:paraId="55347E33" w14:textId="77777777" w:rsidR="007C34E7" w:rsidRDefault="007C34E7" w:rsidP="006155BF">
      <w:pPr>
        <w:pStyle w:val="Heading3"/>
      </w:pPr>
      <w:r>
        <w:t>Model Parameters</w:t>
      </w:r>
    </w:p>
    <w:p w14:paraId="59DA5766" w14:textId="61FEF7F8" w:rsidR="007C34E7" w:rsidRDefault="007C34E7" w:rsidP="0085779C">
      <w:pPr>
        <w:pStyle w:val="Newparagraph"/>
        <w:ind w:firstLine="360"/>
        <w:jc w:val="both"/>
      </w:pPr>
      <w:r>
        <w:t>The model relies on the following rate parameters to govern the flow through the system:</w:t>
      </w:r>
    </w:p>
    <w:p w14:paraId="2857BAF9" w14:textId="5E4E49C4" w:rsidR="007C34E7" w:rsidRDefault="007C34E7" w:rsidP="007C34E7">
      <w:pPr>
        <w:pStyle w:val="Newparagraph"/>
        <w:numPr>
          <w:ilvl w:val="0"/>
          <w:numId w:val="36"/>
        </w:numPr>
      </w:pPr>
      <w:r>
        <w:t xml:space="preserve">The hospital mortality rate </w:t>
      </w:r>
    </w:p>
    <w:p w14:paraId="48ACB0E8" w14:textId="0CCCF6F2" w:rsidR="007C34E7" w:rsidRPr="00200F6A" w:rsidRDefault="007C34E7" w:rsidP="007C34E7">
      <w:pPr>
        <w:pStyle w:val="Newparagraph"/>
        <w:numPr>
          <w:ilvl w:val="0"/>
          <w:numId w:val="36"/>
        </w:numPr>
      </w:pPr>
      <w:r>
        <w:t>The ED attendance rate</w:t>
      </w:r>
    </w:p>
    <w:p w14:paraId="240B94F1" w14:textId="2B70941A" w:rsidR="007C34E7" w:rsidRDefault="007C34E7" w:rsidP="007C34E7">
      <w:pPr>
        <w:pStyle w:val="Newparagraph"/>
        <w:numPr>
          <w:ilvl w:val="0"/>
          <w:numId w:val="36"/>
        </w:numPr>
      </w:pPr>
      <w:r>
        <w:t>The re-admission rate for patients from care homes</w:t>
      </w:r>
    </w:p>
    <w:p w14:paraId="6B5DA12A" w14:textId="0F2430BB" w:rsidR="007C34E7" w:rsidRDefault="007C34E7" w:rsidP="007C34E7">
      <w:pPr>
        <w:pStyle w:val="Newparagraph"/>
        <w:numPr>
          <w:ilvl w:val="0"/>
          <w:numId w:val="36"/>
        </w:numPr>
      </w:pPr>
      <w:r>
        <w:t>The rate of emergency admissions</w:t>
      </w:r>
    </w:p>
    <w:p w14:paraId="01FCAA45" w14:textId="7250CF1F" w:rsidR="007C34E7" w:rsidRDefault="007C34E7" w:rsidP="007C34E7">
      <w:pPr>
        <w:pStyle w:val="Newparagraph"/>
        <w:numPr>
          <w:ilvl w:val="0"/>
          <w:numId w:val="36"/>
        </w:numPr>
      </w:pPr>
      <w:r>
        <w:t>The re-admission rate for patients from their own homes</w:t>
      </w:r>
    </w:p>
    <w:p w14:paraId="551CBCA8" w14:textId="228541EB" w:rsidR="007C34E7" w:rsidRDefault="007C34E7" w:rsidP="007C34E7">
      <w:pPr>
        <w:pStyle w:val="Newparagraph"/>
        <w:numPr>
          <w:ilvl w:val="0"/>
          <w:numId w:val="36"/>
        </w:numPr>
      </w:pPr>
      <w:r>
        <w:t>The death rate (patients in their own home)</w:t>
      </w:r>
    </w:p>
    <w:p w14:paraId="3ACBB353" w14:textId="14B48D13" w:rsidR="00D8635E" w:rsidRDefault="007C34E7" w:rsidP="007B0739">
      <w:pPr>
        <w:pStyle w:val="Newparagraph"/>
        <w:numPr>
          <w:ilvl w:val="0"/>
          <w:numId w:val="36"/>
        </w:numPr>
        <w:jc w:val="both"/>
      </w:pPr>
      <w:r>
        <w:t>The death rate (patients in care homes)</w:t>
      </w:r>
    </w:p>
    <w:p w14:paraId="5831A9EC" w14:textId="5C185FAB" w:rsidR="00076630" w:rsidRDefault="00076630" w:rsidP="00E917C6">
      <w:pPr>
        <w:spacing w:line="360" w:lineRule="auto"/>
        <w:jc w:val="both"/>
      </w:pPr>
      <w:r>
        <w:br w:type="page"/>
      </w:r>
    </w:p>
    <w:p w14:paraId="79DF3E40" w14:textId="5A6EB7B9" w:rsidR="00076630" w:rsidRDefault="00076630" w:rsidP="00076630">
      <w:pPr>
        <w:pStyle w:val="Paragraph"/>
        <w:jc w:val="center"/>
      </w:pPr>
      <w:r>
        <w:lastRenderedPageBreak/>
        <w:t xml:space="preserve">Table </w:t>
      </w:r>
      <w:r w:rsidR="00C96411">
        <w:t>A</w:t>
      </w:r>
      <w:r>
        <w:t>1: Model Parameters</w:t>
      </w:r>
    </w:p>
    <w:tbl>
      <w:tblPr>
        <w:tblStyle w:val="ListTable4-Accent1"/>
        <w:tblW w:w="0" w:type="auto"/>
        <w:tblLook w:val="04A0" w:firstRow="1" w:lastRow="0" w:firstColumn="1" w:lastColumn="0" w:noHBand="0" w:noVBand="1"/>
      </w:tblPr>
      <w:tblGrid>
        <w:gridCol w:w="1487"/>
        <w:gridCol w:w="1596"/>
        <w:gridCol w:w="1555"/>
        <w:gridCol w:w="1596"/>
        <w:gridCol w:w="1444"/>
        <w:gridCol w:w="1333"/>
      </w:tblGrid>
      <w:tr w:rsidR="008E1541" w14:paraId="75E83B49" w14:textId="77777777" w:rsidTr="009E6F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Pr>
          <w:p w14:paraId="04640614" w14:textId="77777777" w:rsidR="00076630" w:rsidRPr="00691CEB" w:rsidRDefault="00076630" w:rsidP="000B5E72">
            <w:pPr>
              <w:pStyle w:val="Newparagraph"/>
              <w:spacing w:line="360" w:lineRule="auto"/>
              <w:ind w:firstLine="0"/>
              <w:jc w:val="center"/>
              <w:rPr>
                <w:b w:val="0"/>
                <w:bCs w:val="0"/>
              </w:rPr>
            </w:pPr>
            <w:r w:rsidRPr="00691CEB">
              <w:t>Parameter</w:t>
            </w:r>
          </w:p>
        </w:tc>
        <w:tc>
          <w:tcPr>
            <w:tcW w:w="1577" w:type="dxa"/>
          </w:tcPr>
          <w:p w14:paraId="0C49E53E" w14:textId="77777777" w:rsidR="00076630" w:rsidRPr="00691CEB" w:rsidRDefault="00076630" w:rsidP="000B5E72">
            <w:pPr>
              <w:pStyle w:val="Newparagraph"/>
              <w:spacing w:line="360" w:lineRule="auto"/>
              <w:ind w:firstLine="0"/>
              <w:jc w:val="center"/>
              <w:cnfStyle w:val="100000000000" w:firstRow="1" w:lastRow="0" w:firstColumn="0" w:lastColumn="0" w:oddVBand="0" w:evenVBand="0" w:oddHBand="0" w:evenHBand="0" w:firstRowFirstColumn="0" w:firstRowLastColumn="0" w:lastRowFirstColumn="0" w:lastRowLastColumn="0"/>
              <w:rPr>
                <w:b w:val="0"/>
                <w:bCs w:val="0"/>
              </w:rPr>
            </w:pPr>
            <w:r w:rsidRPr="00691CEB">
              <w:t>“75 – 79”</w:t>
            </w:r>
          </w:p>
        </w:tc>
        <w:tc>
          <w:tcPr>
            <w:tcW w:w="1577" w:type="dxa"/>
          </w:tcPr>
          <w:p w14:paraId="09EC22F0" w14:textId="77777777" w:rsidR="00076630" w:rsidRPr="00691CEB" w:rsidRDefault="00076630" w:rsidP="000B5E72">
            <w:pPr>
              <w:pStyle w:val="Newparagraph"/>
              <w:spacing w:line="360" w:lineRule="auto"/>
              <w:ind w:firstLine="0"/>
              <w:jc w:val="center"/>
              <w:cnfStyle w:val="100000000000" w:firstRow="1" w:lastRow="0" w:firstColumn="0" w:lastColumn="0" w:oddVBand="0" w:evenVBand="0" w:oddHBand="0" w:evenHBand="0" w:firstRowFirstColumn="0" w:firstRowLastColumn="0" w:lastRowFirstColumn="0" w:lastRowLastColumn="0"/>
              <w:rPr>
                <w:b w:val="0"/>
                <w:bCs w:val="0"/>
              </w:rPr>
            </w:pPr>
            <w:r w:rsidRPr="00691CEB">
              <w:t>“80 – 84”</w:t>
            </w:r>
          </w:p>
        </w:tc>
        <w:tc>
          <w:tcPr>
            <w:tcW w:w="1577" w:type="dxa"/>
          </w:tcPr>
          <w:p w14:paraId="4305197E" w14:textId="77777777" w:rsidR="00076630" w:rsidRPr="00691CEB" w:rsidRDefault="00076630" w:rsidP="000B5E72">
            <w:pPr>
              <w:pStyle w:val="Newparagraph"/>
              <w:spacing w:line="360" w:lineRule="auto"/>
              <w:ind w:firstLine="0"/>
              <w:jc w:val="center"/>
              <w:cnfStyle w:val="100000000000" w:firstRow="1" w:lastRow="0" w:firstColumn="0" w:lastColumn="0" w:oddVBand="0" w:evenVBand="0" w:oddHBand="0" w:evenHBand="0" w:firstRowFirstColumn="0" w:firstRowLastColumn="0" w:lastRowFirstColumn="0" w:lastRowLastColumn="0"/>
              <w:rPr>
                <w:b w:val="0"/>
                <w:bCs w:val="0"/>
              </w:rPr>
            </w:pPr>
            <w:r w:rsidRPr="00691CEB">
              <w:t>“85 – 89”</w:t>
            </w:r>
          </w:p>
        </w:tc>
        <w:tc>
          <w:tcPr>
            <w:tcW w:w="1458" w:type="dxa"/>
          </w:tcPr>
          <w:p w14:paraId="35AFDB7A" w14:textId="77777777" w:rsidR="00076630" w:rsidRPr="00691CEB" w:rsidRDefault="00076630" w:rsidP="000B5E72">
            <w:pPr>
              <w:pStyle w:val="Newparagraph"/>
              <w:spacing w:line="360" w:lineRule="auto"/>
              <w:ind w:firstLine="0"/>
              <w:jc w:val="center"/>
              <w:cnfStyle w:val="100000000000" w:firstRow="1" w:lastRow="0" w:firstColumn="0" w:lastColumn="0" w:oddVBand="0" w:evenVBand="0" w:oddHBand="0" w:evenHBand="0" w:firstRowFirstColumn="0" w:firstRowLastColumn="0" w:lastRowFirstColumn="0" w:lastRowLastColumn="0"/>
              <w:rPr>
                <w:b w:val="0"/>
                <w:bCs w:val="0"/>
              </w:rPr>
            </w:pPr>
            <w:r w:rsidRPr="00691CEB">
              <w:t>“90 – 94”</w:t>
            </w:r>
          </w:p>
        </w:tc>
        <w:tc>
          <w:tcPr>
            <w:tcW w:w="1340" w:type="dxa"/>
          </w:tcPr>
          <w:p w14:paraId="3683B5F5" w14:textId="77777777" w:rsidR="00076630" w:rsidRPr="00691CEB" w:rsidRDefault="00076630" w:rsidP="000B5E72">
            <w:pPr>
              <w:pStyle w:val="Newparagraph"/>
              <w:spacing w:line="360" w:lineRule="auto"/>
              <w:ind w:firstLine="0"/>
              <w:jc w:val="center"/>
              <w:cnfStyle w:val="100000000000" w:firstRow="1" w:lastRow="0" w:firstColumn="0" w:lastColumn="0" w:oddVBand="0" w:evenVBand="0" w:oddHBand="0" w:evenHBand="0" w:firstRowFirstColumn="0" w:firstRowLastColumn="0" w:lastRowFirstColumn="0" w:lastRowLastColumn="0"/>
              <w:rPr>
                <w:b w:val="0"/>
                <w:bCs w:val="0"/>
              </w:rPr>
            </w:pPr>
            <w:r w:rsidRPr="00691CEB">
              <w:t>“95+”</w:t>
            </w:r>
          </w:p>
        </w:tc>
      </w:tr>
      <w:tr w:rsidR="008E1541" w14:paraId="19095C68" w14:textId="77777777" w:rsidTr="009E6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Pr>
          <w:p w14:paraId="69376411" w14:textId="77777777" w:rsidR="00076630" w:rsidRDefault="00076630" w:rsidP="000B5E72">
            <w:pPr>
              <w:pStyle w:val="Newparagraph"/>
              <w:spacing w:line="360" w:lineRule="auto"/>
              <w:ind w:firstLine="0"/>
            </w:pPr>
            <w:r>
              <w:t>Hospital mortality</w:t>
            </w:r>
            <w:r>
              <w:rPr>
                <w:rStyle w:val="FootnoteReference"/>
              </w:rPr>
              <w:footnoteReference w:id="3"/>
            </w:r>
            <w:r>
              <w:t xml:space="preserve"> </w:t>
            </w:r>
          </w:p>
        </w:tc>
        <w:tc>
          <w:tcPr>
            <w:tcW w:w="1577" w:type="dxa"/>
          </w:tcPr>
          <w:p w14:paraId="0D06C675" w14:textId="478F04D2" w:rsidR="00076630" w:rsidRDefault="00C25ECA" w:rsidP="000B5E72">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2.4</w:t>
            </w:r>
            <w:r w:rsidR="00076630">
              <w:rPr>
                <w:rFonts w:ascii="Calibri" w:hAnsi="Calibri" w:cs="Calibri"/>
                <w:color w:val="000000"/>
                <w:sz w:val="22"/>
                <w:szCs w:val="22"/>
              </w:rPr>
              <w:t>%</w:t>
            </w:r>
          </w:p>
          <w:p w14:paraId="57F827A8" w14:textId="77777777" w:rsidR="00076630" w:rsidRDefault="00076630" w:rsidP="000B5E72">
            <w:pPr>
              <w:pStyle w:val="Newparagraph"/>
              <w:spacing w:line="360" w:lineRule="auto"/>
              <w:ind w:firstLine="0"/>
              <w:cnfStyle w:val="000000100000" w:firstRow="0" w:lastRow="0" w:firstColumn="0" w:lastColumn="0" w:oddVBand="0" w:evenVBand="0" w:oddHBand="1" w:evenHBand="0" w:firstRowFirstColumn="0" w:firstRowLastColumn="0" w:lastRowFirstColumn="0" w:lastRowLastColumn="0"/>
            </w:pPr>
          </w:p>
        </w:tc>
        <w:tc>
          <w:tcPr>
            <w:tcW w:w="1577" w:type="dxa"/>
          </w:tcPr>
          <w:p w14:paraId="661637DD" w14:textId="54B8CC6C" w:rsidR="00076630" w:rsidRDefault="00C25ECA" w:rsidP="000B5E72">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2.6</w:t>
            </w:r>
            <w:r w:rsidR="00076630">
              <w:rPr>
                <w:rFonts w:ascii="Calibri" w:hAnsi="Calibri" w:cs="Calibri"/>
                <w:color w:val="000000"/>
                <w:sz w:val="22"/>
                <w:szCs w:val="22"/>
              </w:rPr>
              <w:t>%</w:t>
            </w:r>
          </w:p>
          <w:p w14:paraId="7D69FF56" w14:textId="77777777" w:rsidR="00076630" w:rsidRDefault="00076630" w:rsidP="000B5E72">
            <w:pPr>
              <w:pStyle w:val="Newparagraph"/>
              <w:spacing w:line="360" w:lineRule="auto"/>
              <w:ind w:firstLine="0"/>
              <w:jc w:val="right"/>
              <w:cnfStyle w:val="000000100000" w:firstRow="0" w:lastRow="0" w:firstColumn="0" w:lastColumn="0" w:oddVBand="0" w:evenVBand="0" w:oddHBand="1" w:evenHBand="0" w:firstRowFirstColumn="0" w:firstRowLastColumn="0" w:lastRowFirstColumn="0" w:lastRowLastColumn="0"/>
            </w:pPr>
          </w:p>
        </w:tc>
        <w:tc>
          <w:tcPr>
            <w:tcW w:w="1577" w:type="dxa"/>
          </w:tcPr>
          <w:p w14:paraId="66756F37" w14:textId="508726CC" w:rsidR="00076630" w:rsidRDefault="00C25ECA" w:rsidP="000B5E72">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w:t>
            </w:r>
            <w:r w:rsidR="00076630">
              <w:rPr>
                <w:rFonts w:ascii="Calibri" w:hAnsi="Calibri" w:cs="Calibri"/>
                <w:color w:val="000000"/>
                <w:sz w:val="22"/>
                <w:szCs w:val="22"/>
              </w:rPr>
              <w:t>5%</w:t>
            </w:r>
          </w:p>
          <w:p w14:paraId="42387D41" w14:textId="77777777" w:rsidR="00076630" w:rsidRDefault="00076630" w:rsidP="000B5E72">
            <w:pPr>
              <w:pStyle w:val="Newparagraph"/>
              <w:spacing w:line="360" w:lineRule="auto"/>
              <w:ind w:firstLine="0"/>
              <w:jc w:val="right"/>
              <w:cnfStyle w:val="000000100000" w:firstRow="0" w:lastRow="0" w:firstColumn="0" w:lastColumn="0" w:oddVBand="0" w:evenVBand="0" w:oddHBand="1" w:evenHBand="0" w:firstRowFirstColumn="0" w:firstRowLastColumn="0" w:lastRowFirstColumn="0" w:lastRowLastColumn="0"/>
            </w:pPr>
          </w:p>
        </w:tc>
        <w:tc>
          <w:tcPr>
            <w:tcW w:w="1458" w:type="dxa"/>
          </w:tcPr>
          <w:p w14:paraId="0C29EC26" w14:textId="46D03347" w:rsidR="00076630" w:rsidRDefault="00076630" w:rsidP="000B5E72">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w:t>
            </w:r>
            <w:r w:rsidR="00C25ECA">
              <w:rPr>
                <w:rFonts w:ascii="Calibri" w:hAnsi="Calibri" w:cs="Calibri"/>
                <w:color w:val="000000"/>
                <w:sz w:val="22"/>
                <w:szCs w:val="22"/>
              </w:rPr>
              <w:t>.3</w:t>
            </w:r>
            <w:r>
              <w:rPr>
                <w:rFonts w:ascii="Calibri" w:hAnsi="Calibri" w:cs="Calibri"/>
                <w:color w:val="000000"/>
                <w:sz w:val="22"/>
                <w:szCs w:val="22"/>
              </w:rPr>
              <w:t>%</w:t>
            </w:r>
          </w:p>
          <w:p w14:paraId="3F5536DC" w14:textId="77777777" w:rsidR="00076630" w:rsidRDefault="00076630" w:rsidP="000B5E72">
            <w:pPr>
              <w:pStyle w:val="Newparagraph"/>
              <w:spacing w:line="360" w:lineRule="auto"/>
              <w:ind w:firstLine="0"/>
              <w:jc w:val="right"/>
              <w:cnfStyle w:val="000000100000" w:firstRow="0" w:lastRow="0" w:firstColumn="0" w:lastColumn="0" w:oddVBand="0" w:evenVBand="0" w:oddHBand="1" w:evenHBand="0" w:firstRowFirstColumn="0" w:firstRowLastColumn="0" w:lastRowFirstColumn="0" w:lastRowLastColumn="0"/>
            </w:pPr>
          </w:p>
        </w:tc>
        <w:tc>
          <w:tcPr>
            <w:tcW w:w="1340" w:type="dxa"/>
          </w:tcPr>
          <w:p w14:paraId="43267395" w14:textId="3C4C01A3" w:rsidR="00076630" w:rsidRDefault="00C25ECA" w:rsidP="000B5E72">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5.6</w:t>
            </w:r>
            <w:r w:rsidR="00076630">
              <w:rPr>
                <w:rFonts w:ascii="Calibri" w:hAnsi="Calibri" w:cs="Calibri"/>
                <w:color w:val="000000"/>
                <w:sz w:val="22"/>
                <w:szCs w:val="22"/>
              </w:rPr>
              <w:t>%</w:t>
            </w:r>
          </w:p>
          <w:p w14:paraId="352CF6EB" w14:textId="77777777" w:rsidR="00076630" w:rsidRDefault="00076630" w:rsidP="000B5E72">
            <w:pPr>
              <w:pStyle w:val="Newparagraph"/>
              <w:spacing w:line="360" w:lineRule="auto"/>
              <w:ind w:firstLine="0"/>
              <w:jc w:val="right"/>
              <w:cnfStyle w:val="000000100000" w:firstRow="0" w:lastRow="0" w:firstColumn="0" w:lastColumn="0" w:oddVBand="0" w:evenVBand="0" w:oddHBand="1" w:evenHBand="0" w:firstRowFirstColumn="0" w:firstRowLastColumn="0" w:lastRowFirstColumn="0" w:lastRowLastColumn="0"/>
            </w:pPr>
          </w:p>
        </w:tc>
      </w:tr>
      <w:tr w:rsidR="008E1541" w14:paraId="79AC4B01" w14:textId="77777777" w:rsidTr="009E6FCE">
        <w:tc>
          <w:tcPr>
            <w:cnfStyle w:val="001000000000" w:firstRow="0" w:lastRow="0" w:firstColumn="1" w:lastColumn="0" w:oddVBand="0" w:evenVBand="0" w:oddHBand="0" w:evenHBand="0" w:firstRowFirstColumn="0" w:firstRowLastColumn="0" w:lastRowFirstColumn="0" w:lastRowLastColumn="0"/>
            <w:tcW w:w="1492" w:type="dxa"/>
          </w:tcPr>
          <w:p w14:paraId="172ABCC1" w14:textId="77777777" w:rsidR="00076630" w:rsidRDefault="00076630" w:rsidP="000B5E72">
            <w:pPr>
              <w:pStyle w:val="Newparagraph"/>
              <w:spacing w:line="360" w:lineRule="auto"/>
              <w:ind w:firstLine="0"/>
            </w:pPr>
            <w:r>
              <w:t>ED attendance</w:t>
            </w:r>
            <w:r>
              <w:rPr>
                <w:rStyle w:val="FootnoteReference"/>
              </w:rPr>
              <w:footnoteReference w:id="4"/>
            </w:r>
          </w:p>
        </w:tc>
        <w:tc>
          <w:tcPr>
            <w:tcW w:w="1577" w:type="dxa"/>
          </w:tcPr>
          <w:p w14:paraId="5D97E9B7" w14:textId="4AE791B2" w:rsidR="00076630" w:rsidRDefault="00BA4FD8" w:rsidP="000B5E72">
            <w:pPr>
              <w:pStyle w:val="Newparagraph"/>
              <w:spacing w:line="360" w:lineRule="auto"/>
              <w:ind w:firstLine="0"/>
              <w:jc w:val="right"/>
              <w:cnfStyle w:val="000000000000" w:firstRow="0" w:lastRow="0" w:firstColumn="0" w:lastColumn="0" w:oddVBand="0" w:evenVBand="0" w:oddHBand="0" w:evenHBand="0" w:firstRowFirstColumn="0" w:firstRowLastColumn="0" w:lastRowFirstColumn="0" w:lastRowLastColumn="0"/>
            </w:pPr>
            <w:r>
              <w:t>23</w:t>
            </w:r>
          </w:p>
        </w:tc>
        <w:tc>
          <w:tcPr>
            <w:tcW w:w="1577" w:type="dxa"/>
          </w:tcPr>
          <w:p w14:paraId="27EDF4C3" w14:textId="30CD3E72" w:rsidR="00076630" w:rsidRDefault="00BA4FD8" w:rsidP="000B5E72">
            <w:pPr>
              <w:pStyle w:val="Newparagraph"/>
              <w:spacing w:line="360" w:lineRule="auto"/>
              <w:ind w:firstLine="0"/>
              <w:jc w:val="right"/>
              <w:cnfStyle w:val="000000000000" w:firstRow="0" w:lastRow="0" w:firstColumn="0" w:lastColumn="0" w:oddVBand="0" w:evenVBand="0" w:oddHBand="0" w:evenHBand="0" w:firstRowFirstColumn="0" w:firstRowLastColumn="0" w:lastRowFirstColumn="0" w:lastRowLastColumn="0"/>
            </w:pPr>
            <w:r>
              <w:t>22</w:t>
            </w:r>
          </w:p>
        </w:tc>
        <w:tc>
          <w:tcPr>
            <w:tcW w:w="1577" w:type="dxa"/>
          </w:tcPr>
          <w:p w14:paraId="6ED3AA2A" w14:textId="4CE15AA7" w:rsidR="00076630" w:rsidRDefault="00076630" w:rsidP="000B5E72">
            <w:pPr>
              <w:pStyle w:val="Newparagraph"/>
              <w:spacing w:line="360" w:lineRule="auto"/>
              <w:ind w:firstLine="0"/>
              <w:jc w:val="right"/>
              <w:cnfStyle w:val="000000000000" w:firstRow="0" w:lastRow="0" w:firstColumn="0" w:lastColumn="0" w:oddVBand="0" w:evenVBand="0" w:oddHBand="0" w:evenHBand="0" w:firstRowFirstColumn="0" w:firstRowLastColumn="0" w:lastRowFirstColumn="0" w:lastRowLastColumn="0"/>
            </w:pPr>
            <w:r>
              <w:t>1</w:t>
            </w:r>
            <w:r w:rsidR="00BA4FD8">
              <w:t>8</w:t>
            </w:r>
          </w:p>
        </w:tc>
        <w:tc>
          <w:tcPr>
            <w:tcW w:w="1458" w:type="dxa"/>
          </w:tcPr>
          <w:p w14:paraId="4933F87B" w14:textId="7C5F9E31" w:rsidR="00076630" w:rsidRDefault="00BA4FD8" w:rsidP="000B5E72">
            <w:pPr>
              <w:pStyle w:val="Newparagraph"/>
              <w:spacing w:line="360" w:lineRule="auto"/>
              <w:ind w:firstLine="0"/>
              <w:jc w:val="right"/>
              <w:cnfStyle w:val="000000000000" w:firstRow="0" w:lastRow="0" w:firstColumn="0" w:lastColumn="0" w:oddVBand="0" w:evenVBand="0" w:oddHBand="0" w:evenHBand="0" w:firstRowFirstColumn="0" w:firstRowLastColumn="0" w:lastRowFirstColumn="0" w:lastRowLastColumn="0"/>
            </w:pPr>
            <w:r>
              <w:t>10</w:t>
            </w:r>
          </w:p>
        </w:tc>
        <w:tc>
          <w:tcPr>
            <w:tcW w:w="1340" w:type="dxa"/>
          </w:tcPr>
          <w:p w14:paraId="69D05DD3" w14:textId="7B44C2B8" w:rsidR="00076630" w:rsidRDefault="00076630" w:rsidP="000B5E72">
            <w:pPr>
              <w:pStyle w:val="Newparagraph"/>
              <w:spacing w:line="360" w:lineRule="auto"/>
              <w:ind w:firstLine="0"/>
              <w:jc w:val="right"/>
              <w:cnfStyle w:val="000000000000" w:firstRow="0" w:lastRow="0" w:firstColumn="0" w:lastColumn="0" w:oddVBand="0" w:evenVBand="0" w:oddHBand="0" w:evenHBand="0" w:firstRowFirstColumn="0" w:firstRowLastColumn="0" w:lastRowFirstColumn="0" w:lastRowLastColumn="0"/>
            </w:pPr>
            <w:r>
              <w:t>3</w:t>
            </w:r>
          </w:p>
        </w:tc>
      </w:tr>
      <w:tr w:rsidR="008E1541" w14:paraId="6F747AF4" w14:textId="77777777" w:rsidTr="009E6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Pr>
          <w:p w14:paraId="61C66005" w14:textId="77777777" w:rsidR="00076630" w:rsidRDefault="00076630" w:rsidP="000B5E72">
            <w:pPr>
              <w:pStyle w:val="Newparagraph"/>
              <w:spacing w:line="360" w:lineRule="auto"/>
              <w:ind w:firstLine="0"/>
            </w:pPr>
            <w:r>
              <w:t>Emergency admission</w:t>
            </w:r>
            <w:r>
              <w:rPr>
                <w:rStyle w:val="FootnoteReference"/>
              </w:rPr>
              <w:footnoteReference w:id="5"/>
            </w:r>
          </w:p>
        </w:tc>
        <w:tc>
          <w:tcPr>
            <w:tcW w:w="1577" w:type="dxa"/>
          </w:tcPr>
          <w:p w14:paraId="125E86FF" w14:textId="17EF160A" w:rsidR="00076630" w:rsidRDefault="00076630" w:rsidP="000B5E72">
            <w:pPr>
              <w:pStyle w:val="Newparagraph"/>
              <w:spacing w:line="360" w:lineRule="auto"/>
              <w:ind w:firstLine="0"/>
              <w:jc w:val="right"/>
              <w:cnfStyle w:val="000000100000" w:firstRow="0" w:lastRow="0" w:firstColumn="0" w:lastColumn="0" w:oddVBand="0" w:evenVBand="0" w:oddHBand="1" w:evenHBand="0" w:firstRowFirstColumn="0" w:firstRowLastColumn="0" w:lastRowFirstColumn="0" w:lastRowLastColumn="0"/>
            </w:pPr>
            <w:r>
              <w:t>5</w:t>
            </w:r>
          </w:p>
        </w:tc>
        <w:tc>
          <w:tcPr>
            <w:tcW w:w="1577" w:type="dxa"/>
          </w:tcPr>
          <w:p w14:paraId="4F6D9CAF" w14:textId="4A2D4796" w:rsidR="00076630" w:rsidRDefault="00E94710" w:rsidP="000B5E72">
            <w:pPr>
              <w:pStyle w:val="Newparagraph"/>
              <w:spacing w:line="360" w:lineRule="auto"/>
              <w:ind w:firstLine="0"/>
              <w:jc w:val="right"/>
              <w:cnfStyle w:val="000000100000" w:firstRow="0" w:lastRow="0" w:firstColumn="0" w:lastColumn="0" w:oddVBand="0" w:evenVBand="0" w:oddHBand="1" w:evenHBand="0" w:firstRowFirstColumn="0" w:firstRowLastColumn="0" w:lastRowFirstColumn="0" w:lastRowLastColumn="0"/>
            </w:pPr>
            <w:r>
              <w:t>4</w:t>
            </w:r>
          </w:p>
        </w:tc>
        <w:tc>
          <w:tcPr>
            <w:tcW w:w="1577" w:type="dxa"/>
          </w:tcPr>
          <w:p w14:paraId="3B20BA52" w14:textId="46202A0C" w:rsidR="00076630" w:rsidRDefault="00076630" w:rsidP="000B5E72">
            <w:pPr>
              <w:pStyle w:val="Newparagraph"/>
              <w:spacing w:line="360" w:lineRule="auto"/>
              <w:ind w:firstLine="0"/>
              <w:jc w:val="right"/>
              <w:cnfStyle w:val="000000100000" w:firstRow="0" w:lastRow="0" w:firstColumn="0" w:lastColumn="0" w:oddVBand="0" w:evenVBand="0" w:oddHBand="1" w:evenHBand="0" w:firstRowFirstColumn="0" w:firstRowLastColumn="0" w:lastRowFirstColumn="0" w:lastRowLastColumn="0"/>
            </w:pPr>
            <w:r>
              <w:t>4</w:t>
            </w:r>
          </w:p>
        </w:tc>
        <w:tc>
          <w:tcPr>
            <w:tcW w:w="1458" w:type="dxa"/>
          </w:tcPr>
          <w:p w14:paraId="71989FF9" w14:textId="5AF9DF0E" w:rsidR="00076630" w:rsidRDefault="00076630" w:rsidP="000B5E72">
            <w:pPr>
              <w:pStyle w:val="Newparagraph"/>
              <w:spacing w:line="360" w:lineRule="auto"/>
              <w:ind w:firstLine="0"/>
              <w:jc w:val="right"/>
              <w:cnfStyle w:val="000000100000" w:firstRow="0" w:lastRow="0" w:firstColumn="0" w:lastColumn="0" w:oddVBand="0" w:evenVBand="0" w:oddHBand="1" w:evenHBand="0" w:firstRowFirstColumn="0" w:firstRowLastColumn="0" w:lastRowFirstColumn="0" w:lastRowLastColumn="0"/>
            </w:pPr>
            <w:r>
              <w:t>2</w:t>
            </w:r>
          </w:p>
        </w:tc>
        <w:tc>
          <w:tcPr>
            <w:tcW w:w="1340" w:type="dxa"/>
          </w:tcPr>
          <w:p w14:paraId="073DF88A" w14:textId="3EEF0DFA" w:rsidR="00076630" w:rsidRDefault="00E94710" w:rsidP="000B5E72">
            <w:pPr>
              <w:pStyle w:val="Newparagraph"/>
              <w:spacing w:line="360" w:lineRule="auto"/>
              <w:ind w:firstLine="0"/>
              <w:jc w:val="right"/>
              <w:cnfStyle w:val="000000100000" w:firstRow="0" w:lastRow="0" w:firstColumn="0" w:lastColumn="0" w:oddVBand="0" w:evenVBand="0" w:oddHBand="1" w:evenHBand="0" w:firstRowFirstColumn="0" w:firstRowLastColumn="0" w:lastRowFirstColumn="0" w:lastRowLastColumn="0"/>
            </w:pPr>
            <w:r>
              <w:t>1</w:t>
            </w:r>
          </w:p>
        </w:tc>
      </w:tr>
      <w:tr w:rsidR="008E1541" w14:paraId="011F73E6" w14:textId="77777777" w:rsidTr="009E6FCE">
        <w:tc>
          <w:tcPr>
            <w:cnfStyle w:val="001000000000" w:firstRow="0" w:lastRow="0" w:firstColumn="1" w:lastColumn="0" w:oddVBand="0" w:evenVBand="0" w:oddHBand="0" w:evenHBand="0" w:firstRowFirstColumn="0" w:firstRowLastColumn="0" w:lastRowFirstColumn="0" w:lastRowLastColumn="0"/>
            <w:tcW w:w="1492" w:type="dxa"/>
          </w:tcPr>
          <w:p w14:paraId="629DE504" w14:textId="2BCD87D2" w:rsidR="00076630" w:rsidRDefault="00076630" w:rsidP="000B5E72">
            <w:pPr>
              <w:pStyle w:val="Newparagraph"/>
              <w:spacing w:line="360" w:lineRule="auto"/>
              <w:ind w:firstLine="0"/>
            </w:pPr>
            <w:r>
              <w:t>P</w:t>
            </w:r>
            <w:r w:rsidR="008E1541">
              <w:t>ercentag</w:t>
            </w:r>
            <w:r w:rsidR="00A94309">
              <w:t>e</w:t>
            </w:r>
            <w:r>
              <w:t xml:space="preserve"> of patients admitted from ED</w:t>
            </w:r>
          </w:p>
        </w:tc>
        <w:tc>
          <w:tcPr>
            <w:tcW w:w="1577" w:type="dxa"/>
          </w:tcPr>
          <w:p w14:paraId="5E67A663" w14:textId="77777777" w:rsidR="00076630" w:rsidRDefault="00076630" w:rsidP="000B5E72">
            <w:pPr>
              <w:pStyle w:val="Newparagraph"/>
              <w:spacing w:line="360" w:lineRule="auto"/>
              <w:ind w:firstLine="0"/>
              <w:jc w:val="right"/>
              <w:cnfStyle w:val="000000000000" w:firstRow="0" w:lastRow="0" w:firstColumn="0" w:lastColumn="0" w:oddVBand="0" w:evenVBand="0" w:oddHBand="0" w:evenHBand="0" w:firstRowFirstColumn="0" w:firstRowLastColumn="0" w:lastRowFirstColumn="0" w:lastRowLastColumn="0"/>
            </w:pPr>
            <w:r>
              <w:t>48.9%</w:t>
            </w:r>
          </w:p>
        </w:tc>
        <w:tc>
          <w:tcPr>
            <w:tcW w:w="1577" w:type="dxa"/>
          </w:tcPr>
          <w:p w14:paraId="49671F4C" w14:textId="77777777" w:rsidR="00076630" w:rsidRDefault="00076630" w:rsidP="000B5E72">
            <w:pPr>
              <w:pStyle w:val="Newparagraph"/>
              <w:spacing w:line="360" w:lineRule="auto"/>
              <w:ind w:firstLine="0"/>
              <w:jc w:val="right"/>
              <w:cnfStyle w:val="000000000000" w:firstRow="0" w:lastRow="0" w:firstColumn="0" w:lastColumn="0" w:oddVBand="0" w:evenVBand="0" w:oddHBand="0" w:evenHBand="0" w:firstRowFirstColumn="0" w:firstRowLastColumn="0" w:lastRowFirstColumn="0" w:lastRowLastColumn="0"/>
            </w:pPr>
            <w:r>
              <w:t>54.3%</w:t>
            </w:r>
          </w:p>
        </w:tc>
        <w:tc>
          <w:tcPr>
            <w:tcW w:w="1577" w:type="dxa"/>
          </w:tcPr>
          <w:p w14:paraId="14287FB4" w14:textId="77777777" w:rsidR="00076630" w:rsidRDefault="00076630" w:rsidP="000B5E72">
            <w:pPr>
              <w:pStyle w:val="Newparagraph"/>
              <w:spacing w:line="360" w:lineRule="auto"/>
              <w:ind w:firstLine="0"/>
              <w:jc w:val="right"/>
              <w:cnfStyle w:val="000000000000" w:firstRow="0" w:lastRow="0" w:firstColumn="0" w:lastColumn="0" w:oddVBand="0" w:evenVBand="0" w:oddHBand="0" w:evenHBand="0" w:firstRowFirstColumn="0" w:firstRowLastColumn="0" w:lastRowFirstColumn="0" w:lastRowLastColumn="0"/>
            </w:pPr>
            <w:r>
              <w:t>58.79%</w:t>
            </w:r>
          </w:p>
        </w:tc>
        <w:tc>
          <w:tcPr>
            <w:tcW w:w="1458" w:type="dxa"/>
          </w:tcPr>
          <w:p w14:paraId="70B7CEBD" w14:textId="77777777" w:rsidR="00076630" w:rsidRDefault="00076630" w:rsidP="000B5E72">
            <w:pPr>
              <w:pStyle w:val="Newparagraph"/>
              <w:spacing w:line="360" w:lineRule="auto"/>
              <w:ind w:firstLine="0"/>
              <w:jc w:val="right"/>
              <w:cnfStyle w:val="000000000000" w:firstRow="0" w:lastRow="0" w:firstColumn="0" w:lastColumn="0" w:oddVBand="0" w:evenVBand="0" w:oddHBand="0" w:evenHBand="0" w:firstRowFirstColumn="0" w:firstRowLastColumn="0" w:lastRowFirstColumn="0" w:lastRowLastColumn="0"/>
            </w:pPr>
            <w:r>
              <w:t>61.67%</w:t>
            </w:r>
          </w:p>
        </w:tc>
        <w:tc>
          <w:tcPr>
            <w:tcW w:w="1340" w:type="dxa"/>
          </w:tcPr>
          <w:p w14:paraId="56832B42" w14:textId="77777777" w:rsidR="00076630" w:rsidRDefault="00076630" w:rsidP="000B5E72">
            <w:pPr>
              <w:pStyle w:val="Newparagraph"/>
              <w:spacing w:line="360" w:lineRule="auto"/>
              <w:ind w:firstLine="0"/>
              <w:jc w:val="right"/>
              <w:cnfStyle w:val="000000000000" w:firstRow="0" w:lastRow="0" w:firstColumn="0" w:lastColumn="0" w:oddVBand="0" w:evenVBand="0" w:oddHBand="0" w:evenHBand="0" w:firstRowFirstColumn="0" w:firstRowLastColumn="0" w:lastRowFirstColumn="0" w:lastRowLastColumn="0"/>
            </w:pPr>
            <w:r>
              <w:t>59.1%</w:t>
            </w:r>
          </w:p>
        </w:tc>
      </w:tr>
      <w:tr w:rsidR="008E1541" w14:paraId="074E50E9" w14:textId="77777777" w:rsidTr="009E6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Pr>
          <w:p w14:paraId="2EADE7C4" w14:textId="4B847AB8" w:rsidR="00076630" w:rsidRDefault="008E1541" w:rsidP="000B5E72">
            <w:pPr>
              <w:pStyle w:val="Newparagraph"/>
              <w:spacing w:line="360" w:lineRule="auto"/>
              <w:ind w:firstLine="0"/>
            </w:pPr>
            <w:r>
              <w:t xml:space="preserve">Proportion </w:t>
            </w:r>
            <w:r w:rsidR="00076630">
              <w:t>of Re-admissions (care home)</w:t>
            </w:r>
          </w:p>
        </w:tc>
        <w:tc>
          <w:tcPr>
            <w:tcW w:w="1577" w:type="dxa"/>
          </w:tcPr>
          <w:p w14:paraId="60A1204C" w14:textId="73F80D41" w:rsidR="00076630" w:rsidRDefault="00076630" w:rsidP="000B5E72">
            <w:pPr>
              <w:pStyle w:val="Newparagraph"/>
              <w:spacing w:line="360" w:lineRule="auto"/>
              <w:ind w:firstLine="0"/>
              <w:cnfStyle w:val="000000100000" w:firstRow="0" w:lastRow="0" w:firstColumn="0" w:lastColumn="0" w:oddVBand="0" w:evenVBand="0" w:oddHBand="1" w:evenHBand="0" w:firstRowFirstColumn="0" w:firstRowLastColumn="0" w:lastRowFirstColumn="0" w:lastRowLastColumn="0"/>
            </w:pPr>
            <w:r>
              <w:t>0.000</w:t>
            </w:r>
            <w:r w:rsidR="005520C5">
              <w:t>0</w:t>
            </w:r>
            <w:r>
              <w:t>1</w:t>
            </w:r>
            <w:r w:rsidR="005520C5">
              <w:t>8</w:t>
            </w:r>
            <w:r>
              <w:t>4</w:t>
            </w:r>
          </w:p>
        </w:tc>
        <w:tc>
          <w:tcPr>
            <w:tcW w:w="1577" w:type="dxa"/>
          </w:tcPr>
          <w:p w14:paraId="2060DDA3" w14:textId="0E2163DD" w:rsidR="00076630" w:rsidRDefault="00076630" w:rsidP="000B5E72">
            <w:pPr>
              <w:pStyle w:val="Newparagraph"/>
              <w:spacing w:line="360" w:lineRule="auto"/>
              <w:ind w:firstLine="0"/>
              <w:cnfStyle w:val="000000100000" w:firstRow="0" w:lastRow="0" w:firstColumn="0" w:lastColumn="0" w:oddVBand="0" w:evenVBand="0" w:oddHBand="1" w:evenHBand="0" w:firstRowFirstColumn="0" w:firstRowLastColumn="0" w:lastRowFirstColumn="0" w:lastRowLastColumn="0"/>
            </w:pPr>
            <w:r>
              <w:t>0.000</w:t>
            </w:r>
            <w:r w:rsidR="005520C5">
              <w:t>0408</w:t>
            </w:r>
          </w:p>
        </w:tc>
        <w:tc>
          <w:tcPr>
            <w:tcW w:w="1577" w:type="dxa"/>
          </w:tcPr>
          <w:p w14:paraId="3F238617" w14:textId="3200C278" w:rsidR="00076630" w:rsidRDefault="00076630" w:rsidP="000B5E72">
            <w:pPr>
              <w:pStyle w:val="Newparagraph"/>
              <w:spacing w:line="360" w:lineRule="auto"/>
              <w:ind w:firstLine="0"/>
              <w:cnfStyle w:val="000000100000" w:firstRow="0" w:lastRow="0" w:firstColumn="0" w:lastColumn="0" w:oddVBand="0" w:evenVBand="0" w:oddHBand="1" w:evenHBand="0" w:firstRowFirstColumn="0" w:firstRowLastColumn="0" w:lastRowFirstColumn="0" w:lastRowLastColumn="0"/>
            </w:pPr>
            <w:r>
              <w:t>0.000</w:t>
            </w:r>
            <w:r w:rsidR="005520C5">
              <w:t>085</w:t>
            </w:r>
            <w:r>
              <w:t>9</w:t>
            </w:r>
          </w:p>
        </w:tc>
        <w:tc>
          <w:tcPr>
            <w:tcW w:w="1458" w:type="dxa"/>
          </w:tcPr>
          <w:p w14:paraId="50DBEBF5" w14:textId="62313D60" w:rsidR="00076630" w:rsidRDefault="00076630" w:rsidP="000B5E72">
            <w:pPr>
              <w:pStyle w:val="Newparagraph"/>
              <w:spacing w:line="360" w:lineRule="auto"/>
              <w:ind w:firstLine="0"/>
              <w:cnfStyle w:val="000000100000" w:firstRow="0" w:lastRow="0" w:firstColumn="0" w:lastColumn="0" w:oddVBand="0" w:evenVBand="0" w:oddHBand="1" w:evenHBand="0" w:firstRowFirstColumn="0" w:firstRowLastColumn="0" w:lastRowFirstColumn="0" w:lastRowLastColumn="0"/>
            </w:pPr>
            <w:r>
              <w:t>0.00</w:t>
            </w:r>
            <w:r w:rsidR="005520C5">
              <w:t>0</w:t>
            </w:r>
            <w:r>
              <w:t>1</w:t>
            </w:r>
            <w:r w:rsidR="005520C5">
              <w:t>526</w:t>
            </w:r>
          </w:p>
        </w:tc>
        <w:tc>
          <w:tcPr>
            <w:tcW w:w="1340" w:type="dxa"/>
          </w:tcPr>
          <w:p w14:paraId="1FF7FA69" w14:textId="160C662B" w:rsidR="00076630" w:rsidRDefault="00076630" w:rsidP="000B5E72">
            <w:pPr>
              <w:pStyle w:val="Newparagraph"/>
              <w:spacing w:line="360" w:lineRule="auto"/>
              <w:ind w:firstLine="0"/>
              <w:cnfStyle w:val="000000100000" w:firstRow="0" w:lastRow="0" w:firstColumn="0" w:lastColumn="0" w:oddVBand="0" w:evenVBand="0" w:oddHBand="1" w:evenHBand="0" w:firstRowFirstColumn="0" w:firstRowLastColumn="0" w:lastRowFirstColumn="0" w:lastRowLastColumn="0"/>
            </w:pPr>
            <w:r>
              <w:t>0.00</w:t>
            </w:r>
            <w:r w:rsidR="005520C5">
              <w:t>0</w:t>
            </w:r>
            <w:r>
              <w:t>18</w:t>
            </w:r>
            <w:r w:rsidR="005520C5">
              <w:t>72</w:t>
            </w:r>
          </w:p>
        </w:tc>
      </w:tr>
      <w:tr w:rsidR="008E1541" w14:paraId="30996CC3" w14:textId="77777777" w:rsidTr="009E6FCE">
        <w:tc>
          <w:tcPr>
            <w:cnfStyle w:val="001000000000" w:firstRow="0" w:lastRow="0" w:firstColumn="1" w:lastColumn="0" w:oddVBand="0" w:evenVBand="0" w:oddHBand="0" w:evenHBand="0" w:firstRowFirstColumn="0" w:firstRowLastColumn="0" w:lastRowFirstColumn="0" w:lastRowLastColumn="0"/>
            <w:tcW w:w="1492" w:type="dxa"/>
          </w:tcPr>
          <w:p w14:paraId="6282A80D" w14:textId="3464D46A" w:rsidR="00076630" w:rsidRDefault="008E1541" w:rsidP="000B5E72">
            <w:pPr>
              <w:pStyle w:val="Newparagraph"/>
              <w:spacing w:line="360" w:lineRule="auto"/>
              <w:ind w:firstLine="0"/>
            </w:pPr>
            <w:r>
              <w:t xml:space="preserve">Proportion </w:t>
            </w:r>
            <w:r w:rsidR="00076630">
              <w:t>of Re-admission (home)</w:t>
            </w:r>
          </w:p>
        </w:tc>
        <w:tc>
          <w:tcPr>
            <w:tcW w:w="1577" w:type="dxa"/>
          </w:tcPr>
          <w:p w14:paraId="4975D769" w14:textId="74B82E60" w:rsidR="00076630" w:rsidRDefault="00076630" w:rsidP="000B5E72">
            <w:pPr>
              <w:pStyle w:val="Newparagraph"/>
              <w:spacing w:line="360" w:lineRule="auto"/>
              <w:ind w:firstLine="0"/>
              <w:cnfStyle w:val="000000000000" w:firstRow="0" w:lastRow="0" w:firstColumn="0" w:lastColumn="0" w:oddVBand="0" w:evenVBand="0" w:oddHBand="0" w:evenHBand="0" w:firstRowFirstColumn="0" w:firstRowLastColumn="0" w:lastRowFirstColumn="0" w:lastRowLastColumn="0"/>
            </w:pPr>
            <w:r>
              <w:t>0.000</w:t>
            </w:r>
            <w:r w:rsidR="00E94710">
              <w:t>02</w:t>
            </w:r>
          </w:p>
        </w:tc>
        <w:tc>
          <w:tcPr>
            <w:tcW w:w="1577" w:type="dxa"/>
          </w:tcPr>
          <w:p w14:paraId="48D5A512" w14:textId="58D7FFE6" w:rsidR="00076630" w:rsidRDefault="00076630" w:rsidP="000B5E72">
            <w:pPr>
              <w:pStyle w:val="Newparagraph"/>
              <w:spacing w:line="360" w:lineRule="auto"/>
              <w:ind w:firstLine="0"/>
              <w:cnfStyle w:val="000000000000" w:firstRow="0" w:lastRow="0" w:firstColumn="0" w:lastColumn="0" w:oddVBand="0" w:evenVBand="0" w:oddHBand="0" w:evenHBand="0" w:firstRowFirstColumn="0" w:firstRowLastColumn="0" w:lastRowFirstColumn="0" w:lastRowLastColumn="0"/>
            </w:pPr>
            <w:r>
              <w:t>0.000</w:t>
            </w:r>
            <w:r w:rsidR="00E94710">
              <w:t>02</w:t>
            </w:r>
          </w:p>
        </w:tc>
        <w:tc>
          <w:tcPr>
            <w:tcW w:w="1577" w:type="dxa"/>
          </w:tcPr>
          <w:p w14:paraId="472A79C8" w14:textId="71811177" w:rsidR="00076630" w:rsidRDefault="00076630" w:rsidP="000B5E72">
            <w:pPr>
              <w:pStyle w:val="Newparagraph"/>
              <w:spacing w:line="360" w:lineRule="auto"/>
              <w:ind w:firstLine="0"/>
              <w:cnfStyle w:val="000000000000" w:firstRow="0" w:lastRow="0" w:firstColumn="0" w:lastColumn="0" w:oddVBand="0" w:evenVBand="0" w:oddHBand="0" w:evenHBand="0" w:firstRowFirstColumn="0" w:firstRowLastColumn="0" w:lastRowFirstColumn="0" w:lastRowLastColumn="0"/>
            </w:pPr>
            <w:r>
              <w:t>0.000</w:t>
            </w:r>
            <w:r w:rsidR="00E94710">
              <w:t>0</w:t>
            </w:r>
            <w:r>
              <w:t>4</w:t>
            </w:r>
          </w:p>
        </w:tc>
        <w:tc>
          <w:tcPr>
            <w:tcW w:w="1458" w:type="dxa"/>
          </w:tcPr>
          <w:p w14:paraId="438ECA1E" w14:textId="7F87E62E" w:rsidR="00076630" w:rsidRDefault="00076630" w:rsidP="000B5E72">
            <w:pPr>
              <w:pStyle w:val="Newparagraph"/>
              <w:spacing w:line="360" w:lineRule="auto"/>
              <w:ind w:firstLine="0"/>
              <w:cnfStyle w:val="000000000000" w:firstRow="0" w:lastRow="0" w:firstColumn="0" w:lastColumn="0" w:oddVBand="0" w:evenVBand="0" w:oddHBand="0" w:evenHBand="0" w:firstRowFirstColumn="0" w:firstRowLastColumn="0" w:lastRowFirstColumn="0" w:lastRowLastColumn="0"/>
            </w:pPr>
            <w:r>
              <w:t>0.000</w:t>
            </w:r>
            <w:r w:rsidR="00E94710">
              <w:t>05</w:t>
            </w:r>
          </w:p>
        </w:tc>
        <w:tc>
          <w:tcPr>
            <w:tcW w:w="1340" w:type="dxa"/>
          </w:tcPr>
          <w:p w14:paraId="57ECC048" w14:textId="1B967EE8" w:rsidR="00076630" w:rsidRDefault="00076630" w:rsidP="000B5E72">
            <w:pPr>
              <w:pStyle w:val="Newparagraph"/>
              <w:spacing w:line="360" w:lineRule="auto"/>
              <w:ind w:firstLine="0"/>
              <w:cnfStyle w:val="000000000000" w:firstRow="0" w:lastRow="0" w:firstColumn="0" w:lastColumn="0" w:oddVBand="0" w:evenVBand="0" w:oddHBand="0" w:evenHBand="0" w:firstRowFirstColumn="0" w:firstRowLastColumn="0" w:lastRowFirstColumn="0" w:lastRowLastColumn="0"/>
            </w:pPr>
            <w:r>
              <w:t>0.000</w:t>
            </w:r>
            <w:r w:rsidR="00E94710">
              <w:t>04</w:t>
            </w:r>
          </w:p>
        </w:tc>
      </w:tr>
      <w:tr w:rsidR="008E1541" w14:paraId="5E04A3AB" w14:textId="77777777" w:rsidTr="009E6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Pr>
          <w:p w14:paraId="69A33AD6" w14:textId="77777777" w:rsidR="00076630" w:rsidRDefault="00076630" w:rsidP="000B5E72">
            <w:pPr>
              <w:pStyle w:val="Newparagraph"/>
              <w:spacing w:line="360" w:lineRule="auto"/>
              <w:ind w:firstLine="0"/>
            </w:pPr>
            <w:r>
              <w:t>Death rate (home)</w:t>
            </w:r>
          </w:p>
        </w:tc>
        <w:tc>
          <w:tcPr>
            <w:tcW w:w="1577" w:type="dxa"/>
          </w:tcPr>
          <w:p w14:paraId="36150779" w14:textId="77777777" w:rsidR="00076630" w:rsidRDefault="00076630" w:rsidP="000B5E72">
            <w:pPr>
              <w:pStyle w:val="Newparagraph"/>
              <w:spacing w:line="360" w:lineRule="auto"/>
              <w:ind w:firstLine="0"/>
              <w:jc w:val="right"/>
              <w:cnfStyle w:val="000000100000" w:firstRow="0" w:lastRow="0" w:firstColumn="0" w:lastColumn="0" w:oddVBand="0" w:evenVBand="0" w:oddHBand="1" w:evenHBand="0" w:firstRowFirstColumn="0" w:firstRowLastColumn="0" w:lastRowFirstColumn="0" w:lastRowLastColumn="0"/>
            </w:pPr>
            <w:r w:rsidRPr="002A290D">
              <w:t>0.0000242584</w:t>
            </w:r>
          </w:p>
        </w:tc>
        <w:tc>
          <w:tcPr>
            <w:tcW w:w="1577" w:type="dxa"/>
          </w:tcPr>
          <w:p w14:paraId="5FCC7DBA" w14:textId="77777777" w:rsidR="00076630" w:rsidRDefault="00076630" w:rsidP="000B5E72">
            <w:pPr>
              <w:pStyle w:val="Newparagraph"/>
              <w:spacing w:line="360" w:lineRule="auto"/>
              <w:ind w:firstLine="0"/>
              <w:jc w:val="right"/>
              <w:cnfStyle w:val="000000100000" w:firstRow="0" w:lastRow="0" w:firstColumn="0" w:lastColumn="0" w:oddVBand="0" w:evenVBand="0" w:oddHBand="1" w:evenHBand="0" w:firstRowFirstColumn="0" w:firstRowLastColumn="0" w:lastRowFirstColumn="0" w:lastRowLastColumn="0"/>
            </w:pPr>
            <w:r w:rsidRPr="002A290D">
              <w:t>0.000027</w:t>
            </w:r>
          </w:p>
        </w:tc>
        <w:tc>
          <w:tcPr>
            <w:tcW w:w="1577" w:type="dxa"/>
          </w:tcPr>
          <w:p w14:paraId="4300416E" w14:textId="77777777" w:rsidR="00076630" w:rsidRDefault="00076630" w:rsidP="000B5E72">
            <w:pPr>
              <w:pStyle w:val="Newparagraph"/>
              <w:spacing w:line="360" w:lineRule="auto"/>
              <w:ind w:firstLine="0"/>
              <w:jc w:val="right"/>
              <w:cnfStyle w:val="000000100000" w:firstRow="0" w:lastRow="0" w:firstColumn="0" w:lastColumn="0" w:oddVBand="0" w:evenVBand="0" w:oddHBand="1" w:evenHBand="0" w:firstRowFirstColumn="0" w:firstRowLastColumn="0" w:lastRowFirstColumn="0" w:lastRowLastColumn="0"/>
            </w:pPr>
            <w:r w:rsidRPr="002A290D">
              <w:t>0.0000969444</w:t>
            </w:r>
          </w:p>
        </w:tc>
        <w:tc>
          <w:tcPr>
            <w:tcW w:w="1458" w:type="dxa"/>
          </w:tcPr>
          <w:p w14:paraId="7BDAF246" w14:textId="77777777" w:rsidR="00076630" w:rsidRDefault="00076630" w:rsidP="000B5E72">
            <w:pPr>
              <w:pStyle w:val="Newparagraph"/>
              <w:spacing w:line="360" w:lineRule="auto"/>
              <w:ind w:firstLine="0"/>
              <w:jc w:val="right"/>
              <w:cnfStyle w:val="000000100000" w:firstRow="0" w:lastRow="0" w:firstColumn="0" w:lastColumn="0" w:oddVBand="0" w:evenVBand="0" w:oddHBand="1" w:evenHBand="0" w:firstRowFirstColumn="0" w:firstRowLastColumn="0" w:lastRowFirstColumn="0" w:lastRowLastColumn="0"/>
            </w:pPr>
            <w:r w:rsidRPr="002A290D">
              <w:t>0.00028</w:t>
            </w:r>
          </w:p>
        </w:tc>
        <w:tc>
          <w:tcPr>
            <w:tcW w:w="1340" w:type="dxa"/>
          </w:tcPr>
          <w:p w14:paraId="198D550D" w14:textId="77777777" w:rsidR="00076630" w:rsidRDefault="00076630" w:rsidP="000B5E72">
            <w:pPr>
              <w:pStyle w:val="Newparagraph"/>
              <w:spacing w:line="360" w:lineRule="auto"/>
              <w:ind w:firstLine="0"/>
              <w:jc w:val="right"/>
              <w:cnfStyle w:val="000000100000" w:firstRow="0" w:lastRow="0" w:firstColumn="0" w:lastColumn="0" w:oddVBand="0" w:evenVBand="0" w:oddHBand="1" w:evenHBand="0" w:firstRowFirstColumn="0" w:firstRowLastColumn="0" w:lastRowFirstColumn="0" w:lastRowLastColumn="0"/>
            </w:pPr>
            <w:r w:rsidRPr="002A290D">
              <w:t>0.0002824</w:t>
            </w:r>
          </w:p>
        </w:tc>
      </w:tr>
      <w:tr w:rsidR="008E1541" w14:paraId="2C6D87E4" w14:textId="77777777" w:rsidTr="009E6FCE">
        <w:tc>
          <w:tcPr>
            <w:cnfStyle w:val="001000000000" w:firstRow="0" w:lastRow="0" w:firstColumn="1" w:lastColumn="0" w:oddVBand="0" w:evenVBand="0" w:oddHBand="0" w:evenHBand="0" w:firstRowFirstColumn="0" w:firstRowLastColumn="0" w:lastRowFirstColumn="0" w:lastRowLastColumn="0"/>
            <w:tcW w:w="1492" w:type="dxa"/>
          </w:tcPr>
          <w:p w14:paraId="7307D00D" w14:textId="77777777" w:rsidR="00076630" w:rsidRDefault="00076630" w:rsidP="000B5E72">
            <w:pPr>
              <w:pStyle w:val="Newparagraph"/>
              <w:spacing w:line="360" w:lineRule="auto"/>
              <w:ind w:firstLine="0"/>
            </w:pPr>
            <w:r>
              <w:t>Death rate (care home)</w:t>
            </w:r>
          </w:p>
        </w:tc>
        <w:tc>
          <w:tcPr>
            <w:tcW w:w="1577" w:type="dxa"/>
          </w:tcPr>
          <w:p w14:paraId="0DC5895F" w14:textId="77777777" w:rsidR="00076630" w:rsidRPr="00295B82" w:rsidRDefault="00076630" w:rsidP="000B5E72">
            <w:pPr>
              <w:pStyle w:val="Newparagraph"/>
              <w:spacing w:line="360" w:lineRule="auto"/>
              <w:ind w:firstLine="0"/>
              <w:jc w:val="right"/>
              <w:cnfStyle w:val="000000000000" w:firstRow="0" w:lastRow="0" w:firstColumn="0" w:lastColumn="0" w:oddVBand="0" w:evenVBand="0" w:oddHBand="0" w:evenHBand="0" w:firstRowFirstColumn="0" w:firstRowLastColumn="0" w:lastRowFirstColumn="0" w:lastRowLastColumn="0"/>
            </w:pPr>
            <w:r w:rsidRPr="00295B82">
              <w:rPr>
                <w:color w:val="000000"/>
              </w:rPr>
              <w:t>0.00031</w:t>
            </w:r>
          </w:p>
        </w:tc>
        <w:tc>
          <w:tcPr>
            <w:tcW w:w="1577" w:type="dxa"/>
          </w:tcPr>
          <w:p w14:paraId="6E33C4B8" w14:textId="77777777" w:rsidR="00076630" w:rsidRDefault="00076630" w:rsidP="000B5E72">
            <w:pPr>
              <w:pStyle w:val="Newparagraph"/>
              <w:spacing w:line="360" w:lineRule="auto"/>
              <w:ind w:firstLine="0"/>
              <w:jc w:val="right"/>
              <w:cnfStyle w:val="000000000000" w:firstRow="0" w:lastRow="0" w:firstColumn="0" w:lastColumn="0" w:oddVBand="0" w:evenVBand="0" w:oddHBand="0" w:evenHBand="0" w:firstRowFirstColumn="0" w:firstRowLastColumn="0" w:lastRowFirstColumn="0" w:lastRowLastColumn="0"/>
            </w:pPr>
            <w:r w:rsidRPr="00295B82">
              <w:t>0.00064</w:t>
            </w:r>
          </w:p>
        </w:tc>
        <w:tc>
          <w:tcPr>
            <w:tcW w:w="1577" w:type="dxa"/>
          </w:tcPr>
          <w:p w14:paraId="530EC46C" w14:textId="77777777" w:rsidR="00076630" w:rsidRDefault="00076630" w:rsidP="000B5E72">
            <w:pPr>
              <w:pStyle w:val="Newparagraph"/>
              <w:spacing w:line="360" w:lineRule="auto"/>
              <w:ind w:firstLine="0"/>
              <w:jc w:val="right"/>
              <w:cnfStyle w:val="000000000000" w:firstRow="0" w:lastRow="0" w:firstColumn="0" w:lastColumn="0" w:oddVBand="0" w:evenVBand="0" w:oddHBand="0" w:evenHBand="0" w:firstRowFirstColumn="0" w:firstRowLastColumn="0" w:lastRowFirstColumn="0" w:lastRowLastColumn="0"/>
            </w:pPr>
            <w:r w:rsidRPr="008148DE">
              <w:t>0.00095</w:t>
            </w:r>
          </w:p>
        </w:tc>
        <w:tc>
          <w:tcPr>
            <w:tcW w:w="1458" w:type="dxa"/>
          </w:tcPr>
          <w:p w14:paraId="78924D8E" w14:textId="77777777" w:rsidR="00076630" w:rsidRDefault="00076630" w:rsidP="000B5E72">
            <w:pPr>
              <w:pStyle w:val="Newparagraph"/>
              <w:spacing w:line="360" w:lineRule="auto"/>
              <w:ind w:firstLine="0"/>
              <w:jc w:val="right"/>
              <w:cnfStyle w:val="000000000000" w:firstRow="0" w:lastRow="0" w:firstColumn="0" w:lastColumn="0" w:oddVBand="0" w:evenVBand="0" w:oddHBand="0" w:evenHBand="0" w:firstRowFirstColumn="0" w:firstRowLastColumn="0" w:lastRowFirstColumn="0" w:lastRowLastColumn="0"/>
            </w:pPr>
            <w:r w:rsidRPr="008148DE">
              <w:t>0.0018</w:t>
            </w:r>
          </w:p>
        </w:tc>
        <w:tc>
          <w:tcPr>
            <w:tcW w:w="1340" w:type="dxa"/>
          </w:tcPr>
          <w:p w14:paraId="1FB63720" w14:textId="77777777" w:rsidR="00076630" w:rsidRDefault="00076630" w:rsidP="000B5E72">
            <w:pPr>
              <w:pStyle w:val="Newparagraph"/>
              <w:spacing w:line="360" w:lineRule="auto"/>
              <w:ind w:firstLine="0"/>
              <w:jc w:val="right"/>
              <w:cnfStyle w:val="000000000000" w:firstRow="0" w:lastRow="0" w:firstColumn="0" w:lastColumn="0" w:oddVBand="0" w:evenVBand="0" w:oddHBand="0" w:evenHBand="0" w:firstRowFirstColumn="0" w:firstRowLastColumn="0" w:lastRowFirstColumn="0" w:lastRowLastColumn="0"/>
            </w:pPr>
            <w:r w:rsidRPr="008148DE">
              <w:t>0.0025</w:t>
            </w:r>
          </w:p>
        </w:tc>
      </w:tr>
    </w:tbl>
    <w:p w14:paraId="0DF2E8AF" w14:textId="030667D2" w:rsidR="00F20B78" w:rsidRDefault="00F20B78" w:rsidP="00B64D27">
      <w:pPr>
        <w:pStyle w:val="Heading3"/>
      </w:pPr>
      <w:r>
        <w:lastRenderedPageBreak/>
        <w:t>Intervention Effects</w:t>
      </w:r>
    </w:p>
    <w:p w14:paraId="6FA8DE16" w14:textId="197A42D2" w:rsidR="00F20B78" w:rsidRDefault="00F20B78" w:rsidP="00F20B78">
      <w:pPr>
        <w:pStyle w:val="Newparagraph"/>
        <w:jc w:val="both"/>
      </w:pPr>
      <w:r>
        <w:t xml:space="preserve">In several of the intervention strategies considered, the effect on the patient outcome is described in the literature in terms of a risk ratio (RR) (ratio of the probability of an outcome in an exposed group to the probability of an outcome in an unexposed group). </w:t>
      </w:r>
    </w:p>
    <w:p w14:paraId="3C5CE588" w14:textId="77777777" w:rsidR="00F20B78" w:rsidRDefault="00F20B78" w:rsidP="00F20B78">
      <w:pPr>
        <w:pStyle w:val="Newparagraph"/>
        <w:jc w:val="both"/>
      </w:pPr>
      <m:oMathPara>
        <m:oMath>
          <m:r>
            <w:rPr>
              <w:rFonts w:ascii="Cambria Math" w:hAnsi="Cambria Math"/>
            </w:rPr>
            <m:t>RR=</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1</m:t>
                  </m:r>
                </m:sub>
              </m:sSub>
            </m:num>
            <m:den>
              <m:sSub>
                <m:sSubPr>
                  <m:ctrlPr>
                    <w:rPr>
                      <w:rFonts w:ascii="Cambria Math" w:hAnsi="Cambria Math"/>
                      <w:i/>
                    </w:rPr>
                  </m:ctrlPr>
                </m:sSubPr>
                <m:e>
                  <m:r>
                    <w:rPr>
                      <w:rFonts w:ascii="Cambria Math" w:hAnsi="Cambria Math"/>
                    </w:rPr>
                    <m:t>R</m:t>
                  </m:r>
                </m:e>
                <m:sub>
                  <m:r>
                    <w:rPr>
                      <w:rFonts w:ascii="Cambria Math" w:hAnsi="Cambria Math"/>
                    </w:rPr>
                    <m:t>0</m:t>
                  </m:r>
                </m:sub>
              </m:sSub>
            </m:den>
          </m:f>
          <m:r>
            <w:rPr>
              <w:rFonts w:ascii="Cambria Math" w:hAnsi="Cambria Math"/>
            </w:rPr>
            <m:t>=</m:t>
          </m:r>
          <m:f>
            <m:fPr>
              <m:ctrlPr>
                <w:rPr>
                  <w:rFonts w:ascii="Cambria Math" w:eastAsiaTheme="minorEastAsia" w:hAnsi="Cambria Math"/>
                  <w:i/>
                </w:rPr>
              </m:ctrlPr>
            </m:fPr>
            <m:num>
              <m:func>
                <m:funcPr>
                  <m:ctrlPr>
                    <w:rPr>
                      <w:rFonts w:ascii="Cambria Math" w:hAnsi="Cambria Math"/>
                      <w:i/>
                    </w:rPr>
                  </m:ctrlPr>
                </m:funcPr>
                <m:fName>
                  <m:r>
                    <m:rPr>
                      <m:sty m:val="p"/>
                    </m:rPr>
                    <w:rPr>
                      <w:rFonts w:ascii="Cambria Math" w:hAnsi="Cambria Math"/>
                    </w:rPr>
                    <m:t>1-exp</m:t>
                  </m:r>
                </m:fName>
                <m:e>
                  <m:d>
                    <m:dPr>
                      <m:ctrlPr>
                        <w:rPr>
                          <w:rFonts w:ascii="Cambria Math" w:hAnsi="Cambria Math"/>
                          <w:i/>
                        </w:rPr>
                      </m:ctrlPr>
                    </m:dPr>
                    <m:e>
                      <m:r>
                        <w:rPr>
                          <w:rFonts w:ascii="Cambria Math" w:hAnsi="Cambria Math"/>
                        </w:rPr>
                        <m:t>-rat</m:t>
                      </m:r>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*time</m:t>
                      </m:r>
                    </m:e>
                  </m:d>
                </m:e>
              </m:func>
              <m:ctrlPr>
                <w:rPr>
                  <w:rFonts w:ascii="Cambria Math" w:hAnsi="Cambria Math"/>
                  <w:i/>
                </w:rPr>
              </m:ctrlPr>
            </m:num>
            <m:den>
              <m:r>
                <w:rPr>
                  <w:rFonts w:ascii="Cambria Math" w:hAnsi="Cambria Math"/>
                </w:rPr>
                <m:t>1-</m:t>
              </m:r>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-rat</m:t>
                      </m:r>
                      <m:sSub>
                        <m:sSubPr>
                          <m:ctrlPr>
                            <w:rPr>
                              <w:rFonts w:ascii="Cambria Math" w:hAnsi="Cambria Math"/>
                              <w:i/>
                            </w:rPr>
                          </m:ctrlPr>
                        </m:sSubPr>
                        <m:e>
                          <m:r>
                            <w:rPr>
                              <w:rFonts w:ascii="Cambria Math" w:hAnsi="Cambria Math"/>
                            </w:rPr>
                            <m:t>e</m:t>
                          </m:r>
                        </m:e>
                        <m:sub>
                          <m:r>
                            <w:rPr>
                              <w:rFonts w:ascii="Cambria Math" w:hAnsi="Cambria Math"/>
                            </w:rPr>
                            <m:t>0</m:t>
                          </m:r>
                        </m:sub>
                      </m:sSub>
                      <m:r>
                        <w:rPr>
                          <w:rFonts w:ascii="Cambria Math" w:hAnsi="Cambria Math"/>
                        </w:rPr>
                        <m:t>*time</m:t>
                      </m:r>
                    </m:e>
                  </m:d>
                </m:e>
              </m:func>
            </m:den>
          </m:f>
        </m:oMath>
      </m:oMathPara>
    </w:p>
    <w:p w14:paraId="52DE6FD7" w14:textId="77777777" w:rsidR="00F20B78" w:rsidRDefault="00F20B78" w:rsidP="00F20B78">
      <w:pPr>
        <w:pStyle w:val="Newparagraph"/>
        <w:jc w:val="both"/>
      </w:pPr>
      <w:r>
        <w:t xml:space="preserve">In some of the remaining interventions, odds ratios (OR) are given instead of risk ratios.  </w:t>
      </w:r>
      <w:r w:rsidRPr="006033E8">
        <w:t>The OR represents the odds that an outcome will occur given a particular exposure, compared to the odds of the outcome occurring in the absence of that exposure.</w:t>
      </w:r>
    </w:p>
    <w:p w14:paraId="3A75785A" w14:textId="77777777" w:rsidR="00F20B78" w:rsidRDefault="00F20B78" w:rsidP="00F20B78">
      <w:pPr>
        <w:pStyle w:val="Newparagraph"/>
        <w:jc w:val="both"/>
      </w:pPr>
      <m:oMath>
        <m:r>
          <w:rPr>
            <w:rFonts w:ascii="Cambria Math" w:hAnsi="Cambria Math"/>
          </w:rPr>
          <m:t xml:space="preserve">Odds ratio= </m:t>
        </m:r>
        <m:f>
          <m:fPr>
            <m:ctrlPr>
              <w:rPr>
                <w:rFonts w:ascii="Cambria Math" w:hAnsi="Cambria Math"/>
                <w:i/>
              </w:rPr>
            </m:ctrlPr>
          </m:fPr>
          <m:num>
            <m:sSub>
              <m:sSubPr>
                <m:ctrlPr>
                  <w:rPr>
                    <w:rFonts w:ascii="Cambria Math" w:hAnsi="Cambria Math"/>
                    <w:i/>
                  </w:rPr>
                </m:ctrlPr>
              </m:sSubPr>
              <m:e>
                <m:r>
                  <w:rPr>
                    <w:rFonts w:ascii="Cambria Math" w:hAnsi="Cambria Math"/>
                  </w:rPr>
                  <m:t>odds</m:t>
                </m:r>
              </m:e>
              <m:sub>
                <m:r>
                  <w:rPr>
                    <w:rFonts w:ascii="Cambria Math" w:hAnsi="Cambria Math"/>
                  </w:rPr>
                  <m:t>1</m:t>
                </m:r>
              </m:sub>
            </m:sSub>
          </m:num>
          <m:den>
            <m:sSub>
              <m:sSubPr>
                <m:ctrlPr>
                  <w:rPr>
                    <w:rFonts w:ascii="Cambria Math" w:hAnsi="Cambria Math"/>
                    <w:i/>
                  </w:rPr>
                </m:ctrlPr>
              </m:sSubPr>
              <m:e>
                <m:r>
                  <w:rPr>
                    <w:rFonts w:ascii="Cambria Math" w:hAnsi="Cambria Math"/>
                  </w:rPr>
                  <m:t>odds</m:t>
                </m:r>
              </m:e>
              <m:sub>
                <m:r>
                  <w:rPr>
                    <w:rFonts w:ascii="Cambria Math" w:hAnsi="Cambria Math"/>
                  </w:rPr>
                  <m:t>0</m:t>
                </m:r>
              </m:sub>
            </m:sSub>
          </m:den>
        </m:f>
      </m:oMath>
      <w:r>
        <w:t xml:space="preserve"> </w:t>
      </w:r>
    </w:p>
    <w:p w14:paraId="4796E817" w14:textId="77777777" w:rsidR="00F20B78" w:rsidRPr="00284189" w:rsidRDefault="00F20B78" w:rsidP="00F20B78">
      <w:pPr>
        <w:pStyle w:val="Newparagraph"/>
        <w:jc w:val="both"/>
      </w:pPr>
      <w:r>
        <w:t xml:space="preserve">where </w:t>
      </w:r>
      <m:oMath>
        <m:sSub>
          <m:sSubPr>
            <m:ctrlPr>
              <w:rPr>
                <w:rFonts w:ascii="Cambria Math" w:hAnsi="Cambria Math"/>
                <w:i/>
              </w:rPr>
            </m:ctrlPr>
          </m:sSubPr>
          <m:e>
            <m:r>
              <w:rPr>
                <w:rFonts w:ascii="Cambria Math" w:hAnsi="Cambria Math"/>
              </w:rPr>
              <m:t>odds</m:t>
            </m:r>
          </m:e>
          <m:sub>
            <m:r>
              <w:rPr>
                <w:rFonts w:ascii="Cambria Math" w:hAnsi="Cambria Math"/>
              </w:rPr>
              <m:t>0</m:t>
            </m:r>
          </m:sub>
        </m:sSub>
        <m:r>
          <w:rPr>
            <w:rFonts w:ascii="Cambria Math" w:hAnsi="Cambria Math"/>
          </w:rPr>
          <m:t>=</m:t>
        </m:r>
        <m:f>
          <m:fPr>
            <m:ctrlPr>
              <w:rPr>
                <w:rFonts w:ascii="Cambria Math" w:hAnsi="Cambria Math"/>
                <w:i/>
              </w:rPr>
            </m:ctrlPr>
          </m:fPr>
          <m:num>
            <m:r>
              <w:rPr>
                <w:rFonts w:ascii="Cambria Math" w:hAnsi="Cambria Math"/>
              </w:rPr>
              <m:t>1-</m:t>
            </m:r>
            <m:r>
              <m:rPr>
                <m:sty m:val="p"/>
              </m:rPr>
              <w:rPr>
                <w:rFonts w:ascii="Cambria Math" w:hAnsi="Cambria Math"/>
              </w:rPr>
              <m:t>exp⁡</m:t>
            </m:r>
            <m:r>
              <w:rPr>
                <w:rFonts w:ascii="Cambria Math" w:hAnsi="Cambria Math"/>
              </w:rPr>
              <m:t>(-</m:t>
            </m:r>
            <m:sSub>
              <m:sSubPr>
                <m:ctrlPr>
                  <w:rPr>
                    <w:rFonts w:ascii="Cambria Math" w:hAnsi="Cambria Math"/>
                    <w:i/>
                  </w:rPr>
                </m:ctrlPr>
              </m:sSubPr>
              <m:e>
                <m:r>
                  <w:rPr>
                    <w:rFonts w:ascii="Cambria Math" w:hAnsi="Cambria Math"/>
                  </w:rPr>
                  <m:t>rate</m:t>
                </m:r>
              </m:e>
              <m:sub>
                <m:r>
                  <w:rPr>
                    <w:rFonts w:ascii="Cambria Math" w:hAnsi="Cambria Math"/>
                  </w:rPr>
                  <m:t>0</m:t>
                </m:r>
              </m:sub>
            </m:sSub>
            <m:r>
              <w:rPr>
                <w:rFonts w:ascii="Cambria Math" w:hAnsi="Cambria Math"/>
              </w:rPr>
              <m:t>*time)</m:t>
            </m:r>
          </m:num>
          <m:den>
            <m:r>
              <m:rPr>
                <m:sty m:val="p"/>
              </m:rPr>
              <w:rPr>
                <w:rFonts w:ascii="Cambria Math" w:hAnsi="Cambria Math"/>
              </w:rPr>
              <m:t>exp⁡</m:t>
            </m:r>
            <m:r>
              <w:rPr>
                <w:rFonts w:ascii="Cambria Math" w:hAnsi="Cambria Math"/>
              </w:rPr>
              <m:t>(-</m:t>
            </m:r>
            <m:sSub>
              <m:sSubPr>
                <m:ctrlPr>
                  <w:rPr>
                    <w:rFonts w:ascii="Cambria Math" w:hAnsi="Cambria Math"/>
                    <w:i/>
                  </w:rPr>
                </m:ctrlPr>
              </m:sSubPr>
              <m:e>
                <m:r>
                  <w:rPr>
                    <w:rFonts w:ascii="Cambria Math" w:hAnsi="Cambria Math"/>
                  </w:rPr>
                  <m:t>rate</m:t>
                </m:r>
              </m:e>
              <m:sub>
                <m:r>
                  <w:rPr>
                    <w:rFonts w:ascii="Cambria Math" w:hAnsi="Cambria Math"/>
                  </w:rPr>
                  <m:t>0</m:t>
                </m:r>
              </m:sub>
            </m:sSub>
            <m:r>
              <w:rPr>
                <w:rFonts w:ascii="Cambria Math" w:hAnsi="Cambria Math"/>
              </w:rPr>
              <m:t>*time)</m:t>
            </m:r>
          </m:den>
        </m:f>
      </m:oMath>
      <w:r>
        <w:t xml:space="preserve"> and </w:t>
      </w:r>
      <m:oMath>
        <m:sSub>
          <m:sSubPr>
            <m:ctrlPr>
              <w:rPr>
                <w:rFonts w:ascii="Cambria Math" w:hAnsi="Cambria Math"/>
                <w:i/>
              </w:rPr>
            </m:ctrlPr>
          </m:sSubPr>
          <m:e>
            <m:r>
              <w:rPr>
                <w:rFonts w:ascii="Cambria Math" w:hAnsi="Cambria Math"/>
              </w:rPr>
              <m:t>odds</m:t>
            </m:r>
          </m:e>
          <m:sub>
            <m:r>
              <w:rPr>
                <w:rFonts w:ascii="Cambria Math" w:hAnsi="Cambria Math"/>
              </w:rPr>
              <m:t>1</m:t>
            </m:r>
          </m:sub>
        </m:sSub>
        <m:r>
          <w:rPr>
            <w:rFonts w:ascii="Cambria Math" w:hAnsi="Cambria Math"/>
          </w:rPr>
          <m:t>=</m:t>
        </m:r>
        <m:f>
          <m:fPr>
            <m:ctrlPr>
              <w:rPr>
                <w:rFonts w:ascii="Cambria Math" w:hAnsi="Cambria Math"/>
                <w:i/>
              </w:rPr>
            </m:ctrlPr>
          </m:fPr>
          <m:num>
            <m:r>
              <w:rPr>
                <w:rFonts w:ascii="Cambria Math" w:hAnsi="Cambria Math"/>
              </w:rPr>
              <m:t>1-</m:t>
            </m:r>
            <m:r>
              <m:rPr>
                <m:sty m:val="p"/>
              </m:rPr>
              <w:rPr>
                <w:rFonts w:ascii="Cambria Math" w:hAnsi="Cambria Math"/>
              </w:rPr>
              <m:t>exp⁡</m:t>
            </m:r>
            <m:r>
              <w:rPr>
                <w:rFonts w:ascii="Cambria Math" w:hAnsi="Cambria Math"/>
              </w:rPr>
              <m:t>(-</m:t>
            </m:r>
            <m:sSub>
              <m:sSubPr>
                <m:ctrlPr>
                  <w:rPr>
                    <w:rFonts w:ascii="Cambria Math" w:hAnsi="Cambria Math"/>
                    <w:i/>
                  </w:rPr>
                </m:ctrlPr>
              </m:sSubPr>
              <m:e>
                <m:r>
                  <w:rPr>
                    <w:rFonts w:ascii="Cambria Math" w:hAnsi="Cambria Math"/>
                  </w:rPr>
                  <m:t>rate</m:t>
                </m:r>
              </m:e>
              <m:sub>
                <m:r>
                  <w:rPr>
                    <w:rFonts w:ascii="Cambria Math" w:hAnsi="Cambria Math"/>
                  </w:rPr>
                  <m:t>1</m:t>
                </m:r>
              </m:sub>
            </m:sSub>
            <m:r>
              <w:rPr>
                <w:rFonts w:ascii="Cambria Math" w:hAnsi="Cambria Math"/>
              </w:rPr>
              <m:t>*time)</m:t>
            </m:r>
          </m:num>
          <m:den>
            <m:r>
              <m:rPr>
                <m:sty m:val="p"/>
              </m:rPr>
              <w:rPr>
                <w:rFonts w:ascii="Cambria Math" w:hAnsi="Cambria Math"/>
              </w:rPr>
              <m:t>exp⁡</m:t>
            </m:r>
            <m:r>
              <w:rPr>
                <w:rFonts w:ascii="Cambria Math" w:hAnsi="Cambria Math"/>
              </w:rPr>
              <m:t>(-</m:t>
            </m:r>
            <m:sSub>
              <m:sSubPr>
                <m:ctrlPr>
                  <w:rPr>
                    <w:rFonts w:ascii="Cambria Math" w:hAnsi="Cambria Math"/>
                    <w:i/>
                  </w:rPr>
                </m:ctrlPr>
              </m:sSubPr>
              <m:e>
                <m:r>
                  <w:rPr>
                    <w:rFonts w:ascii="Cambria Math" w:hAnsi="Cambria Math"/>
                  </w:rPr>
                  <m:t>rate</m:t>
                </m:r>
              </m:e>
              <m:sub>
                <m:r>
                  <w:rPr>
                    <w:rFonts w:ascii="Cambria Math" w:hAnsi="Cambria Math"/>
                  </w:rPr>
                  <m:t>1</m:t>
                </m:r>
              </m:sub>
            </m:sSub>
            <m:r>
              <w:rPr>
                <w:rFonts w:ascii="Cambria Math" w:hAnsi="Cambria Math"/>
              </w:rPr>
              <m:t>*time)</m:t>
            </m:r>
          </m:den>
        </m:f>
      </m:oMath>
    </w:p>
    <w:p w14:paraId="0752D564" w14:textId="376B1087" w:rsidR="009B25D6" w:rsidRDefault="00F20B78" w:rsidP="00F20B78">
      <w:pPr>
        <w:jc w:val="both"/>
        <w:rPr>
          <w:i/>
          <w:iCs/>
          <w:u w:val="single"/>
        </w:rPr>
      </w:pPr>
      <w:r>
        <w:t>Risk ratios and odds ratios have been incorporated into the decision support tool in the intervention runs of the system dynamics model</w:t>
      </w:r>
      <w:r w:rsidR="009E2B40">
        <w:t xml:space="preserve"> to determine the effect size associated with a particular intervention on a specific hospital metric</w:t>
      </w:r>
      <w:r>
        <w:t>.</w:t>
      </w:r>
    </w:p>
    <w:p w14:paraId="37F2555D" w14:textId="18F6F758" w:rsidR="00523FC2" w:rsidRDefault="00523FC2" w:rsidP="0085779C">
      <w:pPr>
        <w:keepNext/>
        <w:spacing w:before="360" w:after="60" w:line="360" w:lineRule="auto"/>
        <w:ind w:right="567"/>
        <w:contextualSpacing/>
        <w:outlineLvl w:val="0"/>
      </w:pPr>
    </w:p>
    <w:sectPr w:rsidR="00523FC2" w:rsidSect="007D1DA5">
      <w:pgSz w:w="11901"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3A1A7" w14:textId="77777777" w:rsidR="0046025A" w:rsidRDefault="0046025A" w:rsidP="00AF2C92">
      <w:r>
        <w:separator/>
      </w:r>
    </w:p>
  </w:endnote>
  <w:endnote w:type="continuationSeparator" w:id="0">
    <w:p w14:paraId="38940873" w14:textId="77777777" w:rsidR="0046025A" w:rsidRDefault="0046025A"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calaLancetPro">
    <w:altName w:val="ScalaLancetPro"/>
    <w:panose1 w:val="00000000000000000000"/>
    <w:charset w:val="00"/>
    <w:family w:val="roman"/>
    <w:notTrueType/>
    <w:pitch w:val="default"/>
    <w:sig w:usb0="00000003" w:usb1="00000000" w:usb2="00000000" w:usb3="00000000" w:csb0="00000001" w:csb1="00000000"/>
  </w:font>
  <w:font w:name="StoneSerifStd-Medium">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4DC95" w14:textId="77777777" w:rsidR="009873B9" w:rsidRDefault="009873B9">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4D85F3FB" w14:textId="77777777" w:rsidR="009873B9" w:rsidRDefault="00987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F8220" w14:textId="77777777" w:rsidR="0046025A" w:rsidRDefault="0046025A" w:rsidP="00AF2C92">
      <w:r>
        <w:separator/>
      </w:r>
    </w:p>
  </w:footnote>
  <w:footnote w:type="continuationSeparator" w:id="0">
    <w:p w14:paraId="1C1F49C2" w14:textId="77777777" w:rsidR="0046025A" w:rsidRDefault="0046025A" w:rsidP="00AF2C92">
      <w:r>
        <w:continuationSeparator/>
      </w:r>
    </w:p>
  </w:footnote>
  <w:footnote w:id="1">
    <w:p w14:paraId="3B57A305" w14:textId="064E80FD" w:rsidR="009873B9" w:rsidRDefault="009873B9" w:rsidP="00A403C5">
      <w:pPr>
        <w:pStyle w:val="FootnoteText"/>
      </w:pPr>
      <w:r>
        <w:rPr>
          <w:rStyle w:val="FootnoteReference"/>
        </w:rPr>
        <w:footnoteRef/>
      </w:r>
      <w:r>
        <w:t xml:space="preserve"> </w:t>
      </w:r>
      <w:r w:rsidRPr="000B3D60">
        <w:t xml:space="preserve">Whilst the cited evidence suggests a </w:t>
      </w:r>
      <w:r w:rsidRPr="0085779C">
        <w:t>4</w:t>
      </w:r>
      <w:r w:rsidR="002B42E1" w:rsidRPr="0085779C">
        <w:t>2</w:t>
      </w:r>
      <w:r w:rsidRPr="0085779C">
        <w:t>% reduction</w:t>
      </w:r>
      <w:r w:rsidRPr="000B3D60">
        <w:t xml:space="preserve"> this is at the 6-month mark. The simulation considers a target population of 37% due to the service’s opening hours which would lead to a suggested reduction of approximately 16%. The decision support tool uses a more conservative estimate of the risk ratio (0.93) applied at the 1-month mark.</w:t>
      </w:r>
    </w:p>
  </w:footnote>
  <w:footnote w:id="2">
    <w:p w14:paraId="6A128B67" w14:textId="2B8579D2" w:rsidR="009873B9" w:rsidRDefault="009873B9" w:rsidP="00A403C5">
      <w:pPr>
        <w:pStyle w:val="FootnoteText"/>
      </w:pPr>
      <w:r>
        <w:rPr>
          <w:rStyle w:val="FootnoteReference"/>
        </w:rPr>
        <w:footnoteRef/>
      </w:r>
      <w:r>
        <w:t xml:space="preserve"> 90,107 first phoned NHS111 and were either advised to go directly to the ED (9,882) or were taken by ambulance (80,225). There were 472,715 other patients who called 999 and were then taken to the ED by ambulance. The remaining 608,580 patient attendances were people that attended the ED without previously calling NHS111 or 999.</w:t>
      </w:r>
    </w:p>
  </w:footnote>
  <w:footnote w:id="3">
    <w:p w14:paraId="68F0B92B" w14:textId="77777777" w:rsidR="009873B9" w:rsidRDefault="009873B9" w:rsidP="00A403C5">
      <w:pPr>
        <w:pStyle w:val="FootnoteText"/>
      </w:pPr>
      <w:r>
        <w:rPr>
          <w:rStyle w:val="FootnoteReference"/>
        </w:rPr>
        <w:footnoteRef/>
      </w:r>
      <w:r>
        <w:t xml:space="preserve"> Proportion of hospital population that die each day</w:t>
      </w:r>
    </w:p>
  </w:footnote>
  <w:footnote w:id="4">
    <w:p w14:paraId="75FC936A" w14:textId="77777777" w:rsidR="009873B9" w:rsidRDefault="009873B9" w:rsidP="00A403C5">
      <w:pPr>
        <w:pStyle w:val="FootnoteText"/>
      </w:pPr>
      <w:r>
        <w:rPr>
          <w:rStyle w:val="FootnoteReference"/>
        </w:rPr>
        <w:footnoteRef/>
      </w:r>
      <w:r>
        <w:t xml:space="preserve"> ED attendances per day, dependent on the hospital setting. Values given are for the Yorkshire &amp; Humber region.</w:t>
      </w:r>
    </w:p>
  </w:footnote>
  <w:footnote w:id="5">
    <w:p w14:paraId="75B04B48" w14:textId="77777777" w:rsidR="009873B9" w:rsidRDefault="009873B9" w:rsidP="00A403C5">
      <w:pPr>
        <w:pStyle w:val="FootnoteText"/>
      </w:pPr>
      <w:r>
        <w:rPr>
          <w:rStyle w:val="FootnoteReference"/>
        </w:rPr>
        <w:footnoteRef/>
      </w:r>
      <w:r>
        <w:t xml:space="preserve"> Number of patients admitted directly on to a ward. Values given are for the Yorkshire &amp; Humber region.</w:t>
      </w:r>
    </w:p>
    <w:p w14:paraId="0744FA14" w14:textId="77777777" w:rsidR="009873B9" w:rsidRDefault="009873B9" w:rsidP="00A403C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A2677E"/>
    <w:multiLevelType w:val="hybridMultilevel"/>
    <w:tmpl w:val="29145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9D557C1"/>
    <w:multiLevelType w:val="hybridMultilevel"/>
    <w:tmpl w:val="9D6CA5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BC16A7D"/>
    <w:multiLevelType w:val="hybridMultilevel"/>
    <w:tmpl w:val="BFACBE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645555"/>
    <w:multiLevelType w:val="hybridMultilevel"/>
    <w:tmpl w:val="F04062A6"/>
    <w:lvl w:ilvl="0" w:tplc="72BAD250">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1D3A6BE5"/>
    <w:multiLevelType w:val="hybridMultilevel"/>
    <w:tmpl w:val="DF44B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4E58FC"/>
    <w:multiLevelType w:val="hybridMultilevel"/>
    <w:tmpl w:val="0242F3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FA10A83"/>
    <w:multiLevelType w:val="hybridMultilevel"/>
    <w:tmpl w:val="04AEC0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0644FFA"/>
    <w:multiLevelType w:val="hybridMultilevel"/>
    <w:tmpl w:val="4F2A6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3715464"/>
    <w:multiLevelType w:val="hybridMultilevel"/>
    <w:tmpl w:val="8ABC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91109DA"/>
    <w:multiLevelType w:val="hybridMultilevel"/>
    <w:tmpl w:val="00BEEB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CF54449"/>
    <w:multiLevelType w:val="hybridMultilevel"/>
    <w:tmpl w:val="DCD8F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00D62F5"/>
    <w:multiLevelType w:val="hybridMultilevel"/>
    <w:tmpl w:val="FBF0A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2A5072"/>
    <w:multiLevelType w:val="hybridMultilevel"/>
    <w:tmpl w:val="DD0EF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B457B2"/>
    <w:multiLevelType w:val="hybridMultilevel"/>
    <w:tmpl w:val="1CDC91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8C3326F"/>
    <w:multiLevelType w:val="hybridMultilevel"/>
    <w:tmpl w:val="AC62D4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DF045BB"/>
    <w:multiLevelType w:val="hybridMultilevel"/>
    <w:tmpl w:val="B83C6AB4"/>
    <w:lvl w:ilvl="0" w:tplc="8362B03E">
      <w:start w:val="1"/>
      <w:numFmt w:val="lowerLetter"/>
      <w:lvlText w:val="(%1)"/>
      <w:lvlJc w:val="left"/>
      <w:pPr>
        <w:ind w:left="4680" w:hanging="36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35" w15:restartNumberingAfterBreak="0">
    <w:nsid w:val="4FE136FC"/>
    <w:multiLevelType w:val="hybridMultilevel"/>
    <w:tmpl w:val="5C105A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5833BA"/>
    <w:multiLevelType w:val="hybridMultilevel"/>
    <w:tmpl w:val="2C8C3EE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99C6BC1"/>
    <w:multiLevelType w:val="hybridMultilevel"/>
    <w:tmpl w:val="2D02F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AF95D21"/>
    <w:multiLevelType w:val="hybridMultilevel"/>
    <w:tmpl w:val="210658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13D214D"/>
    <w:multiLevelType w:val="hybridMultilevel"/>
    <w:tmpl w:val="6A500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1990809"/>
    <w:multiLevelType w:val="hybridMultilevel"/>
    <w:tmpl w:val="06C62F8C"/>
    <w:lvl w:ilvl="0" w:tplc="0809000F">
      <w:start w:val="1"/>
      <w:numFmt w:val="decimal"/>
      <w:lvlText w:val="%1."/>
      <w:lvlJc w:val="left"/>
      <w:pPr>
        <w:tabs>
          <w:tab w:val="num" w:pos="360"/>
        </w:tabs>
        <w:ind w:left="360" w:hanging="360"/>
      </w:p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1D20AF5"/>
    <w:multiLevelType w:val="hybridMultilevel"/>
    <w:tmpl w:val="3704F4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3643513"/>
    <w:multiLevelType w:val="hybridMultilevel"/>
    <w:tmpl w:val="A2D2F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B740E35"/>
    <w:multiLevelType w:val="hybridMultilevel"/>
    <w:tmpl w:val="8A30F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0164994"/>
    <w:multiLevelType w:val="hybridMultilevel"/>
    <w:tmpl w:val="0A34E9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12F56AB"/>
    <w:multiLevelType w:val="hybridMultilevel"/>
    <w:tmpl w:val="39049C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27E28F1"/>
    <w:multiLevelType w:val="hybridMultilevel"/>
    <w:tmpl w:val="7312EA96"/>
    <w:lvl w:ilvl="0" w:tplc="9A5E93EC">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2" w15:restartNumberingAfterBreak="0">
    <w:nsid w:val="78A77C24"/>
    <w:multiLevelType w:val="hybridMultilevel"/>
    <w:tmpl w:val="761694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A0B596B"/>
    <w:multiLevelType w:val="hybridMultilevel"/>
    <w:tmpl w:val="190A08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AF02075"/>
    <w:multiLevelType w:val="hybridMultilevel"/>
    <w:tmpl w:val="4F8AB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AF315CF"/>
    <w:multiLevelType w:val="hybridMultilevel"/>
    <w:tmpl w:val="F40AB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37"/>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7"/>
  </w:num>
  <w:num w:numId="14">
    <w:abstractNumId w:val="40"/>
  </w:num>
  <w:num w:numId="15">
    <w:abstractNumId w:val="21"/>
  </w:num>
  <w:num w:numId="16">
    <w:abstractNumId w:val="25"/>
  </w:num>
  <w:num w:numId="17">
    <w:abstractNumId w:val="12"/>
  </w:num>
  <w:num w:numId="18">
    <w:abstractNumId w:val="0"/>
  </w:num>
  <w:num w:numId="19">
    <w:abstractNumId w:val="14"/>
  </w:num>
  <w:num w:numId="20">
    <w:abstractNumId w:val="40"/>
  </w:num>
  <w:num w:numId="21">
    <w:abstractNumId w:val="40"/>
  </w:num>
  <w:num w:numId="22">
    <w:abstractNumId w:val="40"/>
  </w:num>
  <w:num w:numId="23">
    <w:abstractNumId w:val="40"/>
  </w:num>
  <w:num w:numId="24">
    <w:abstractNumId w:val="27"/>
  </w:num>
  <w:num w:numId="25">
    <w:abstractNumId w:val="29"/>
  </w:num>
  <w:num w:numId="26">
    <w:abstractNumId w:val="41"/>
  </w:num>
  <w:num w:numId="27">
    <w:abstractNumId w:val="46"/>
  </w:num>
  <w:num w:numId="28">
    <w:abstractNumId w:val="40"/>
  </w:num>
  <w:num w:numId="29">
    <w:abstractNumId w:val="19"/>
  </w:num>
  <w:num w:numId="30">
    <w:abstractNumId w:val="48"/>
  </w:num>
  <w:num w:numId="31">
    <w:abstractNumId w:val="47"/>
  </w:num>
  <w:num w:numId="32">
    <w:abstractNumId w:val="31"/>
  </w:num>
  <w:num w:numId="33">
    <w:abstractNumId w:val="39"/>
  </w:num>
  <w:num w:numId="34">
    <w:abstractNumId w:val="18"/>
  </w:num>
  <w:num w:numId="35">
    <w:abstractNumId w:val="53"/>
  </w:num>
  <w:num w:numId="36">
    <w:abstractNumId w:val="23"/>
  </w:num>
  <w:num w:numId="37">
    <w:abstractNumId w:val="17"/>
  </w:num>
  <w:num w:numId="38">
    <w:abstractNumId w:val="26"/>
  </w:num>
  <w:num w:numId="39">
    <w:abstractNumId w:val="55"/>
  </w:num>
  <w:num w:numId="40">
    <w:abstractNumId w:val="35"/>
  </w:num>
  <w:num w:numId="41">
    <w:abstractNumId w:val="42"/>
  </w:num>
  <w:num w:numId="42">
    <w:abstractNumId w:val="52"/>
  </w:num>
  <w:num w:numId="43">
    <w:abstractNumId w:val="36"/>
  </w:num>
  <w:num w:numId="44">
    <w:abstractNumId w:val="43"/>
    <w:lvlOverride w:ilvl="0">
      <w:startOverride w:val="1"/>
    </w:lvlOverride>
    <w:lvlOverride w:ilvl="1"/>
    <w:lvlOverride w:ilvl="2"/>
    <w:lvlOverride w:ilvl="3"/>
    <w:lvlOverride w:ilvl="4"/>
    <w:lvlOverride w:ilvl="5"/>
    <w:lvlOverride w:ilvl="6"/>
    <w:lvlOverride w:ilvl="7"/>
    <w:lvlOverride w:ilvl="8"/>
  </w:num>
  <w:num w:numId="45">
    <w:abstractNumId w:val="34"/>
  </w:num>
  <w:num w:numId="46">
    <w:abstractNumId w:val="51"/>
  </w:num>
  <w:num w:numId="47">
    <w:abstractNumId w:val="50"/>
  </w:num>
  <w:num w:numId="48">
    <w:abstractNumId w:val="20"/>
  </w:num>
  <w:num w:numId="49">
    <w:abstractNumId w:val="30"/>
  </w:num>
  <w:num w:numId="50">
    <w:abstractNumId w:val="44"/>
  </w:num>
  <w:num w:numId="51">
    <w:abstractNumId w:val="38"/>
  </w:num>
  <w:num w:numId="52">
    <w:abstractNumId w:val="32"/>
  </w:num>
  <w:num w:numId="53">
    <w:abstractNumId w:val="54"/>
  </w:num>
  <w:num w:numId="54">
    <w:abstractNumId w:val="11"/>
  </w:num>
  <w:num w:numId="55">
    <w:abstractNumId w:val="45"/>
  </w:num>
  <w:num w:numId="56">
    <w:abstractNumId w:val="33"/>
  </w:num>
  <w:num w:numId="57">
    <w:abstractNumId w:val="13"/>
  </w:num>
  <w:num w:numId="58">
    <w:abstractNumId w:val="28"/>
  </w:num>
  <w:num w:numId="59">
    <w:abstractNumId w:val="49"/>
  </w:num>
  <w:num w:numId="60">
    <w:abstractNumId w:val="15"/>
  </w:num>
  <w:num w:numId="61">
    <w:abstractNumId w:val="22"/>
  </w:num>
  <w:num w:numId="62">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Verdana&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s5ada52fwzzflexpwcv0awr0ptttxa9frxe&quot;&gt;My EndNote Library-Converted&lt;record-ids&gt;&lt;item&gt;3696&lt;/item&gt;&lt;item&gt;4131&lt;/item&gt;&lt;item&gt;4367&lt;/item&gt;&lt;item&gt;4830&lt;/item&gt;&lt;item&gt;5391&lt;/item&gt;&lt;item&gt;5494&lt;/item&gt;&lt;item&gt;5508&lt;/item&gt;&lt;item&gt;5797&lt;/item&gt;&lt;item&gt;5810&lt;/item&gt;&lt;/record-ids&gt;&lt;/item&gt;&lt;/Libraries&gt;"/>
  </w:docVars>
  <w:rsids>
    <w:rsidRoot w:val="00991C38"/>
    <w:rsid w:val="00000BD8"/>
    <w:rsid w:val="00001899"/>
    <w:rsid w:val="00002075"/>
    <w:rsid w:val="000023A2"/>
    <w:rsid w:val="00002444"/>
    <w:rsid w:val="0000365B"/>
    <w:rsid w:val="00003CBD"/>
    <w:rsid w:val="00003FFD"/>
    <w:rsid w:val="000040A2"/>
    <w:rsid w:val="0000448A"/>
    <w:rsid w:val="000049AD"/>
    <w:rsid w:val="00005A75"/>
    <w:rsid w:val="0000681B"/>
    <w:rsid w:val="00011784"/>
    <w:rsid w:val="00011A06"/>
    <w:rsid w:val="00012FB3"/>
    <w:rsid w:val="00013239"/>
    <w:rsid w:val="000133C0"/>
    <w:rsid w:val="00013F13"/>
    <w:rsid w:val="000142BE"/>
    <w:rsid w:val="00014C4E"/>
    <w:rsid w:val="000150B7"/>
    <w:rsid w:val="00015156"/>
    <w:rsid w:val="00015B30"/>
    <w:rsid w:val="000160D3"/>
    <w:rsid w:val="00016A84"/>
    <w:rsid w:val="00017107"/>
    <w:rsid w:val="00017B8B"/>
    <w:rsid w:val="00017F1A"/>
    <w:rsid w:val="000202E2"/>
    <w:rsid w:val="00020338"/>
    <w:rsid w:val="0002076F"/>
    <w:rsid w:val="00020C20"/>
    <w:rsid w:val="00021D0B"/>
    <w:rsid w:val="000222C7"/>
    <w:rsid w:val="00022441"/>
    <w:rsid w:val="0002261E"/>
    <w:rsid w:val="000227A4"/>
    <w:rsid w:val="00023D8A"/>
    <w:rsid w:val="00023FDA"/>
    <w:rsid w:val="0002406D"/>
    <w:rsid w:val="0002421C"/>
    <w:rsid w:val="00024839"/>
    <w:rsid w:val="00025A08"/>
    <w:rsid w:val="00026871"/>
    <w:rsid w:val="00027346"/>
    <w:rsid w:val="00027CFE"/>
    <w:rsid w:val="00027DD8"/>
    <w:rsid w:val="000304D2"/>
    <w:rsid w:val="00030C98"/>
    <w:rsid w:val="0003144C"/>
    <w:rsid w:val="00032E23"/>
    <w:rsid w:val="000345EB"/>
    <w:rsid w:val="0003637E"/>
    <w:rsid w:val="00037A98"/>
    <w:rsid w:val="00037D09"/>
    <w:rsid w:val="0004028C"/>
    <w:rsid w:val="00040D17"/>
    <w:rsid w:val="0004178F"/>
    <w:rsid w:val="000427FB"/>
    <w:rsid w:val="000435D1"/>
    <w:rsid w:val="0004455E"/>
    <w:rsid w:val="00044E53"/>
    <w:rsid w:val="0004594C"/>
    <w:rsid w:val="00046218"/>
    <w:rsid w:val="00046751"/>
    <w:rsid w:val="00047CB5"/>
    <w:rsid w:val="00050AB4"/>
    <w:rsid w:val="00050F38"/>
    <w:rsid w:val="00051FAA"/>
    <w:rsid w:val="00052388"/>
    <w:rsid w:val="000560CF"/>
    <w:rsid w:val="00056FED"/>
    <w:rsid w:val="000572A9"/>
    <w:rsid w:val="00061325"/>
    <w:rsid w:val="00063356"/>
    <w:rsid w:val="0006485E"/>
    <w:rsid w:val="00064C3A"/>
    <w:rsid w:val="00066AED"/>
    <w:rsid w:val="00066F84"/>
    <w:rsid w:val="00070FDF"/>
    <w:rsid w:val="0007101C"/>
    <w:rsid w:val="000733AC"/>
    <w:rsid w:val="000733B4"/>
    <w:rsid w:val="00074190"/>
    <w:rsid w:val="00074B81"/>
    <w:rsid w:val="00074D22"/>
    <w:rsid w:val="00074E6F"/>
    <w:rsid w:val="00075081"/>
    <w:rsid w:val="0007528A"/>
    <w:rsid w:val="0007551D"/>
    <w:rsid w:val="00075938"/>
    <w:rsid w:val="00076630"/>
    <w:rsid w:val="00076B84"/>
    <w:rsid w:val="000811AB"/>
    <w:rsid w:val="00081F22"/>
    <w:rsid w:val="00082560"/>
    <w:rsid w:val="00083C5F"/>
    <w:rsid w:val="00085272"/>
    <w:rsid w:val="00085FFA"/>
    <w:rsid w:val="000862C3"/>
    <w:rsid w:val="0008654A"/>
    <w:rsid w:val="000866F3"/>
    <w:rsid w:val="000868FF"/>
    <w:rsid w:val="000872F7"/>
    <w:rsid w:val="00087426"/>
    <w:rsid w:val="00090EA9"/>
    <w:rsid w:val="0009172C"/>
    <w:rsid w:val="000930EC"/>
    <w:rsid w:val="00093C21"/>
    <w:rsid w:val="00093FD4"/>
    <w:rsid w:val="00094B6F"/>
    <w:rsid w:val="00095538"/>
    <w:rsid w:val="000958C6"/>
    <w:rsid w:val="00095E61"/>
    <w:rsid w:val="000966C1"/>
    <w:rsid w:val="000970AC"/>
    <w:rsid w:val="000A0C6B"/>
    <w:rsid w:val="000A1138"/>
    <w:rsid w:val="000A1167"/>
    <w:rsid w:val="000A12D6"/>
    <w:rsid w:val="000A154C"/>
    <w:rsid w:val="000A2432"/>
    <w:rsid w:val="000A4428"/>
    <w:rsid w:val="000A4776"/>
    <w:rsid w:val="000A4D1C"/>
    <w:rsid w:val="000A518F"/>
    <w:rsid w:val="000A53D0"/>
    <w:rsid w:val="000A5F42"/>
    <w:rsid w:val="000A6D40"/>
    <w:rsid w:val="000A7BC3"/>
    <w:rsid w:val="000B01C8"/>
    <w:rsid w:val="000B0C10"/>
    <w:rsid w:val="000B12B2"/>
    <w:rsid w:val="000B13B6"/>
    <w:rsid w:val="000B1661"/>
    <w:rsid w:val="000B1F0B"/>
    <w:rsid w:val="000B272B"/>
    <w:rsid w:val="000B2E88"/>
    <w:rsid w:val="000B2F7E"/>
    <w:rsid w:val="000B4509"/>
    <w:rsid w:val="000B4603"/>
    <w:rsid w:val="000B5E04"/>
    <w:rsid w:val="000B5E0B"/>
    <w:rsid w:val="000B5E72"/>
    <w:rsid w:val="000B64DE"/>
    <w:rsid w:val="000B7068"/>
    <w:rsid w:val="000B7E19"/>
    <w:rsid w:val="000C07B8"/>
    <w:rsid w:val="000C09BE"/>
    <w:rsid w:val="000C1380"/>
    <w:rsid w:val="000C15DE"/>
    <w:rsid w:val="000C17B9"/>
    <w:rsid w:val="000C2445"/>
    <w:rsid w:val="000C2A3C"/>
    <w:rsid w:val="000C30A9"/>
    <w:rsid w:val="000C37B0"/>
    <w:rsid w:val="000C3BFA"/>
    <w:rsid w:val="000C3EF3"/>
    <w:rsid w:val="000C4948"/>
    <w:rsid w:val="000C4A37"/>
    <w:rsid w:val="000C554F"/>
    <w:rsid w:val="000C60BA"/>
    <w:rsid w:val="000C7094"/>
    <w:rsid w:val="000C7BD2"/>
    <w:rsid w:val="000D0DC5"/>
    <w:rsid w:val="000D148C"/>
    <w:rsid w:val="000D15FF"/>
    <w:rsid w:val="000D1825"/>
    <w:rsid w:val="000D21B1"/>
    <w:rsid w:val="000D28DF"/>
    <w:rsid w:val="000D2E23"/>
    <w:rsid w:val="000D4291"/>
    <w:rsid w:val="000D488B"/>
    <w:rsid w:val="000D4C2F"/>
    <w:rsid w:val="000D642C"/>
    <w:rsid w:val="000D68DF"/>
    <w:rsid w:val="000E0AFA"/>
    <w:rsid w:val="000E138D"/>
    <w:rsid w:val="000E156E"/>
    <w:rsid w:val="000E187A"/>
    <w:rsid w:val="000E2624"/>
    <w:rsid w:val="000E2D61"/>
    <w:rsid w:val="000E2D98"/>
    <w:rsid w:val="000E2E3E"/>
    <w:rsid w:val="000E3F36"/>
    <w:rsid w:val="000E443F"/>
    <w:rsid w:val="000E448A"/>
    <w:rsid w:val="000E450E"/>
    <w:rsid w:val="000E5196"/>
    <w:rsid w:val="000E6259"/>
    <w:rsid w:val="000E672F"/>
    <w:rsid w:val="000F0901"/>
    <w:rsid w:val="000F09A5"/>
    <w:rsid w:val="000F16B4"/>
    <w:rsid w:val="000F19BA"/>
    <w:rsid w:val="000F286E"/>
    <w:rsid w:val="000F42E1"/>
    <w:rsid w:val="000F4677"/>
    <w:rsid w:val="000F583D"/>
    <w:rsid w:val="000F5BE0"/>
    <w:rsid w:val="000F5F80"/>
    <w:rsid w:val="000F652D"/>
    <w:rsid w:val="000F7434"/>
    <w:rsid w:val="00100587"/>
    <w:rsid w:val="00102145"/>
    <w:rsid w:val="0010284E"/>
    <w:rsid w:val="00103122"/>
    <w:rsid w:val="0010312C"/>
    <w:rsid w:val="0010336A"/>
    <w:rsid w:val="00104172"/>
    <w:rsid w:val="001042D8"/>
    <w:rsid w:val="00104D72"/>
    <w:rsid w:val="001050A2"/>
    <w:rsid w:val="001050F1"/>
    <w:rsid w:val="0010549A"/>
    <w:rsid w:val="00105AEA"/>
    <w:rsid w:val="00106040"/>
    <w:rsid w:val="00106977"/>
    <w:rsid w:val="00106B22"/>
    <w:rsid w:val="00106DAF"/>
    <w:rsid w:val="001070BE"/>
    <w:rsid w:val="001072F4"/>
    <w:rsid w:val="00107663"/>
    <w:rsid w:val="001108B2"/>
    <w:rsid w:val="00110D5C"/>
    <w:rsid w:val="00111463"/>
    <w:rsid w:val="0011372E"/>
    <w:rsid w:val="0011380B"/>
    <w:rsid w:val="00113A3F"/>
    <w:rsid w:val="00113BDE"/>
    <w:rsid w:val="00114014"/>
    <w:rsid w:val="00114ABE"/>
    <w:rsid w:val="0011544B"/>
    <w:rsid w:val="001156BE"/>
    <w:rsid w:val="00116023"/>
    <w:rsid w:val="00120854"/>
    <w:rsid w:val="00121491"/>
    <w:rsid w:val="00122446"/>
    <w:rsid w:val="001234B2"/>
    <w:rsid w:val="00123A3D"/>
    <w:rsid w:val="00123A90"/>
    <w:rsid w:val="00126188"/>
    <w:rsid w:val="0012651F"/>
    <w:rsid w:val="00131A60"/>
    <w:rsid w:val="00132491"/>
    <w:rsid w:val="00133414"/>
    <w:rsid w:val="00134A51"/>
    <w:rsid w:val="00136B32"/>
    <w:rsid w:val="00136B9B"/>
    <w:rsid w:val="00137536"/>
    <w:rsid w:val="00140727"/>
    <w:rsid w:val="00142927"/>
    <w:rsid w:val="001439CC"/>
    <w:rsid w:val="00143B8B"/>
    <w:rsid w:val="00143FFB"/>
    <w:rsid w:val="00144194"/>
    <w:rsid w:val="00144221"/>
    <w:rsid w:val="00150EDC"/>
    <w:rsid w:val="001540A2"/>
    <w:rsid w:val="0015562E"/>
    <w:rsid w:val="00155FA7"/>
    <w:rsid w:val="001560EF"/>
    <w:rsid w:val="00156F1C"/>
    <w:rsid w:val="00160628"/>
    <w:rsid w:val="00160864"/>
    <w:rsid w:val="00161344"/>
    <w:rsid w:val="00162195"/>
    <w:rsid w:val="0016251E"/>
    <w:rsid w:val="00162526"/>
    <w:rsid w:val="00163129"/>
    <w:rsid w:val="0016322A"/>
    <w:rsid w:val="00163868"/>
    <w:rsid w:val="001659B8"/>
    <w:rsid w:val="00165A21"/>
    <w:rsid w:val="00166569"/>
    <w:rsid w:val="00167672"/>
    <w:rsid w:val="001705CE"/>
    <w:rsid w:val="00170ADA"/>
    <w:rsid w:val="00171BB7"/>
    <w:rsid w:val="00171D77"/>
    <w:rsid w:val="00172C1E"/>
    <w:rsid w:val="001730B6"/>
    <w:rsid w:val="001745DB"/>
    <w:rsid w:val="001755E9"/>
    <w:rsid w:val="00176ED4"/>
    <w:rsid w:val="0017714B"/>
    <w:rsid w:val="00177AFA"/>
    <w:rsid w:val="00177C73"/>
    <w:rsid w:val="001804DF"/>
    <w:rsid w:val="00181BDC"/>
    <w:rsid w:val="00181DB0"/>
    <w:rsid w:val="00181E56"/>
    <w:rsid w:val="001829E3"/>
    <w:rsid w:val="00182DD9"/>
    <w:rsid w:val="00183E88"/>
    <w:rsid w:val="0018409A"/>
    <w:rsid w:val="00184882"/>
    <w:rsid w:val="001849DC"/>
    <w:rsid w:val="0018542F"/>
    <w:rsid w:val="00186217"/>
    <w:rsid w:val="0019015C"/>
    <w:rsid w:val="00191EC9"/>
    <w:rsid w:val="001924C0"/>
    <w:rsid w:val="0019308A"/>
    <w:rsid w:val="00195C4D"/>
    <w:rsid w:val="00195D77"/>
    <w:rsid w:val="001961C9"/>
    <w:rsid w:val="0019731E"/>
    <w:rsid w:val="001A06C2"/>
    <w:rsid w:val="001A09FE"/>
    <w:rsid w:val="001A1CDC"/>
    <w:rsid w:val="001A1E45"/>
    <w:rsid w:val="001A21E3"/>
    <w:rsid w:val="001A2290"/>
    <w:rsid w:val="001A52D0"/>
    <w:rsid w:val="001A67C9"/>
    <w:rsid w:val="001A69DE"/>
    <w:rsid w:val="001A713C"/>
    <w:rsid w:val="001A7791"/>
    <w:rsid w:val="001B1C7C"/>
    <w:rsid w:val="001B2231"/>
    <w:rsid w:val="001B2DFF"/>
    <w:rsid w:val="001B2E93"/>
    <w:rsid w:val="001B398F"/>
    <w:rsid w:val="001B46C6"/>
    <w:rsid w:val="001B46D0"/>
    <w:rsid w:val="001B475B"/>
    <w:rsid w:val="001B4B48"/>
    <w:rsid w:val="001B4D1F"/>
    <w:rsid w:val="001B502C"/>
    <w:rsid w:val="001B50E5"/>
    <w:rsid w:val="001B5204"/>
    <w:rsid w:val="001B7681"/>
    <w:rsid w:val="001B7BB0"/>
    <w:rsid w:val="001B7CAE"/>
    <w:rsid w:val="001C04EE"/>
    <w:rsid w:val="001C0772"/>
    <w:rsid w:val="001C0D4F"/>
    <w:rsid w:val="001C190D"/>
    <w:rsid w:val="001C1BA3"/>
    <w:rsid w:val="001C1DEC"/>
    <w:rsid w:val="001C2124"/>
    <w:rsid w:val="001C21ED"/>
    <w:rsid w:val="001C256F"/>
    <w:rsid w:val="001C2812"/>
    <w:rsid w:val="001C324F"/>
    <w:rsid w:val="001C4CDA"/>
    <w:rsid w:val="001C5736"/>
    <w:rsid w:val="001C5C7F"/>
    <w:rsid w:val="001C6F6A"/>
    <w:rsid w:val="001C771D"/>
    <w:rsid w:val="001D03F6"/>
    <w:rsid w:val="001D0D34"/>
    <w:rsid w:val="001D37D7"/>
    <w:rsid w:val="001D37EF"/>
    <w:rsid w:val="001D4175"/>
    <w:rsid w:val="001D5D5D"/>
    <w:rsid w:val="001D647F"/>
    <w:rsid w:val="001D6857"/>
    <w:rsid w:val="001E0572"/>
    <w:rsid w:val="001E0A67"/>
    <w:rsid w:val="001E1028"/>
    <w:rsid w:val="001E147A"/>
    <w:rsid w:val="001E14E2"/>
    <w:rsid w:val="001E3310"/>
    <w:rsid w:val="001E3B92"/>
    <w:rsid w:val="001E413B"/>
    <w:rsid w:val="001E501D"/>
    <w:rsid w:val="001E5C2A"/>
    <w:rsid w:val="001E6302"/>
    <w:rsid w:val="001E6749"/>
    <w:rsid w:val="001E6AA0"/>
    <w:rsid w:val="001E75B3"/>
    <w:rsid w:val="001E7DCB"/>
    <w:rsid w:val="001E7F1B"/>
    <w:rsid w:val="001F03FB"/>
    <w:rsid w:val="001F1007"/>
    <w:rsid w:val="001F1AFA"/>
    <w:rsid w:val="001F24CE"/>
    <w:rsid w:val="001F3411"/>
    <w:rsid w:val="001F39EB"/>
    <w:rsid w:val="001F3E2F"/>
    <w:rsid w:val="001F4287"/>
    <w:rsid w:val="001F48B6"/>
    <w:rsid w:val="001F4DBA"/>
    <w:rsid w:val="001F6288"/>
    <w:rsid w:val="00200F6A"/>
    <w:rsid w:val="002017D9"/>
    <w:rsid w:val="00203117"/>
    <w:rsid w:val="002035EC"/>
    <w:rsid w:val="0020415E"/>
    <w:rsid w:val="0020470B"/>
    <w:rsid w:val="00204FF4"/>
    <w:rsid w:val="00206390"/>
    <w:rsid w:val="00206B49"/>
    <w:rsid w:val="00206FFF"/>
    <w:rsid w:val="0021056E"/>
    <w:rsid w:val="0021075D"/>
    <w:rsid w:val="0021110C"/>
    <w:rsid w:val="002111DA"/>
    <w:rsid w:val="0021165A"/>
    <w:rsid w:val="00211BC9"/>
    <w:rsid w:val="00211D49"/>
    <w:rsid w:val="00212441"/>
    <w:rsid w:val="0021354F"/>
    <w:rsid w:val="002139BF"/>
    <w:rsid w:val="00215EF1"/>
    <w:rsid w:val="0021620C"/>
    <w:rsid w:val="00216353"/>
    <w:rsid w:val="00216E78"/>
    <w:rsid w:val="00216E8F"/>
    <w:rsid w:val="00217275"/>
    <w:rsid w:val="002206CE"/>
    <w:rsid w:val="00220B81"/>
    <w:rsid w:val="00220ED3"/>
    <w:rsid w:val="002218AE"/>
    <w:rsid w:val="00222754"/>
    <w:rsid w:val="00222950"/>
    <w:rsid w:val="002229D4"/>
    <w:rsid w:val="00224C5D"/>
    <w:rsid w:val="00224D4C"/>
    <w:rsid w:val="00225763"/>
    <w:rsid w:val="002258F2"/>
    <w:rsid w:val="00225F55"/>
    <w:rsid w:val="002261F5"/>
    <w:rsid w:val="002265E6"/>
    <w:rsid w:val="00227557"/>
    <w:rsid w:val="00231305"/>
    <w:rsid w:val="00232838"/>
    <w:rsid w:val="0023421E"/>
    <w:rsid w:val="00235FF0"/>
    <w:rsid w:val="002360B4"/>
    <w:rsid w:val="0023649B"/>
    <w:rsid w:val="00236F4B"/>
    <w:rsid w:val="00241247"/>
    <w:rsid w:val="00241B95"/>
    <w:rsid w:val="00242B0D"/>
    <w:rsid w:val="002438FC"/>
    <w:rsid w:val="00244818"/>
    <w:rsid w:val="002467C6"/>
    <w:rsid w:val="0024692A"/>
    <w:rsid w:val="00247541"/>
    <w:rsid w:val="00247FB8"/>
    <w:rsid w:val="0025025B"/>
    <w:rsid w:val="002503A7"/>
    <w:rsid w:val="00250DA5"/>
    <w:rsid w:val="002513AF"/>
    <w:rsid w:val="002513CA"/>
    <w:rsid w:val="00251F0B"/>
    <w:rsid w:val="002525D9"/>
    <w:rsid w:val="00252BBA"/>
    <w:rsid w:val="00253123"/>
    <w:rsid w:val="00253DDD"/>
    <w:rsid w:val="002552B9"/>
    <w:rsid w:val="0025619C"/>
    <w:rsid w:val="00256829"/>
    <w:rsid w:val="00256AF3"/>
    <w:rsid w:val="00257CC1"/>
    <w:rsid w:val="00261857"/>
    <w:rsid w:val="00261E69"/>
    <w:rsid w:val="00261EFC"/>
    <w:rsid w:val="00264001"/>
    <w:rsid w:val="002640D9"/>
    <w:rsid w:val="00264C73"/>
    <w:rsid w:val="00266354"/>
    <w:rsid w:val="00266C55"/>
    <w:rsid w:val="00266FE5"/>
    <w:rsid w:val="002677C4"/>
    <w:rsid w:val="00267A18"/>
    <w:rsid w:val="00267C26"/>
    <w:rsid w:val="00271685"/>
    <w:rsid w:val="00271ED4"/>
    <w:rsid w:val="00273462"/>
    <w:rsid w:val="002735FE"/>
    <w:rsid w:val="0027395B"/>
    <w:rsid w:val="002751BA"/>
    <w:rsid w:val="00275612"/>
    <w:rsid w:val="00275650"/>
    <w:rsid w:val="00275854"/>
    <w:rsid w:val="00275948"/>
    <w:rsid w:val="002765D0"/>
    <w:rsid w:val="00276C38"/>
    <w:rsid w:val="00280FED"/>
    <w:rsid w:val="00281700"/>
    <w:rsid w:val="00281CE4"/>
    <w:rsid w:val="00282BE5"/>
    <w:rsid w:val="00282D3A"/>
    <w:rsid w:val="00282D7B"/>
    <w:rsid w:val="00283B41"/>
    <w:rsid w:val="00284189"/>
    <w:rsid w:val="002856F1"/>
    <w:rsid w:val="00285F28"/>
    <w:rsid w:val="00286398"/>
    <w:rsid w:val="002867F5"/>
    <w:rsid w:val="00287E53"/>
    <w:rsid w:val="00291215"/>
    <w:rsid w:val="00291C0F"/>
    <w:rsid w:val="00291C39"/>
    <w:rsid w:val="00294AEA"/>
    <w:rsid w:val="002955B8"/>
    <w:rsid w:val="00295B82"/>
    <w:rsid w:val="00297725"/>
    <w:rsid w:val="002A0170"/>
    <w:rsid w:val="002A1151"/>
    <w:rsid w:val="002A290D"/>
    <w:rsid w:val="002A3C42"/>
    <w:rsid w:val="002A43F6"/>
    <w:rsid w:val="002A5CC1"/>
    <w:rsid w:val="002A5D75"/>
    <w:rsid w:val="002A7217"/>
    <w:rsid w:val="002A78C8"/>
    <w:rsid w:val="002B1B1A"/>
    <w:rsid w:val="002B1B4B"/>
    <w:rsid w:val="002B2FBB"/>
    <w:rsid w:val="002B3767"/>
    <w:rsid w:val="002B3847"/>
    <w:rsid w:val="002B42E1"/>
    <w:rsid w:val="002B457D"/>
    <w:rsid w:val="002B7228"/>
    <w:rsid w:val="002B7A93"/>
    <w:rsid w:val="002C11E9"/>
    <w:rsid w:val="002C38F9"/>
    <w:rsid w:val="002C4AFD"/>
    <w:rsid w:val="002C508C"/>
    <w:rsid w:val="002C53EE"/>
    <w:rsid w:val="002C5B15"/>
    <w:rsid w:val="002C7A8A"/>
    <w:rsid w:val="002D1200"/>
    <w:rsid w:val="002D24F7"/>
    <w:rsid w:val="002D2799"/>
    <w:rsid w:val="002D2CD7"/>
    <w:rsid w:val="002D40D9"/>
    <w:rsid w:val="002D4723"/>
    <w:rsid w:val="002D4DDC"/>
    <w:rsid w:val="002D4F75"/>
    <w:rsid w:val="002D505A"/>
    <w:rsid w:val="002D5115"/>
    <w:rsid w:val="002D5B57"/>
    <w:rsid w:val="002D6493"/>
    <w:rsid w:val="002D64F7"/>
    <w:rsid w:val="002D6953"/>
    <w:rsid w:val="002D7AB6"/>
    <w:rsid w:val="002E01F5"/>
    <w:rsid w:val="002E06D0"/>
    <w:rsid w:val="002E126B"/>
    <w:rsid w:val="002E1BD9"/>
    <w:rsid w:val="002E202A"/>
    <w:rsid w:val="002E3C27"/>
    <w:rsid w:val="002E403A"/>
    <w:rsid w:val="002E4936"/>
    <w:rsid w:val="002E6DF9"/>
    <w:rsid w:val="002E7466"/>
    <w:rsid w:val="002E7F3A"/>
    <w:rsid w:val="002F1B15"/>
    <w:rsid w:val="002F1B4A"/>
    <w:rsid w:val="002F293E"/>
    <w:rsid w:val="002F2F04"/>
    <w:rsid w:val="002F33E0"/>
    <w:rsid w:val="002F4A7C"/>
    <w:rsid w:val="002F4EDB"/>
    <w:rsid w:val="002F59AC"/>
    <w:rsid w:val="002F6054"/>
    <w:rsid w:val="00300312"/>
    <w:rsid w:val="003011AD"/>
    <w:rsid w:val="00302F68"/>
    <w:rsid w:val="003035CD"/>
    <w:rsid w:val="00303AEC"/>
    <w:rsid w:val="00303E13"/>
    <w:rsid w:val="00307014"/>
    <w:rsid w:val="00310E13"/>
    <w:rsid w:val="00310EC7"/>
    <w:rsid w:val="00311165"/>
    <w:rsid w:val="003111E8"/>
    <w:rsid w:val="00311238"/>
    <w:rsid w:val="0031152C"/>
    <w:rsid w:val="0031277B"/>
    <w:rsid w:val="003130BC"/>
    <w:rsid w:val="00314E79"/>
    <w:rsid w:val="003155B0"/>
    <w:rsid w:val="00315713"/>
    <w:rsid w:val="003157BB"/>
    <w:rsid w:val="003157E6"/>
    <w:rsid w:val="00315950"/>
    <w:rsid w:val="00315D56"/>
    <w:rsid w:val="00316490"/>
    <w:rsid w:val="0031686C"/>
    <w:rsid w:val="00316FE0"/>
    <w:rsid w:val="00317651"/>
    <w:rsid w:val="00317775"/>
    <w:rsid w:val="003204D2"/>
    <w:rsid w:val="00320A87"/>
    <w:rsid w:val="00320EDF"/>
    <w:rsid w:val="00322C56"/>
    <w:rsid w:val="00323066"/>
    <w:rsid w:val="003240FE"/>
    <w:rsid w:val="003255B5"/>
    <w:rsid w:val="0032605E"/>
    <w:rsid w:val="003268E9"/>
    <w:rsid w:val="003275D1"/>
    <w:rsid w:val="00330003"/>
    <w:rsid w:val="00330B2A"/>
    <w:rsid w:val="00331BD4"/>
    <w:rsid w:val="00331E17"/>
    <w:rsid w:val="003324FF"/>
    <w:rsid w:val="00333063"/>
    <w:rsid w:val="00335373"/>
    <w:rsid w:val="003357B5"/>
    <w:rsid w:val="00336244"/>
    <w:rsid w:val="003366E5"/>
    <w:rsid w:val="00336D7E"/>
    <w:rsid w:val="003372A4"/>
    <w:rsid w:val="00340432"/>
    <w:rsid w:val="00340569"/>
    <w:rsid w:val="003408E3"/>
    <w:rsid w:val="00340A40"/>
    <w:rsid w:val="00340EFF"/>
    <w:rsid w:val="00341901"/>
    <w:rsid w:val="00341C2C"/>
    <w:rsid w:val="00341D85"/>
    <w:rsid w:val="00343480"/>
    <w:rsid w:val="00345C27"/>
    <w:rsid w:val="00345E89"/>
    <w:rsid w:val="003522A1"/>
    <w:rsid w:val="0035254B"/>
    <w:rsid w:val="003532B9"/>
    <w:rsid w:val="00353555"/>
    <w:rsid w:val="00353C9A"/>
    <w:rsid w:val="0035536A"/>
    <w:rsid w:val="0035573A"/>
    <w:rsid w:val="003565D4"/>
    <w:rsid w:val="003567E7"/>
    <w:rsid w:val="00356810"/>
    <w:rsid w:val="003574FA"/>
    <w:rsid w:val="003607FB"/>
    <w:rsid w:val="00360FD5"/>
    <w:rsid w:val="00361928"/>
    <w:rsid w:val="00361AF0"/>
    <w:rsid w:val="003622F9"/>
    <w:rsid w:val="0036340D"/>
    <w:rsid w:val="003634A5"/>
    <w:rsid w:val="003636B8"/>
    <w:rsid w:val="0036399D"/>
    <w:rsid w:val="00364B7F"/>
    <w:rsid w:val="00365312"/>
    <w:rsid w:val="00366868"/>
    <w:rsid w:val="0036725B"/>
    <w:rsid w:val="00367506"/>
    <w:rsid w:val="00367DC8"/>
    <w:rsid w:val="00367E8F"/>
    <w:rsid w:val="00370085"/>
    <w:rsid w:val="003702ED"/>
    <w:rsid w:val="00370A80"/>
    <w:rsid w:val="00373C06"/>
    <w:rsid w:val="003744A7"/>
    <w:rsid w:val="00374AA9"/>
    <w:rsid w:val="00376235"/>
    <w:rsid w:val="0037742B"/>
    <w:rsid w:val="00377543"/>
    <w:rsid w:val="0038043E"/>
    <w:rsid w:val="00380D0A"/>
    <w:rsid w:val="00380DE1"/>
    <w:rsid w:val="003811F4"/>
    <w:rsid w:val="003814EC"/>
    <w:rsid w:val="00381FB6"/>
    <w:rsid w:val="0038245B"/>
    <w:rsid w:val="003832D3"/>
    <w:rsid w:val="003836D3"/>
    <w:rsid w:val="00383A52"/>
    <w:rsid w:val="00384971"/>
    <w:rsid w:val="00386F40"/>
    <w:rsid w:val="0038718C"/>
    <w:rsid w:val="00391652"/>
    <w:rsid w:val="00391ABA"/>
    <w:rsid w:val="00392876"/>
    <w:rsid w:val="003932F8"/>
    <w:rsid w:val="003937A3"/>
    <w:rsid w:val="0039507F"/>
    <w:rsid w:val="00396479"/>
    <w:rsid w:val="003974EF"/>
    <w:rsid w:val="00397640"/>
    <w:rsid w:val="00397CC7"/>
    <w:rsid w:val="003A0552"/>
    <w:rsid w:val="003A074E"/>
    <w:rsid w:val="003A0917"/>
    <w:rsid w:val="003A0BDC"/>
    <w:rsid w:val="003A1260"/>
    <w:rsid w:val="003A12E0"/>
    <w:rsid w:val="003A1C7D"/>
    <w:rsid w:val="003A2737"/>
    <w:rsid w:val="003A295F"/>
    <w:rsid w:val="003A2ADF"/>
    <w:rsid w:val="003A2CF8"/>
    <w:rsid w:val="003A3481"/>
    <w:rsid w:val="003A41DD"/>
    <w:rsid w:val="003A4D02"/>
    <w:rsid w:val="003A6245"/>
    <w:rsid w:val="003A7033"/>
    <w:rsid w:val="003A7E3E"/>
    <w:rsid w:val="003B33F0"/>
    <w:rsid w:val="003B3640"/>
    <w:rsid w:val="003B47FE"/>
    <w:rsid w:val="003B4CE6"/>
    <w:rsid w:val="003B5673"/>
    <w:rsid w:val="003B6287"/>
    <w:rsid w:val="003B62C9"/>
    <w:rsid w:val="003B66CB"/>
    <w:rsid w:val="003B66F7"/>
    <w:rsid w:val="003B6C85"/>
    <w:rsid w:val="003B7676"/>
    <w:rsid w:val="003B7DEA"/>
    <w:rsid w:val="003C0698"/>
    <w:rsid w:val="003C5BD9"/>
    <w:rsid w:val="003C6A03"/>
    <w:rsid w:val="003C6AC2"/>
    <w:rsid w:val="003C7176"/>
    <w:rsid w:val="003C75D3"/>
    <w:rsid w:val="003D0627"/>
    <w:rsid w:val="003D0929"/>
    <w:rsid w:val="003D135D"/>
    <w:rsid w:val="003D1E74"/>
    <w:rsid w:val="003D3B8B"/>
    <w:rsid w:val="003D4729"/>
    <w:rsid w:val="003D4FCF"/>
    <w:rsid w:val="003D54BA"/>
    <w:rsid w:val="003D5C50"/>
    <w:rsid w:val="003D608F"/>
    <w:rsid w:val="003D7DD6"/>
    <w:rsid w:val="003E0838"/>
    <w:rsid w:val="003E1030"/>
    <w:rsid w:val="003E2494"/>
    <w:rsid w:val="003E32DD"/>
    <w:rsid w:val="003E3DFC"/>
    <w:rsid w:val="003E5110"/>
    <w:rsid w:val="003E5AAF"/>
    <w:rsid w:val="003E5F78"/>
    <w:rsid w:val="003E600D"/>
    <w:rsid w:val="003E64DF"/>
    <w:rsid w:val="003E66DD"/>
    <w:rsid w:val="003E6A5D"/>
    <w:rsid w:val="003F07A9"/>
    <w:rsid w:val="003F193A"/>
    <w:rsid w:val="003F1CDF"/>
    <w:rsid w:val="003F1E87"/>
    <w:rsid w:val="003F24B8"/>
    <w:rsid w:val="003F2CAD"/>
    <w:rsid w:val="003F3A35"/>
    <w:rsid w:val="003F3CAC"/>
    <w:rsid w:val="003F4207"/>
    <w:rsid w:val="003F5C46"/>
    <w:rsid w:val="003F7A44"/>
    <w:rsid w:val="003F7CBB"/>
    <w:rsid w:val="003F7D34"/>
    <w:rsid w:val="0040089F"/>
    <w:rsid w:val="00400A90"/>
    <w:rsid w:val="0040233C"/>
    <w:rsid w:val="004029F0"/>
    <w:rsid w:val="00402A55"/>
    <w:rsid w:val="0040350A"/>
    <w:rsid w:val="00403E8E"/>
    <w:rsid w:val="0040405D"/>
    <w:rsid w:val="004062F5"/>
    <w:rsid w:val="0040642F"/>
    <w:rsid w:val="0040758A"/>
    <w:rsid w:val="00410198"/>
    <w:rsid w:val="00411A5E"/>
    <w:rsid w:val="004122C2"/>
    <w:rsid w:val="00412C8E"/>
    <w:rsid w:val="00412C9B"/>
    <w:rsid w:val="00414119"/>
    <w:rsid w:val="0041518D"/>
    <w:rsid w:val="0042024C"/>
    <w:rsid w:val="00420848"/>
    <w:rsid w:val="00421455"/>
    <w:rsid w:val="00422017"/>
    <w:rsid w:val="0042221D"/>
    <w:rsid w:val="00423886"/>
    <w:rsid w:val="00424043"/>
    <w:rsid w:val="004245BF"/>
    <w:rsid w:val="004247F8"/>
    <w:rsid w:val="00424DB6"/>
    <w:rsid w:val="00424DD3"/>
    <w:rsid w:val="00426826"/>
    <w:rsid w:val="004269C5"/>
    <w:rsid w:val="00427CA2"/>
    <w:rsid w:val="0043233D"/>
    <w:rsid w:val="00432818"/>
    <w:rsid w:val="00432A0B"/>
    <w:rsid w:val="00433440"/>
    <w:rsid w:val="00433CCF"/>
    <w:rsid w:val="00433D8A"/>
    <w:rsid w:val="0043499B"/>
    <w:rsid w:val="00435939"/>
    <w:rsid w:val="004378C9"/>
    <w:rsid w:val="00437CC7"/>
    <w:rsid w:val="00437FF2"/>
    <w:rsid w:val="004400BE"/>
    <w:rsid w:val="00440AD3"/>
    <w:rsid w:val="00442B9C"/>
    <w:rsid w:val="00443B57"/>
    <w:rsid w:val="0044530E"/>
    <w:rsid w:val="00445EFA"/>
    <w:rsid w:val="0044738A"/>
    <w:rsid w:val="004473D3"/>
    <w:rsid w:val="004520B1"/>
    <w:rsid w:val="00452231"/>
    <w:rsid w:val="00453244"/>
    <w:rsid w:val="00454021"/>
    <w:rsid w:val="00454245"/>
    <w:rsid w:val="00454A1E"/>
    <w:rsid w:val="00454B50"/>
    <w:rsid w:val="004575C9"/>
    <w:rsid w:val="004576FE"/>
    <w:rsid w:val="0046025A"/>
    <w:rsid w:val="00460488"/>
    <w:rsid w:val="0046069C"/>
    <w:rsid w:val="004609F8"/>
    <w:rsid w:val="00460C13"/>
    <w:rsid w:val="00463228"/>
    <w:rsid w:val="00463782"/>
    <w:rsid w:val="00464655"/>
    <w:rsid w:val="004648C3"/>
    <w:rsid w:val="004662C9"/>
    <w:rsid w:val="004667E0"/>
    <w:rsid w:val="00466CBD"/>
    <w:rsid w:val="0046760E"/>
    <w:rsid w:val="0047085C"/>
    <w:rsid w:val="00470E10"/>
    <w:rsid w:val="0047434F"/>
    <w:rsid w:val="00475666"/>
    <w:rsid w:val="0047683D"/>
    <w:rsid w:val="004769BB"/>
    <w:rsid w:val="0047757C"/>
    <w:rsid w:val="00477A97"/>
    <w:rsid w:val="00480A93"/>
    <w:rsid w:val="00480B5B"/>
    <w:rsid w:val="00481343"/>
    <w:rsid w:val="004823AE"/>
    <w:rsid w:val="004827E4"/>
    <w:rsid w:val="004828D3"/>
    <w:rsid w:val="00483740"/>
    <w:rsid w:val="0048374B"/>
    <w:rsid w:val="00484466"/>
    <w:rsid w:val="0048500F"/>
    <w:rsid w:val="0048547F"/>
    <w:rsid w:val="0048549E"/>
    <w:rsid w:val="00485F6E"/>
    <w:rsid w:val="004863B7"/>
    <w:rsid w:val="00486528"/>
    <w:rsid w:val="004875C5"/>
    <w:rsid w:val="00491537"/>
    <w:rsid w:val="00491673"/>
    <w:rsid w:val="0049197E"/>
    <w:rsid w:val="00491CF7"/>
    <w:rsid w:val="00492774"/>
    <w:rsid w:val="00492CB1"/>
    <w:rsid w:val="00493347"/>
    <w:rsid w:val="00493AFE"/>
    <w:rsid w:val="00495FF0"/>
    <w:rsid w:val="00496092"/>
    <w:rsid w:val="00496EAD"/>
    <w:rsid w:val="00497363"/>
    <w:rsid w:val="00497ED8"/>
    <w:rsid w:val="004A0676"/>
    <w:rsid w:val="004A08DB"/>
    <w:rsid w:val="004A12A8"/>
    <w:rsid w:val="004A25D0"/>
    <w:rsid w:val="004A281D"/>
    <w:rsid w:val="004A2EE7"/>
    <w:rsid w:val="004A34AC"/>
    <w:rsid w:val="004A37E8"/>
    <w:rsid w:val="004A619A"/>
    <w:rsid w:val="004A700B"/>
    <w:rsid w:val="004A7549"/>
    <w:rsid w:val="004B09D4"/>
    <w:rsid w:val="004B2387"/>
    <w:rsid w:val="004B2D7A"/>
    <w:rsid w:val="004B2EDA"/>
    <w:rsid w:val="004B309D"/>
    <w:rsid w:val="004B30F5"/>
    <w:rsid w:val="004B330A"/>
    <w:rsid w:val="004B3B84"/>
    <w:rsid w:val="004B3FD8"/>
    <w:rsid w:val="004B4714"/>
    <w:rsid w:val="004B50EC"/>
    <w:rsid w:val="004B52D5"/>
    <w:rsid w:val="004B685D"/>
    <w:rsid w:val="004B7C8E"/>
    <w:rsid w:val="004C1611"/>
    <w:rsid w:val="004C30F5"/>
    <w:rsid w:val="004C3D3C"/>
    <w:rsid w:val="004C4118"/>
    <w:rsid w:val="004C41E7"/>
    <w:rsid w:val="004C48F3"/>
    <w:rsid w:val="004C5D06"/>
    <w:rsid w:val="004C67E4"/>
    <w:rsid w:val="004C7020"/>
    <w:rsid w:val="004C7E90"/>
    <w:rsid w:val="004D0BA8"/>
    <w:rsid w:val="004D0D3E"/>
    <w:rsid w:val="004D0ED3"/>
    <w:rsid w:val="004D0EDC"/>
    <w:rsid w:val="004D0FDF"/>
    <w:rsid w:val="004D1220"/>
    <w:rsid w:val="004D14B3"/>
    <w:rsid w:val="004D1529"/>
    <w:rsid w:val="004D1A5C"/>
    <w:rsid w:val="004D2253"/>
    <w:rsid w:val="004D4A44"/>
    <w:rsid w:val="004D5514"/>
    <w:rsid w:val="004D56C3"/>
    <w:rsid w:val="004D7AB0"/>
    <w:rsid w:val="004D7C6E"/>
    <w:rsid w:val="004E0338"/>
    <w:rsid w:val="004E2FC4"/>
    <w:rsid w:val="004E4246"/>
    <w:rsid w:val="004E4302"/>
    <w:rsid w:val="004E4FB8"/>
    <w:rsid w:val="004E4FF3"/>
    <w:rsid w:val="004E56A8"/>
    <w:rsid w:val="004E5F85"/>
    <w:rsid w:val="004F08AA"/>
    <w:rsid w:val="004F0FB0"/>
    <w:rsid w:val="004F147E"/>
    <w:rsid w:val="004F18E3"/>
    <w:rsid w:val="004F2E22"/>
    <w:rsid w:val="004F3B55"/>
    <w:rsid w:val="004F3DB6"/>
    <w:rsid w:val="004F4D23"/>
    <w:rsid w:val="004F4E46"/>
    <w:rsid w:val="004F661F"/>
    <w:rsid w:val="004F6B7D"/>
    <w:rsid w:val="004F6E37"/>
    <w:rsid w:val="00501475"/>
    <w:rsid w:val="005015F6"/>
    <w:rsid w:val="005023F7"/>
    <w:rsid w:val="00502F5A"/>
    <w:rsid w:val="005030C4"/>
    <w:rsid w:val="005031C5"/>
    <w:rsid w:val="005041EC"/>
    <w:rsid w:val="00504FDC"/>
    <w:rsid w:val="00506802"/>
    <w:rsid w:val="0050681D"/>
    <w:rsid w:val="00507387"/>
    <w:rsid w:val="00507ED1"/>
    <w:rsid w:val="00510132"/>
    <w:rsid w:val="0051022E"/>
    <w:rsid w:val="005120CC"/>
    <w:rsid w:val="00512B4D"/>
    <w:rsid w:val="00512B7B"/>
    <w:rsid w:val="00512E66"/>
    <w:rsid w:val="005131D6"/>
    <w:rsid w:val="005144A5"/>
    <w:rsid w:val="0051492D"/>
    <w:rsid w:val="00514EA1"/>
    <w:rsid w:val="0051518F"/>
    <w:rsid w:val="00515F45"/>
    <w:rsid w:val="005160F6"/>
    <w:rsid w:val="0051798B"/>
    <w:rsid w:val="0052116C"/>
    <w:rsid w:val="00521236"/>
    <w:rsid w:val="00521F5A"/>
    <w:rsid w:val="00522AE1"/>
    <w:rsid w:val="00522EB3"/>
    <w:rsid w:val="00523FC2"/>
    <w:rsid w:val="00524B53"/>
    <w:rsid w:val="00525E06"/>
    <w:rsid w:val="00526123"/>
    <w:rsid w:val="00526454"/>
    <w:rsid w:val="00526CB0"/>
    <w:rsid w:val="005271E8"/>
    <w:rsid w:val="00527F77"/>
    <w:rsid w:val="00530419"/>
    <w:rsid w:val="00531322"/>
    <w:rsid w:val="00531523"/>
    <w:rsid w:val="00531823"/>
    <w:rsid w:val="00531B6A"/>
    <w:rsid w:val="00531E86"/>
    <w:rsid w:val="00531FF4"/>
    <w:rsid w:val="005326DD"/>
    <w:rsid w:val="0053299D"/>
    <w:rsid w:val="005335AE"/>
    <w:rsid w:val="00533673"/>
    <w:rsid w:val="0053415E"/>
    <w:rsid w:val="00534ECC"/>
    <w:rsid w:val="00535194"/>
    <w:rsid w:val="0053689B"/>
    <w:rsid w:val="0053720D"/>
    <w:rsid w:val="00540EF5"/>
    <w:rsid w:val="00541086"/>
    <w:rsid w:val="00541BF3"/>
    <w:rsid w:val="00541CD3"/>
    <w:rsid w:val="00543B64"/>
    <w:rsid w:val="00543F6C"/>
    <w:rsid w:val="005454D5"/>
    <w:rsid w:val="005463B2"/>
    <w:rsid w:val="00547564"/>
    <w:rsid w:val="005476FA"/>
    <w:rsid w:val="00550DB0"/>
    <w:rsid w:val="005520C5"/>
    <w:rsid w:val="005522E3"/>
    <w:rsid w:val="0055234C"/>
    <w:rsid w:val="00553C9C"/>
    <w:rsid w:val="00554FA2"/>
    <w:rsid w:val="0055595E"/>
    <w:rsid w:val="00555BF4"/>
    <w:rsid w:val="00555CFB"/>
    <w:rsid w:val="00555F0D"/>
    <w:rsid w:val="0055712D"/>
    <w:rsid w:val="00557988"/>
    <w:rsid w:val="00557EAD"/>
    <w:rsid w:val="00561B38"/>
    <w:rsid w:val="00562C49"/>
    <w:rsid w:val="00562DEF"/>
    <w:rsid w:val="0056321A"/>
    <w:rsid w:val="005634AA"/>
    <w:rsid w:val="00563A35"/>
    <w:rsid w:val="00563CA6"/>
    <w:rsid w:val="00564A6E"/>
    <w:rsid w:val="005650FD"/>
    <w:rsid w:val="0056625D"/>
    <w:rsid w:val="00566596"/>
    <w:rsid w:val="00567560"/>
    <w:rsid w:val="00570258"/>
    <w:rsid w:val="005741E9"/>
    <w:rsid w:val="005748CF"/>
    <w:rsid w:val="00574A0D"/>
    <w:rsid w:val="00575506"/>
    <w:rsid w:val="0057590A"/>
    <w:rsid w:val="005819F7"/>
    <w:rsid w:val="00582078"/>
    <w:rsid w:val="00583513"/>
    <w:rsid w:val="00584270"/>
    <w:rsid w:val="005845AC"/>
    <w:rsid w:val="00584738"/>
    <w:rsid w:val="00585611"/>
    <w:rsid w:val="00585838"/>
    <w:rsid w:val="0058586A"/>
    <w:rsid w:val="0058726B"/>
    <w:rsid w:val="005913A4"/>
    <w:rsid w:val="005917BE"/>
    <w:rsid w:val="005920B0"/>
    <w:rsid w:val="00592EB7"/>
    <w:rsid w:val="00593589"/>
    <w:rsid w:val="0059380D"/>
    <w:rsid w:val="00593B01"/>
    <w:rsid w:val="0059493E"/>
    <w:rsid w:val="00594EC2"/>
    <w:rsid w:val="00595A8F"/>
    <w:rsid w:val="00596DE5"/>
    <w:rsid w:val="005975EF"/>
    <w:rsid w:val="005977C2"/>
    <w:rsid w:val="0059790B"/>
    <w:rsid w:val="00597BF2"/>
    <w:rsid w:val="005A37CA"/>
    <w:rsid w:val="005A4C30"/>
    <w:rsid w:val="005A760C"/>
    <w:rsid w:val="005B00DF"/>
    <w:rsid w:val="005B0662"/>
    <w:rsid w:val="005B0D7C"/>
    <w:rsid w:val="005B0E3A"/>
    <w:rsid w:val="005B134E"/>
    <w:rsid w:val="005B1686"/>
    <w:rsid w:val="005B179C"/>
    <w:rsid w:val="005B2039"/>
    <w:rsid w:val="005B278D"/>
    <w:rsid w:val="005B344F"/>
    <w:rsid w:val="005B3FBA"/>
    <w:rsid w:val="005B4A1D"/>
    <w:rsid w:val="005B5D92"/>
    <w:rsid w:val="005B674D"/>
    <w:rsid w:val="005C0817"/>
    <w:rsid w:val="005C0C98"/>
    <w:rsid w:val="005C0CBE"/>
    <w:rsid w:val="005C123A"/>
    <w:rsid w:val="005C1B64"/>
    <w:rsid w:val="005C1E53"/>
    <w:rsid w:val="005C1FCF"/>
    <w:rsid w:val="005C3585"/>
    <w:rsid w:val="005C6479"/>
    <w:rsid w:val="005C679C"/>
    <w:rsid w:val="005C67B7"/>
    <w:rsid w:val="005C7214"/>
    <w:rsid w:val="005C7BE2"/>
    <w:rsid w:val="005D0956"/>
    <w:rsid w:val="005D0FBA"/>
    <w:rsid w:val="005D16AA"/>
    <w:rsid w:val="005D1885"/>
    <w:rsid w:val="005D3BD1"/>
    <w:rsid w:val="005D4A38"/>
    <w:rsid w:val="005D5912"/>
    <w:rsid w:val="005D62DC"/>
    <w:rsid w:val="005D6814"/>
    <w:rsid w:val="005E03F1"/>
    <w:rsid w:val="005E0AE0"/>
    <w:rsid w:val="005E2EEA"/>
    <w:rsid w:val="005E3708"/>
    <w:rsid w:val="005E3B85"/>
    <w:rsid w:val="005E3CCD"/>
    <w:rsid w:val="005E3D6B"/>
    <w:rsid w:val="005E4DEB"/>
    <w:rsid w:val="005E5B55"/>
    <w:rsid w:val="005E5E4A"/>
    <w:rsid w:val="005E692A"/>
    <w:rsid w:val="005E693D"/>
    <w:rsid w:val="005E75BF"/>
    <w:rsid w:val="005E76FD"/>
    <w:rsid w:val="005F2CD9"/>
    <w:rsid w:val="005F4816"/>
    <w:rsid w:val="005F57BA"/>
    <w:rsid w:val="005F5CD7"/>
    <w:rsid w:val="005F61E6"/>
    <w:rsid w:val="005F6C45"/>
    <w:rsid w:val="005F6CA3"/>
    <w:rsid w:val="005F7AF3"/>
    <w:rsid w:val="005F7C68"/>
    <w:rsid w:val="00600435"/>
    <w:rsid w:val="00602A9F"/>
    <w:rsid w:val="00602F5F"/>
    <w:rsid w:val="006033E8"/>
    <w:rsid w:val="006037B9"/>
    <w:rsid w:val="0060388B"/>
    <w:rsid w:val="00605A15"/>
    <w:rsid w:val="00605A69"/>
    <w:rsid w:val="0060637D"/>
    <w:rsid w:val="006068B7"/>
    <w:rsid w:val="00606C54"/>
    <w:rsid w:val="00606E47"/>
    <w:rsid w:val="006107ED"/>
    <w:rsid w:val="00612B81"/>
    <w:rsid w:val="006134A2"/>
    <w:rsid w:val="0061410E"/>
    <w:rsid w:val="00614375"/>
    <w:rsid w:val="006155BF"/>
    <w:rsid w:val="00615B0A"/>
    <w:rsid w:val="00616652"/>
    <w:rsid w:val="006167CF"/>
    <w:rsid w:val="006168CF"/>
    <w:rsid w:val="0061726B"/>
    <w:rsid w:val="00617FE2"/>
    <w:rsid w:val="0062011B"/>
    <w:rsid w:val="00620772"/>
    <w:rsid w:val="00626DE0"/>
    <w:rsid w:val="006271BE"/>
    <w:rsid w:val="006273F6"/>
    <w:rsid w:val="006278BF"/>
    <w:rsid w:val="00630868"/>
    <w:rsid w:val="00630901"/>
    <w:rsid w:val="00631138"/>
    <w:rsid w:val="006313EA"/>
    <w:rsid w:val="006318A6"/>
    <w:rsid w:val="00631A19"/>
    <w:rsid w:val="00631B21"/>
    <w:rsid w:val="00631F8E"/>
    <w:rsid w:val="00632B27"/>
    <w:rsid w:val="00633910"/>
    <w:rsid w:val="0063452C"/>
    <w:rsid w:val="00634ED8"/>
    <w:rsid w:val="00635CD5"/>
    <w:rsid w:val="00636EE9"/>
    <w:rsid w:val="00637071"/>
    <w:rsid w:val="00640714"/>
    <w:rsid w:val="00640950"/>
    <w:rsid w:val="00640A53"/>
    <w:rsid w:val="00641884"/>
    <w:rsid w:val="00641A2C"/>
    <w:rsid w:val="00641AE7"/>
    <w:rsid w:val="00642629"/>
    <w:rsid w:val="00642ECF"/>
    <w:rsid w:val="00643302"/>
    <w:rsid w:val="00645BA8"/>
    <w:rsid w:val="00646044"/>
    <w:rsid w:val="0064637B"/>
    <w:rsid w:val="00646661"/>
    <w:rsid w:val="00652402"/>
    <w:rsid w:val="0065293D"/>
    <w:rsid w:val="00653D58"/>
    <w:rsid w:val="00653EFC"/>
    <w:rsid w:val="00654021"/>
    <w:rsid w:val="006542C1"/>
    <w:rsid w:val="00654860"/>
    <w:rsid w:val="006556A3"/>
    <w:rsid w:val="00655CE0"/>
    <w:rsid w:val="00657134"/>
    <w:rsid w:val="00660813"/>
    <w:rsid w:val="00661045"/>
    <w:rsid w:val="006628FC"/>
    <w:rsid w:val="00663618"/>
    <w:rsid w:val="00664442"/>
    <w:rsid w:val="00664545"/>
    <w:rsid w:val="00664AB8"/>
    <w:rsid w:val="00666DA8"/>
    <w:rsid w:val="006677D9"/>
    <w:rsid w:val="006679E3"/>
    <w:rsid w:val="00667AE5"/>
    <w:rsid w:val="00671057"/>
    <w:rsid w:val="00672CF8"/>
    <w:rsid w:val="006745E8"/>
    <w:rsid w:val="00674D65"/>
    <w:rsid w:val="00675AAF"/>
    <w:rsid w:val="00676343"/>
    <w:rsid w:val="006775F7"/>
    <w:rsid w:val="0068031A"/>
    <w:rsid w:val="00680A45"/>
    <w:rsid w:val="00681B2F"/>
    <w:rsid w:val="00682B13"/>
    <w:rsid w:val="0068335F"/>
    <w:rsid w:val="00683420"/>
    <w:rsid w:val="0068605C"/>
    <w:rsid w:val="00687217"/>
    <w:rsid w:val="006874F5"/>
    <w:rsid w:val="00690BB0"/>
    <w:rsid w:val="00691785"/>
    <w:rsid w:val="00691CEB"/>
    <w:rsid w:val="00691DAE"/>
    <w:rsid w:val="006925AA"/>
    <w:rsid w:val="00693302"/>
    <w:rsid w:val="00694CED"/>
    <w:rsid w:val="0069640B"/>
    <w:rsid w:val="006966DD"/>
    <w:rsid w:val="00696BF0"/>
    <w:rsid w:val="006A063A"/>
    <w:rsid w:val="006A06A5"/>
    <w:rsid w:val="006A1B83"/>
    <w:rsid w:val="006A21CD"/>
    <w:rsid w:val="006A5918"/>
    <w:rsid w:val="006A5BBA"/>
    <w:rsid w:val="006A641D"/>
    <w:rsid w:val="006A7AB7"/>
    <w:rsid w:val="006B00CB"/>
    <w:rsid w:val="006B17EA"/>
    <w:rsid w:val="006B21B2"/>
    <w:rsid w:val="006B2AB5"/>
    <w:rsid w:val="006B3099"/>
    <w:rsid w:val="006B3977"/>
    <w:rsid w:val="006B4A4A"/>
    <w:rsid w:val="006B4EDD"/>
    <w:rsid w:val="006B5253"/>
    <w:rsid w:val="006B574E"/>
    <w:rsid w:val="006B6628"/>
    <w:rsid w:val="006B6E72"/>
    <w:rsid w:val="006C0389"/>
    <w:rsid w:val="006C126F"/>
    <w:rsid w:val="006C138F"/>
    <w:rsid w:val="006C19B2"/>
    <w:rsid w:val="006C1A40"/>
    <w:rsid w:val="006C1FEE"/>
    <w:rsid w:val="006C2525"/>
    <w:rsid w:val="006C4409"/>
    <w:rsid w:val="006C5BB8"/>
    <w:rsid w:val="006C6936"/>
    <w:rsid w:val="006C752C"/>
    <w:rsid w:val="006C77DC"/>
    <w:rsid w:val="006C7B01"/>
    <w:rsid w:val="006C7C0F"/>
    <w:rsid w:val="006C7C36"/>
    <w:rsid w:val="006D0644"/>
    <w:rsid w:val="006D08EB"/>
    <w:rsid w:val="006D0FE8"/>
    <w:rsid w:val="006D4B2B"/>
    <w:rsid w:val="006D4F3C"/>
    <w:rsid w:val="006D512C"/>
    <w:rsid w:val="006D58A6"/>
    <w:rsid w:val="006D5C66"/>
    <w:rsid w:val="006D7FE9"/>
    <w:rsid w:val="006E126C"/>
    <w:rsid w:val="006E1A32"/>
    <w:rsid w:val="006E1B3C"/>
    <w:rsid w:val="006E23FB"/>
    <w:rsid w:val="006E325A"/>
    <w:rsid w:val="006E33EC"/>
    <w:rsid w:val="006E3802"/>
    <w:rsid w:val="006E400F"/>
    <w:rsid w:val="006E4987"/>
    <w:rsid w:val="006E4BD4"/>
    <w:rsid w:val="006E5F53"/>
    <w:rsid w:val="006E6755"/>
    <w:rsid w:val="006E6C02"/>
    <w:rsid w:val="006E74D2"/>
    <w:rsid w:val="006F06CB"/>
    <w:rsid w:val="006F1691"/>
    <w:rsid w:val="006F172E"/>
    <w:rsid w:val="006F1AAC"/>
    <w:rsid w:val="006F21AA"/>
    <w:rsid w:val="006F231A"/>
    <w:rsid w:val="006F5E78"/>
    <w:rsid w:val="006F6B55"/>
    <w:rsid w:val="006F788D"/>
    <w:rsid w:val="006F78E1"/>
    <w:rsid w:val="006F7C87"/>
    <w:rsid w:val="00700B79"/>
    <w:rsid w:val="00701072"/>
    <w:rsid w:val="00702054"/>
    <w:rsid w:val="00702289"/>
    <w:rsid w:val="00702426"/>
    <w:rsid w:val="007029E4"/>
    <w:rsid w:val="00702AF4"/>
    <w:rsid w:val="007035A4"/>
    <w:rsid w:val="00703C61"/>
    <w:rsid w:val="00704764"/>
    <w:rsid w:val="007063D3"/>
    <w:rsid w:val="00711799"/>
    <w:rsid w:val="00711AC1"/>
    <w:rsid w:val="007124B3"/>
    <w:rsid w:val="00712B78"/>
    <w:rsid w:val="0071393B"/>
    <w:rsid w:val="00713EE2"/>
    <w:rsid w:val="00713F4B"/>
    <w:rsid w:val="00715574"/>
    <w:rsid w:val="00715A4A"/>
    <w:rsid w:val="00716663"/>
    <w:rsid w:val="00716AD1"/>
    <w:rsid w:val="00716CD3"/>
    <w:rsid w:val="007177FC"/>
    <w:rsid w:val="007209AB"/>
    <w:rsid w:val="00720C5E"/>
    <w:rsid w:val="00721701"/>
    <w:rsid w:val="0072214B"/>
    <w:rsid w:val="007249D8"/>
    <w:rsid w:val="00725348"/>
    <w:rsid w:val="0072599A"/>
    <w:rsid w:val="00725AE3"/>
    <w:rsid w:val="0072602E"/>
    <w:rsid w:val="0073049E"/>
    <w:rsid w:val="00731835"/>
    <w:rsid w:val="007330F1"/>
    <w:rsid w:val="007341F8"/>
    <w:rsid w:val="0073428B"/>
    <w:rsid w:val="00734372"/>
    <w:rsid w:val="00734EB8"/>
    <w:rsid w:val="00735703"/>
    <w:rsid w:val="00735F8B"/>
    <w:rsid w:val="0074115A"/>
    <w:rsid w:val="00742D1F"/>
    <w:rsid w:val="00743EBA"/>
    <w:rsid w:val="00744C8E"/>
    <w:rsid w:val="00744DE4"/>
    <w:rsid w:val="0074707E"/>
    <w:rsid w:val="00747261"/>
    <w:rsid w:val="007472B8"/>
    <w:rsid w:val="007516DC"/>
    <w:rsid w:val="00752521"/>
    <w:rsid w:val="00752E58"/>
    <w:rsid w:val="00753FE2"/>
    <w:rsid w:val="0075486D"/>
    <w:rsid w:val="00754B80"/>
    <w:rsid w:val="00755F7C"/>
    <w:rsid w:val="00756D35"/>
    <w:rsid w:val="00760C32"/>
    <w:rsid w:val="0076174C"/>
    <w:rsid w:val="00761918"/>
    <w:rsid w:val="00762140"/>
    <w:rsid w:val="00762F03"/>
    <w:rsid w:val="007636F8"/>
    <w:rsid w:val="00763746"/>
    <w:rsid w:val="0076413B"/>
    <w:rsid w:val="007648AE"/>
    <w:rsid w:val="00764BF8"/>
    <w:rsid w:val="00764DA1"/>
    <w:rsid w:val="0076514D"/>
    <w:rsid w:val="00766595"/>
    <w:rsid w:val="00766781"/>
    <w:rsid w:val="007673DB"/>
    <w:rsid w:val="007674CF"/>
    <w:rsid w:val="00767F89"/>
    <w:rsid w:val="007702BA"/>
    <w:rsid w:val="00771BA0"/>
    <w:rsid w:val="00771C7C"/>
    <w:rsid w:val="00771FBC"/>
    <w:rsid w:val="00773132"/>
    <w:rsid w:val="00773AC7"/>
    <w:rsid w:val="00773D59"/>
    <w:rsid w:val="00774F31"/>
    <w:rsid w:val="00775010"/>
    <w:rsid w:val="00780E3B"/>
    <w:rsid w:val="00781003"/>
    <w:rsid w:val="007814D0"/>
    <w:rsid w:val="007841F5"/>
    <w:rsid w:val="007850BB"/>
    <w:rsid w:val="00785C85"/>
    <w:rsid w:val="00786797"/>
    <w:rsid w:val="00786AC4"/>
    <w:rsid w:val="00787424"/>
    <w:rsid w:val="007906B8"/>
    <w:rsid w:val="00790756"/>
    <w:rsid w:val="00790A8A"/>
    <w:rsid w:val="007911FD"/>
    <w:rsid w:val="00793930"/>
    <w:rsid w:val="00793DD1"/>
    <w:rsid w:val="00794B5D"/>
    <w:rsid w:val="00794F9B"/>
    <w:rsid w:val="00794FEC"/>
    <w:rsid w:val="00795934"/>
    <w:rsid w:val="007967FA"/>
    <w:rsid w:val="007A003E"/>
    <w:rsid w:val="007A0DD3"/>
    <w:rsid w:val="007A1965"/>
    <w:rsid w:val="007A2ED1"/>
    <w:rsid w:val="007A31BE"/>
    <w:rsid w:val="007A33C8"/>
    <w:rsid w:val="007A3845"/>
    <w:rsid w:val="007A3C83"/>
    <w:rsid w:val="007A4BE6"/>
    <w:rsid w:val="007A6275"/>
    <w:rsid w:val="007A6381"/>
    <w:rsid w:val="007A638B"/>
    <w:rsid w:val="007A6537"/>
    <w:rsid w:val="007A662F"/>
    <w:rsid w:val="007A71A3"/>
    <w:rsid w:val="007A7F83"/>
    <w:rsid w:val="007B0739"/>
    <w:rsid w:val="007B0DB0"/>
    <w:rsid w:val="007B0DC6"/>
    <w:rsid w:val="007B1094"/>
    <w:rsid w:val="007B1762"/>
    <w:rsid w:val="007B1F41"/>
    <w:rsid w:val="007B274E"/>
    <w:rsid w:val="007B2FD1"/>
    <w:rsid w:val="007B3320"/>
    <w:rsid w:val="007B3B5A"/>
    <w:rsid w:val="007B4143"/>
    <w:rsid w:val="007B4357"/>
    <w:rsid w:val="007B4AE3"/>
    <w:rsid w:val="007B64B5"/>
    <w:rsid w:val="007B6F52"/>
    <w:rsid w:val="007B6F5D"/>
    <w:rsid w:val="007B7B2D"/>
    <w:rsid w:val="007C2A62"/>
    <w:rsid w:val="007C301F"/>
    <w:rsid w:val="007C34E7"/>
    <w:rsid w:val="007C4540"/>
    <w:rsid w:val="007C4720"/>
    <w:rsid w:val="007C546F"/>
    <w:rsid w:val="007C5D47"/>
    <w:rsid w:val="007C607F"/>
    <w:rsid w:val="007C60BA"/>
    <w:rsid w:val="007C65AF"/>
    <w:rsid w:val="007C6722"/>
    <w:rsid w:val="007D135D"/>
    <w:rsid w:val="007D1DA5"/>
    <w:rsid w:val="007D1DE1"/>
    <w:rsid w:val="007D4358"/>
    <w:rsid w:val="007D44A1"/>
    <w:rsid w:val="007D45C4"/>
    <w:rsid w:val="007D5CC6"/>
    <w:rsid w:val="007D6949"/>
    <w:rsid w:val="007D6F37"/>
    <w:rsid w:val="007D730F"/>
    <w:rsid w:val="007D7CD8"/>
    <w:rsid w:val="007E14E2"/>
    <w:rsid w:val="007E22C8"/>
    <w:rsid w:val="007E2960"/>
    <w:rsid w:val="007E3AA7"/>
    <w:rsid w:val="007E3B88"/>
    <w:rsid w:val="007E4026"/>
    <w:rsid w:val="007E41FB"/>
    <w:rsid w:val="007E4AA3"/>
    <w:rsid w:val="007E5831"/>
    <w:rsid w:val="007F06D0"/>
    <w:rsid w:val="007F0DA1"/>
    <w:rsid w:val="007F19EB"/>
    <w:rsid w:val="007F2291"/>
    <w:rsid w:val="007F29C8"/>
    <w:rsid w:val="007F3ACB"/>
    <w:rsid w:val="007F63F5"/>
    <w:rsid w:val="007F6EF0"/>
    <w:rsid w:val="007F7257"/>
    <w:rsid w:val="007F737D"/>
    <w:rsid w:val="007F7694"/>
    <w:rsid w:val="007F799C"/>
    <w:rsid w:val="00801D11"/>
    <w:rsid w:val="00802A31"/>
    <w:rsid w:val="00802FA4"/>
    <w:rsid w:val="0080308E"/>
    <w:rsid w:val="008032E8"/>
    <w:rsid w:val="008037E0"/>
    <w:rsid w:val="0080419C"/>
    <w:rsid w:val="00805303"/>
    <w:rsid w:val="00806705"/>
    <w:rsid w:val="00806738"/>
    <w:rsid w:val="00812BCF"/>
    <w:rsid w:val="00813819"/>
    <w:rsid w:val="0081438C"/>
    <w:rsid w:val="008148DE"/>
    <w:rsid w:val="00815428"/>
    <w:rsid w:val="008155AD"/>
    <w:rsid w:val="00815D0C"/>
    <w:rsid w:val="00816700"/>
    <w:rsid w:val="00816F54"/>
    <w:rsid w:val="00817020"/>
    <w:rsid w:val="008175BA"/>
    <w:rsid w:val="00817CAE"/>
    <w:rsid w:val="00820534"/>
    <w:rsid w:val="008216D5"/>
    <w:rsid w:val="008226EA"/>
    <w:rsid w:val="0082282E"/>
    <w:rsid w:val="008249CE"/>
    <w:rsid w:val="00826E63"/>
    <w:rsid w:val="008276EA"/>
    <w:rsid w:val="00827D60"/>
    <w:rsid w:val="008300E6"/>
    <w:rsid w:val="00830823"/>
    <w:rsid w:val="008311FB"/>
    <w:rsid w:val="00831958"/>
    <w:rsid w:val="00831A50"/>
    <w:rsid w:val="00831B3C"/>
    <w:rsid w:val="00831C89"/>
    <w:rsid w:val="00831DFA"/>
    <w:rsid w:val="00832114"/>
    <w:rsid w:val="00832EC8"/>
    <w:rsid w:val="00832FAA"/>
    <w:rsid w:val="00833BF1"/>
    <w:rsid w:val="00834275"/>
    <w:rsid w:val="0083482C"/>
    <w:rsid w:val="00834C46"/>
    <w:rsid w:val="00834F2C"/>
    <w:rsid w:val="00835111"/>
    <w:rsid w:val="00835DA4"/>
    <w:rsid w:val="008361C6"/>
    <w:rsid w:val="008363A2"/>
    <w:rsid w:val="00837E28"/>
    <w:rsid w:val="0084093E"/>
    <w:rsid w:val="00840AA9"/>
    <w:rsid w:val="008413C3"/>
    <w:rsid w:val="00841951"/>
    <w:rsid w:val="00841CE1"/>
    <w:rsid w:val="008439C7"/>
    <w:rsid w:val="00844028"/>
    <w:rsid w:val="00844A34"/>
    <w:rsid w:val="0084505D"/>
    <w:rsid w:val="00845BEA"/>
    <w:rsid w:val="00845C8E"/>
    <w:rsid w:val="00846293"/>
    <w:rsid w:val="008463C5"/>
    <w:rsid w:val="008466C8"/>
    <w:rsid w:val="008473D8"/>
    <w:rsid w:val="008503BF"/>
    <w:rsid w:val="00850945"/>
    <w:rsid w:val="008513E2"/>
    <w:rsid w:val="00851603"/>
    <w:rsid w:val="00852241"/>
    <w:rsid w:val="00852643"/>
    <w:rsid w:val="0085274B"/>
    <w:rsid w:val="008528DC"/>
    <w:rsid w:val="0085290F"/>
    <w:rsid w:val="00852B8C"/>
    <w:rsid w:val="00853A15"/>
    <w:rsid w:val="00854981"/>
    <w:rsid w:val="008549DA"/>
    <w:rsid w:val="008554DD"/>
    <w:rsid w:val="00856C66"/>
    <w:rsid w:val="00857153"/>
    <w:rsid w:val="008573AB"/>
    <w:rsid w:val="008574A1"/>
    <w:rsid w:val="00857654"/>
    <w:rsid w:val="0085779C"/>
    <w:rsid w:val="00860B54"/>
    <w:rsid w:val="0086110E"/>
    <w:rsid w:val="00862290"/>
    <w:rsid w:val="0086233A"/>
    <w:rsid w:val="00863340"/>
    <w:rsid w:val="0086492A"/>
    <w:rsid w:val="00864B2E"/>
    <w:rsid w:val="008658D8"/>
    <w:rsid w:val="00865963"/>
    <w:rsid w:val="0086641F"/>
    <w:rsid w:val="00867712"/>
    <w:rsid w:val="0087009F"/>
    <w:rsid w:val="00870F40"/>
    <w:rsid w:val="008712AF"/>
    <w:rsid w:val="00871C1D"/>
    <w:rsid w:val="00873D20"/>
    <w:rsid w:val="0087450E"/>
    <w:rsid w:val="008746C1"/>
    <w:rsid w:val="008751A0"/>
    <w:rsid w:val="00875694"/>
    <w:rsid w:val="00875A82"/>
    <w:rsid w:val="00876CA3"/>
    <w:rsid w:val="008772FE"/>
    <w:rsid w:val="008775F1"/>
    <w:rsid w:val="00877D61"/>
    <w:rsid w:val="0088051A"/>
    <w:rsid w:val="008806A2"/>
    <w:rsid w:val="008807AF"/>
    <w:rsid w:val="0088171F"/>
    <w:rsid w:val="008821AE"/>
    <w:rsid w:val="008827C4"/>
    <w:rsid w:val="00883D3A"/>
    <w:rsid w:val="00884451"/>
    <w:rsid w:val="008854F7"/>
    <w:rsid w:val="00885A9D"/>
    <w:rsid w:val="008867F4"/>
    <w:rsid w:val="00886906"/>
    <w:rsid w:val="00886A87"/>
    <w:rsid w:val="00887E1A"/>
    <w:rsid w:val="008908DD"/>
    <w:rsid w:val="00891680"/>
    <w:rsid w:val="008929D2"/>
    <w:rsid w:val="008934FA"/>
    <w:rsid w:val="00893636"/>
    <w:rsid w:val="00893B94"/>
    <w:rsid w:val="00894953"/>
    <w:rsid w:val="008966E3"/>
    <w:rsid w:val="00896E9D"/>
    <w:rsid w:val="00896F11"/>
    <w:rsid w:val="00897B8C"/>
    <w:rsid w:val="008A1049"/>
    <w:rsid w:val="008A1C98"/>
    <w:rsid w:val="008A2270"/>
    <w:rsid w:val="008A322D"/>
    <w:rsid w:val="008A42E6"/>
    <w:rsid w:val="008A42EA"/>
    <w:rsid w:val="008A4BFC"/>
    <w:rsid w:val="008A4D72"/>
    <w:rsid w:val="008A528E"/>
    <w:rsid w:val="008A57C3"/>
    <w:rsid w:val="008A59EE"/>
    <w:rsid w:val="008A6285"/>
    <w:rsid w:val="008A63B2"/>
    <w:rsid w:val="008A7F04"/>
    <w:rsid w:val="008B21EC"/>
    <w:rsid w:val="008B2662"/>
    <w:rsid w:val="008B345D"/>
    <w:rsid w:val="008B38AF"/>
    <w:rsid w:val="008B5F2F"/>
    <w:rsid w:val="008B6C90"/>
    <w:rsid w:val="008B78AC"/>
    <w:rsid w:val="008B7D7F"/>
    <w:rsid w:val="008C0345"/>
    <w:rsid w:val="008C0F95"/>
    <w:rsid w:val="008C1FC2"/>
    <w:rsid w:val="008C24B1"/>
    <w:rsid w:val="008C2980"/>
    <w:rsid w:val="008C2E89"/>
    <w:rsid w:val="008C4DD6"/>
    <w:rsid w:val="008C54FB"/>
    <w:rsid w:val="008C5AFB"/>
    <w:rsid w:val="008C674F"/>
    <w:rsid w:val="008C6B0C"/>
    <w:rsid w:val="008C79D4"/>
    <w:rsid w:val="008C7C78"/>
    <w:rsid w:val="008D07FB"/>
    <w:rsid w:val="008D0C02"/>
    <w:rsid w:val="008D243E"/>
    <w:rsid w:val="008D357D"/>
    <w:rsid w:val="008D3D7C"/>
    <w:rsid w:val="008D435A"/>
    <w:rsid w:val="008D45E3"/>
    <w:rsid w:val="008D5ACB"/>
    <w:rsid w:val="008D6F19"/>
    <w:rsid w:val="008D725B"/>
    <w:rsid w:val="008D7750"/>
    <w:rsid w:val="008D7A6D"/>
    <w:rsid w:val="008D7AB9"/>
    <w:rsid w:val="008E0AAC"/>
    <w:rsid w:val="008E1541"/>
    <w:rsid w:val="008E1D54"/>
    <w:rsid w:val="008E2A52"/>
    <w:rsid w:val="008E387B"/>
    <w:rsid w:val="008E3CF5"/>
    <w:rsid w:val="008E4294"/>
    <w:rsid w:val="008E4820"/>
    <w:rsid w:val="008E54E2"/>
    <w:rsid w:val="008E6087"/>
    <w:rsid w:val="008E758D"/>
    <w:rsid w:val="008F0213"/>
    <w:rsid w:val="008F10A7"/>
    <w:rsid w:val="008F1361"/>
    <w:rsid w:val="008F1FA0"/>
    <w:rsid w:val="008F23EA"/>
    <w:rsid w:val="008F3957"/>
    <w:rsid w:val="008F3E85"/>
    <w:rsid w:val="008F5907"/>
    <w:rsid w:val="008F6695"/>
    <w:rsid w:val="008F723C"/>
    <w:rsid w:val="008F755D"/>
    <w:rsid w:val="008F7A39"/>
    <w:rsid w:val="009016DF"/>
    <w:rsid w:val="009021E8"/>
    <w:rsid w:val="0090264F"/>
    <w:rsid w:val="00902CB8"/>
    <w:rsid w:val="00904677"/>
    <w:rsid w:val="00905DE1"/>
    <w:rsid w:val="00905EE2"/>
    <w:rsid w:val="00907762"/>
    <w:rsid w:val="00907E1B"/>
    <w:rsid w:val="00910D95"/>
    <w:rsid w:val="0091124B"/>
    <w:rsid w:val="00911440"/>
    <w:rsid w:val="00911712"/>
    <w:rsid w:val="009117C8"/>
    <w:rsid w:val="00911B27"/>
    <w:rsid w:val="00913596"/>
    <w:rsid w:val="0091369A"/>
    <w:rsid w:val="00913A82"/>
    <w:rsid w:val="00913AB5"/>
    <w:rsid w:val="0091417C"/>
    <w:rsid w:val="009152E3"/>
    <w:rsid w:val="00916F7A"/>
    <w:rsid w:val="009170BE"/>
    <w:rsid w:val="00920737"/>
    <w:rsid w:val="00920B55"/>
    <w:rsid w:val="00921D26"/>
    <w:rsid w:val="00921E0C"/>
    <w:rsid w:val="00922449"/>
    <w:rsid w:val="009227CD"/>
    <w:rsid w:val="0092325C"/>
    <w:rsid w:val="00923A9C"/>
    <w:rsid w:val="00925A12"/>
    <w:rsid w:val="009262C9"/>
    <w:rsid w:val="00927734"/>
    <w:rsid w:val="0092796A"/>
    <w:rsid w:val="00930E5A"/>
    <w:rsid w:val="00930EB9"/>
    <w:rsid w:val="009313C1"/>
    <w:rsid w:val="009319DB"/>
    <w:rsid w:val="00932E61"/>
    <w:rsid w:val="00933DC7"/>
    <w:rsid w:val="00936EEE"/>
    <w:rsid w:val="00937A51"/>
    <w:rsid w:val="00940736"/>
    <w:rsid w:val="00940FE5"/>
    <w:rsid w:val="009418F4"/>
    <w:rsid w:val="009425D9"/>
    <w:rsid w:val="00942BBC"/>
    <w:rsid w:val="00943AAE"/>
    <w:rsid w:val="00943D88"/>
    <w:rsid w:val="00944180"/>
    <w:rsid w:val="009445DB"/>
    <w:rsid w:val="00944620"/>
    <w:rsid w:val="00944AA0"/>
    <w:rsid w:val="00946204"/>
    <w:rsid w:val="00946521"/>
    <w:rsid w:val="009468AC"/>
    <w:rsid w:val="00946961"/>
    <w:rsid w:val="00947DA2"/>
    <w:rsid w:val="00951177"/>
    <w:rsid w:val="009517C5"/>
    <w:rsid w:val="00952CD3"/>
    <w:rsid w:val="00956C36"/>
    <w:rsid w:val="00956ED6"/>
    <w:rsid w:val="00957A12"/>
    <w:rsid w:val="00960A50"/>
    <w:rsid w:val="00961CFC"/>
    <w:rsid w:val="00961D66"/>
    <w:rsid w:val="0096240E"/>
    <w:rsid w:val="00962874"/>
    <w:rsid w:val="00962CAF"/>
    <w:rsid w:val="00962E7A"/>
    <w:rsid w:val="00963481"/>
    <w:rsid w:val="00963C50"/>
    <w:rsid w:val="0096634D"/>
    <w:rsid w:val="009667F1"/>
    <w:rsid w:val="00966AC8"/>
    <w:rsid w:val="009673E8"/>
    <w:rsid w:val="00967909"/>
    <w:rsid w:val="00970645"/>
    <w:rsid w:val="00970743"/>
    <w:rsid w:val="00970795"/>
    <w:rsid w:val="00970A91"/>
    <w:rsid w:val="00971712"/>
    <w:rsid w:val="0097198A"/>
    <w:rsid w:val="009729D4"/>
    <w:rsid w:val="00974DB8"/>
    <w:rsid w:val="00975592"/>
    <w:rsid w:val="009767CB"/>
    <w:rsid w:val="009804F7"/>
    <w:rsid w:val="00980661"/>
    <w:rsid w:val="009807F1"/>
    <w:rsid w:val="0098093B"/>
    <w:rsid w:val="009838E8"/>
    <w:rsid w:val="00983FA2"/>
    <w:rsid w:val="00984B62"/>
    <w:rsid w:val="00985223"/>
    <w:rsid w:val="009854DD"/>
    <w:rsid w:val="009873B9"/>
    <w:rsid w:val="009876D4"/>
    <w:rsid w:val="009879E8"/>
    <w:rsid w:val="0099015E"/>
    <w:rsid w:val="009904CA"/>
    <w:rsid w:val="009914A5"/>
    <w:rsid w:val="00991C38"/>
    <w:rsid w:val="00991CDB"/>
    <w:rsid w:val="0099202C"/>
    <w:rsid w:val="00992A15"/>
    <w:rsid w:val="00992B24"/>
    <w:rsid w:val="0099548E"/>
    <w:rsid w:val="00995768"/>
    <w:rsid w:val="00995A87"/>
    <w:rsid w:val="00996139"/>
    <w:rsid w:val="00996456"/>
    <w:rsid w:val="00996756"/>
    <w:rsid w:val="00996A12"/>
    <w:rsid w:val="00996B79"/>
    <w:rsid w:val="00996D3A"/>
    <w:rsid w:val="00997B0F"/>
    <w:rsid w:val="009A0CC3"/>
    <w:rsid w:val="009A16FA"/>
    <w:rsid w:val="009A1CAD"/>
    <w:rsid w:val="009A23D7"/>
    <w:rsid w:val="009A2945"/>
    <w:rsid w:val="009A2FAA"/>
    <w:rsid w:val="009A3256"/>
    <w:rsid w:val="009A3440"/>
    <w:rsid w:val="009A4661"/>
    <w:rsid w:val="009A49E1"/>
    <w:rsid w:val="009A4A68"/>
    <w:rsid w:val="009A4CAF"/>
    <w:rsid w:val="009A5832"/>
    <w:rsid w:val="009A6040"/>
    <w:rsid w:val="009A6838"/>
    <w:rsid w:val="009A6EF9"/>
    <w:rsid w:val="009A725C"/>
    <w:rsid w:val="009A7A92"/>
    <w:rsid w:val="009B076B"/>
    <w:rsid w:val="009B0FD8"/>
    <w:rsid w:val="009B24B5"/>
    <w:rsid w:val="009B25D6"/>
    <w:rsid w:val="009B2638"/>
    <w:rsid w:val="009B39BA"/>
    <w:rsid w:val="009B3B9E"/>
    <w:rsid w:val="009B41E7"/>
    <w:rsid w:val="009B4EBC"/>
    <w:rsid w:val="009B5ABB"/>
    <w:rsid w:val="009B73CE"/>
    <w:rsid w:val="009C0073"/>
    <w:rsid w:val="009C0B9B"/>
    <w:rsid w:val="009C1901"/>
    <w:rsid w:val="009C2461"/>
    <w:rsid w:val="009C2B7B"/>
    <w:rsid w:val="009C2F6D"/>
    <w:rsid w:val="009C3AF4"/>
    <w:rsid w:val="009C42A4"/>
    <w:rsid w:val="009C495E"/>
    <w:rsid w:val="009C5B17"/>
    <w:rsid w:val="009C6796"/>
    <w:rsid w:val="009C697B"/>
    <w:rsid w:val="009C6FE2"/>
    <w:rsid w:val="009C7674"/>
    <w:rsid w:val="009C7872"/>
    <w:rsid w:val="009D004A"/>
    <w:rsid w:val="009D3933"/>
    <w:rsid w:val="009D5880"/>
    <w:rsid w:val="009D61C0"/>
    <w:rsid w:val="009D6506"/>
    <w:rsid w:val="009D7BE2"/>
    <w:rsid w:val="009E0BE3"/>
    <w:rsid w:val="009E1C0C"/>
    <w:rsid w:val="009E1FD4"/>
    <w:rsid w:val="009E2B40"/>
    <w:rsid w:val="009E3716"/>
    <w:rsid w:val="009E3B07"/>
    <w:rsid w:val="009E3DD3"/>
    <w:rsid w:val="009E4296"/>
    <w:rsid w:val="009E4902"/>
    <w:rsid w:val="009E51D1"/>
    <w:rsid w:val="009E5531"/>
    <w:rsid w:val="009E5B06"/>
    <w:rsid w:val="009E5E77"/>
    <w:rsid w:val="009E63F2"/>
    <w:rsid w:val="009E6EBF"/>
    <w:rsid w:val="009E6FCE"/>
    <w:rsid w:val="009E7ACB"/>
    <w:rsid w:val="009F171E"/>
    <w:rsid w:val="009F35E2"/>
    <w:rsid w:val="009F39DD"/>
    <w:rsid w:val="009F3D2F"/>
    <w:rsid w:val="009F476E"/>
    <w:rsid w:val="009F7052"/>
    <w:rsid w:val="009F78F3"/>
    <w:rsid w:val="00A0048E"/>
    <w:rsid w:val="00A02668"/>
    <w:rsid w:val="00A02801"/>
    <w:rsid w:val="00A03436"/>
    <w:rsid w:val="00A038DA"/>
    <w:rsid w:val="00A03D2C"/>
    <w:rsid w:val="00A051CF"/>
    <w:rsid w:val="00A05465"/>
    <w:rsid w:val="00A05E0E"/>
    <w:rsid w:val="00A0694E"/>
    <w:rsid w:val="00A0698F"/>
    <w:rsid w:val="00A06A39"/>
    <w:rsid w:val="00A072B7"/>
    <w:rsid w:val="00A07A10"/>
    <w:rsid w:val="00A07A8F"/>
    <w:rsid w:val="00A07F58"/>
    <w:rsid w:val="00A10363"/>
    <w:rsid w:val="00A107C8"/>
    <w:rsid w:val="00A10C79"/>
    <w:rsid w:val="00A11CB4"/>
    <w:rsid w:val="00A12ABE"/>
    <w:rsid w:val="00A131CB"/>
    <w:rsid w:val="00A1410F"/>
    <w:rsid w:val="00A14847"/>
    <w:rsid w:val="00A16D6D"/>
    <w:rsid w:val="00A21004"/>
    <w:rsid w:val="00A21335"/>
    <w:rsid w:val="00A21383"/>
    <w:rsid w:val="00A2199F"/>
    <w:rsid w:val="00A21B31"/>
    <w:rsid w:val="00A2360E"/>
    <w:rsid w:val="00A26E0C"/>
    <w:rsid w:val="00A26F3E"/>
    <w:rsid w:val="00A2712A"/>
    <w:rsid w:val="00A27CD7"/>
    <w:rsid w:val="00A30538"/>
    <w:rsid w:val="00A32FCB"/>
    <w:rsid w:val="00A33B31"/>
    <w:rsid w:val="00A34C25"/>
    <w:rsid w:val="00A3507D"/>
    <w:rsid w:val="00A37058"/>
    <w:rsid w:val="00A3717A"/>
    <w:rsid w:val="00A378A9"/>
    <w:rsid w:val="00A4029D"/>
    <w:rsid w:val="00A403C5"/>
    <w:rsid w:val="00A40580"/>
    <w:rsid w:val="00A4088C"/>
    <w:rsid w:val="00A41ADE"/>
    <w:rsid w:val="00A41B1A"/>
    <w:rsid w:val="00A41D6F"/>
    <w:rsid w:val="00A43FB2"/>
    <w:rsid w:val="00A4456B"/>
    <w:rsid w:val="00A448D4"/>
    <w:rsid w:val="00A44B5F"/>
    <w:rsid w:val="00A452E0"/>
    <w:rsid w:val="00A45D83"/>
    <w:rsid w:val="00A50AAB"/>
    <w:rsid w:val="00A51438"/>
    <w:rsid w:val="00A51EA5"/>
    <w:rsid w:val="00A535B3"/>
    <w:rsid w:val="00A53742"/>
    <w:rsid w:val="00A53889"/>
    <w:rsid w:val="00A53DE7"/>
    <w:rsid w:val="00A5432E"/>
    <w:rsid w:val="00A5486F"/>
    <w:rsid w:val="00A5508B"/>
    <w:rsid w:val="00A557A1"/>
    <w:rsid w:val="00A56717"/>
    <w:rsid w:val="00A57375"/>
    <w:rsid w:val="00A57412"/>
    <w:rsid w:val="00A57649"/>
    <w:rsid w:val="00A606A6"/>
    <w:rsid w:val="00A6084B"/>
    <w:rsid w:val="00A6205E"/>
    <w:rsid w:val="00A6263B"/>
    <w:rsid w:val="00A62E7B"/>
    <w:rsid w:val="00A62F4F"/>
    <w:rsid w:val="00A63059"/>
    <w:rsid w:val="00A63679"/>
    <w:rsid w:val="00A63AE3"/>
    <w:rsid w:val="00A6486B"/>
    <w:rsid w:val="00A651A4"/>
    <w:rsid w:val="00A65DF7"/>
    <w:rsid w:val="00A65FBA"/>
    <w:rsid w:val="00A707EE"/>
    <w:rsid w:val="00A71080"/>
    <w:rsid w:val="00A71190"/>
    <w:rsid w:val="00A71361"/>
    <w:rsid w:val="00A72A35"/>
    <w:rsid w:val="00A72C83"/>
    <w:rsid w:val="00A73B79"/>
    <w:rsid w:val="00A743CC"/>
    <w:rsid w:val="00A746E2"/>
    <w:rsid w:val="00A751A7"/>
    <w:rsid w:val="00A76CB4"/>
    <w:rsid w:val="00A770F3"/>
    <w:rsid w:val="00A775F6"/>
    <w:rsid w:val="00A77A41"/>
    <w:rsid w:val="00A77F0D"/>
    <w:rsid w:val="00A801FF"/>
    <w:rsid w:val="00A805AA"/>
    <w:rsid w:val="00A81A8B"/>
    <w:rsid w:val="00A81C7A"/>
    <w:rsid w:val="00A81FF2"/>
    <w:rsid w:val="00A83904"/>
    <w:rsid w:val="00A83D06"/>
    <w:rsid w:val="00A8488F"/>
    <w:rsid w:val="00A85DC5"/>
    <w:rsid w:val="00A86409"/>
    <w:rsid w:val="00A87749"/>
    <w:rsid w:val="00A879A8"/>
    <w:rsid w:val="00A87BB3"/>
    <w:rsid w:val="00A87E1E"/>
    <w:rsid w:val="00A90A79"/>
    <w:rsid w:val="00A90C0E"/>
    <w:rsid w:val="00A90D24"/>
    <w:rsid w:val="00A924C7"/>
    <w:rsid w:val="00A92D1E"/>
    <w:rsid w:val="00A93DB6"/>
    <w:rsid w:val="00A940DD"/>
    <w:rsid w:val="00A94309"/>
    <w:rsid w:val="00A94443"/>
    <w:rsid w:val="00A944EF"/>
    <w:rsid w:val="00A94F8C"/>
    <w:rsid w:val="00A953E4"/>
    <w:rsid w:val="00A95C50"/>
    <w:rsid w:val="00A96541"/>
    <w:rsid w:val="00A96B30"/>
    <w:rsid w:val="00A9770F"/>
    <w:rsid w:val="00A97EC5"/>
    <w:rsid w:val="00AA0D03"/>
    <w:rsid w:val="00AA1026"/>
    <w:rsid w:val="00AA189E"/>
    <w:rsid w:val="00AA2586"/>
    <w:rsid w:val="00AA3E2A"/>
    <w:rsid w:val="00AA4978"/>
    <w:rsid w:val="00AA59B5"/>
    <w:rsid w:val="00AA7777"/>
    <w:rsid w:val="00AA7B84"/>
    <w:rsid w:val="00AB158B"/>
    <w:rsid w:val="00AB293C"/>
    <w:rsid w:val="00AB2C6B"/>
    <w:rsid w:val="00AB2D5A"/>
    <w:rsid w:val="00AB3D3E"/>
    <w:rsid w:val="00AB3E77"/>
    <w:rsid w:val="00AB4CB3"/>
    <w:rsid w:val="00AB5358"/>
    <w:rsid w:val="00AB58E5"/>
    <w:rsid w:val="00AB6B23"/>
    <w:rsid w:val="00AB7872"/>
    <w:rsid w:val="00AC0B4C"/>
    <w:rsid w:val="00AC1164"/>
    <w:rsid w:val="00AC2296"/>
    <w:rsid w:val="00AC24EC"/>
    <w:rsid w:val="00AC2754"/>
    <w:rsid w:val="00AC48B0"/>
    <w:rsid w:val="00AC4ACD"/>
    <w:rsid w:val="00AC5DFB"/>
    <w:rsid w:val="00AC7348"/>
    <w:rsid w:val="00AD0326"/>
    <w:rsid w:val="00AD0559"/>
    <w:rsid w:val="00AD0FB1"/>
    <w:rsid w:val="00AD13DC"/>
    <w:rsid w:val="00AD230F"/>
    <w:rsid w:val="00AD2923"/>
    <w:rsid w:val="00AD3F79"/>
    <w:rsid w:val="00AD458D"/>
    <w:rsid w:val="00AD4679"/>
    <w:rsid w:val="00AD5403"/>
    <w:rsid w:val="00AD5DE7"/>
    <w:rsid w:val="00AD6548"/>
    <w:rsid w:val="00AD6C2B"/>
    <w:rsid w:val="00AD6DE2"/>
    <w:rsid w:val="00AD7B92"/>
    <w:rsid w:val="00AE00BC"/>
    <w:rsid w:val="00AE0500"/>
    <w:rsid w:val="00AE0A40"/>
    <w:rsid w:val="00AE15E7"/>
    <w:rsid w:val="00AE1ED4"/>
    <w:rsid w:val="00AE21E1"/>
    <w:rsid w:val="00AE2F8D"/>
    <w:rsid w:val="00AE30C2"/>
    <w:rsid w:val="00AE3207"/>
    <w:rsid w:val="00AE3BAE"/>
    <w:rsid w:val="00AE3E05"/>
    <w:rsid w:val="00AE4131"/>
    <w:rsid w:val="00AE46C3"/>
    <w:rsid w:val="00AE48C9"/>
    <w:rsid w:val="00AE584A"/>
    <w:rsid w:val="00AE5B04"/>
    <w:rsid w:val="00AE6A21"/>
    <w:rsid w:val="00AE7202"/>
    <w:rsid w:val="00AE737E"/>
    <w:rsid w:val="00AF171D"/>
    <w:rsid w:val="00AF1C8F"/>
    <w:rsid w:val="00AF2375"/>
    <w:rsid w:val="00AF2B68"/>
    <w:rsid w:val="00AF2C92"/>
    <w:rsid w:val="00AF2F9B"/>
    <w:rsid w:val="00AF32DB"/>
    <w:rsid w:val="00AF3EC1"/>
    <w:rsid w:val="00AF5025"/>
    <w:rsid w:val="00AF519F"/>
    <w:rsid w:val="00AF5387"/>
    <w:rsid w:val="00AF55F5"/>
    <w:rsid w:val="00AF5837"/>
    <w:rsid w:val="00AF59A8"/>
    <w:rsid w:val="00AF7A1C"/>
    <w:rsid w:val="00AF7D65"/>
    <w:rsid w:val="00AF7E86"/>
    <w:rsid w:val="00B0020D"/>
    <w:rsid w:val="00B01018"/>
    <w:rsid w:val="00B024B9"/>
    <w:rsid w:val="00B028DB"/>
    <w:rsid w:val="00B02A1D"/>
    <w:rsid w:val="00B06229"/>
    <w:rsid w:val="00B070B4"/>
    <w:rsid w:val="00B071D3"/>
    <w:rsid w:val="00B077FA"/>
    <w:rsid w:val="00B100B4"/>
    <w:rsid w:val="00B1024F"/>
    <w:rsid w:val="00B10F4A"/>
    <w:rsid w:val="00B11A2F"/>
    <w:rsid w:val="00B127D7"/>
    <w:rsid w:val="00B12B19"/>
    <w:rsid w:val="00B13B0C"/>
    <w:rsid w:val="00B141FA"/>
    <w:rsid w:val="00B1426E"/>
    <w:rsid w:val="00B1453A"/>
    <w:rsid w:val="00B15A88"/>
    <w:rsid w:val="00B16365"/>
    <w:rsid w:val="00B17075"/>
    <w:rsid w:val="00B17300"/>
    <w:rsid w:val="00B20E61"/>
    <w:rsid w:val="00B20F82"/>
    <w:rsid w:val="00B22708"/>
    <w:rsid w:val="00B236AB"/>
    <w:rsid w:val="00B25980"/>
    <w:rsid w:val="00B25BD5"/>
    <w:rsid w:val="00B2716C"/>
    <w:rsid w:val="00B30D44"/>
    <w:rsid w:val="00B31A7B"/>
    <w:rsid w:val="00B3263B"/>
    <w:rsid w:val="00B32B00"/>
    <w:rsid w:val="00B33F17"/>
    <w:rsid w:val="00B34079"/>
    <w:rsid w:val="00B3505E"/>
    <w:rsid w:val="00B36F29"/>
    <w:rsid w:val="00B371E3"/>
    <w:rsid w:val="00B375D4"/>
    <w:rsid w:val="00B3793A"/>
    <w:rsid w:val="00B37E5E"/>
    <w:rsid w:val="00B401BA"/>
    <w:rsid w:val="00B407E4"/>
    <w:rsid w:val="00B4168D"/>
    <w:rsid w:val="00B425B6"/>
    <w:rsid w:val="00B42A72"/>
    <w:rsid w:val="00B42F0C"/>
    <w:rsid w:val="00B43D70"/>
    <w:rsid w:val="00B4403A"/>
    <w:rsid w:val="00B441AE"/>
    <w:rsid w:val="00B45A65"/>
    <w:rsid w:val="00B45ED2"/>
    <w:rsid w:val="00B45F33"/>
    <w:rsid w:val="00B46D2D"/>
    <w:rsid w:val="00B46D50"/>
    <w:rsid w:val="00B47519"/>
    <w:rsid w:val="00B50036"/>
    <w:rsid w:val="00B5141A"/>
    <w:rsid w:val="00B52A51"/>
    <w:rsid w:val="00B5315B"/>
    <w:rsid w:val="00B53170"/>
    <w:rsid w:val="00B548B9"/>
    <w:rsid w:val="00B56DBE"/>
    <w:rsid w:val="00B601E5"/>
    <w:rsid w:val="00B60B1C"/>
    <w:rsid w:val="00B60B96"/>
    <w:rsid w:val="00B61256"/>
    <w:rsid w:val="00B61316"/>
    <w:rsid w:val="00B62999"/>
    <w:rsid w:val="00B63214"/>
    <w:rsid w:val="00B63761"/>
    <w:rsid w:val="00B63961"/>
    <w:rsid w:val="00B63BE3"/>
    <w:rsid w:val="00B64885"/>
    <w:rsid w:val="00B64B13"/>
    <w:rsid w:val="00B64D27"/>
    <w:rsid w:val="00B66810"/>
    <w:rsid w:val="00B66878"/>
    <w:rsid w:val="00B6762F"/>
    <w:rsid w:val="00B70154"/>
    <w:rsid w:val="00B70D2F"/>
    <w:rsid w:val="00B71B2C"/>
    <w:rsid w:val="00B72BE3"/>
    <w:rsid w:val="00B72C4F"/>
    <w:rsid w:val="00B730A0"/>
    <w:rsid w:val="00B737FE"/>
    <w:rsid w:val="00B73B80"/>
    <w:rsid w:val="00B743E1"/>
    <w:rsid w:val="00B74963"/>
    <w:rsid w:val="00B7549A"/>
    <w:rsid w:val="00B76BA7"/>
    <w:rsid w:val="00B770C7"/>
    <w:rsid w:val="00B7710D"/>
    <w:rsid w:val="00B7730D"/>
    <w:rsid w:val="00B77861"/>
    <w:rsid w:val="00B80F26"/>
    <w:rsid w:val="00B8114C"/>
    <w:rsid w:val="00B822BD"/>
    <w:rsid w:val="00B83D7E"/>
    <w:rsid w:val="00B842F4"/>
    <w:rsid w:val="00B84690"/>
    <w:rsid w:val="00B84BFE"/>
    <w:rsid w:val="00B8729F"/>
    <w:rsid w:val="00B91A7B"/>
    <w:rsid w:val="00B929DD"/>
    <w:rsid w:val="00B93AF6"/>
    <w:rsid w:val="00B942F4"/>
    <w:rsid w:val="00B94EAC"/>
    <w:rsid w:val="00B95405"/>
    <w:rsid w:val="00B963F1"/>
    <w:rsid w:val="00B96BB5"/>
    <w:rsid w:val="00B97EB0"/>
    <w:rsid w:val="00BA020A"/>
    <w:rsid w:val="00BA23E2"/>
    <w:rsid w:val="00BA3FD3"/>
    <w:rsid w:val="00BA4572"/>
    <w:rsid w:val="00BA4A99"/>
    <w:rsid w:val="00BA4FD8"/>
    <w:rsid w:val="00BA629E"/>
    <w:rsid w:val="00BA68A5"/>
    <w:rsid w:val="00BB025A"/>
    <w:rsid w:val="00BB02A4"/>
    <w:rsid w:val="00BB0487"/>
    <w:rsid w:val="00BB1270"/>
    <w:rsid w:val="00BB1E44"/>
    <w:rsid w:val="00BB38F6"/>
    <w:rsid w:val="00BB5267"/>
    <w:rsid w:val="00BB52B8"/>
    <w:rsid w:val="00BB549F"/>
    <w:rsid w:val="00BB5600"/>
    <w:rsid w:val="00BB59D8"/>
    <w:rsid w:val="00BB5B1E"/>
    <w:rsid w:val="00BB60BB"/>
    <w:rsid w:val="00BB60EB"/>
    <w:rsid w:val="00BB719A"/>
    <w:rsid w:val="00BB746B"/>
    <w:rsid w:val="00BB7E69"/>
    <w:rsid w:val="00BC079E"/>
    <w:rsid w:val="00BC0E51"/>
    <w:rsid w:val="00BC2378"/>
    <w:rsid w:val="00BC2395"/>
    <w:rsid w:val="00BC2DAB"/>
    <w:rsid w:val="00BC2E68"/>
    <w:rsid w:val="00BC3674"/>
    <w:rsid w:val="00BC3C1F"/>
    <w:rsid w:val="00BC46B9"/>
    <w:rsid w:val="00BC489E"/>
    <w:rsid w:val="00BC507C"/>
    <w:rsid w:val="00BC5A5C"/>
    <w:rsid w:val="00BC6CC3"/>
    <w:rsid w:val="00BC7CE7"/>
    <w:rsid w:val="00BC7ECE"/>
    <w:rsid w:val="00BD055D"/>
    <w:rsid w:val="00BD266F"/>
    <w:rsid w:val="00BD295E"/>
    <w:rsid w:val="00BD2A63"/>
    <w:rsid w:val="00BD4664"/>
    <w:rsid w:val="00BD4A5E"/>
    <w:rsid w:val="00BD5F4B"/>
    <w:rsid w:val="00BD6477"/>
    <w:rsid w:val="00BD6D80"/>
    <w:rsid w:val="00BE05BD"/>
    <w:rsid w:val="00BE1193"/>
    <w:rsid w:val="00BE256A"/>
    <w:rsid w:val="00BE2A61"/>
    <w:rsid w:val="00BE5676"/>
    <w:rsid w:val="00BE63E4"/>
    <w:rsid w:val="00BE642A"/>
    <w:rsid w:val="00BE6575"/>
    <w:rsid w:val="00BE6A0C"/>
    <w:rsid w:val="00BE6A4D"/>
    <w:rsid w:val="00BF0487"/>
    <w:rsid w:val="00BF0DC0"/>
    <w:rsid w:val="00BF172D"/>
    <w:rsid w:val="00BF1E1F"/>
    <w:rsid w:val="00BF37AB"/>
    <w:rsid w:val="00BF3F70"/>
    <w:rsid w:val="00BF4849"/>
    <w:rsid w:val="00BF4EA7"/>
    <w:rsid w:val="00BF5B67"/>
    <w:rsid w:val="00BF64EF"/>
    <w:rsid w:val="00BF7AE6"/>
    <w:rsid w:val="00C005E2"/>
    <w:rsid w:val="00C0080E"/>
    <w:rsid w:val="00C00EDB"/>
    <w:rsid w:val="00C014A4"/>
    <w:rsid w:val="00C01576"/>
    <w:rsid w:val="00C01A51"/>
    <w:rsid w:val="00C01BE7"/>
    <w:rsid w:val="00C02863"/>
    <w:rsid w:val="00C0383A"/>
    <w:rsid w:val="00C056B4"/>
    <w:rsid w:val="00C05A10"/>
    <w:rsid w:val="00C067FF"/>
    <w:rsid w:val="00C06D81"/>
    <w:rsid w:val="00C07CEA"/>
    <w:rsid w:val="00C10360"/>
    <w:rsid w:val="00C10C1F"/>
    <w:rsid w:val="00C116E7"/>
    <w:rsid w:val="00C12385"/>
    <w:rsid w:val="00C12862"/>
    <w:rsid w:val="00C12900"/>
    <w:rsid w:val="00C13D28"/>
    <w:rsid w:val="00C14585"/>
    <w:rsid w:val="00C15CCF"/>
    <w:rsid w:val="00C1618B"/>
    <w:rsid w:val="00C165A0"/>
    <w:rsid w:val="00C167FB"/>
    <w:rsid w:val="00C177F8"/>
    <w:rsid w:val="00C17CBB"/>
    <w:rsid w:val="00C17F49"/>
    <w:rsid w:val="00C17F66"/>
    <w:rsid w:val="00C201CC"/>
    <w:rsid w:val="00C216CE"/>
    <w:rsid w:val="00C2181B"/>
    <w:rsid w:val="00C2184F"/>
    <w:rsid w:val="00C224C2"/>
    <w:rsid w:val="00C22A78"/>
    <w:rsid w:val="00C22B21"/>
    <w:rsid w:val="00C23C7E"/>
    <w:rsid w:val="00C246C5"/>
    <w:rsid w:val="00C25585"/>
    <w:rsid w:val="00C25A82"/>
    <w:rsid w:val="00C25ECA"/>
    <w:rsid w:val="00C27AB0"/>
    <w:rsid w:val="00C3019F"/>
    <w:rsid w:val="00C30A2A"/>
    <w:rsid w:val="00C30B1C"/>
    <w:rsid w:val="00C30B55"/>
    <w:rsid w:val="00C326B6"/>
    <w:rsid w:val="00C326E4"/>
    <w:rsid w:val="00C32CD2"/>
    <w:rsid w:val="00C32E5F"/>
    <w:rsid w:val="00C33993"/>
    <w:rsid w:val="00C33FD9"/>
    <w:rsid w:val="00C342CC"/>
    <w:rsid w:val="00C3485D"/>
    <w:rsid w:val="00C363F1"/>
    <w:rsid w:val="00C3684B"/>
    <w:rsid w:val="00C36921"/>
    <w:rsid w:val="00C3798E"/>
    <w:rsid w:val="00C4069E"/>
    <w:rsid w:val="00C416CC"/>
    <w:rsid w:val="00C41ADC"/>
    <w:rsid w:val="00C426DB"/>
    <w:rsid w:val="00C439F4"/>
    <w:rsid w:val="00C44149"/>
    <w:rsid w:val="00C44410"/>
    <w:rsid w:val="00C44A15"/>
    <w:rsid w:val="00C44FFE"/>
    <w:rsid w:val="00C461EF"/>
    <w:rsid w:val="00C4630A"/>
    <w:rsid w:val="00C47A02"/>
    <w:rsid w:val="00C50313"/>
    <w:rsid w:val="00C5043B"/>
    <w:rsid w:val="00C51F0F"/>
    <w:rsid w:val="00C523F0"/>
    <w:rsid w:val="00C526D2"/>
    <w:rsid w:val="00C53A91"/>
    <w:rsid w:val="00C54EAB"/>
    <w:rsid w:val="00C550FB"/>
    <w:rsid w:val="00C55DBD"/>
    <w:rsid w:val="00C577F4"/>
    <w:rsid w:val="00C5794E"/>
    <w:rsid w:val="00C60968"/>
    <w:rsid w:val="00C628AD"/>
    <w:rsid w:val="00C62CC6"/>
    <w:rsid w:val="00C63D39"/>
    <w:rsid w:val="00C63EDD"/>
    <w:rsid w:val="00C654CD"/>
    <w:rsid w:val="00C65B36"/>
    <w:rsid w:val="00C65E85"/>
    <w:rsid w:val="00C70775"/>
    <w:rsid w:val="00C711F9"/>
    <w:rsid w:val="00C71E89"/>
    <w:rsid w:val="00C72317"/>
    <w:rsid w:val="00C7292E"/>
    <w:rsid w:val="00C73C77"/>
    <w:rsid w:val="00C74E88"/>
    <w:rsid w:val="00C75006"/>
    <w:rsid w:val="00C75CDB"/>
    <w:rsid w:val="00C760C7"/>
    <w:rsid w:val="00C76138"/>
    <w:rsid w:val="00C76F31"/>
    <w:rsid w:val="00C77053"/>
    <w:rsid w:val="00C80924"/>
    <w:rsid w:val="00C80F8F"/>
    <w:rsid w:val="00C821C2"/>
    <w:rsid w:val="00C8286B"/>
    <w:rsid w:val="00C82BA9"/>
    <w:rsid w:val="00C837DE"/>
    <w:rsid w:val="00C83BF5"/>
    <w:rsid w:val="00C85D87"/>
    <w:rsid w:val="00C8665C"/>
    <w:rsid w:val="00C867DE"/>
    <w:rsid w:val="00C8713A"/>
    <w:rsid w:val="00C87E97"/>
    <w:rsid w:val="00C90CFA"/>
    <w:rsid w:val="00C91731"/>
    <w:rsid w:val="00C91E13"/>
    <w:rsid w:val="00C947F8"/>
    <w:rsid w:val="00C94ACC"/>
    <w:rsid w:val="00C9515F"/>
    <w:rsid w:val="00C95E94"/>
    <w:rsid w:val="00C963C5"/>
    <w:rsid w:val="00C96411"/>
    <w:rsid w:val="00C97B5B"/>
    <w:rsid w:val="00CA030C"/>
    <w:rsid w:val="00CA1F41"/>
    <w:rsid w:val="00CA31A6"/>
    <w:rsid w:val="00CA32EE"/>
    <w:rsid w:val="00CA4EE4"/>
    <w:rsid w:val="00CA5771"/>
    <w:rsid w:val="00CA6A1A"/>
    <w:rsid w:val="00CA6E8E"/>
    <w:rsid w:val="00CB0AE2"/>
    <w:rsid w:val="00CB27DD"/>
    <w:rsid w:val="00CB3084"/>
    <w:rsid w:val="00CB326E"/>
    <w:rsid w:val="00CB331A"/>
    <w:rsid w:val="00CB4918"/>
    <w:rsid w:val="00CB5A8F"/>
    <w:rsid w:val="00CC0E08"/>
    <w:rsid w:val="00CC1E75"/>
    <w:rsid w:val="00CC2E0E"/>
    <w:rsid w:val="00CC361C"/>
    <w:rsid w:val="00CC42C6"/>
    <w:rsid w:val="00CC474B"/>
    <w:rsid w:val="00CC4DD8"/>
    <w:rsid w:val="00CC622E"/>
    <w:rsid w:val="00CC658C"/>
    <w:rsid w:val="00CC67BF"/>
    <w:rsid w:val="00CC6837"/>
    <w:rsid w:val="00CD0843"/>
    <w:rsid w:val="00CD1319"/>
    <w:rsid w:val="00CD1352"/>
    <w:rsid w:val="00CD3C2E"/>
    <w:rsid w:val="00CD48B9"/>
    <w:rsid w:val="00CD4E31"/>
    <w:rsid w:val="00CD4F0F"/>
    <w:rsid w:val="00CD52AB"/>
    <w:rsid w:val="00CD5A78"/>
    <w:rsid w:val="00CD7345"/>
    <w:rsid w:val="00CD7928"/>
    <w:rsid w:val="00CE02BF"/>
    <w:rsid w:val="00CE2BC1"/>
    <w:rsid w:val="00CE372E"/>
    <w:rsid w:val="00CE483D"/>
    <w:rsid w:val="00CE55A1"/>
    <w:rsid w:val="00CE5AF5"/>
    <w:rsid w:val="00CE63A9"/>
    <w:rsid w:val="00CE7DE2"/>
    <w:rsid w:val="00CF08B3"/>
    <w:rsid w:val="00CF0A1B"/>
    <w:rsid w:val="00CF1735"/>
    <w:rsid w:val="00CF19F6"/>
    <w:rsid w:val="00CF2F4F"/>
    <w:rsid w:val="00CF31F0"/>
    <w:rsid w:val="00CF4543"/>
    <w:rsid w:val="00CF536D"/>
    <w:rsid w:val="00CF564D"/>
    <w:rsid w:val="00CF598C"/>
    <w:rsid w:val="00CF5B40"/>
    <w:rsid w:val="00CF62AC"/>
    <w:rsid w:val="00D0173F"/>
    <w:rsid w:val="00D02E9D"/>
    <w:rsid w:val="00D04DCF"/>
    <w:rsid w:val="00D05674"/>
    <w:rsid w:val="00D05B7F"/>
    <w:rsid w:val="00D05D90"/>
    <w:rsid w:val="00D06401"/>
    <w:rsid w:val="00D1048A"/>
    <w:rsid w:val="00D10ABD"/>
    <w:rsid w:val="00D10CB8"/>
    <w:rsid w:val="00D12806"/>
    <w:rsid w:val="00D128FD"/>
    <w:rsid w:val="00D12933"/>
    <w:rsid w:val="00D12D44"/>
    <w:rsid w:val="00D130A4"/>
    <w:rsid w:val="00D15018"/>
    <w:rsid w:val="00D158AC"/>
    <w:rsid w:val="00D1596E"/>
    <w:rsid w:val="00D15B74"/>
    <w:rsid w:val="00D16890"/>
    <w:rsid w:val="00D1694C"/>
    <w:rsid w:val="00D17523"/>
    <w:rsid w:val="00D20F5E"/>
    <w:rsid w:val="00D22D8B"/>
    <w:rsid w:val="00D23B76"/>
    <w:rsid w:val="00D23DD8"/>
    <w:rsid w:val="00D24B4A"/>
    <w:rsid w:val="00D274CF"/>
    <w:rsid w:val="00D275A4"/>
    <w:rsid w:val="00D312E9"/>
    <w:rsid w:val="00D31A20"/>
    <w:rsid w:val="00D3232E"/>
    <w:rsid w:val="00D329A4"/>
    <w:rsid w:val="00D34E65"/>
    <w:rsid w:val="00D36EA2"/>
    <w:rsid w:val="00D37279"/>
    <w:rsid w:val="00D379A3"/>
    <w:rsid w:val="00D40762"/>
    <w:rsid w:val="00D40C1B"/>
    <w:rsid w:val="00D41587"/>
    <w:rsid w:val="00D41C93"/>
    <w:rsid w:val="00D44B44"/>
    <w:rsid w:val="00D44BA7"/>
    <w:rsid w:val="00D452ED"/>
    <w:rsid w:val="00D45643"/>
    <w:rsid w:val="00D45FF3"/>
    <w:rsid w:val="00D4729B"/>
    <w:rsid w:val="00D47EF8"/>
    <w:rsid w:val="00D50F98"/>
    <w:rsid w:val="00D511ED"/>
    <w:rsid w:val="00D512CF"/>
    <w:rsid w:val="00D51EC4"/>
    <w:rsid w:val="00D528B9"/>
    <w:rsid w:val="00D52DC0"/>
    <w:rsid w:val="00D53186"/>
    <w:rsid w:val="00D54520"/>
    <w:rsid w:val="00D5487D"/>
    <w:rsid w:val="00D55D9C"/>
    <w:rsid w:val="00D5662A"/>
    <w:rsid w:val="00D56976"/>
    <w:rsid w:val="00D57D6F"/>
    <w:rsid w:val="00D60140"/>
    <w:rsid w:val="00D6024A"/>
    <w:rsid w:val="00D608B5"/>
    <w:rsid w:val="00D61379"/>
    <w:rsid w:val="00D6145C"/>
    <w:rsid w:val="00D61D92"/>
    <w:rsid w:val="00D62CCF"/>
    <w:rsid w:val="00D62FCC"/>
    <w:rsid w:val="00D63147"/>
    <w:rsid w:val="00D637D5"/>
    <w:rsid w:val="00D64739"/>
    <w:rsid w:val="00D65743"/>
    <w:rsid w:val="00D65E42"/>
    <w:rsid w:val="00D676AD"/>
    <w:rsid w:val="00D7017D"/>
    <w:rsid w:val="00D704FC"/>
    <w:rsid w:val="00D71F99"/>
    <w:rsid w:val="00D734E7"/>
    <w:rsid w:val="00D73CA4"/>
    <w:rsid w:val="00D73D71"/>
    <w:rsid w:val="00D74062"/>
    <w:rsid w:val="00D74335"/>
    <w:rsid w:val="00D74396"/>
    <w:rsid w:val="00D74467"/>
    <w:rsid w:val="00D7534B"/>
    <w:rsid w:val="00D754C3"/>
    <w:rsid w:val="00D758B4"/>
    <w:rsid w:val="00D80284"/>
    <w:rsid w:val="00D807B0"/>
    <w:rsid w:val="00D81623"/>
    <w:rsid w:val="00D81F71"/>
    <w:rsid w:val="00D82033"/>
    <w:rsid w:val="00D8251E"/>
    <w:rsid w:val="00D83902"/>
    <w:rsid w:val="00D8416E"/>
    <w:rsid w:val="00D84A17"/>
    <w:rsid w:val="00D84B98"/>
    <w:rsid w:val="00D85570"/>
    <w:rsid w:val="00D8635E"/>
    <w:rsid w:val="00D8642D"/>
    <w:rsid w:val="00D86BAD"/>
    <w:rsid w:val="00D879B8"/>
    <w:rsid w:val="00D90277"/>
    <w:rsid w:val="00D90A5E"/>
    <w:rsid w:val="00D91A68"/>
    <w:rsid w:val="00D92B08"/>
    <w:rsid w:val="00D93D86"/>
    <w:rsid w:val="00D95A68"/>
    <w:rsid w:val="00D97887"/>
    <w:rsid w:val="00D97927"/>
    <w:rsid w:val="00DA08CE"/>
    <w:rsid w:val="00DA17C7"/>
    <w:rsid w:val="00DA2390"/>
    <w:rsid w:val="00DA2C5D"/>
    <w:rsid w:val="00DA355C"/>
    <w:rsid w:val="00DA421D"/>
    <w:rsid w:val="00DA5318"/>
    <w:rsid w:val="00DA659B"/>
    <w:rsid w:val="00DA6A9A"/>
    <w:rsid w:val="00DA6DBF"/>
    <w:rsid w:val="00DA6E22"/>
    <w:rsid w:val="00DA7965"/>
    <w:rsid w:val="00DA7B24"/>
    <w:rsid w:val="00DA7E69"/>
    <w:rsid w:val="00DB1EFD"/>
    <w:rsid w:val="00DB23C0"/>
    <w:rsid w:val="00DB266B"/>
    <w:rsid w:val="00DB2714"/>
    <w:rsid w:val="00DB2CA3"/>
    <w:rsid w:val="00DB3EAF"/>
    <w:rsid w:val="00DB46C6"/>
    <w:rsid w:val="00DB4A8C"/>
    <w:rsid w:val="00DB5EE1"/>
    <w:rsid w:val="00DB7DB7"/>
    <w:rsid w:val="00DC0A33"/>
    <w:rsid w:val="00DC14F4"/>
    <w:rsid w:val="00DC1E52"/>
    <w:rsid w:val="00DC2298"/>
    <w:rsid w:val="00DC3203"/>
    <w:rsid w:val="00DC3C99"/>
    <w:rsid w:val="00DC48E1"/>
    <w:rsid w:val="00DC52F5"/>
    <w:rsid w:val="00DC5FD0"/>
    <w:rsid w:val="00DC60A0"/>
    <w:rsid w:val="00DC7530"/>
    <w:rsid w:val="00DD0354"/>
    <w:rsid w:val="00DD03FB"/>
    <w:rsid w:val="00DD0777"/>
    <w:rsid w:val="00DD27D7"/>
    <w:rsid w:val="00DD3051"/>
    <w:rsid w:val="00DD458C"/>
    <w:rsid w:val="00DD4DC0"/>
    <w:rsid w:val="00DD6260"/>
    <w:rsid w:val="00DD6951"/>
    <w:rsid w:val="00DD72E9"/>
    <w:rsid w:val="00DD75D0"/>
    <w:rsid w:val="00DD7605"/>
    <w:rsid w:val="00DD7784"/>
    <w:rsid w:val="00DD7ED6"/>
    <w:rsid w:val="00DE030A"/>
    <w:rsid w:val="00DE2020"/>
    <w:rsid w:val="00DE3476"/>
    <w:rsid w:val="00DE42EE"/>
    <w:rsid w:val="00DE45A3"/>
    <w:rsid w:val="00DE45C9"/>
    <w:rsid w:val="00DE5791"/>
    <w:rsid w:val="00DE5C03"/>
    <w:rsid w:val="00DE5C2A"/>
    <w:rsid w:val="00DE7A06"/>
    <w:rsid w:val="00DE7BEA"/>
    <w:rsid w:val="00DF0C28"/>
    <w:rsid w:val="00DF1BCB"/>
    <w:rsid w:val="00DF1F5E"/>
    <w:rsid w:val="00DF2383"/>
    <w:rsid w:val="00DF2831"/>
    <w:rsid w:val="00DF2D87"/>
    <w:rsid w:val="00DF2FAC"/>
    <w:rsid w:val="00DF3150"/>
    <w:rsid w:val="00DF3ED4"/>
    <w:rsid w:val="00DF4F6D"/>
    <w:rsid w:val="00DF5B84"/>
    <w:rsid w:val="00DF6B8D"/>
    <w:rsid w:val="00DF6D5B"/>
    <w:rsid w:val="00DF771B"/>
    <w:rsid w:val="00DF7EE2"/>
    <w:rsid w:val="00E0021F"/>
    <w:rsid w:val="00E01BAA"/>
    <w:rsid w:val="00E01F89"/>
    <w:rsid w:val="00E021FF"/>
    <w:rsid w:val="00E026C5"/>
    <w:rsid w:val="00E0282A"/>
    <w:rsid w:val="00E02F56"/>
    <w:rsid w:val="00E02F9B"/>
    <w:rsid w:val="00E03202"/>
    <w:rsid w:val="00E048DA"/>
    <w:rsid w:val="00E06FA8"/>
    <w:rsid w:val="00E07A0D"/>
    <w:rsid w:val="00E07E14"/>
    <w:rsid w:val="00E10611"/>
    <w:rsid w:val="00E114A3"/>
    <w:rsid w:val="00E115B0"/>
    <w:rsid w:val="00E11F11"/>
    <w:rsid w:val="00E1308F"/>
    <w:rsid w:val="00E1335B"/>
    <w:rsid w:val="00E13731"/>
    <w:rsid w:val="00E14F94"/>
    <w:rsid w:val="00E15221"/>
    <w:rsid w:val="00E17336"/>
    <w:rsid w:val="00E17361"/>
    <w:rsid w:val="00E17384"/>
    <w:rsid w:val="00E17433"/>
    <w:rsid w:val="00E17D15"/>
    <w:rsid w:val="00E203F6"/>
    <w:rsid w:val="00E20EC0"/>
    <w:rsid w:val="00E214ED"/>
    <w:rsid w:val="00E2176F"/>
    <w:rsid w:val="00E217ED"/>
    <w:rsid w:val="00E21D46"/>
    <w:rsid w:val="00E22B95"/>
    <w:rsid w:val="00E257CC"/>
    <w:rsid w:val="00E30331"/>
    <w:rsid w:val="00E30BB8"/>
    <w:rsid w:val="00E31F9C"/>
    <w:rsid w:val="00E336FA"/>
    <w:rsid w:val="00E33F69"/>
    <w:rsid w:val="00E33FAF"/>
    <w:rsid w:val="00E37CFD"/>
    <w:rsid w:val="00E40488"/>
    <w:rsid w:val="00E40922"/>
    <w:rsid w:val="00E40F5B"/>
    <w:rsid w:val="00E4126E"/>
    <w:rsid w:val="00E4232E"/>
    <w:rsid w:val="00E4277A"/>
    <w:rsid w:val="00E42EDA"/>
    <w:rsid w:val="00E4667D"/>
    <w:rsid w:val="00E475EA"/>
    <w:rsid w:val="00E4791D"/>
    <w:rsid w:val="00E5023D"/>
    <w:rsid w:val="00E50367"/>
    <w:rsid w:val="00E507AA"/>
    <w:rsid w:val="00E50A10"/>
    <w:rsid w:val="00E51ABA"/>
    <w:rsid w:val="00E524CB"/>
    <w:rsid w:val="00E541CA"/>
    <w:rsid w:val="00E543E3"/>
    <w:rsid w:val="00E54A3B"/>
    <w:rsid w:val="00E566CE"/>
    <w:rsid w:val="00E606C7"/>
    <w:rsid w:val="00E6088A"/>
    <w:rsid w:val="00E62EBA"/>
    <w:rsid w:val="00E636A1"/>
    <w:rsid w:val="00E64329"/>
    <w:rsid w:val="00E64440"/>
    <w:rsid w:val="00E64AED"/>
    <w:rsid w:val="00E64C2B"/>
    <w:rsid w:val="00E6536E"/>
    <w:rsid w:val="00E65456"/>
    <w:rsid w:val="00E65A91"/>
    <w:rsid w:val="00E66188"/>
    <w:rsid w:val="00E664FB"/>
    <w:rsid w:val="00E672F0"/>
    <w:rsid w:val="00E676E2"/>
    <w:rsid w:val="00E70373"/>
    <w:rsid w:val="00E70551"/>
    <w:rsid w:val="00E706EA"/>
    <w:rsid w:val="00E7103C"/>
    <w:rsid w:val="00E72E40"/>
    <w:rsid w:val="00E72F80"/>
    <w:rsid w:val="00E73665"/>
    <w:rsid w:val="00E73999"/>
    <w:rsid w:val="00E73BDC"/>
    <w:rsid w:val="00E73E9E"/>
    <w:rsid w:val="00E740EB"/>
    <w:rsid w:val="00E74C15"/>
    <w:rsid w:val="00E7572B"/>
    <w:rsid w:val="00E7757F"/>
    <w:rsid w:val="00E77827"/>
    <w:rsid w:val="00E77B6F"/>
    <w:rsid w:val="00E77CD9"/>
    <w:rsid w:val="00E77F9B"/>
    <w:rsid w:val="00E81660"/>
    <w:rsid w:val="00E817C0"/>
    <w:rsid w:val="00E83A1C"/>
    <w:rsid w:val="00E83CA8"/>
    <w:rsid w:val="00E84562"/>
    <w:rsid w:val="00E84911"/>
    <w:rsid w:val="00E853DA"/>
    <w:rsid w:val="00E854FE"/>
    <w:rsid w:val="00E875C8"/>
    <w:rsid w:val="00E876BB"/>
    <w:rsid w:val="00E87BB8"/>
    <w:rsid w:val="00E87ED6"/>
    <w:rsid w:val="00E906CC"/>
    <w:rsid w:val="00E90C1F"/>
    <w:rsid w:val="00E917C6"/>
    <w:rsid w:val="00E93817"/>
    <w:rsid w:val="00E939A0"/>
    <w:rsid w:val="00E93E21"/>
    <w:rsid w:val="00E94710"/>
    <w:rsid w:val="00E947A8"/>
    <w:rsid w:val="00E94DDF"/>
    <w:rsid w:val="00E958D0"/>
    <w:rsid w:val="00E9760E"/>
    <w:rsid w:val="00E97E4E"/>
    <w:rsid w:val="00EA01A3"/>
    <w:rsid w:val="00EA0243"/>
    <w:rsid w:val="00EA12B1"/>
    <w:rsid w:val="00EA1CC2"/>
    <w:rsid w:val="00EA2D76"/>
    <w:rsid w:val="00EA379F"/>
    <w:rsid w:val="00EA3849"/>
    <w:rsid w:val="00EA3FC8"/>
    <w:rsid w:val="00EA44C2"/>
    <w:rsid w:val="00EA4644"/>
    <w:rsid w:val="00EA4E8E"/>
    <w:rsid w:val="00EA61E6"/>
    <w:rsid w:val="00EA758A"/>
    <w:rsid w:val="00EA77FA"/>
    <w:rsid w:val="00EB096F"/>
    <w:rsid w:val="00EB0F33"/>
    <w:rsid w:val="00EB199F"/>
    <w:rsid w:val="00EB2123"/>
    <w:rsid w:val="00EB27C4"/>
    <w:rsid w:val="00EB34B0"/>
    <w:rsid w:val="00EB3840"/>
    <w:rsid w:val="00EB462B"/>
    <w:rsid w:val="00EB5387"/>
    <w:rsid w:val="00EB578D"/>
    <w:rsid w:val="00EB5C10"/>
    <w:rsid w:val="00EB6037"/>
    <w:rsid w:val="00EB7322"/>
    <w:rsid w:val="00EB7B5F"/>
    <w:rsid w:val="00EB7BD1"/>
    <w:rsid w:val="00EC0FE9"/>
    <w:rsid w:val="00EC1177"/>
    <w:rsid w:val="00EC16D4"/>
    <w:rsid w:val="00EC198B"/>
    <w:rsid w:val="00EC27CE"/>
    <w:rsid w:val="00EC35A1"/>
    <w:rsid w:val="00EC426D"/>
    <w:rsid w:val="00EC4486"/>
    <w:rsid w:val="00EC53F4"/>
    <w:rsid w:val="00EC571B"/>
    <w:rsid w:val="00EC57D7"/>
    <w:rsid w:val="00EC588F"/>
    <w:rsid w:val="00EC6385"/>
    <w:rsid w:val="00ED1DE9"/>
    <w:rsid w:val="00ED2376"/>
    <w:rsid w:val="00ED23D4"/>
    <w:rsid w:val="00ED2684"/>
    <w:rsid w:val="00ED2B1A"/>
    <w:rsid w:val="00ED31B4"/>
    <w:rsid w:val="00ED3B0E"/>
    <w:rsid w:val="00ED4573"/>
    <w:rsid w:val="00ED4BF3"/>
    <w:rsid w:val="00ED53F9"/>
    <w:rsid w:val="00ED5E0B"/>
    <w:rsid w:val="00ED72D1"/>
    <w:rsid w:val="00ED742C"/>
    <w:rsid w:val="00EE227B"/>
    <w:rsid w:val="00EE29D7"/>
    <w:rsid w:val="00EE35DA"/>
    <w:rsid w:val="00EE37B6"/>
    <w:rsid w:val="00EE3BE0"/>
    <w:rsid w:val="00EE4550"/>
    <w:rsid w:val="00EE4953"/>
    <w:rsid w:val="00EE4A58"/>
    <w:rsid w:val="00EE50F4"/>
    <w:rsid w:val="00EE5DC6"/>
    <w:rsid w:val="00EE6A4E"/>
    <w:rsid w:val="00EE77F1"/>
    <w:rsid w:val="00EF0F45"/>
    <w:rsid w:val="00EF1E7B"/>
    <w:rsid w:val="00EF2B89"/>
    <w:rsid w:val="00EF359E"/>
    <w:rsid w:val="00EF4828"/>
    <w:rsid w:val="00EF6CA2"/>
    <w:rsid w:val="00EF7463"/>
    <w:rsid w:val="00EF7688"/>
    <w:rsid w:val="00EF7971"/>
    <w:rsid w:val="00F002EF"/>
    <w:rsid w:val="00F0118D"/>
    <w:rsid w:val="00F0143C"/>
    <w:rsid w:val="00F01EE9"/>
    <w:rsid w:val="00F03990"/>
    <w:rsid w:val="00F04351"/>
    <w:rsid w:val="00F048C4"/>
    <w:rsid w:val="00F04900"/>
    <w:rsid w:val="00F05848"/>
    <w:rsid w:val="00F06163"/>
    <w:rsid w:val="00F065A4"/>
    <w:rsid w:val="00F07510"/>
    <w:rsid w:val="00F102C1"/>
    <w:rsid w:val="00F10DFD"/>
    <w:rsid w:val="00F1123C"/>
    <w:rsid w:val="00F126B9"/>
    <w:rsid w:val="00F12715"/>
    <w:rsid w:val="00F1316C"/>
    <w:rsid w:val="00F144D5"/>
    <w:rsid w:val="00F146F0"/>
    <w:rsid w:val="00F15039"/>
    <w:rsid w:val="00F152B4"/>
    <w:rsid w:val="00F17AA6"/>
    <w:rsid w:val="00F20B78"/>
    <w:rsid w:val="00F20FF3"/>
    <w:rsid w:val="00F21272"/>
    <w:rsid w:val="00F2190B"/>
    <w:rsid w:val="00F221A5"/>
    <w:rsid w:val="00F228B5"/>
    <w:rsid w:val="00F2389C"/>
    <w:rsid w:val="00F251D7"/>
    <w:rsid w:val="00F2550A"/>
    <w:rsid w:val="00F25C67"/>
    <w:rsid w:val="00F26732"/>
    <w:rsid w:val="00F277BB"/>
    <w:rsid w:val="00F27B2F"/>
    <w:rsid w:val="00F27EAC"/>
    <w:rsid w:val="00F309B9"/>
    <w:rsid w:val="00F30CA5"/>
    <w:rsid w:val="00F30DFF"/>
    <w:rsid w:val="00F315DA"/>
    <w:rsid w:val="00F32B80"/>
    <w:rsid w:val="00F333A2"/>
    <w:rsid w:val="00F340EB"/>
    <w:rsid w:val="00F345FB"/>
    <w:rsid w:val="00F35285"/>
    <w:rsid w:val="00F37D1A"/>
    <w:rsid w:val="00F42022"/>
    <w:rsid w:val="00F422E3"/>
    <w:rsid w:val="00F423BE"/>
    <w:rsid w:val="00F42B7F"/>
    <w:rsid w:val="00F42ED3"/>
    <w:rsid w:val="00F42EFD"/>
    <w:rsid w:val="00F43B9D"/>
    <w:rsid w:val="00F44A8E"/>
    <w:rsid w:val="00F44D5E"/>
    <w:rsid w:val="00F4578A"/>
    <w:rsid w:val="00F47D3C"/>
    <w:rsid w:val="00F51249"/>
    <w:rsid w:val="00F52837"/>
    <w:rsid w:val="00F53761"/>
    <w:rsid w:val="00F53A35"/>
    <w:rsid w:val="00F55A3D"/>
    <w:rsid w:val="00F55B55"/>
    <w:rsid w:val="00F5744B"/>
    <w:rsid w:val="00F60FDB"/>
    <w:rsid w:val="00F61209"/>
    <w:rsid w:val="00F61E8A"/>
    <w:rsid w:val="00F6259E"/>
    <w:rsid w:val="00F62646"/>
    <w:rsid w:val="00F63221"/>
    <w:rsid w:val="00F647A9"/>
    <w:rsid w:val="00F64DE3"/>
    <w:rsid w:val="00F64FE0"/>
    <w:rsid w:val="00F65DD4"/>
    <w:rsid w:val="00F67205"/>
    <w:rsid w:val="00F672B2"/>
    <w:rsid w:val="00F7263B"/>
    <w:rsid w:val="00F72901"/>
    <w:rsid w:val="00F72EF7"/>
    <w:rsid w:val="00F733D8"/>
    <w:rsid w:val="00F7411E"/>
    <w:rsid w:val="00F76505"/>
    <w:rsid w:val="00F76C8B"/>
    <w:rsid w:val="00F7743C"/>
    <w:rsid w:val="00F83973"/>
    <w:rsid w:val="00F83C38"/>
    <w:rsid w:val="00F84E38"/>
    <w:rsid w:val="00F85726"/>
    <w:rsid w:val="00F87060"/>
    <w:rsid w:val="00F87085"/>
    <w:rsid w:val="00F87903"/>
    <w:rsid w:val="00F87FA3"/>
    <w:rsid w:val="00F91331"/>
    <w:rsid w:val="00F916B1"/>
    <w:rsid w:val="00F92D74"/>
    <w:rsid w:val="00F935C1"/>
    <w:rsid w:val="00F93D8C"/>
    <w:rsid w:val="00F95055"/>
    <w:rsid w:val="00F95586"/>
    <w:rsid w:val="00F9560E"/>
    <w:rsid w:val="00F96EFD"/>
    <w:rsid w:val="00F97768"/>
    <w:rsid w:val="00F9786D"/>
    <w:rsid w:val="00FA0EF8"/>
    <w:rsid w:val="00FA1C7F"/>
    <w:rsid w:val="00FA1E11"/>
    <w:rsid w:val="00FA2458"/>
    <w:rsid w:val="00FA3102"/>
    <w:rsid w:val="00FA48D4"/>
    <w:rsid w:val="00FA5369"/>
    <w:rsid w:val="00FA54FA"/>
    <w:rsid w:val="00FA577A"/>
    <w:rsid w:val="00FA5EF3"/>
    <w:rsid w:val="00FA5F82"/>
    <w:rsid w:val="00FA6D39"/>
    <w:rsid w:val="00FA7932"/>
    <w:rsid w:val="00FB1638"/>
    <w:rsid w:val="00FB227E"/>
    <w:rsid w:val="00FB2F15"/>
    <w:rsid w:val="00FB3232"/>
    <w:rsid w:val="00FB3D61"/>
    <w:rsid w:val="00FB44CE"/>
    <w:rsid w:val="00FB5009"/>
    <w:rsid w:val="00FB5245"/>
    <w:rsid w:val="00FB52DE"/>
    <w:rsid w:val="00FB68FB"/>
    <w:rsid w:val="00FB6B81"/>
    <w:rsid w:val="00FB76AB"/>
    <w:rsid w:val="00FB7B19"/>
    <w:rsid w:val="00FC1A8C"/>
    <w:rsid w:val="00FC2AB0"/>
    <w:rsid w:val="00FC35ED"/>
    <w:rsid w:val="00FC656A"/>
    <w:rsid w:val="00FD03FE"/>
    <w:rsid w:val="00FD0DBF"/>
    <w:rsid w:val="00FD126E"/>
    <w:rsid w:val="00FD182E"/>
    <w:rsid w:val="00FD2355"/>
    <w:rsid w:val="00FD3C36"/>
    <w:rsid w:val="00FD4D81"/>
    <w:rsid w:val="00FD5963"/>
    <w:rsid w:val="00FD6D20"/>
    <w:rsid w:val="00FD7498"/>
    <w:rsid w:val="00FD769B"/>
    <w:rsid w:val="00FD77D2"/>
    <w:rsid w:val="00FD7FB3"/>
    <w:rsid w:val="00FE0A7E"/>
    <w:rsid w:val="00FE1AE2"/>
    <w:rsid w:val="00FE1E46"/>
    <w:rsid w:val="00FE32B4"/>
    <w:rsid w:val="00FE3E5E"/>
    <w:rsid w:val="00FE3F3C"/>
    <w:rsid w:val="00FE4713"/>
    <w:rsid w:val="00FE52CD"/>
    <w:rsid w:val="00FE5A19"/>
    <w:rsid w:val="00FE5CF2"/>
    <w:rsid w:val="00FE7877"/>
    <w:rsid w:val="00FE7F35"/>
    <w:rsid w:val="00FF0CD4"/>
    <w:rsid w:val="00FF1F44"/>
    <w:rsid w:val="00FF225E"/>
    <w:rsid w:val="00FF3461"/>
    <w:rsid w:val="00FF3AF4"/>
    <w:rsid w:val="00FF4D77"/>
    <w:rsid w:val="00FF5F02"/>
    <w:rsid w:val="00FF672C"/>
    <w:rsid w:val="00FF6768"/>
    <w:rsid w:val="00FF6C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322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uiPriority w:val="99"/>
    <w:rsid w:val="00A403C5"/>
    <w:pPr>
      <w:spacing w:line="240" w:lineRule="auto"/>
      <w:ind w:left="284" w:hanging="284"/>
      <w:jc w:val="both"/>
    </w:pPr>
    <w:rPr>
      <w:sz w:val="22"/>
      <w:szCs w:val="20"/>
    </w:rPr>
  </w:style>
  <w:style w:type="character" w:customStyle="1" w:styleId="FootnoteTextChar">
    <w:name w:val="Footnote Text Char"/>
    <w:basedOn w:val="DefaultParagraphFont"/>
    <w:link w:val="FootnoteText"/>
    <w:uiPriority w:val="99"/>
    <w:rsid w:val="00A403C5"/>
    <w:rPr>
      <w:sz w:val="22"/>
    </w:rPr>
  </w:style>
  <w:style w:type="character" w:styleId="FootnoteReference">
    <w:name w:val="footnote reference"/>
    <w:basedOn w:val="DefaultParagraphFont"/>
    <w:uiPriority w:val="99"/>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iPriority w:val="99"/>
    <w:unhideWhenUsed/>
    <w:rsid w:val="00506802"/>
    <w:rPr>
      <w:color w:val="0000FF" w:themeColor="hyperlink"/>
      <w:u w:val="single"/>
    </w:rPr>
  </w:style>
  <w:style w:type="paragraph" w:customStyle="1" w:styleId="EndNoteBibliographyTitle">
    <w:name w:val="EndNote Bibliography Title"/>
    <w:basedOn w:val="Normal"/>
    <w:link w:val="EndNoteBibliographyTitleChar"/>
    <w:rsid w:val="00506802"/>
    <w:pPr>
      <w:spacing w:line="360" w:lineRule="auto"/>
      <w:jc w:val="center"/>
    </w:pPr>
    <w:rPr>
      <w:rFonts w:ascii="Verdana" w:eastAsiaTheme="minorHAnsi" w:hAnsi="Verdana" w:cstheme="minorBidi"/>
      <w:noProof/>
      <w:sz w:val="20"/>
      <w:szCs w:val="22"/>
      <w:lang w:val="en-US" w:eastAsia="en-US"/>
    </w:rPr>
  </w:style>
  <w:style w:type="character" w:customStyle="1" w:styleId="EndNoteBibliographyTitleChar">
    <w:name w:val="EndNote Bibliography Title Char"/>
    <w:basedOn w:val="DefaultParagraphFont"/>
    <w:link w:val="EndNoteBibliographyTitle"/>
    <w:rsid w:val="00506802"/>
    <w:rPr>
      <w:rFonts w:ascii="Verdana" w:eastAsiaTheme="minorHAnsi" w:hAnsi="Verdana" w:cstheme="minorBidi"/>
      <w:noProof/>
      <w:szCs w:val="22"/>
      <w:lang w:val="en-US" w:eastAsia="en-US"/>
    </w:rPr>
  </w:style>
  <w:style w:type="paragraph" w:customStyle="1" w:styleId="EndNoteBibliography">
    <w:name w:val="EndNote Bibliography"/>
    <w:basedOn w:val="Normal"/>
    <w:link w:val="EndNoteBibliographyChar"/>
    <w:rsid w:val="00506802"/>
    <w:pPr>
      <w:spacing w:after="120" w:line="240" w:lineRule="auto"/>
    </w:pPr>
    <w:rPr>
      <w:rFonts w:ascii="Verdana" w:eastAsiaTheme="minorHAnsi" w:hAnsi="Verdana" w:cstheme="minorBidi"/>
      <w:noProof/>
      <w:sz w:val="20"/>
      <w:szCs w:val="22"/>
      <w:lang w:val="en-US" w:eastAsia="en-US"/>
    </w:rPr>
  </w:style>
  <w:style w:type="character" w:customStyle="1" w:styleId="EndNoteBibliographyChar">
    <w:name w:val="EndNote Bibliography Char"/>
    <w:basedOn w:val="DefaultParagraphFont"/>
    <w:link w:val="EndNoteBibliography"/>
    <w:rsid w:val="00506802"/>
    <w:rPr>
      <w:rFonts w:ascii="Verdana" w:eastAsiaTheme="minorHAnsi" w:hAnsi="Verdana" w:cstheme="minorBidi"/>
      <w:noProof/>
      <w:szCs w:val="22"/>
      <w:lang w:val="en-US" w:eastAsia="en-US"/>
    </w:rPr>
  </w:style>
  <w:style w:type="character" w:styleId="CommentReference">
    <w:name w:val="annotation reference"/>
    <w:basedOn w:val="DefaultParagraphFont"/>
    <w:uiPriority w:val="99"/>
    <w:semiHidden/>
    <w:unhideWhenUsed/>
    <w:rsid w:val="00593B01"/>
    <w:rPr>
      <w:sz w:val="16"/>
      <w:szCs w:val="16"/>
    </w:rPr>
  </w:style>
  <w:style w:type="paragraph" w:styleId="CommentText">
    <w:name w:val="annotation text"/>
    <w:basedOn w:val="Normal"/>
    <w:link w:val="CommentTextChar"/>
    <w:uiPriority w:val="99"/>
    <w:unhideWhenUsed/>
    <w:rsid w:val="00593B01"/>
    <w:pPr>
      <w:spacing w:line="240" w:lineRule="auto"/>
    </w:pPr>
    <w:rPr>
      <w:sz w:val="20"/>
      <w:szCs w:val="20"/>
    </w:rPr>
  </w:style>
  <w:style w:type="character" w:customStyle="1" w:styleId="CommentTextChar">
    <w:name w:val="Comment Text Char"/>
    <w:basedOn w:val="DefaultParagraphFont"/>
    <w:link w:val="CommentText"/>
    <w:uiPriority w:val="99"/>
    <w:rsid w:val="00593B01"/>
  </w:style>
  <w:style w:type="paragraph" w:styleId="CommentSubject">
    <w:name w:val="annotation subject"/>
    <w:basedOn w:val="CommentText"/>
    <w:next w:val="CommentText"/>
    <w:link w:val="CommentSubjectChar"/>
    <w:semiHidden/>
    <w:unhideWhenUsed/>
    <w:rsid w:val="00593B01"/>
    <w:rPr>
      <w:b/>
      <w:bCs/>
    </w:rPr>
  </w:style>
  <w:style w:type="character" w:customStyle="1" w:styleId="CommentSubjectChar">
    <w:name w:val="Comment Subject Char"/>
    <w:basedOn w:val="CommentTextChar"/>
    <w:link w:val="CommentSubject"/>
    <w:semiHidden/>
    <w:rsid w:val="00593B01"/>
    <w:rPr>
      <w:b/>
      <w:bCs/>
    </w:rPr>
  </w:style>
  <w:style w:type="paragraph" w:styleId="BalloonText">
    <w:name w:val="Balloon Text"/>
    <w:basedOn w:val="Normal"/>
    <w:link w:val="BalloonTextChar"/>
    <w:semiHidden/>
    <w:unhideWhenUsed/>
    <w:rsid w:val="00593B0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93B01"/>
    <w:rPr>
      <w:rFonts w:ascii="Segoe UI" w:hAnsi="Segoe UI" w:cs="Segoe UI"/>
      <w:sz w:val="18"/>
      <w:szCs w:val="18"/>
    </w:rPr>
  </w:style>
  <w:style w:type="character" w:customStyle="1" w:styleId="Nenhum">
    <w:name w:val="Nenhum"/>
    <w:rsid w:val="001F39EB"/>
  </w:style>
  <w:style w:type="table" w:styleId="TableGrid">
    <w:name w:val="Table Grid"/>
    <w:basedOn w:val="TableNormal"/>
    <w:uiPriority w:val="39"/>
    <w:rsid w:val="00F25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F2550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PlaceholderText">
    <w:name w:val="Placeholder Text"/>
    <w:basedOn w:val="DefaultParagraphFont"/>
    <w:semiHidden/>
    <w:rsid w:val="00766781"/>
    <w:rPr>
      <w:color w:val="808080"/>
    </w:rPr>
  </w:style>
  <w:style w:type="paragraph" w:customStyle="1" w:styleId="Default">
    <w:name w:val="Default"/>
    <w:rsid w:val="00B72C4F"/>
    <w:pPr>
      <w:autoSpaceDE w:val="0"/>
      <w:autoSpaceDN w:val="0"/>
      <w:adjustRightInd w:val="0"/>
    </w:pPr>
    <w:rPr>
      <w:rFonts w:ascii="Calibri" w:hAnsi="Calibri" w:cs="Calibri"/>
      <w:color w:val="000000"/>
      <w:sz w:val="24"/>
      <w:szCs w:val="24"/>
    </w:rPr>
  </w:style>
  <w:style w:type="character" w:customStyle="1" w:styleId="highwire-citation-authors">
    <w:name w:val="highwire-citation-authors"/>
    <w:basedOn w:val="DefaultParagraphFont"/>
    <w:rsid w:val="00582078"/>
  </w:style>
  <w:style w:type="character" w:customStyle="1" w:styleId="highwire-citation-author">
    <w:name w:val="highwire-citation-author"/>
    <w:basedOn w:val="DefaultParagraphFont"/>
    <w:rsid w:val="00582078"/>
  </w:style>
  <w:style w:type="character" w:customStyle="1" w:styleId="nlm-surname">
    <w:name w:val="nlm-surname"/>
    <w:basedOn w:val="DefaultParagraphFont"/>
    <w:rsid w:val="00582078"/>
  </w:style>
  <w:style w:type="character" w:customStyle="1" w:styleId="citation-et">
    <w:name w:val="citation-et"/>
    <w:basedOn w:val="DefaultParagraphFont"/>
    <w:rsid w:val="00582078"/>
  </w:style>
  <w:style w:type="character" w:customStyle="1" w:styleId="highwire-cite-metadata-journal">
    <w:name w:val="highwire-cite-metadata-journal"/>
    <w:basedOn w:val="DefaultParagraphFont"/>
    <w:rsid w:val="00582078"/>
  </w:style>
  <w:style w:type="character" w:customStyle="1" w:styleId="highwire-cite-metadata-date">
    <w:name w:val="highwire-cite-metadata-date"/>
    <w:basedOn w:val="DefaultParagraphFont"/>
    <w:rsid w:val="00582078"/>
  </w:style>
  <w:style w:type="character" w:customStyle="1" w:styleId="label">
    <w:name w:val="label"/>
    <w:basedOn w:val="DefaultParagraphFont"/>
    <w:rsid w:val="00582078"/>
  </w:style>
  <w:style w:type="character" w:customStyle="1" w:styleId="highwire-cite-metadata-doi">
    <w:name w:val="highwire-cite-metadata-doi"/>
    <w:basedOn w:val="DefaultParagraphFont"/>
    <w:rsid w:val="00582078"/>
  </w:style>
  <w:style w:type="paragraph" w:styleId="ListParagraph">
    <w:name w:val="List Paragraph"/>
    <w:basedOn w:val="Normal"/>
    <w:rsid w:val="00E021FF"/>
    <w:pPr>
      <w:ind w:left="720"/>
      <w:contextualSpacing/>
    </w:pPr>
  </w:style>
  <w:style w:type="character" w:customStyle="1" w:styleId="UnresolvedMention1">
    <w:name w:val="Unresolved Mention1"/>
    <w:basedOn w:val="DefaultParagraphFont"/>
    <w:uiPriority w:val="99"/>
    <w:semiHidden/>
    <w:unhideWhenUsed/>
    <w:rsid w:val="00EC588F"/>
    <w:rPr>
      <w:color w:val="605E5C"/>
      <w:shd w:val="clear" w:color="auto" w:fill="E1DFDD"/>
    </w:rPr>
  </w:style>
  <w:style w:type="table" w:styleId="ListTable7Colorful">
    <w:name w:val="List Table 7 Colorful"/>
    <w:basedOn w:val="TableNormal"/>
    <w:uiPriority w:val="52"/>
    <w:rsid w:val="00B15A8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3-Accent1">
    <w:name w:val="List Table 3 Accent 1"/>
    <w:basedOn w:val="TableNormal"/>
    <w:uiPriority w:val="48"/>
    <w:rsid w:val="00DA2390"/>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UnresolvedMention">
    <w:name w:val="Unresolved Mention"/>
    <w:basedOn w:val="DefaultParagraphFont"/>
    <w:uiPriority w:val="99"/>
    <w:semiHidden/>
    <w:unhideWhenUsed/>
    <w:rsid w:val="00FE1E46"/>
    <w:rPr>
      <w:color w:val="605E5C"/>
      <w:shd w:val="clear" w:color="auto" w:fill="E1DFDD"/>
    </w:rPr>
  </w:style>
  <w:style w:type="paragraph" w:styleId="Caption">
    <w:name w:val="caption"/>
    <w:basedOn w:val="Normal"/>
    <w:next w:val="Normal"/>
    <w:unhideWhenUsed/>
    <w:rsid w:val="00D57D6F"/>
    <w:pPr>
      <w:spacing w:after="200" w:line="240" w:lineRule="auto"/>
    </w:pPr>
    <w:rPr>
      <w:i/>
      <w:iCs/>
      <w:color w:val="1F497D" w:themeColor="text2"/>
      <w:sz w:val="18"/>
      <w:szCs w:val="18"/>
    </w:rPr>
  </w:style>
  <w:style w:type="paragraph" w:styleId="Revision">
    <w:name w:val="Revision"/>
    <w:hidden/>
    <w:semiHidden/>
    <w:rsid w:val="00A94F8C"/>
    <w:rPr>
      <w:sz w:val="24"/>
      <w:szCs w:val="24"/>
    </w:rPr>
  </w:style>
  <w:style w:type="table" w:styleId="GridTable5Dark-Accent1">
    <w:name w:val="Grid Table 5 Dark Accent 1"/>
    <w:basedOn w:val="TableNormal"/>
    <w:uiPriority w:val="50"/>
    <w:rsid w:val="003C75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ListTable4-Accent1">
    <w:name w:val="List Table 4 Accent 1"/>
    <w:basedOn w:val="TableNormal"/>
    <w:uiPriority w:val="49"/>
    <w:rsid w:val="003C75D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8998">
      <w:bodyDiv w:val="1"/>
      <w:marLeft w:val="0"/>
      <w:marRight w:val="0"/>
      <w:marTop w:val="0"/>
      <w:marBottom w:val="0"/>
      <w:divBdr>
        <w:top w:val="none" w:sz="0" w:space="0" w:color="auto"/>
        <w:left w:val="none" w:sz="0" w:space="0" w:color="auto"/>
        <w:bottom w:val="none" w:sz="0" w:space="0" w:color="auto"/>
        <w:right w:val="none" w:sz="0" w:space="0" w:color="auto"/>
      </w:divBdr>
    </w:div>
    <w:div w:id="10887460">
      <w:bodyDiv w:val="1"/>
      <w:marLeft w:val="0"/>
      <w:marRight w:val="0"/>
      <w:marTop w:val="0"/>
      <w:marBottom w:val="0"/>
      <w:divBdr>
        <w:top w:val="none" w:sz="0" w:space="0" w:color="auto"/>
        <w:left w:val="none" w:sz="0" w:space="0" w:color="auto"/>
        <w:bottom w:val="none" w:sz="0" w:space="0" w:color="auto"/>
        <w:right w:val="none" w:sz="0" w:space="0" w:color="auto"/>
      </w:divBdr>
    </w:div>
    <w:div w:id="562106318">
      <w:bodyDiv w:val="1"/>
      <w:marLeft w:val="0"/>
      <w:marRight w:val="0"/>
      <w:marTop w:val="0"/>
      <w:marBottom w:val="0"/>
      <w:divBdr>
        <w:top w:val="none" w:sz="0" w:space="0" w:color="auto"/>
        <w:left w:val="none" w:sz="0" w:space="0" w:color="auto"/>
        <w:bottom w:val="none" w:sz="0" w:space="0" w:color="auto"/>
        <w:right w:val="none" w:sz="0" w:space="0" w:color="auto"/>
      </w:divBdr>
    </w:div>
    <w:div w:id="648361065">
      <w:bodyDiv w:val="1"/>
      <w:marLeft w:val="0"/>
      <w:marRight w:val="0"/>
      <w:marTop w:val="0"/>
      <w:marBottom w:val="0"/>
      <w:divBdr>
        <w:top w:val="none" w:sz="0" w:space="0" w:color="auto"/>
        <w:left w:val="none" w:sz="0" w:space="0" w:color="auto"/>
        <w:bottom w:val="none" w:sz="0" w:space="0" w:color="auto"/>
        <w:right w:val="none" w:sz="0" w:space="0" w:color="auto"/>
      </w:divBdr>
    </w:div>
    <w:div w:id="701975520">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40719889">
      <w:bodyDiv w:val="1"/>
      <w:marLeft w:val="0"/>
      <w:marRight w:val="0"/>
      <w:marTop w:val="0"/>
      <w:marBottom w:val="0"/>
      <w:divBdr>
        <w:top w:val="none" w:sz="0" w:space="0" w:color="auto"/>
        <w:left w:val="none" w:sz="0" w:space="0" w:color="auto"/>
        <w:bottom w:val="none" w:sz="0" w:space="0" w:color="auto"/>
        <w:right w:val="none" w:sz="0" w:space="0" w:color="auto"/>
      </w:divBdr>
    </w:div>
    <w:div w:id="974021413">
      <w:bodyDiv w:val="1"/>
      <w:marLeft w:val="0"/>
      <w:marRight w:val="0"/>
      <w:marTop w:val="0"/>
      <w:marBottom w:val="0"/>
      <w:divBdr>
        <w:top w:val="none" w:sz="0" w:space="0" w:color="auto"/>
        <w:left w:val="none" w:sz="0" w:space="0" w:color="auto"/>
        <w:bottom w:val="none" w:sz="0" w:space="0" w:color="auto"/>
        <w:right w:val="none" w:sz="0" w:space="0" w:color="auto"/>
      </w:divBdr>
    </w:div>
    <w:div w:id="1158153235">
      <w:bodyDiv w:val="1"/>
      <w:marLeft w:val="0"/>
      <w:marRight w:val="0"/>
      <w:marTop w:val="0"/>
      <w:marBottom w:val="0"/>
      <w:divBdr>
        <w:top w:val="none" w:sz="0" w:space="0" w:color="auto"/>
        <w:left w:val="none" w:sz="0" w:space="0" w:color="auto"/>
        <w:bottom w:val="none" w:sz="0" w:space="0" w:color="auto"/>
        <w:right w:val="none" w:sz="0" w:space="0" w:color="auto"/>
      </w:divBdr>
    </w:div>
    <w:div w:id="1327052120">
      <w:bodyDiv w:val="1"/>
      <w:marLeft w:val="0"/>
      <w:marRight w:val="0"/>
      <w:marTop w:val="0"/>
      <w:marBottom w:val="0"/>
      <w:divBdr>
        <w:top w:val="none" w:sz="0" w:space="0" w:color="auto"/>
        <w:left w:val="none" w:sz="0" w:space="0" w:color="auto"/>
        <w:bottom w:val="none" w:sz="0" w:space="0" w:color="auto"/>
        <w:right w:val="none" w:sz="0" w:space="0" w:color="auto"/>
      </w:divBdr>
    </w:div>
    <w:div w:id="1453087629">
      <w:bodyDiv w:val="1"/>
      <w:marLeft w:val="0"/>
      <w:marRight w:val="0"/>
      <w:marTop w:val="0"/>
      <w:marBottom w:val="0"/>
      <w:divBdr>
        <w:top w:val="none" w:sz="0" w:space="0" w:color="auto"/>
        <w:left w:val="none" w:sz="0" w:space="0" w:color="auto"/>
        <w:bottom w:val="none" w:sz="0" w:space="0" w:color="auto"/>
        <w:right w:val="none" w:sz="0" w:space="0" w:color="auto"/>
      </w:divBdr>
    </w:div>
    <w:div w:id="1504276870">
      <w:bodyDiv w:val="1"/>
      <w:marLeft w:val="0"/>
      <w:marRight w:val="0"/>
      <w:marTop w:val="0"/>
      <w:marBottom w:val="0"/>
      <w:divBdr>
        <w:top w:val="none" w:sz="0" w:space="0" w:color="auto"/>
        <w:left w:val="none" w:sz="0" w:space="0" w:color="auto"/>
        <w:bottom w:val="none" w:sz="0" w:space="0" w:color="auto"/>
        <w:right w:val="none" w:sz="0" w:space="0" w:color="auto"/>
      </w:divBdr>
    </w:div>
    <w:div w:id="1670986395">
      <w:bodyDiv w:val="1"/>
      <w:marLeft w:val="0"/>
      <w:marRight w:val="0"/>
      <w:marTop w:val="0"/>
      <w:marBottom w:val="0"/>
      <w:divBdr>
        <w:top w:val="none" w:sz="0" w:space="0" w:color="auto"/>
        <w:left w:val="none" w:sz="0" w:space="0" w:color="auto"/>
        <w:bottom w:val="none" w:sz="0" w:space="0" w:color="auto"/>
        <w:right w:val="none" w:sz="0" w:space="0" w:color="auto"/>
      </w:divBdr>
    </w:div>
    <w:div w:id="1714382680">
      <w:bodyDiv w:val="1"/>
      <w:marLeft w:val="0"/>
      <w:marRight w:val="0"/>
      <w:marTop w:val="0"/>
      <w:marBottom w:val="0"/>
      <w:divBdr>
        <w:top w:val="none" w:sz="0" w:space="0" w:color="auto"/>
        <w:left w:val="none" w:sz="0" w:space="0" w:color="auto"/>
        <w:bottom w:val="none" w:sz="0" w:space="0" w:color="auto"/>
        <w:right w:val="none" w:sz="0" w:space="0" w:color="auto"/>
      </w:divBdr>
      <w:divsChild>
        <w:div w:id="1974796392">
          <w:marLeft w:val="0"/>
          <w:marRight w:val="0"/>
          <w:marTop w:val="0"/>
          <w:marBottom w:val="0"/>
          <w:divBdr>
            <w:top w:val="none" w:sz="0" w:space="0" w:color="auto"/>
            <w:left w:val="none" w:sz="0" w:space="0" w:color="auto"/>
            <w:bottom w:val="none" w:sz="0" w:space="0" w:color="auto"/>
            <w:right w:val="none" w:sz="0" w:space="0" w:color="auto"/>
          </w:divBdr>
        </w:div>
        <w:div w:id="363024604">
          <w:marLeft w:val="0"/>
          <w:marRight w:val="0"/>
          <w:marTop w:val="0"/>
          <w:marBottom w:val="0"/>
          <w:divBdr>
            <w:top w:val="none" w:sz="0" w:space="0" w:color="auto"/>
            <w:left w:val="none" w:sz="0" w:space="0" w:color="auto"/>
            <w:bottom w:val="none" w:sz="0" w:space="0" w:color="auto"/>
            <w:right w:val="none" w:sz="0" w:space="0" w:color="auto"/>
          </w:divBdr>
        </w:div>
        <w:div w:id="722413857">
          <w:marLeft w:val="0"/>
          <w:marRight w:val="0"/>
          <w:marTop w:val="0"/>
          <w:marBottom w:val="0"/>
          <w:divBdr>
            <w:top w:val="none" w:sz="0" w:space="0" w:color="auto"/>
            <w:left w:val="none" w:sz="0" w:space="0" w:color="auto"/>
            <w:bottom w:val="none" w:sz="0" w:space="0" w:color="auto"/>
            <w:right w:val="none" w:sz="0" w:space="0" w:color="auto"/>
          </w:divBdr>
        </w:div>
      </w:divsChild>
    </w:div>
    <w:div w:id="1817339354">
      <w:bodyDiv w:val="1"/>
      <w:marLeft w:val="0"/>
      <w:marRight w:val="0"/>
      <w:marTop w:val="0"/>
      <w:marBottom w:val="0"/>
      <w:divBdr>
        <w:top w:val="none" w:sz="0" w:space="0" w:color="auto"/>
        <w:left w:val="none" w:sz="0" w:space="0" w:color="auto"/>
        <w:bottom w:val="none" w:sz="0" w:space="0" w:color="auto"/>
        <w:right w:val="none" w:sz="0" w:space="0" w:color="auto"/>
      </w:divBdr>
    </w:div>
    <w:div w:id="1833332994">
      <w:bodyDiv w:val="1"/>
      <w:marLeft w:val="0"/>
      <w:marRight w:val="0"/>
      <w:marTop w:val="0"/>
      <w:marBottom w:val="0"/>
      <w:divBdr>
        <w:top w:val="none" w:sz="0" w:space="0" w:color="auto"/>
        <w:left w:val="none" w:sz="0" w:space="0" w:color="auto"/>
        <w:bottom w:val="none" w:sz="0" w:space="0" w:color="auto"/>
        <w:right w:val="none" w:sz="0" w:space="0" w:color="auto"/>
      </w:divBdr>
    </w:div>
    <w:div w:id="185410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ice.org.uk/guidance/ng9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gs.org.uk/resources/resource-series/silver-book-i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gs.org.uk/index.php/bgscampaigns-715/silverbook" TargetMode="External"/><Relationship Id="rId5" Type="http://schemas.openxmlformats.org/officeDocument/2006/relationships/webSettings" Target="webSettings.xml"/><Relationship Id="rId15" Type="http://schemas.openxmlformats.org/officeDocument/2006/relationships/hyperlink" Target="https://www.england.nhs.uk/statistics/statistical-work-areas/ae-waiting-times-and-activity/"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ons.gov.uk/peoplepopulationandcommunity/birthsdeathsandmarriages/deaths/bulletins/deathsinthecaresectorenglandandwales/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4AEA3-700B-4BA5-95D4-898C89391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9055</Words>
  <Characters>51616</Characters>
  <Application>Microsoft Office Word</Application>
  <DocSecurity>0</DocSecurity>
  <Lines>430</Lines>
  <Paragraphs>121</Paragraphs>
  <ScaleCrop>false</ScaleCrop>
  <Company/>
  <LinksUpToDate>false</LinksUpToDate>
  <CharactersWithSpaces>60550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2022-02-03T10:23:00Z</dcterms:created>
  <dcterms:modified xsi:type="dcterms:W3CDTF">2022-02-03T10:52:00Z</dcterms:modified>
</cp:coreProperties>
</file>